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5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rPr>
          <w:rFonts w:ascii="Arial" w:hAnsi="Arial" w:cs="Arial"/>
          <w:b/>
          <w:color w:val="000000"/>
          <w:sz w:val="84"/>
          <w:szCs w:val="84"/>
          <w:highlight w:val="none"/>
        </w:rPr>
      </w:r>
      <w:r/>
    </w:p>
    <w:p>
      <w:pPr>
        <w:pStyle w:val="659"/>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9"/>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巡护船及配套设施采购项目（二次）</w:t>
      </w:r>
      <w:r>
        <w:rPr>
          <w:rFonts w:hint="eastAsia" w:ascii="宋体" w:hAnsi="宋体" w:eastAsia="宋体" w:cs="宋体"/>
          <w:color w:val="000000"/>
          <w:highlight w:val="none"/>
          <w:lang w:val="en-US" w:eastAsia="zh-CN"/>
        </w:rPr>
      </w:r>
      <w:r/>
    </w:p>
    <w:p>
      <w:pPr>
        <w:pStyle w:val="659"/>
        <w:ind w:firstLine="964"/>
        <w:jc w:val="both"/>
        <w:spacing w:before="120" w:beforeAutospacing="0" w:after="120" w:afterAutospacing="0" w:line="360" w:lineRule="auto"/>
        <w:rPr>
          <w:rFonts w:eastAsia="宋体"/>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JSZC-320000-HCXM-G2026-0004</w:t>
      </w:r>
      <w:r>
        <w:rPr>
          <w:rFonts w:eastAsia="宋体"/>
          <w:highlight w:val="none"/>
          <w:lang w:val="en-US" w:eastAsia="zh-CN"/>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r>
      <w:r/>
    </w:p>
    <w:p>
      <w:pPr>
        <w:pStyle w:val="659"/>
        <w:spacing w:beforeAutospacing="0" w:afterAutospacing="0" w:line="360" w:lineRule="auto"/>
        <w:rPr>
          <w:highlight w:val="none"/>
        </w:rPr>
      </w:pP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spacing w:beforeAutospacing="0" w:afterAutospacing="0" w:line="360" w:lineRule="auto"/>
        <w:rPr>
          <w:highlight w:val="none"/>
        </w:rPr>
      </w:pPr>
      <w:r>
        <w:rPr>
          <w:highlight w:val="none"/>
        </w:rPr>
      </w:r>
      <w:r/>
    </w:p>
    <w:p>
      <w:pPr>
        <w:pStyle w:val="659"/>
        <w:spacing w:beforeAutospacing="0" w:afterAutospacing="0" w:line="360" w:lineRule="auto"/>
        <w:rPr>
          <w:highlight w:val="none"/>
        </w:rPr>
      </w:pPr>
      <w:r>
        <w:rPr>
          <w:highlight w:val="none"/>
        </w:rPr>
        <w:t xml:space="preserve"> </w:t>
      </w:r>
      <w:r>
        <w:rPr>
          <w:highlight w:val="none"/>
        </w:rPr>
      </w:r>
      <w:r/>
    </w:p>
    <w:p>
      <w:pPr>
        <w:pStyle w:val="659"/>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江苏盐城国家级珍禽自然保护区管理处</w:t>
      </w:r>
      <w:r>
        <w:rPr>
          <w:rFonts w:hint="eastAsia" w:ascii="Arial" w:hAnsi="Arial" w:cs="Arial"/>
          <w:b/>
          <w:color w:val="000000"/>
          <w:sz w:val="32"/>
          <w:szCs w:val="32"/>
          <w:highlight w:val="none"/>
          <w:lang w:val="en-US" w:eastAsia="zh-CN"/>
        </w:rPr>
      </w:r>
      <w:r/>
    </w:p>
    <w:p>
      <w:pPr>
        <w:pStyle w:val="659"/>
        <w:jc w:val="center"/>
        <w:spacing w:before="120" w:beforeAutospacing="0" w:after="120" w:afterAutospacing="0" w:line="360" w:lineRule="auto"/>
        <w:rPr>
          <w:rFonts w:ascii="Arial" w:hAnsi="Arial" w:cs="Arial"/>
          <w:b/>
          <w:color w:val="000000"/>
          <w:sz w:val="32"/>
          <w:szCs w:val="32"/>
          <w:highlight w:val="none"/>
          <w:lang w:val="en-US" w:eastAsia="zh-CN"/>
        </w:rPr>
      </w:pPr>
      <w:r>
        <w:rPr>
          <w:rFonts w:ascii="Arial" w:hAnsi="Arial" w:cs="Arial"/>
          <w:b/>
          <w:color w:val="000000"/>
          <w:sz w:val="32"/>
          <w:szCs w:val="32"/>
          <w:highlight w:val="none"/>
          <w:lang w:val="en-US" w:eastAsia="zh-CN"/>
        </w:rPr>
        <w:t xml:space="preserve">江苏宏才项目管理有限公司</w:t>
      </w:r>
      <w:r>
        <w:rPr>
          <w:rFonts w:ascii="Arial" w:hAnsi="Arial" w:cs="Arial"/>
          <w:b/>
          <w:color w:val="000000"/>
          <w:sz w:val="32"/>
          <w:szCs w:val="32"/>
          <w:highlight w:val="none"/>
          <w:lang w:val="en-US" w:eastAsia="zh-CN"/>
        </w:rPr>
      </w:r>
      <w:r/>
    </w:p>
    <w:p>
      <w:pPr>
        <w:pStyle w:val="659"/>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04</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29日</w:t>
      </w:r>
      <w:r>
        <w:rPr>
          <w:rFonts w:eastAsia="宋体"/>
          <w:highlight w:val="none"/>
          <w:lang w:val="en-US" w:eastAsia="zh-CN"/>
        </w:rPr>
      </w:r>
      <w:r/>
    </w:p>
    <w:p>
      <w:pPr>
        <w:pStyle w:val="659"/>
        <w:spacing w:before="120" w:beforeAutospacing="0" w:after="120" w:afterAutospacing="0" w:line="360" w:lineRule="auto"/>
        <w:rPr>
          <w:highlight w:val="none"/>
        </w:rPr>
      </w:pPr>
      <w:r>
        <w:rPr>
          <w:rFonts w:ascii="Arial" w:hAnsi="Arial" w:cs="Arial"/>
          <w:color w:val="000000"/>
          <w:highlight w:val="none"/>
        </w:rPr>
        <w:t xml:space="preserve">                        </w:t>
      </w:r>
      <w:r>
        <w:rPr>
          <w:highlight w:val="none"/>
        </w:rPr>
      </w:r>
      <w:r/>
    </w:p>
    <w:p>
      <w:pPr>
        <w:pStyle w:val="65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479757206"/>
      <w:r/>
      <w:bookmarkStart w:id="2" w:name="_Toc120614210"/>
      <w:r/>
      <w:bookmarkStart w:id="3" w:name="_Toc16938516"/>
      <w:r/>
      <w:bookmarkStart w:id="4" w:name="_Toc513029200"/>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659"/>
        <w:jc w:val="both"/>
        <w:spacing w:beforeAutospacing="0" w:afterAutospacing="0" w:line="480" w:lineRule="auto"/>
        <w:rPr>
          <w:highlight w:val="none"/>
        </w:rPr>
      </w:pPr>
      <w:r>
        <w:rPr>
          <w:highlight w:val="none"/>
        </w:rPr>
        <w:t xml:space="preserve"> </w:t>
      </w:r>
      <w:r>
        <w:rPr>
          <w:highlight w:val="none"/>
        </w:rPr>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rPr>
          <w:highlight w:val="none"/>
        </w:rPr>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rPr>
          <w:highlight w:val="none"/>
        </w:rPr>
      </w:r>
      <w:r/>
    </w:p>
    <w:p>
      <w:pPr>
        <w:pStyle w:val="65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22</w:t>
      </w:r>
      <w:r>
        <w:rPr>
          <w:rFonts w:eastAsia="黑体"/>
          <w:highlight w:val="none"/>
          <w:lang w:val="en-US" w:eastAsia="zh-CN"/>
        </w:rPr>
      </w:r>
      <w:r/>
    </w:p>
    <w:p>
      <w:pPr>
        <w:pStyle w:val="65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39</w:t>
      </w:r>
      <w:r>
        <w:rPr>
          <w:rFonts w:eastAsia="黑体"/>
          <w:highlight w:val="none"/>
          <w:lang w:val="en-US" w:eastAsia="zh-CN"/>
        </w:rPr>
      </w:r>
      <w:r/>
    </w:p>
    <w:p>
      <w:pPr>
        <w:pStyle w:val="65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40</w:t>
      </w:r>
      <w:r>
        <w:rPr>
          <w:rFonts w:eastAsia="黑体"/>
          <w:highlight w:val="none"/>
          <w:lang w:val="en-US" w:eastAsia="zh-CN"/>
        </w:rPr>
      </w:r>
      <w:r/>
    </w:p>
    <w:p>
      <w:pPr>
        <w:pStyle w:val="65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46</w:t>
      </w:r>
      <w:r>
        <w:rPr>
          <w:rFonts w:eastAsia="黑体"/>
          <w:highlight w:val="none"/>
          <w:lang w:val="en-US" w:eastAsia="zh-CN"/>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rFonts w:eastAsia="黑体"/>
          <w:highlight w:val="none"/>
          <w:lang w:val="en-US" w:eastAsia="zh-CN"/>
        </w:rPr>
      </w:r>
      <w:r/>
    </w:p>
    <w:p>
      <w:pPr>
        <w:pStyle w:val="659"/>
        <w:jc w:val="both"/>
        <w:spacing w:beforeAutospacing="0" w:afterAutospacing="0"/>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659"/>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巡护船及配套设施采购项目（二次）</w:t>
      </w:r>
      <w:r>
        <w:rPr>
          <w:rFonts w:hint="eastAsia" w:ascii="宋体" w:hAnsi="宋体" w:eastAsia="宋体" w:cs="宋体"/>
          <w:color w:val="000000"/>
        </w:rPr>
        <w:t xml:space="preserve">的潜在</w:t>
      </w:r>
      <w:r>
        <w:rPr>
          <w:rFonts w:hint="eastAsia" w:ascii="宋体" w:hAnsi="宋体" w:cs="宋体"/>
          <w:color w:val="000000"/>
          <w:lang w:val="en-US" w:eastAsia="zh-CN"/>
        </w:rPr>
        <w:t xml:space="preserve">供应商</w:t>
      </w:r>
      <w:r>
        <w:rPr>
          <w:rFonts w:hint="eastAsia" w:ascii="宋体" w:hAnsi="宋体" w:eastAsia="宋体" w:cs="宋体"/>
          <w:color w:val="000000"/>
          <w:highlight w:val="none"/>
          <w:lang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000000"/>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，并于</w:t>
      </w:r>
      <w:r>
        <w:rPr>
          <w:rFonts w:hint="eastAsia" w:ascii="宋体" w:hAnsi="宋体" w:eastAsia="宋体" w:cs="宋体"/>
          <w:color w:val="000000"/>
          <w:highlight w:val="none"/>
          <w:lang w:val="en-US" w:eastAsia="zh-CN"/>
        </w:rPr>
        <w:t xml:space="preserve">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05</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21 1</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7" w:name="_Hlk24379207"/>
      <w:r/>
      <w:bookmarkStart w:id="8" w:name="_Toc28359002"/>
      <w:r/>
      <w:bookmarkStart w:id="9" w:name="_Toc35393790"/>
      <w:r/>
      <w:bookmarkStart w:id="10" w:name="_Toc28359079"/>
      <w:r/>
      <w:bookmarkStart w:id="11" w:name="_Toc38985263"/>
      <w:r/>
      <w:bookmarkStart w:id="12" w:name="_Toc35393621"/>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cs="宋体"/>
          <w:color w:val="000000"/>
          <w:highlight w:val="none"/>
          <w:lang w:eastAsia="zh-CN"/>
        </w:rPr>
        <w:t xml:space="preserve">JSZC-320000-HCXM-G2026-0004</w:t>
      </w:r>
      <w:r>
        <w:rPr>
          <w:rFonts w:hint="eastAsia" w:ascii="宋体" w:hAnsi="宋体" w:eastAsia="宋体" w:cs="宋体"/>
          <w:i w:val="0"/>
          <w:iCs w:val="0"/>
          <w:caps w:val="0"/>
          <w:color w:val="333333"/>
          <w:spacing w:val="0"/>
          <w:sz w:val="24"/>
          <w:szCs w:val="24"/>
          <w:highlight w:val="none"/>
          <w:shd w:val="clear" w:color="auto" w:fill="ffffff"/>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巡护船及配套设施采购项目（二次）</w:t>
      </w:r>
      <w:r>
        <w:rPr>
          <w:rFonts w:hint="eastAsia" w:ascii="宋体" w:hAnsi="宋体" w:eastAsia="宋体" w:cs="宋体"/>
          <w:color w:val="000000"/>
          <w:sz w:val="24"/>
          <w:szCs w:val="24"/>
          <w:highlight w:val="none"/>
          <w:shd w:val="clear" w:color="auto" w:fill="auto"/>
          <w:lang w:eastAsia="zh-CN"/>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604.05万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shd w:val="clear" w:color="auto" w:fill="auto"/>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w:t>
      </w:r>
      <w:r>
        <w:rPr>
          <w:rFonts w:hint="eastAsia" w:ascii="宋体" w:hAnsi="宋体" w:eastAsia="宋体" w:cs="宋体"/>
          <w:color w:val="000000"/>
          <w:sz w:val="24"/>
          <w:szCs w:val="24"/>
          <w:highlight w:val="none"/>
          <w:lang w:val="en-US" w:eastAsia="zh-CN"/>
        </w:rPr>
        <w:t xml:space="preserve">603万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投标人投标报价不得超过该最高限价，否则按无效投标处理。</w:t>
      </w:r>
      <w:r>
        <w:rPr>
          <w:rFonts w:hint="eastAsia" w:ascii="宋体" w:hAnsi="宋体" w:eastAsia="宋体" w:cs="宋体"/>
          <w:color w:val="000000"/>
          <w:sz w:val="24"/>
          <w:szCs w:val="24"/>
          <w:highlight w:val="none"/>
          <w:lang w:val="en-US" w:eastAsia="zh-CN"/>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巡护船及配套设施采购项目（二次），包含但不限于货物（及附配件）的采购、制造、运输、安装、调试、系泊试验、试航、船检、交船、培训、验收、质保期内维保、售后服务、船舶登记证书办理相关费用、图审相关费用、专家咨询费、验收费、评审费等一切费用，具体内容及要求以招标文件规定为准，招标人保留调整部分工程量的权利。</w:t>
      </w:r>
      <w:r>
        <w:rPr>
          <w:rFonts w:hint="eastAsia" w:ascii="宋体" w:hAnsi="宋体" w:eastAsia="宋体" w:cs="宋体"/>
          <w:sz w:val="24"/>
          <w:szCs w:val="24"/>
          <w:highlight w:val="none"/>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合同签订后12个月内完工、通过验收并交付使用。</w:t>
      </w:r>
      <w:r>
        <w:rPr>
          <w:rFonts w:hint="eastAsia" w:ascii="宋体" w:hAnsi="宋体" w:eastAsia="宋体" w:cs="宋体"/>
          <w:color w:val="000000"/>
          <w:sz w:val="24"/>
          <w:szCs w:val="24"/>
          <w:highlight w:val="none"/>
          <w:lang w:eastAsia="zh-CN"/>
        </w:rPr>
      </w:r>
      <w:r/>
    </w:p>
    <w:p>
      <w:pPr>
        <w:pStyle w:val="659"/>
        <w:ind w:firstLine="480"/>
        <w:jc w:val="both"/>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8.质量标准：完成项目需求约定的全部内容，满足采购人需求，质量合格，并通过采购人组织的专家验收。</w:t>
      </w:r>
      <w:r>
        <w:rPr>
          <w:rFonts w:ascii="宋体" w:hAnsi="宋体" w:eastAsia="宋体" w:cs="宋体"/>
          <w:color w:val="000000"/>
          <w:sz w:val="24"/>
          <w:szCs w:val="24"/>
          <w:highlight w:val="none"/>
          <w:lang w:val="en-US" w:eastAsia="zh-CN"/>
        </w:rPr>
      </w:r>
      <w:r/>
    </w:p>
    <w:p>
      <w:pPr>
        <w:pStyle w:val="65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333333"/>
          <w:spacing w:val="0"/>
          <w:sz w:val="24"/>
          <w:szCs w:val="24"/>
          <w:highlight w:val="none"/>
          <w:shd w:val="clear" w:color="auto" w:fill="ffffff"/>
        </w:rPr>
        <w:t xml:space="preserve">本项目（是/否）接受联合体投标：否</w:t>
      </w:r>
      <w:r>
        <w:rPr>
          <w:rFonts w:hint="eastAsia" w:ascii="宋体" w:hAnsi="宋体" w:eastAsia="宋体" w:cs="宋体"/>
          <w:color w:val="000000"/>
          <w:sz w:val="24"/>
          <w:szCs w:val="24"/>
          <w:highlight w:val="none"/>
          <w:shd w:val="clear" w:color="auto" w:fill="ffff00"/>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13" w:name="_Toc38985264"/>
      <w:r/>
      <w:bookmarkStart w:id="14" w:name="_Toc35393791"/>
      <w:r/>
      <w:bookmarkStart w:id="15" w:name="_Toc28359003"/>
      <w:r/>
      <w:bookmarkStart w:id="16" w:name="_Toc28359080"/>
      <w:r/>
      <w:bookmarkStart w:id="17" w:name="_Toc35393622"/>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w:t>
      </w:r>
      <w:r>
        <w:rPr>
          <w:rFonts w:hint="eastAsia" w:ascii="宋体" w:hAnsi="宋体" w:cs="宋体"/>
          <w:color w:val="000000"/>
          <w:sz w:val="24"/>
          <w:szCs w:val="24"/>
          <w:highlight w:val="none"/>
          <w:lang w:val="en-US" w:eastAsia="zh-CN"/>
        </w:rPr>
        <w:t xml:space="preserve">表</w:t>
      </w:r>
      <w:r>
        <w:rPr>
          <w:rFonts w:hint="eastAsia" w:ascii="宋体" w:hAnsi="宋体" w:eastAsia="宋体" w:cs="宋体"/>
          <w:color w:val="000000"/>
          <w:sz w:val="24"/>
          <w:szCs w:val="24"/>
          <w:highlight w:val="none"/>
        </w:rPr>
        <w:t xml:space="preserve">（成立不满一年不需提供，提供2024年度或2025年度均可）；</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3.具备履行合同所必需的设备和专业技术能力的书面声明；</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4.依法缴纳税收和社会保障资金的相关材料（提供提交响应文件截止时间前一年内至少一个月依法缴纳税收</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社会保障资金的证明材料。供应商依法享受缓缴、免缴税收、社会保障资金的</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59"/>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7.单位负责人为同一人或者存在直接控股、管理关系的不同供应商，不得参加同一合同项下的政府采购活动。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659"/>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659"/>
        <w:numPr>
          <w:ilvl w:val="0"/>
          <w:numId w:val="0"/>
        </w:numPr>
        <w:ind w:right="0"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2、本项目实施本国产品价格评审优惠政策，提供《关于符合本国产品标准的声明函》。</w:t>
      </w:r>
      <w:r>
        <w:rPr>
          <w:rFonts w:hint="eastAsia" w:ascii="宋体" w:hAnsi="宋体" w:eastAsia="宋体" w:cs="宋体"/>
          <w:color w:val="000000"/>
          <w:sz w:val="24"/>
          <w:szCs w:val="24"/>
          <w:highlight w:val="none"/>
        </w:rPr>
      </w:r>
      <w:r/>
    </w:p>
    <w:p>
      <w:pPr>
        <w:pStyle w:val="659"/>
        <w:numPr>
          <w:ilvl w:val="0"/>
          <w:numId w:val="0"/>
        </w:numPr>
        <w:ind w:right="0"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59"/>
        <w:ind w:firstLine="480"/>
        <w:jc w:val="both"/>
        <w:keepLines/>
        <w:keepNext/>
        <w:pageBreakBefore w:val="0"/>
        <w:spacing w:beforeAutospacing="0" w:afterAutospacing="0"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（1）中华人民共和国境内注册的具有独立承担民事责任能力的法人或者其他组织。</w:t>
      </w:r>
      <w:r>
        <w:rPr>
          <w:rFonts w:hint="eastAsia" w:ascii="宋体" w:hAnsi="宋体" w:cs="宋体"/>
          <w:color w:val="000000"/>
          <w:sz w:val="24"/>
          <w:szCs w:val="24"/>
          <w:highlight w:val="none"/>
          <w:lang w:val="en-US" w:eastAsia="zh-CN"/>
        </w:rPr>
      </w:r>
      <w:r/>
    </w:p>
    <w:p>
      <w:pPr>
        <w:pStyle w:val="659"/>
        <w:ind w:firstLine="480"/>
        <w:jc w:val="both"/>
        <w:keepLines/>
        <w:keepNext/>
        <w:pageBreakBefore w:val="0"/>
        <w:spacing w:beforeAutospacing="0" w:afterAutospacing="0"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（2）投标单位取得具有船舶主管部门(工业与信息化委员会或国防科工办)颁发的钢质船舶建造三级III类及以上船舶建造生产条件认可证书。</w:t>
      </w:r>
      <w:r>
        <w:rPr>
          <w:rFonts w:hint="eastAsia" w:ascii="宋体" w:hAnsi="宋体" w:cs="宋体"/>
          <w:color w:val="000000"/>
          <w:sz w:val="24"/>
          <w:szCs w:val="24"/>
          <w:highlight w:val="none"/>
          <w:lang w:val="en-US" w:eastAsia="zh-CN"/>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41"/>
        <w:ind w:firstLine="480"/>
        <w:keepLines w:val="0"/>
        <w:keepNext w:val="0"/>
        <w:pageBreakBefore w:val="0"/>
        <w:spacing w:line="400" w:lineRule="exact"/>
        <w:widowControl w:val="off"/>
        <w:rPr>
          <w:rFonts w:hint="eastAsia"/>
          <w:sz w:val="24"/>
          <w:szCs w:val="32"/>
        </w:rPr>
      </w:pPr>
      <w:r/>
      <w:bookmarkStart w:id="18" w:name="_Toc28359082"/>
      <w:r/>
      <w:bookmarkStart w:id="19" w:name="_Toc35393793"/>
      <w:r/>
      <w:bookmarkStart w:id="20" w:name="_Toc28359005"/>
      <w:r/>
      <w:bookmarkStart w:id="21" w:name="_Toc38985266"/>
      <w:r/>
      <w:bookmarkStart w:id="22" w:name="_Toc35393624"/>
      <w:r>
        <w:rPr>
          <w:rFonts w:hint="eastAsia"/>
          <w:sz w:val="24"/>
          <w:szCs w:val="32"/>
        </w:rPr>
        <w:t xml:space="preserve">1.时间：</w:t>
      </w:r>
      <w:bookmarkEnd w:id="18"/>
      <w:r/>
      <w:bookmarkEnd w:id="19"/>
      <w:r/>
      <w:bookmarkEnd w:id="20"/>
      <w:r/>
      <w:bookmarkEnd w:id="21"/>
      <w:r/>
      <w:bookmarkEnd w:id="22"/>
      <w:r>
        <w:rPr>
          <w:rFonts w:hint="eastAsia"/>
          <w:sz w:val="24"/>
          <w:szCs w:val="32"/>
          <w:lang w:val="en-US" w:eastAsia="zh-CN"/>
        </w:rPr>
        <w:t xml:space="preserve">自招标文件公告发布之日起5个工作日</w:t>
      </w:r>
      <w:r>
        <w:rPr>
          <w:rFonts w:hint="eastAsia"/>
          <w:sz w:val="24"/>
          <w:szCs w:val="32"/>
        </w:rPr>
      </w:r>
      <w:r/>
    </w:p>
    <w:p>
      <w:pPr>
        <w:pStyle w:val="641"/>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2.地点：“苏采云”系统内免费下载（供应商必须在苏采云系统中获取采购文件，方能参与政府采购项目）</w:t>
      </w:r>
      <w:r>
        <w:rPr>
          <w:rFonts w:hint="eastAsia"/>
          <w:sz w:val="24"/>
          <w:szCs w:val="32"/>
          <w:lang w:val="en-US" w:eastAsia="zh-CN"/>
        </w:rPr>
      </w:r>
      <w:r/>
    </w:p>
    <w:p>
      <w:pPr>
        <w:pStyle w:val="641"/>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3.方式：本项目采用网上注册登记方式</w:t>
      </w:r>
      <w:r>
        <w:rPr>
          <w:rFonts w:hint="eastAsia"/>
          <w:sz w:val="24"/>
          <w:szCs w:val="32"/>
          <w:lang w:val="en-US" w:eastAsia="zh-CN"/>
        </w:rPr>
      </w:r>
      <w:r/>
    </w:p>
    <w:p>
      <w:pPr>
        <w:pStyle w:val="641"/>
        <w:ind w:firstLine="480"/>
        <w:keepLines w:val="0"/>
        <w:keepNext w:val="0"/>
        <w:pageBreakBefore w:val="0"/>
        <w:spacing w:line="400" w:lineRule="exact"/>
        <w:widowControl w:val="off"/>
        <w:rPr>
          <w:rFonts w:hint="eastAsia"/>
          <w:sz w:val="24"/>
          <w:szCs w:val="32"/>
        </w:rPr>
      </w:pPr>
      <w:r>
        <w:rPr>
          <w:rFonts w:hint="eastAsia"/>
          <w:sz w:val="24"/>
          <w:szCs w:val="32"/>
          <w:lang w:val="en-US" w:eastAsia="zh-CN"/>
        </w:rPr>
        <w:t xml:space="preserve">4.售价：0元</w:t>
      </w:r>
      <w:r>
        <w:rPr>
          <w:rFonts w:hint="eastAsia"/>
          <w:sz w:val="24"/>
          <w:szCs w:val="32"/>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41"/>
        <w:ind w:firstLine="480"/>
        <w:keepLines w:val="0"/>
        <w:keepNext w:val="0"/>
        <w:pageBreakBefore w:val="0"/>
        <w:spacing w:line="400" w:lineRule="exact"/>
        <w:widowControl w:val="off"/>
        <w:rPr>
          <w:rFonts w:hint="eastAsia"/>
          <w:sz w:val="24"/>
          <w:szCs w:val="32"/>
          <w:highlight w:val="none"/>
          <w:lang w:val="en-US" w:eastAsia="zh-CN"/>
        </w:rPr>
      </w:pPr>
      <w:r>
        <w:rPr>
          <w:rFonts w:hint="eastAsia"/>
          <w:sz w:val="24"/>
          <w:szCs w:val="32"/>
          <w:highlight w:val="none"/>
          <w:lang w:val="en-US" w:eastAsia="zh-CN"/>
        </w:rPr>
        <w:t xml:space="preserve">1.时间：</w:t>
      </w:r>
      <w:r>
        <w:rPr>
          <w:rFonts w:hint="eastAsia" w:ascii="宋体" w:hAnsi="宋体" w:eastAsia="宋体" w:cs="宋体"/>
          <w:color w:val="000000"/>
          <w:sz w:val="24"/>
          <w:highlight w:val="none"/>
          <w:u w:val="single"/>
          <w:lang w:val="en-US" w:eastAsia="zh-CN"/>
        </w:rPr>
        <w:t xml:space="preserve">2026-</w:t>
      </w:r>
      <w:r>
        <w:rPr>
          <w:rFonts w:hint="eastAsia" w:ascii="宋体" w:hAnsi="宋体" w:cs="宋体"/>
          <w:color w:val="000000"/>
          <w:sz w:val="24"/>
          <w:highlight w:val="none"/>
          <w:u w:val="single"/>
          <w:lang w:val="en-US" w:eastAsia="zh-CN"/>
        </w:rPr>
        <w:t xml:space="preserve">05</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21 10</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0</w:t>
      </w:r>
      <w:r>
        <w:rPr>
          <w:rFonts w:hint="eastAsia" w:ascii="宋体" w:hAnsi="宋体" w:eastAsia="宋体" w:cs="宋体"/>
          <w:color w:val="000000"/>
          <w:sz w:val="24"/>
          <w:highlight w:val="none"/>
          <w:u w:val="single"/>
          <w:lang w:val="en-US" w:eastAsia="zh-CN"/>
        </w:rPr>
        <w:t xml:space="preserve">0</w:t>
      </w:r>
      <w:r>
        <w:rPr>
          <w:rFonts w:hint="eastAsia" w:ascii="宋体" w:hAnsi="宋体" w:eastAsia="宋体" w:cs="宋体"/>
          <w:color w:val="000000"/>
          <w:sz w:val="24"/>
          <w:highlight w:val="none"/>
          <w:lang w:val="en-US" w:eastAsia="zh-CN"/>
        </w:rPr>
        <w:t xml:space="preserve">（北京时间）</w:t>
      </w:r>
      <w:r>
        <w:rPr>
          <w:rFonts w:hint="eastAsia"/>
          <w:sz w:val="24"/>
          <w:szCs w:val="32"/>
          <w:highlight w:val="none"/>
          <w:lang w:val="en-US" w:eastAsia="zh-CN"/>
        </w:rPr>
      </w:r>
      <w:r/>
    </w:p>
    <w:p>
      <w:pPr>
        <w:pStyle w:val="641"/>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2.地点：苏采云“不见面”开标大厅 </w:t>
      </w:r>
      <w:r>
        <w:rPr>
          <w:rFonts w:hint="eastAsia"/>
          <w:sz w:val="24"/>
          <w:szCs w:val="32"/>
          <w:lang w:val="en-US" w:eastAsia="zh-CN"/>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23" w:name="_Toc35393794"/>
      <w:r/>
      <w:bookmarkStart w:id="24" w:name="_Toc28359084"/>
      <w:r/>
      <w:bookmarkStart w:id="25" w:name="_Toc35393625"/>
      <w:r/>
      <w:bookmarkStart w:id="26" w:name="_Toc38985267"/>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59"/>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其他地区客服热线详见江苏政府采购网http://www.ccgp-jiangsu.gov.cn/jiangsu/bridge_page.html?_t=1775731692511</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 潜在供应商访问电子招标响应交易平台的网络地址和方法：</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2.2 潜在投标人访问“苏采云”系统方法：江苏省政府采购网首页-“苏采云”链接。</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2.3 采购文件（后缀名为“.kedt”）、供应商操作手册及政府采购客户端工具可通过“苏采云”系统相应链接进行下载。</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2.4 采购代理机构将数据电文形式的采购文件加载至“苏采云”系统，供潜在供应商下载或者查阅。</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如潜在投标人未按上述要求操作，将自行承担所产生的风险。</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3.有关本次招标的事项若存在变动或修改，敬请及时关注采购代理机构在“中国政府采购网”“江苏政府采购网”发布的更正公告。</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4.本次招标不收取投标保证金。</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42"/>
        <w:ind w:right="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Pr>
          <w:rFonts w:hint="eastAsia" w:ascii="宋体" w:hAnsi="宋体" w:eastAsia="宋体" w:cs="宋体"/>
          <w:b w:val="0"/>
          <w:bCs w:val="0"/>
          <w:i w:val="0"/>
          <w:iCs w:val="0"/>
          <w:caps w:val="0"/>
          <w:color w:val="333333"/>
          <w:spacing w:val="0"/>
          <w:sz w:val="24"/>
          <w:szCs w:val="24"/>
          <w:highlight w:val="none"/>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1.采购人信息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名称：</w:t>
      </w:r>
      <w:r>
        <w:rPr>
          <w:rFonts w:hint="eastAsia" w:ascii="宋体" w:hAnsi="宋体" w:cs="宋体"/>
          <w:i w:val="0"/>
          <w:iCs w:val="0"/>
          <w:caps w:val="0"/>
          <w:color w:val="000000"/>
          <w:spacing w:val="0"/>
          <w:sz w:val="24"/>
          <w:szCs w:val="24"/>
          <w:highlight w:val="none"/>
          <w:shd w:val="clear" w:color="auto" w:fill="ffffff"/>
          <w:lang w:val="en-US" w:eastAsia="zh-CN"/>
        </w:rPr>
        <w:t xml:space="preserve">江苏盐城国家级珍禽自然保护区管理处</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地址：</w:t>
      </w:r>
      <w:r>
        <w:rPr>
          <w:rFonts w:hint="eastAsia" w:ascii="宋体" w:hAnsi="宋体" w:cs="宋体"/>
          <w:i w:val="0"/>
          <w:iCs w:val="0"/>
          <w:caps w:val="0"/>
          <w:color w:val="000000"/>
          <w:spacing w:val="0"/>
          <w:sz w:val="24"/>
          <w:szCs w:val="24"/>
          <w:highlight w:val="none"/>
          <w:shd w:val="clear" w:color="auto" w:fill="ffffff"/>
          <w:lang w:val="en-US" w:eastAsia="zh-CN"/>
        </w:rPr>
        <w:t xml:space="preserve">盐城市亭湖区新洋港望鹤路16号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w:t>
      </w:r>
      <w:r>
        <w:rPr>
          <w:rFonts w:hint="eastAsia" w:ascii="宋体" w:hAnsi="宋体" w:cs="宋体"/>
          <w:i w:val="0"/>
          <w:iCs w:val="0"/>
          <w:caps w:val="0"/>
          <w:color w:val="000000"/>
          <w:spacing w:val="0"/>
          <w:sz w:val="24"/>
          <w:szCs w:val="24"/>
          <w:highlight w:val="none"/>
          <w:shd w:val="clear" w:color="auto" w:fill="ffffff"/>
          <w:lang w:val="en-US" w:eastAsia="zh-CN"/>
        </w:rPr>
        <w:t xml:space="preserve">安先生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联系方式：0515-88317716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2.采购代理机构信息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称：江苏宏才项目管理有限公司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址：盐城市区希望大道中路22号海韵大厦2幢712室</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联系人：倪先生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0515-88231106       </w:t>
      </w:r>
      <w:bookmarkEnd w:id="32"/>
      <w:r/>
      <w:bookmarkEnd w:id="33"/>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项目联系方式</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9"/>
        <w:ind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项目联系人：倪先生</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电　　 话：0515-88231106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41"/>
        <w:jc w:val="center"/>
        <w:pageBreakBefore w:val="0"/>
        <w:spacing w:line="440" w:lineRule="exact"/>
        <w:rPr>
          <w:highlight w:val="none"/>
        </w:rPr>
      </w:pPr>
      <w:r>
        <w:rPr>
          <w:rFonts w:hint="eastAsia" w:ascii="宋体" w:hAnsi="宋体" w:eastAsia="宋体" w:cs="宋体"/>
          <w:color w:val="000000"/>
          <w:sz w:val="24"/>
          <w:szCs w:val="24"/>
          <w:highlight w:val="none"/>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20823274"/>
      <w:r/>
      <w:bookmarkStart w:id="38" w:name="_Toc120614213"/>
      <w:r/>
      <w:bookmarkStart w:id="39" w:name="_Toc513029202"/>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Pr>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40" w:name="_Toc16938519"/>
      <w:r/>
      <w:bookmarkStart w:id="41" w:name="_Toc20823275"/>
      <w:r/>
      <w:bookmarkStart w:id="42" w:name="_Toc120614214"/>
      <w:r/>
      <w:bookmarkStart w:id="43" w:name="_Toc513029226"/>
      <w:r/>
      <w:bookmarkStart w:id="44" w:name="_Hlt26670482"/>
      <w:r/>
      <w:bookmarkStart w:id="45" w:name="_Hlt26668975"/>
      <w:r/>
      <w:bookmarkStart w:id="46" w:name="_Toc513029203"/>
      <w:r/>
      <w:bookmarkStart w:id="47" w:name="_Hlt26954848"/>
      <w:r/>
      <w:bookmarkStart w:id="48" w:name="_Hlt26954846"/>
      <w:r/>
      <w:bookmarkStart w:id="49" w:name="_Hlt26954852"/>
      <w:r/>
      <w:bookmarkStart w:id="50" w:name="_Hlt26670360"/>
      <w:r/>
      <w:bookmarkStart w:id="51" w:name="_Hlt26954838"/>
      <w:r/>
      <w:bookmarkStart w:id="52" w:name="_Hlt26954739"/>
      <w:r/>
      <w:bookmarkStart w:id="53" w:name="_Hlt26954731"/>
      <w:r/>
      <w:bookmarkStart w:id="54" w:name="_Hlt26670486"/>
      <w:r/>
      <w:bookmarkStart w:id="55" w:name="_Hlt16619475"/>
      <w:r>
        <w:rPr>
          <w:rFonts w:hint="eastAsia" w:ascii="宋体" w:hAnsi="宋体" w:eastAsia="宋体" w:cs="宋体"/>
          <w:b/>
          <w:color w:val="000000"/>
          <w:sz w:val="24"/>
          <w:szCs w:val="24"/>
          <w:highlight w:val="none"/>
        </w:rPr>
        <w:t xml:space="preserve">一、总则</w:t>
      </w:r>
      <w:bookmarkEnd w:id="40"/>
      <w:r/>
      <w:bookmarkEnd w:id="41"/>
      <w:r/>
      <w:bookmarkEnd w:id="42"/>
      <w:r/>
      <w:bookmarkEnd w:id="46"/>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56" w:name="_Toc20823276"/>
      <w:r/>
      <w:bookmarkStart w:id="57" w:name="_Toc458694821"/>
      <w:r/>
      <w:bookmarkStart w:id="58" w:name="_Toc16938520"/>
      <w:r/>
      <w:bookmarkStart w:id="59" w:name="_Toc513029204"/>
      <w:r>
        <w:rPr>
          <w:rFonts w:hint="eastAsia" w:ascii="宋体" w:hAnsi="宋体" w:eastAsia="宋体" w:cs="宋体"/>
          <w:color w:val="000000"/>
          <w:sz w:val="24"/>
          <w:szCs w:val="24"/>
          <w:highlight w:val="none"/>
        </w:rPr>
        <w:t xml:space="preserve">1</w:t>
      </w:r>
      <w:bookmarkEnd w:id="56"/>
      <w:r>
        <w:rPr>
          <w:rFonts w:hint="eastAsia" w:ascii="宋体" w:hAnsi="宋体" w:eastAsia="宋体" w:cs="宋体"/>
          <w:color w:val="000000"/>
          <w:sz w:val="24"/>
          <w:szCs w:val="24"/>
          <w:highlight w:val="none"/>
        </w:rPr>
        <w:t xml:space="preserve">、招标方式</w:t>
      </w:r>
      <w:bookmarkEnd w:id="57"/>
      <w:r/>
      <w:bookmarkEnd w:id="58"/>
      <w:r/>
      <w:bookmarkEnd w:id="59"/>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lang w:eastAsia="zh-CN"/>
        </w:rPr>
      </w:pPr>
      <w:r/>
      <w:bookmarkStart w:id="60" w:name="_Toc16938521"/>
      <w:r/>
      <w:bookmarkStart w:id="61" w:name="_Toc513029205"/>
      <w:r/>
      <w:bookmarkStart w:id="62" w:name="_Toc20823277"/>
      <w:r>
        <w:rPr>
          <w:rFonts w:hint="eastAsia" w:ascii="宋体" w:hAnsi="宋体" w:eastAsia="宋体" w:cs="宋体"/>
          <w:color w:val="000000"/>
          <w:sz w:val="24"/>
          <w:szCs w:val="24"/>
          <w:highlight w:val="none"/>
        </w:rPr>
        <w:t xml:space="preserve">2、合格的</w:t>
      </w:r>
      <w:bookmarkEnd w:id="60"/>
      <w:r/>
      <w:bookmarkEnd w:id="61"/>
      <w:r/>
      <w:bookmarkEnd w:id="62"/>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z w:val="24"/>
          <w:szCs w:val="24"/>
          <w:highlight w:val="none"/>
          <w:lang w:eastAsia="zh-CN"/>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3" w:name="_Toc20823278"/>
      <w:r/>
      <w:bookmarkStart w:id="64" w:name="_Toc16938522"/>
      <w:r/>
      <w:bookmarkStart w:id="65" w:name="_Toc513029206"/>
      <w:r>
        <w:rPr>
          <w:rFonts w:hint="eastAsia" w:ascii="宋体" w:hAnsi="宋体" w:eastAsia="宋体" w:cs="宋体"/>
          <w:color w:val="000000"/>
          <w:sz w:val="24"/>
          <w:szCs w:val="24"/>
          <w:highlight w:val="none"/>
        </w:rPr>
        <w:t xml:space="preserve">3、适用法律</w:t>
      </w:r>
      <w:bookmarkEnd w:id="63"/>
      <w:r/>
      <w:bookmarkEnd w:id="64"/>
      <w:r/>
      <w:bookmarkEnd w:id="65"/>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6" w:name="_Toc462564067"/>
      <w:r/>
      <w:bookmarkStart w:id="67" w:name="_Toc513029207"/>
      <w:r/>
      <w:bookmarkStart w:id="68" w:name="_Toc16938523"/>
      <w:r/>
      <w:bookmarkStart w:id="69" w:name="_Toc20823279"/>
      <w:r>
        <w:rPr>
          <w:rFonts w:hint="eastAsia" w:ascii="宋体" w:hAnsi="宋体" w:eastAsia="宋体" w:cs="宋体"/>
          <w:color w:val="000000"/>
          <w:sz w:val="24"/>
          <w:szCs w:val="24"/>
          <w:highlight w:val="none"/>
        </w:rPr>
        <w:t xml:space="preserve">4、投标费用</w:t>
      </w:r>
      <w:bookmarkEnd w:id="66"/>
      <w:r/>
      <w:bookmarkEnd w:id="67"/>
      <w:r/>
      <w:bookmarkEnd w:id="68"/>
      <w:r/>
      <w:bookmarkEnd w:id="69"/>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采购人及采购代理</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4.2本次招标不收取标书工本费。</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一旦参加本项目采购活动，即被认为接受了本招标文件的规定和约束。</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0" w:name="_Toc16938525"/>
      <w:r/>
      <w:bookmarkStart w:id="71" w:name="_Toc120614215"/>
      <w:r/>
      <w:bookmarkStart w:id="72" w:name="_Toc513029209"/>
      <w:r/>
      <w:bookmarkStart w:id="73" w:name="_Toc20823281"/>
      <w:r>
        <w:rPr>
          <w:rFonts w:hint="eastAsia" w:ascii="宋体" w:hAnsi="宋体" w:eastAsia="宋体" w:cs="宋体"/>
          <w:b/>
          <w:color w:val="000000"/>
          <w:sz w:val="24"/>
          <w:szCs w:val="24"/>
          <w:highlight w:val="none"/>
        </w:rPr>
        <w:t xml:space="preserve">二、招标文件</w:t>
      </w:r>
      <w:bookmarkEnd w:id="70"/>
      <w:r/>
      <w:bookmarkEnd w:id="71"/>
      <w:r/>
      <w:bookmarkEnd w:id="72"/>
      <w:r/>
      <w:bookmarkEnd w:id="73"/>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4" w:name="_Toc16938526"/>
      <w:r/>
      <w:bookmarkStart w:id="75" w:name="_Toc20823282"/>
      <w:r/>
      <w:bookmarkStart w:id="76" w:name="_Toc513029210"/>
      <w:r>
        <w:rPr>
          <w:rFonts w:hint="eastAsia" w:ascii="宋体" w:hAnsi="宋体" w:eastAsia="宋体" w:cs="宋体"/>
          <w:color w:val="000000"/>
          <w:sz w:val="24"/>
          <w:szCs w:val="24"/>
          <w:highlight w:val="none"/>
        </w:rPr>
        <w:t xml:space="preserve">6、招标文件构成</w:t>
      </w:r>
      <w:bookmarkEnd w:id="74"/>
      <w:r/>
      <w:bookmarkEnd w:id="75"/>
      <w:r/>
      <w:bookmarkEnd w:id="76"/>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7" w:name="_Toc20823283"/>
      <w:r/>
      <w:bookmarkStart w:id="78" w:name="_Toc16938527"/>
      <w:r/>
      <w:bookmarkStart w:id="79" w:name="_Toc513029211"/>
      <w:r/>
      <w:bookmarkStart w:id="80" w:name="_Toc462564070"/>
      <w:r>
        <w:rPr>
          <w:rFonts w:hint="eastAsia" w:ascii="宋体" w:hAnsi="宋体" w:eastAsia="宋体" w:cs="宋体"/>
          <w:color w:val="000000"/>
          <w:sz w:val="24"/>
          <w:szCs w:val="24"/>
          <w:highlight w:val="none"/>
        </w:rPr>
        <w:t xml:space="preserve">7、招标文件的澄清</w:t>
      </w:r>
      <w:bookmarkEnd w:id="77"/>
      <w:r/>
      <w:bookmarkEnd w:id="78"/>
      <w:r/>
      <w:bookmarkEnd w:id="79"/>
      <w:r/>
      <w:bookmarkEnd w:id="80"/>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1" w:name="_Toc16938528"/>
      <w:r/>
      <w:bookmarkStart w:id="82" w:name="_Toc513029212"/>
      <w:r/>
      <w:bookmarkStart w:id="83" w:name="_Toc462564071"/>
      <w:r/>
      <w:bookmarkStart w:id="84" w:name="_Toc20823284"/>
      <w:r>
        <w:rPr>
          <w:rFonts w:hint="eastAsia" w:ascii="宋体" w:hAnsi="宋体" w:eastAsia="宋体" w:cs="宋体"/>
          <w:color w:val="000000"/>
          <w:sz w:val="24"/>
          <w:szCs w:val="24"/>
          <w:highlight w:val="none"/>
        </w:rPr>
        <w:t xml:space="preserve">8、招标文件的修改</w:t>
      </w:r>
      <w:bookmarkEnd w:id="81"/>
      <w:r/>
      <w:bookmarkEnd w:id="82"/>
      <w:r/>
      <w:bookmarkEnd w:id="83"/>
      <w:r/>
      <w:bookmarkEnd w:id="84"/>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5" w:name="_Toc120614216"/>
      <w:r/>
      <w:bookmarkStart w:id="86" w:name="_Toc16938529"/>
      <w:r/>
      <w:bookmarkStart w:id="87" w:name="_Toc20823285"/>
      <w:r/>
      <w:bookmarkStart w:id="88" w:name="_Toc513029213"/>
      <w:r/>
      <w:bookmarkStart w:id="89" w:name="_Toc462564072"/>
      <w:r>
        <w:rPr>
          <w:rFonts w:hint="eastAsia" w:ascii="宋体" w:hAnsi="宋体" w:eastAsia="宋体" w:cs="宋体"/>
          <w:b/>
          <w:color w:val="000000"/>
          <w:sz w:val="24"/>
          <w:szCs w:val="24"/>
          <w:highlight w:val="none"/>
        </w:rPr>
        <w:t xml:space="preserve">三、投标文件的编制</w:t>
      </w:r>
      <w:bookmarkEnd w:id="85"/>
      <w:r/>
      <w:bookmarkEnd w:id="86"/>
      <w:r/>
      <w:bookmarkEnd w:id="87"/>
      <w:r/>
      <w:bookmarkEnd w:id="88"/>
      <w:r/>
      <w:bookmarkEnd w:id="89"/>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0" w:name="_Toc16938530"/>
      <w:r/>
      <w:bookmarkStart w:id="91" w:name="_Toc513029214"/>
      <w:r/>
      <w:bookmarkStart w:id="92" w:name="_Toc462564073"/>
      <w:r/>
      <w:bookmarkStart w:id="93" w:name="_Toc20823286"/>
      <w:r>
        <w:rPr>
          <w:rFonts w:hint="eastAsia" w:ascii="宋体" w:hAnsi="宋体" w:eastAsia="宋体" w:cs="宋体"/>
          <w:color w:val="000000"/>
          <w:sz w:val="24"/>
          <w:szCs w:val="24"/>
          <w:highlight w:val="none"/>
        </w:rPr>
        <w:t xml:space="preserve">9、投标文件的语言及度量衡单位</w:t>
      </w:r>
      <w:bookmarkEnd w:id="90"/>
      <w:r/>
      <w:bookmarkEnd w:id="91"/>
      <w:r/>
      <w:bookmarkEnd w:id="92"/>
      <w:r/>
      <w:bookmarkEnd w:id="93"/>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提交的投标文件以及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4" w:name="_Toc513029215"/>
      <w:r/>
      <w:bookmarkStart w:id="95" w:name="_Toc20823287"/>
      <w:r/>
      <w:bookmarkStart w:id="96" w:name="_Toc16938531"/>
      <w:r/>
      <w:bookmarkStart w:id="97" w:name="_Toc462564074"/>
      <w:r>
        <w:rPr>
          <w:rFonts w:hint="eastAsia" w:ascii="宋体" w:hAnsi="宋体" w:eastAsia="宋体" w:cs="宋体"/>
          <w:color w:val="000000"/>
          <w:sz w:val="24"/>
          <w:szCs w:val="24"/>
          <w:highlight w:val="none"/>
        </w:rPr>
        <w:t xml:space="preserve">10、投标文件构成</w:t>
      </w:r>
      <w:bookmarkEnd w:id="94"/>
      <w:r/>
      <w:bookmarkEnd w:id="95"/>
      <w:r/>
      <w:bookmarkEnd w:id="96"/>
      <w:r/>
      <w:bookmarkEnd w:id="97"/>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8" w:name="_Toc513029219"/>
      <w:r/>
      <w:bookmarkStart w:id="99" w:name="_Toc49090509"/>
      <w:r/>
      <w:bookmarkStart w:id="100" w:name="_Toc49090507"/>
      <w:r/>
      <w:bookmarkStart w:id="101" w:name="_Toc14577354"/>
      <w:r/>
      <w:bookmarkStart w:id="102" w:name="_Toc49090508"/>
      <w:r/>
      <w:bookmarkStart w:id="103" w:name="_Toc513029216"/>
      <w:r/>
      <w:bookmarkStart w:id="104" w:name="_Toc14577355"/>
      <w:r/>
      <w:bookmarkStart w:id="105" w:name="_Toc14577357"/>
      <w:r>
        <w:rPr>
          <w:rFonts w:hint="eastAsia" w:ascii="宋体" w:hAnsi="宋体" w:eastAsia="宋体" w:cs="宋体"/>
          <w:color w:val="000000"/>
          <w:sz w:val="24"/>
          <w:szCs w:val="24"/>
          <w:highlight w:val="none"/>
        </w:rPr>
        <w:t xml:space="preserve">11、证明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及投标标的符合招标文件规定的文件</w:t>
      </w:r>
      <w:bookmarkEnd w:id="98"/>
      <w:r/>
      <w:bookmarkEnd w:id="99"/>
      <w:r/>
      <w:bookmarkEnd w:id="100"/>
      <w:r/>
      <w:bookmarkEnd w:id="101"/>
      <w:r/>
      <w:bookmarkEnd w:id="102"/>
      <w:r/>
      <w:bookmarkEnd w:id="103"/>
      <w:r/>
      <w:bookmarkEnd w:id="104"/>
      <w:r/>
      <w:bookmarkEnd w:id="105"/>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应按照招标文件要求提交证明文件，证明其及投标标的符合招标文件规定。</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应按照招标文件规定格式填报投标分项报价表。</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59"/>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59"/>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需对招标文件中的技术要求与商务要求逐项作出响应或偏离，并说明原因。</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可在投标文件中提供认为需要的其他技术文件或说明。</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需根据招标文件要求提供培训计划。</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需根据招标文件要求提供所投标的的主要组成部分、功能设计、实现思路及关键技术等。</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6" w:name="_Toc14577359"/>
      <w:r/>
      <w:bookmarkStart w:id="107" w:name="_Toc49090510"/>
      <w:r>
        <w:rPr>
          <w:rFonts w:hint="eastAsia" w:ascii="宋体" w:hAnsi="宋体" w:eastAsia="宋体" w:cs="宋体"/>
          <w:color w:val="000000"/>
          <w:sz w:val="24"/>
          <w:szCs w:val="24"/>
          <w:highlight w:val="none"/>
        </w:rPr>
        <w:t xml:space="preserve">15、投标函和开标一览表</w:t>
      </w:r>
      <w:bookmarkEnd w:id="106"/>
      <w:r/>
      <w:bookmarkEnd w:id="107"/>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应按照招标文件中提供的格式完整、正确填写投标函、开标一览表。</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8" w:name="_Toc14577360"/>
      <w:r/>
      <w:bookmarkStart w:id="109" w:name="_Toc49090511"/>
      <w:r>
        <w:rPr>
          <w:rFonts w:hint="eastAsia" w:ascii="宋体" w:hAnsi="宋体" w:eastAsia="宋体" w:cs="宋体"/>
          <w:color w:val="000000"/>
          <w:sz w:val="24"/>
          <w:szCs w:val="24"/>
          <w:highlight w:val="none"/>
        </w:rPr>
        <w:t xml:space="preserve">16、投标有效期</w:t>
      </w:r>
      <w:bookmarkEnd w:id="108"/>
      <w:r/>
      <w:bookmarkEnd w:id="109"/>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提出延长投标有效期的要求。这种要求与答复均应采用书面形式。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0" w:name="_Toc16938540"/>
      <w:r/>
      <w:bookmarkStart w:id="111" w:name="_Toc20823296"/>
      <w:r/>
      <w:bookmarkStart w:id="112" w:name="_Toc513029224"/>
      <w:r/>
      <w:bookmarkStart w:id="113" w:name="_Toc120614217"/>
      <w:r>
        <w:rPr>
          <w:rFonts w:hint="eastAsia" w:ascii="宋体" w:hAnsi="宋体" w:eastAsia="宋体" w:cs="宋体"/>
          <w:b/>
          <w:color w:val="000000"/>
          <w:sz w:val="24"/>
          <w:szCs w:val="24"/>
          <w:highlight w:val="none"/>
        </w:rPr>
        <w:t xml:space="preserve">四、投标文件的递交</w:t>
      </w:r>
      <w:bookmarkEnd w:id="110"/>
      <w:r/>
      <w:bookmarkEnd w:id="111"/>
      <w:r/>
      <w:bookmarkEnd w:id="112"/>
      <w:r/>
      <w:bookmarkEnd w:id="113"/>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4" w:name="_Toc16938541"/>
      <w:r/>
      <w:bookmarkStart w:id="115" w:name="_Toc20823297"/>
      <w:r/>
      <w:bookmarkStart w:id="116" w:name="_Toc513029225"/>
      <w:r/>
      <w:bookmarkStart w:id="117" w:name="_Toc462564084"/>
      <w:r>
        <w:rPr>
          <w:rFonts w:hint="eastAsia" w:ascii="宋体" w:hAnsi="宋体" w:eastAsia="宋体" w:cs="宋体"/>
          <w:color w:val="000000"/>
          <w:sz w:val="24"/>
          <w:szCs w:val="24"/>
          <w:highlight w:val="none"/>
        </w:rPr>
        <w:t xml:space="preserve">18、电子投标文件</w:t>
      </w:r>
      <w:bookmarkEnd w:id="114"/>
      <w:r/>
      <w:bookmarkEnd w:id="115"/>
      <w:r/>
      <w:bookmarkEnd w:id="116"/>
      <w:r/>
      <w:bookmarkEnd w:id="117"/>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应当按照《操作手册》规定，在投标截止时间前制作并上传电子投标文件。</w:t>
      </w:r>
      <w:bookmarkStart w:id="118" w:name="_Toc20823298"/>
      <w:r/>
      <w:bookmarkEnd w:id="118"/>
      <w:r/>
      <w:bookmarkStart w:id="119" w:name="_Toc16938542"/>
      <w:r/>
      <w:bookmarkEnd w:id="119"/>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w:t>
      </w:r>
      <w:r>
        <w:rPr>
          <w:rFonts w:hint="eastAsia" w:ascii="宋体" w:hAnsi="宋体" w:eastAsia="宋体" w:cs="宋体"/>
          <w:i/>
          <w:color w:val="000000"/>
          <w:sz w:val="24"/>
          <w:szCs w:val="24"/>
          <w:highlight w:val="none"/>
          <w:u w:val="single"/>
          <w:lang w:eastAsia="zh-CN"/>
        </w:rPr>
        <w:t xml:space="preserve">供应商</w:t>
      </w:r>
      <w:r>
        <w:rPr>
          <w:rFonts w:hint="eastAsia" w:ascii="宋体" w:hAnsi="宋体" w:eastAsia="宋体" w:cs="宋体"/>
          <w:i/>
          <w:color w:val="000000"/>
          <w:sz w:val="24"/>
          <w:szCs w:val="24"/>
          <w:highlight w:val="none"/>
          <w:u w:val="single"/>
        </w:rPr>
        <w:t xml:space="preserve">上传电子投标文件的时间不得迟于招标公告中规定的投标截止时间。</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应充分考虑到网络环境、网络带宽等风险因素，如因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的所有权利和义务以及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受制的截止日期均应以延长后新的截止日期为准。</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0" w:name="_Toc20823299"/>
      <w:r/>
      <w:bookmarkStart w:id="121" w:name="_Toc16938543"/>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可在投标截止时间前，撤回其电子投标文件，具体操作方法见《操作手册》。</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可在投标截止时间前，对其电子投标文件进行修改，具体操作方法见《操作手册》。</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不得对其电子投标文件作任何修改。</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不得撤回其投标。</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6" w:name="_Toc120614218"/>
      <w:r/>
      <w:bookmarkStart w:id="127" w:name="_Toc20823301"/>
      <w:r/>
      <w:bookmarkStart w:id="128" w:name="_Toc513029229"/>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0" w:name="_Toc20823302"/>
      <w:r/>
      <w:bookmarkStart w:id="131" w:name="_Toc16938546"/>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名称和投标价格。</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3" w:name="_Toc513029231"/>
      <w:r/>
      <w:bookmarkStart w:id="134" w:name="_Toc20823303"/>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均不得向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或与评标无关的其他人员透露。</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不得以任何行为影响评标过程，否则其投标文件将被作为无效投标文件。</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和评标委员会不向未中标的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6" w:name="_Toc20823304"/>
      <w:r/>
      <w:bookmarkStart w:id="137" w:name="_Toc513029232"/>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39" w:name="_Toc513029233"/>
      <w:r/>
      <w:bookmarkStart w:id="140" w:name="_Toc16938549"/>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bookmarkEnd w:id="139"/>
      <w:r/>
      <w:bookmarkEnd w:id="140"/>
      <w:r/>
      <w:bookmarkEnd w:id="141"/>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都做澄清要求。</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是否具备投标资格,查询结果留存并归档。</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的义务，纠正这些偏离或保留将会对其他实质性响应要求的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，调整后的价格应对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不接受修正后的价格，则其投标将被拒绝。</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，其他投标无效。</w:t>
      </w:r>
      <w:bookmarkEnd w:id="142"/>
      <w:r/>
      <w:bookmarkEnd w:id="143"/>
      <w:r/>
      <w:bookmarkEnd w:id="144"/>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不作为中标候选人。</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提供的核心产品品牌相同的，按前两款规定处理。</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45" w:name="_Toc20823307"/>
      <w:r/>
      <w:bookmarkStart w:id="146" w:name="_Toc513029235"/>
      <w:r/>
      <w:bookmarkStart w:id="147" w:name="_Toc16938551"/>
      <w:r>
        <w:rPr>
          <w:rFonts w:hint="eastAsia" w:ascii="宋体" w:hAnsi="宋体" w:eastAsia="宋体" w:cs="宋体"/>
          <w:color w:val="000000"/>
          <w:sz w:val="24"/>
          <w:szCs w:val="24"/>
          <w:highlight w:val="none"/>
        </w:rPr>
        <w:t xml:space="preserve">27.1无效投标条款</w:t>
      </w:r>
      <w:bookmarkEnd w:id="145"/>
      <w:r/>
      <w:bookmarkEnd w:id="146"/>
      <w:r/>
      <w:bookmarkEnd w:id="147"/>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在苏采云系统规定的时间内未成功解密电子投标文件的。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未按照招标文件要求上传电子投标文件的。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提交两个（含两个）以上不同的投标报价的。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不具备招标文件中规定资格要求的。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的报价超过了采购预算或最高限价的。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存在其他不符合《中华人民共和国政府采购法》第二十二条规定条件的信用记录。</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27.1.10投标人不能证明其报价合理性的，评标委员会应当将其作为无效投标处理。</w:t>
      </w:r>
      <w:r>
        <w:rPr>
          <w:rFonts w:ascii="宋体" w:hAnsi="宋体" w:eastAsia="宋体" w:cs="宋体"/>
          <w:color w:val="000000"/>
          <w:sz w:val="24"/>
          <w:szCs w:val="24"/>
          <w:highlight w:val="none"/>
          <w:lang w:val="en-US" w:eastAsia="zh-CN"/>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4"/>
          <w:szCs w:val="24"/>
          <w:highlight w:val="none"/>
          <w:lang w:val="en-US" w:eastAsia="zh-CN" w:bidi="ar-SA"/>
        </w:rPr>
      </w:r>
      <w:r/>
    </w:p>
    <w:p>
      <w:pPr>
        <w:pStyle w:val="659"/>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ff0000"/>
          <w:sz w:val="24"/>
          <w:szCs w:val="24"/>
          <w:highlight w:val="none"/>
          <w:lang w:val="en-US" w:eastAsia="zh-CN" w:bidi="ar-SA"/>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9" w:name="_Toc513029238"/>
      <w:r/>
      <w:bookmarkStart w:id="150" w:name="_Toc20823310"/>
      <w:r/>
      <w:bookmarkStart w:id="151" w:name="_Toc16938554"/>
      <w:r>
        <w:rPr>
          <w:rFonts w:hint="eastAsia" w:ascii="宋体" w:hAnsi="宋体" w:eastAsia="宋体" w:cs="宋体"/>
          <w:color w:val="000000"/>
          <w:sz w:val="24"/>
          <w:szCs w:val="24"/>
          <w:highlight w:val="none"/>
        </w:rPr>
        <w:t xml:space="preserve">28、</w:t>
      </w:r>
      <w:bookmarkEnd w:id="150"/>
      <w:r>
        <w:rPr>
          <w:rFonts w:hint="eastAsia" w:ascii="宋体" w:hAnsi="宋体" w:eastAsia="宋体" w:cs="宋体"/>
          <w:color w:val="000000"/>
          <w:sz w:val="24"/>
          <w:szCs w:val="24"/>
          <w:highlight w:val="none"/>
        </w:rPr>
        <w:t xml:space="preserve">确定</w:t>
      </w:r>
      <w:bookmarkEnd w:id="149"/>
      <w:r/>
      <w:bookmarkEnd w:id="151"/>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串通投标，投标无效：</w:t>
      </w:r>
      <w:bookmarkEnd w:id="152"/>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采购人及招标代理机构只接收以纸质原件形式送达的质疑,采购人和招标代理机构不接受未填写快递运单的快件。联系地址及联系方式同招标公告。</w:t>
      </w:r>
      <w:r>
        <w:rPr>
          <w:rFonts w:hint="eastAsia" w:ascii="宋体" w:hAnsi="宋体" w:eastAsia="宋体" w:cs="宋体"/>
          <w:color w:val="000000"/>
          <w:sz w:val="24"/>
          <w:szCs w:val="24"/>
          <w:highlight w:val="none"/>
          <w:lang w:val="en-US" w:eastAsia="zh-CN"/>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59"/>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3" w:name="_Toc513029236"/>
      <w:r/>
      <w:bookmarkStart w:id="154" w:name="_Toc20823308"/>
      <w:r/>
      <w:bookmarkStart w:id="155" w:name="_Toc16938552"/>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Pr>
          <w:rFonts w:hint="eastAsia" w:ascii="宋体" w:hAnsi="宋体" w:eastAsia="宋体" w:cs="宋体"/>
          <w:sz w:val="24"/>
          <w:szCs w:val="24"/>
          <w:highlight w:val="none"/>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7" w:name="_Toc16938553"/>
      <w:r/>
      <w:bookmarkStart w:id="158" w:name="_Toc513029237"/>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59"/>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59"/>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59"/>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注：本项目投标单位投标时无需提供上述相关认证证书。</w:t>
      </w:r>
      <w:r>
        <w:rPr>
          <w:rFonts w:hint="eastAsia" w:ascii="宋体" w:hAnsi="宋体" w:eastAsia="宋体" w:cs="宋体"/>
          <w:color w:val="ff0000"/>
          <w:sz w:val="24"/>
          <w:szCs w:val="24"/>
          <w:highlight w:val="none"/>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41"/>
        <w:ind w:left="0" w:right="0" w:firstLine="480"/>
        <w:jc w:val="both"/>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41"/>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rPr>
          <w:rFonts w:hint="eastAsia" w:ascii="宋体" w:hAnsi="宋体" w:eastAsia="宋体" w:cs="宋体"/>
          <w:b/>
          <w:bCs/>
          <w:color w:val="ff0000"/>
          <w:sz w:val="24"/>
          <w:szCs w:val="24"/>
          <w:highlight w:val="none"/>
          <w:lang w:val="en-US" w:eastAsia="zh-CN" w:bidi="ar-SA"/>
        </w:rPr>
      </w:r>
      <w:r/>
    </w:p>
    <w:p>
      <w:pPr>
        <w:pStyle w:val="641"/>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ff0000"/>
          <w:sz w:val="24"/>
          <w:szCs w:val="24"/>
          <w:highlight w:val="none"/>
          <w:lang w:val="en-US" w:eastAsia="zh-CN" w:bidi="ar-SA"/>
        </w:rPr>
      </w:r>
      <w:r/>
    </w:p>
    <w:p>
      <w:pPr>
        <w:pStyle w:val="641"/>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4"/>
          <w:szCs w:val="24"/>
          <w:highlight w:val="none"/>
          <w:lang w:val="en-US" w:eastAsia="zh-CN" w:bidi="ar-SA"/>
        </w:rPr>
      </w:r>
      <w:r/>
    </w:p>
    <w:p>
      <w:pPr>
        <w:pStyle w:val="641"/>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ff0000"/>
          <w:sz w:val="24"/>
          <w:szCs w:val="24"/>
          <w:highlight w:val="none"/>
          <w:lang w:val="en-US" w:eastAsia="zh-CN" w:bidi="ar-SA"/>
        </w:rPr>
      </w:r>
      <w:r/>
    </w:p>
    <w:p>
      <w:pPr>
        <w:pStyle w:val="641"/>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2）履约保证金用以约束成交供应商在合同履行中的行为，弥补合同执行中由于自身行为可能给采购人带来的各种损失。</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3）履约保证金的退还：</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①方式：无息退还至投标人缴纳履约保证金的账户。如为保函，在到期时自行失效。</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②时间：验收合格且采购人收到发票后30日内。</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③条件：按合同要求全部履约完成并经采购人验收合格，且采购人收到成交供应商出具的发票。</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④不予退还情形：</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（1）成交供应商无正当理由拒绝签订合同的，或者在签订合同时向采购人提出附加条件或者更改合同实质性内容要求的；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（2）成交供应商不履行与采购人订立的合同的；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（3）成交供应商所供货物或服务不符合招标文件规定要求的；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（4）成交供应商采取欺骗、弄虚作假方式投标的或与其它投标人串通投标的；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（5）成交供应商将合同内容转包、违法分包的；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（6）成交供应商故意捏造事实或伪造证明材料，进行虚假恶意投诉或反映的。</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highlight w:val="none"/>
          <w:lang w:val="en-US" w:eastAsia="zh-CN" w:bidi="ar-SA"/>
        </w:rPr>
      </w:r>
      <w:r/>
    </w:p>
    <w:p>
      <w:pPr>
        <w:pStyle w:val="641"/>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41"/>
        <w:ind w:firstLine="48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41"/>
        <w:jc w:val="both"/>
        <w:spacing w:line="360" w:lineRule="auto"/>
        <w:widowControl/>
        <w:rPr>
          <w:sz w:val="36"/>
          <w:szCs w:val="44"/>
          <w:highlight w:val="none"/>
        </w:rPr>
      </w:pPr>
      <w:r/>
      <w:bookmarkStart w:id="160" w:name="_Toc20823346"/>
      <w:r/>
      <w:bookmarkStart w:id="161" w:name="_Toc479757211"/>
      <w:r/>
      <w:bookmarkStart w:id="162" w:name="_Toc120614244"/>
      <w:r/>
      <w:bookmarkStart w:id="163" w:name="_Toc16938590"/>
      <w:r/>
      <w:bookmarkStart w:id="164" w:name="_Hlt16619350"/>
      <w:r/>
      <w:bookmarkStart w:id="165" w:name="_Toc462564139"/>
      <w:r/>
      <w:bookmarkStart w:id="166" w:name="_Hlt16619369"/>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both"/>
        <w:spacing w:line="360" w:lineRule="auto"/>
        <w:widowControl/>
        <w:rPr>
          <w:sz w:val="36"/>
          <w:szCs w:val="44"/>
          <w:highlight w:val="none"/>
        </w:rPr>
      </w:pPr>
      <w:r>
        <w:rPr>
          <w:sz w:val="36"/>
          <w:szCs w:val="44"/>
          <w:highlight w:val="none"/>
        </w:rPr>
      </w:r>
      <w:r/>
    </w:p>
    <w:p>
      <w:pPr>
        <w:pStyle w:val="641"/>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rPr>
          <w:rFonts w:ascii="宋体" w:hAnsi="宋体" w:cs="宋体"/>
          <w:b/>
          <w:sz w:val="48"/>
          <w:szCs w:val="44"/>
          <w:highlight w:val="none"/>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本合同是依照中华人民共和国民法典等法律法规签订,</w:t>
      </w:r>
      <w:r>
        <w:rPr>
          <w:rFonts w:hint="eastAsia" w:ascii="宋体" w:hAnsi="宋体" w:eastAsia="宋体" w:cs="宋体"/>
          <w:color w:val="000000"/>
          <w:sz w:val="24"/>
          <w:u w:val="single"/>
          <w:lang w:val="en-US" w:eastAsia="zh-CN"/>
        </w:rPr>
        <w:t xml:space="preserve">江苏盐城国家级珍禽自然保护区管理处</w:t>
      </w:r>
      <w:r>
        <w:rPr>
          <w:rFonts w:ascii="宋体" w:hAnsi="宋体" w:eastAsia="宋体" w:cs="宋体"/>
          <w:color w:val="000000"/>
          <w:sz w:val="24"/>
        </w:rPr>
        <w:t xml:space="preserve">为发包人(甲方)，</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为承包人（乙方），双方在</w:t>
      </w:r>
      <w:r>
        <w:rPr>
          <w:rFonts w:hint="eastAsia" w:ascii="宋体" w:hAnsi="宋体" w:eastAsia="宋体" w:cs="宋体"/>
          <w:color w:val="000000"/>
          <w:sz w:val="24"/>
          <w:u w:val="single"/>
        </w:rPr>
        <w:t xml:space="preserve">江苏盐城国家级珍禽自然保护区管理处</w:t>
      </w:r>
      <w:r>
        <w:rPr>
          <w:rFonts w:ascii="宋体" w:hAnsi="宋体" w:eastAsia="宋体" w:cs="宋体"/>
          <w:color w:val="000000"/>
          <w:sz w:val="24"/>
        </w:rPr>
        <w:t xml:space="preserve">本着平等互利、诚实信用、友好协商的原则签订本合同。</w:t>
      </w:r>
      <w:r/>
    </w:p>
    <w:p>
      <w:pPr>
        <w:pStyle w:val="641"/>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根据本合同，乙方同意按合同规定条款建造</w:t>
      </w:r>
      <w:r>
        <w:rPr>
          <w:rFonts w:ascii="宋体" w:hAnsi="宋体" w:eastAsia="宋体" w:cs="宋体"/>
          <w:color w:val="000000"/>
          <w:sz w:val="24"/>
          <w:u w:val="single"/>
        </w:rPr>
        <w:t xml:space="preserve">1</w:t>
      </w:r>
      <w:r>
        <w:rPr>
          <w:rFonts w:ascii="宋体" w:hAnsi="宋体" w:eastAsia="宋体" w:cs="宋体"/>
          <w:color w:val="000000"/>
          <w:sz w:val="24"/>
        </w:rPr>
        <w:t xml:space="preserve">艘(下称该船)，甲方同意按合同规定条款向乙方付款和接收该船。</w:t>
      </w:r>
      <w:r/>
    </w:p>
    <w:p>
      <w:pPr>
        <w:pStyle w:val="641"/>
        <w:numPr>
          <w:ilvl w:val="0"/>
          <w:numId w:val="1"/>
        </w:numPr>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技术规格和船级</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1、建造依据</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乙方按下述规范、规则、标准和认可的技术文件建造。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（1）适合本项目的中华人民共和国国家标准；</w:t>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中国海事局《公务船技术规则》 (2020)</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中国海事局《国内航行海船法定检验技术规则》（2020）及其修改通报（2022）</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中国海事局《吨位丈量规则》（2022）</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中国船级社《海上公务船船体结构指南》(2021)</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中国船级社《国内航行海船建造规范》（2025）</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中国船级社《材料与焊接规范》(2025)</w:t>
      </w:r>
      <w:r>
        <w:rPr>
          <w:rFonts w:ascii="宋体" w:hAnsi="宋体" w:eastAsia="宋体" w:cs="宋体"/>
          <w:color w:val="000000"/>
          <w:sz w:val="24"/>
        </w:rPr>
        <w:t xml:space="preserve">；</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其它相关的“规范 ”、“规则 ”、“标准”及指导性文件</w:t>
      </w:r>
      <w:r>
        <w:rPr>
          <w:rFonts w:ascii="宋体" w:hAnsi="宋体" w:eastAsia="宋体" w:cs="宋体"/>
          <w:color w:val="000000"/>
          <w:sz w:val="24"/>
        </w:rPr>
        <w:t xml:space="preserve">；</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）甲方提供的依据现行规范及相关船用标准针对本船艇指定的船、机、电制造安装精度（工艺）标准及试验、验收要求；</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10</w:t>
      </w:r>
      <w:r>
        <w:rPr>
          <w:rFonts w:ascii="宋体" w:hAnsi="宋体" w:eastAsia="宋体" w:cs="宋体"/>
          <w:color w:val="000000"/>
          <w:sz w:val="24"/>
        </w:rPr>
        <w:t xml:space="preserve">）经船检批准的图纸和技术文件、双方共同认可的厂商表，设备订货明细表。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2、主要规格</w:t>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最大船长</w:t>
      </w:r>
      <w:r>
        <w:rPr>
          <w:rFonts w:hint="eastAsia" w:ascii="宋体" w:hAnsi="宋体" w:eastAsia="宋体" w:cs="宋体"/>
          <w:color w:val="000000"/>
          <w:sz w:val="24"/>
        </w:rPr>
        <w:tab/>
      </w:r>
      <w:r>
        <w:rPr>
          <w:rFonts w:hint="eastAsia" w:ascii="宋体" w:hAnsi="宋体" w:eastAsia="宋体" w:cs="宋体"/>
          <w:color w:val="000000"/>
          <w:sz w:val="24"/>
        </w:rPr>
        <w:t xml:space="preserve">LE</w:t>
      </w:r>
      <w:r>
        <w:rPr>
          <w:rFonts w:hint="eastAsia" w:ascii="宋体" w:hAnsi="宋体" w:eastAsia="宋体" w:cs="宋体"/>
          <w:color w:val="000000"/>
          <w:sz w:val="24"/>
        </w:rPr>
        <w:tab/>
      </w:r>
      <w:r>
        <w:rPr>
          <w:rFonts w:hint="eastAsia" w:ascii="宋体" w:hAnsi="宋体" w:eastAsia="宋体" w:cs="宋体"/>
          <w:color w:val="000000"/>
          <w:sz w:val="24"/>
        </w:rPr>
        <w:t xml:space="preserve">47.80m （含舷墙及艉压浪板）</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    长</w:t>
      </w:r>
      <w:r>
        <w:rPr>
          <w:rFonts w:hint="eastAsia" w:ascii="宋体" w:hAnsi="宋体" w:eastAsia="宋体" w:cs="宋体"/>
          <w:color w:val="000000"/>
          <w:sz w:val="24"/>
        </w:rPr>
        <w:tab/>
      </w:r>
      <w:r>
        <w:rPr>
          <w:rFonts w:hint="eastAsia" w:ascii="宋体" w:hAnsi="宋体" w:eastAsia="宋体" w:cs="宋体"/>
          <w:color w:val="000000"/>
          <w:sz w:val="24"/>
        </w:rPr>
        <w:t xml:space="preserve">Loa</w:t>
      </w:r>
      <w:r>
        <w:rPr>
          <w:rFonts w:hint="eastAsia" w:ascii="宋体" w:hAnsi="宋体" w:eastAsia="宋体" w:cs="宋体"/>
          <w:color w:val="000000"/>
          <w:sz w:val="24"/>
        </w:rPr>
        <w:tab/>
      </w:r>
      <w:r>
        <w:rPr>
          <w:rFonts w:hint="eastAsia" w:ascii="宋体" w:hAnsi="宋体" w:eastAsia="宋体" w:cs="宋体"/>
          <w:color w:val="000000"/>
          <w:sz w:val="24"/>
        </w:rPr>
        <w:t xml:space="preserve">46.48m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船    长</w:t>
      </w:r>
      <w:r>
        <w:rPr>
          <w:rFonts w:hint="eastAsia" w:ascii="宋体" w:hAnsi="宋体" w:eastAsia="宋体" w:cs="宋体"/>
          <w:color w:val="000000"/>
          <w:sz w:val="24"/>
        </w:rPr>
        <w:tab/>
      </w:r>
      <w:r>
        <w:rPr>
          <w:rFonts w:hint="eastAsia" w:ascii="宋体" w:hAnsi="宋体" w:eastAsia="宋体" w:cs="宋体"/>
          <w:color w:val="000000"/>
          <w:sz w:val="24"/>
        </w:rPr>
        <w:t xml:space="preserve">L</w:t>
      </w:r>
      <w:r>
        <w:rPr>
          <w:rFonts w:hint="eastAsia" w:ascii="宋体" w:hAnsi="宋体" w:eastAsia="宋体" w:cs="宋体"/>
          <w:color w:val="000000"/>
          <w:sz w:val="24"/>
        </w:rPr>
        <w:tab/>
      </w:r>
      <w:r>
        <w:rPr>
          <w:rFonts w:hint="eastAsia" w:ascii="宋体" w:hAnsi="宋体" w:eastAsia="宋体" w:cs="宋体"/>
          <w:color w:val="000000"/>
          <w:sz w:val="24"/>
        </w:rPr>
        <w:t xml:space="preserve">43.70m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满载水线长</w:t>
      </w:r>
      <w:r>
        <w:rPr>
          <w:rFonts w:hint="eastAsia" w:ascii="宋体" w:hAnsi="宋体" w:eastAsia="宋体" w:cs="宋体"/>
          <w:color w:val="000000"/>
          <w:sz w:val="24"/>
        </w:rPr>
        <w:tab/>
      </w:r>
      <w:r>
        <w:rPr>
          <w:rFonts w:hint="eastAsia" w:ascii="宋体" w:hAnsi="宋体" w:eastAsia="宋体" w:cs="宋体"/>
          <w:color w:val="000000"/>
          <w:sz w:val="24"/>
        </w:rPr>
        <w:t xml:space="preserve">Ls</w:t>
      </w:r>
      <w:r>
        <w:rPr>
          <w:rFonts w:hint="eastAsia" w:ascii="宋体" w:hAnsi="宋体" w:eastAsia="宋体" w:cs="宋体"/>
          <w:color w:val="000000"/>
          <w:sz w:val="24"/>
        </w:rPr>
        <w:tab/>
      </w:r>
      <w:r>
        <w:rPr>
          <w:rFonts w:hint="eastAsia" w:ascii="宋体" w:hAnsi="宋体" w:eastAsia="宋体" w:cs="宋体"/>
          <w:color w:val="000000"/>
          <w:sz w:val="24"/>
        </w:rPr>
        <w:t xml:space="preserve">44.60m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垂线间长</w:t>
      </w:r>
      <w:r>
        <w:rPr>
          <w:rFonts w:hint="eastAsia" w:ascii="宋体" w:hAnsi="宋体" w:eastAsia="宋体" w:cs="宋体"/>
          <w:color w:val="000000"/>
          <w:sz w:val="24"/>
        </w:rPr>
        <w:tab/>
      </w:r>
      <w:r>
        <w:rPr>
          <w:rFonts w:hint="eastAsia" w:ascii="宋体" w:hAnsi="宋体" w:eastAsia="宋体" w:cs="宋体"/>
          <w:color w:val="000000"/>
          <w:sz w:val="24"/>
        </w:rPr>
        <w:t xml:space="preserve">Lpp</w:t>
      </w:r>
      <w:r>
        <w:rPr>
          <w:rFonts w:hint="eastAsia" w:ascii="宋体" w:hAnsi="宋体" w:eastAsia="宋体" w:cs="宋体"/>
          <w:color w:val="000000"/>
          <w:sz w:val="24"/>
        </w:rPr>
        <w:tab/>
      </w:r>
      <w:r>
        <w:rPr>
          <w:rFonts w:hint="eastAsia" w:ascii="宋体" w:hAnsi="宋体" w:eastAsia="宋体" w:cs="宋体"/>
          <w:color w:val="000000"/>
          <w:sz w:val="24"/>
        </w:rPr>
        <w:t xml:space="preserve">43.00m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    宽</w:t>
      </w:r>
      <w:r>
        <w:rPr>
          <w:rFonts w:hint="eastAsia" w:ascii="宋体" w:hAnsi="宋体" w:eastAsia="宋体" w:cs="宋体"/>
          <w:color w:val="000000"/>
          <w:sz w:val="24"/>
        </w:rPr>
        <w:tab/>
      </w:r>
      <w:r>
        <w:rPr>
          <w:rFonts w:hint="eastAsia" w:ascii="宋体" w:hAnsi="宋体" w:eastAsia="宋体" w:cs="宋体"/>
          <w:color w:val="000000"/>
          <w:sz w:val="24"/>
        </w:rPr>
        <w:t xml:space="preserve">Bmax</w:t>
      </w:r>
      <w:r>
        <w:rPr>
          <w:rFonts w:hint="eastAsia" w:ascii="宋体" w:hAnsi="宋体" w:eastAsia="宋体" w:cs="宋体"/>
          <w:color w:val="000000"/>
          <w:sz w:val="24"/>
        </w:rPr>
        <w:tab/>
      </w:r>
      <w:r>
        <w:rPr>
          <w:rFonts w:hint="eastAsia" w:ascii="宋体" w:hAnsi="宋体" w:eastAsia="宋体" w:cs="宋体"/>
          <w:color w:val="000000"/>
          <w:sz w:val="24"/>
        </w:rPr>
        <w:t xml:space="preserve">8.60m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型    宽</w:t>
      </w:r>
      <w:r>
        <w:rPr>
          <w:rFonts w:hint="eastAsia" w:ascii="宋体" w:hAnsi="宋体" w:eastAsia="宋体" w:cs="宋体"/>
          <w:color w:val="000000"/>
          <w:sz w:val="24"/>
        </w:rPr>
        <w:tab/>
      </w:r>
      <w:r>
        <w:rPr>
          <w:rFonts w:hint="eastAsia" w:ascii="宋体" w:hAnsi="宋体" w:eastAsia="宋体" w:cs="宋体"/>
          <w:color w:val="000000"/>
          <w:sz w:val="24"/>
        </w:rPr>
        <w:t xml:space="preserve">B</w:t>
      </w:r>
      <w:r>
        <w:rPr>
          <w:rFonts w:hint="eastAsia" w:ascii="宋体" w:hAnsi="宋体" w:eastAsia="宋体" w:cs="宋体"/>
          <w:color w:val="000000"/>
          <w:sz w:val="24"/>
        </w:rPr>
        <w:tab/>
      </w:r>
      <w:r>
        <w:rPr>
          <w:rFonts w:hint="eastAsia" w:ascii="宋体" w:hAnsi="宋体" w:eastAsia="宋体" w:cs="宋体"/>
          <w:color w:val="000000"/>
          <w:sz w:val="24"/>
        </w:rPr>
        <w:t xml:space="preserve">8.20m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型    深</w:t>
      </w:r>
      <w:r>
        <w:rPr>
          <w:rFonts w:hint="eastAsia" w:ascii="宋体" w:hAnsi="宋体" w:eastAsia="宋体" w:cs="宋体"/>
          <w:color w:val="000000"/>
          <w:sz w:val="24"/>
        </w:rPr>
        <w:tab/>
      </w:r>
      <w:r>
        <w:rPr>
          <w:rFonts w:hint="eastAsia" w:ascii="宋体" w:hAnsi="宋体" w:eastAsia="宋体" w:cs="宋体"/>
          <w:color w:val="000000"/>
          <w:sz w:val="24"/>
        </w:rPr>
        <w:t xml:space="preserve">D</w:t>
      </w:r>
      <w:r>
        <w:rPr>
          <w:rFonts w:hint="eastAsia" w:ascii="宋体" w:hAnsi="宋体" w:eastAsia="宋体" w:cs="宋体"/>
          <w:color w:val="000000"/>
          <w:sz w:val="24"/>
        </w:rPr>
        <w:tab/>
      </w:r>
      <w:r>
        <w:rPr>
          <w:rFonts w:hint="eastAsia" w:ascii="宋体" w:hAnsi="宋体" w:eastAsia="宋体" w:cs="宋体"/>
          <w:color w:val="000000"/>
          <w:sz w:val="24"/>
        </w:rPr>
        <w:t xml:space="preserve">3.80m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吃    水</w:t>
      </w:r>
      <w:r>
        <w:rPr>
          <w:rFonts w:hint="eastAsia" w:ascii="宋体" w:hAnsi="宋体" w:eastAsia="宋体" w:cs="宋体"/>
          <w:color w:val="000000"/>
          <w:sz w:val="24"/>
        </w:rPr>
        <w:tab/>
      </w:r>
      <w:r>
        <w:rPr>
          <w:rFonts w:hint="eastAsia" w:ascii="宋体" w:hAnsi="宋体" w:eastAsia="宋体" w:cs="宋体"/>
          <w:color w:val="000000"/>
          <w:sz w:val="24"/>
        </w:rPr>
        <w:t xml:space="preserve">d</w:t>
      </w:r>
      <w:r>
        <w:rPr>
          <w:rFonts w:hint="eastAsia" w:ascii="宋体" w:hAnsi="宋体" w:eastAsia="宋体" w:cs="宋体"/>
          <w:color w:val="000000"/>
          <w:sz w:val="24"/>
        </w:rPr>
        <w:tab/>
      </w:r>
      <w:r>
        <w:rPr>
          <w:rFonts w:hint="eastAsia" w:ascii="宋体" w:hAnsi="宋体" w:eastAsia="宋体" w:cs="宋体"/>
          <w:color w:val="000000"/>
          <w:sz w:val="24"/>
        </w:rPr>
        <w:t xml:space="preserve">2.30m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肋    距  s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0.50m</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本船最大船员人数为 11 人，搭乘工作人员 9 人。</w:t>
      </w:r>
      <w:r/>
    </w:p>
    <w:p>
      <w:pPr>
        <w:pStyle w:val="641"/>
        <w:ind w:left="0" w:right="0" w:firstLine="480"/>
        <w:jc w:val="both"/>
        <w:keepLines w:val="0"/>
        <w:keepNext w:val="0"/>
        <w:pageBreakBefore w:val="0"/>
        <w:spacing w:before="0" w:after="0" w:line="360" w:lineRule="auto"/>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w:t>
      </w:r>
      <w:r>
        <w:rPr>
          <w:rFonts w:hint="eastAsia" w:ascii="宋体" w:hAnsi="宋体" w:eastAsia="宋体" w:cs="宋体"/>
          <w:color w:val="ff0000"/>
          <w:sz w:val="24"/>
          <w:highlight w:val="none"/>
        </w:rPr>
        <w:t xml:space="preserve">本项目由乙方负责办理船舶登记证书</w:t>
      </w:r>
      <w:r>
        <w:rPr>
          <w:rFonts w:hint="eastAsia" w:ascii="宋体" w:hAnsi="宋体" w:eastAsia="宋体" w:cs="宋体"/>
          <w:color w:val="ff0000"/>
          <w:sz w:val="24"/>
          <w:highlight w:val="none"/>
          <w:lang w:eastAsia="zh-CN"/>
        </w:rPr>
        <w:t xml:space="preserve">、</w:t>
      </w:r>
      <w:r>
        <w:rPr>
          <w:rFonts w:hint="eastAsia" w:ascii="宋体" w:hAnsi="宋体" w:eastAsia="宋体" w:cs="宋体"/>
          <w:color w:val="ff0000"/>
          <w:sz w:val="24"/>
          <w:highlight w:val="none"/>
        </w:rPr>
        <w:t xml:space="preserve">本项目合同签订后由乙方负责图纸在当地审图</w:t>
      </w:r>
      <w:r>
        <w:rPr>
          <w:rFonts w:ascii="宋体" w:hAnsi="宋体" w:eastAsia="宋体" w:cs="宋体"/>
          <w:color w:val="ff0000"/>
          <w:sz w:val="24"/>
          <w:highlight w:val="none"/>
        </w:rPr>
        <w:t xml:space="preserve">,费用包括在合同价格内，由乙方支付。</w:t>
      </w:r>
      <w:r>
        <w:rPr>
          <w:color w:val="ff0000"/>
          <w:highlight w:val="none"/>
        </w:rPr>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 合同价格和支付条件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1、合同文件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下列文件是构成本合同不可分割的部分。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(1)本合同协议书及附件；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(2)中标通知书；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(3)投标书及其附表（含经甲方同意的中标人在评标期间递交的对有关问题的补充资料和澄淸文件等；如果有）；</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(4)招标文件的合同条款(含招标文件补遗书与此有关部分)；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(5)招标文件的技术规格及要求；</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(6)图纸；</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(7)招标文件的货物需求一览表；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(8)投标文件；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(9)构成本合同组成的其他文件。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上述文件将互相补充，若有不明确或不一致之处，以上列次序在先者为准。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2、合同范围和条件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本合同的范围和条件应与上述合同文件规定的内容相一致。</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投标人投标报价</w:t>
      </w:r>
      <w:r>
        <w:rPr>
          <w:rFonts w:hint="eastAsia" w:ascii="宋体" w:hAnsi="宋体" w:eastAsia="宋体" w:cs="宋体"/>
          <w:color w:val="000000"/>
          <w:sz w:val="24"/>
        </w:rPr>
        <w:t xml:space="preserve">包含但不限于货物（及附配件）的采购、制造、运输、安装、调试、系泊试验、试航、船检、交船、培训、验收、质保期内维保、售后服务、船舶登记证书办理相关费用、图审相关费用、专家咨询费、验收费、评审费等一切费用，具体内容及要求以招标文件规定为准，招标人保留调整部分工程量的权利。本项目由乙方负责办理船舶登记证书，本项目合同签订后由乙方负责图纸在当地审图。具体明细详见投标分项报价表及图纸。</w:t>
      </w:r>
      <w:r>
        <w:rPr>
          <w:rFonts w:ascii="宋体" w:hAnsi="宋体" w:eastAsia="宋体" w:cs="宋体"/>
          <w:color w:val="000000"/>
          <w:sz w:val="24"/>
        </w:rPr>
        <w:t xml:space="preserve">投标人在编制投标报价时应考虑价格上涨、政策性调整等一切因素，除设计图纸变更或合同另有规定外，投标人所报的单价和合价在合同实施期间不予调整。</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3、设备、材料数量及工期要求</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(1)本合同所提供的设备、材料及数量详见项目需求。</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(2)本船所用材料及设备应具有中国船检的型式认可证书或单件检验证书，订购设备开箱时应通知监理人员参加。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(3)本合同工程的工期：</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本合同工程的工期自本合同正式生效后且监理工程师签署认定开工令之日起计，为</w:t>
      </w:r>
      <w:r>
        <w:rPr>
          <w:rFonts w:hint="eastAsia" w:ascii="宋体" w:hAnsi="宋体" w:eastAsia="宋体" w:cs="宋体"/>
          <w:color w:val="000000"/>
          <w:sz w:val="24"/>
        </w:rPr>
        <w:t xml:space="preserve">12个月</w:t>
      </w:r>
      <w:r>
        <w:rPr>
          <w:rFonts w:ascii="宋体" w:hAnsi="宋体" w:eastAsia="宋体" w:cs="宋体"/>
          <w:color w:val="000000"/>
          <w:sz w:val="24"/>
        </w:rPr>
        <w:t xml:space="preserve">。</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4、合同金额、付款方式及履约担保</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(1)根据上述合同文件要求，合同的总价为</w:t>
      </w:r>
      <w:r>
        <w:rPr>
          <w:rFonts w:ascii="宋体" w:hAnsi="宋体" w:eastAsia="宋体" w:cs="宋体"/>
          <w:b/>
          <w:color w:val="000000"/>
          <w:sz w:val="24"/>
          <w:u w:val="single"/>
        </w:rPr>
        <w:t xml:space="preserve">         元人民币</w:t>
      </w:r>
      <w:r>
        <w:rPr>
          <w:rFonts w:ascii="宋体" w:hAnsi="宋体" w:eastAsia="宋体" w:cs="宋体"/>
          <w:color w:val="000000"/>
          <w:sz w:val="24"/>
        </w:rPr>
        <w:t xml:space="preserve">。</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(2)本合同根据工程进度按以下办法付款：</w:t>
      </w:r>
      <w:r/>
    </w:p>
    <w:p>
      <w:pPr>
        <w:pStyle w:val="641"/>
        <w:numPr>
          <w:ilvl w:val="0"/>
          <w:numId w:val="0"/>
        </w:numPr>
        <w:ind w:firstLine="480"/>
        <w:jc w:val="left"/>
        <w:keepLines w:val="0"/>
        <w:keepNext w:val="0"/>
        <w:pageBreakBefore w:val="0"/>
        <w:spacing w:line="360" w:lineRule="auto"/>
        <w:widowControl/>
        <w:rPr>
          <w:rFonts w:hint="eastAsia" w:ascii="宋体" w:hAnsi="宋体" w:eastAsia="Arial" w:cs="宋体"/>
          <w:color w:val="000000"/>
          <w:sz w:val="24"/>
          <w:highlight w:val="none"/>
          <w:u w:val="none"/>
        </w:rPr>
        <w:outlineLvl w:val="1"/>
      </w:pPr>
      <w:r>
        <w:rPr>
          <w:rFonts w:hint="eastAsia" w:ascii="宋体" w:hAnsi="宋体" w:eastAsia="Arial" w:cs="宋体"/>
          <w:color w:val="000000"/>
          <w:sz w:val="24"/>
          <w:highlight w:val="none"/>
          <w:u w:val="none"/>
        </w:rPr>
        <w:t xml:space="preserve">签订合同后，乙方向甲方开具合同总价30%的预付款担保手续(银行或保险公司的保函)，甲方在收到乙方出具的预付款担保手续之日后支付合同总价30%的预付款；</w:t>
      </w:r>
      <w:r>
        <w:rPr>
          <w:rFonts w:hint="eastAsia" w:ascii="宋体" w:hAnsi="宋体" w:eastAsia="宋体" w:cs="宋体"/>
          <w:color w:val="000000"/>
          <w:sz w:val="24"/>
          <w:highlight w:val="none"/>
          <w:u w:val="none"/>
          <w:lang w:val="en-US" w:eastAsia="zh-CN"/>
        </w:rPr>
        <w:t xml:space="preserve">船只下水后</w:t>
      </w:r>
      <w:r>
        <w:rPr>
          <w:rFonts w:hint="eastAsia" w:ascii="宋体" w:hAnsi="宋体" w:eastAsia="Arial" w:cs="宋体"/>
          <w:color w:val="000000"/>
          <w:sz w:val="24"/>
          <w:highlight w:val="none"/>
          <w:u w:val="none"/>
        </w:rPr>
        <w:t xml:space="preserve">支付至合同价的60%（乙方需提供下水报告）</w:t>
      </w:r>
      <w:r>
        <w:rPr>
          <w:rFonts w:hint="eastAsia" w:ascii="宋体" w:hAnsi="宋体" w:eastAsia="宋体" w:cs="宋体"/>
          <w:color w:val="000000"/>
          <w:sz w:val="24"/>
          <w:highlight w:val="none"/>
          <w:u w:val="none"/>
          <w:lang w:eastAsia="zh-CN"/>
        </w:rPr>
        <w:t xml:space="preserve">；</w:t>
      </w:r>
      <w:r>
        <w:rPr>
          <w:rFonts w:hint="eastAsia" w:ascii="宋体" w:hAnsi="宋体" w:eastAsia="Arial" w:cs="宋体"/>
          <w:color w:val="000000"/>
          <w:sz w:val="24"/>
          <w:highlight w:val="none"/>
          <w:u w:val="none"/>
        </w:rPr>
        <w:t xml:space="preserve">竣工验收后，乙方就验收中提出的问题整改完毕且交接完毕并提供船检证书及技术资料，待项目通过</w:t>
      </w:r>
      <w:r>
        <w:rPr>
          <w:rFonts w:hint="eastAsia" w:ascii="宋体" w:hAnsi="宋体" w:eastAsia="宋体" w:cs="宋体"/>
          <w:color w:val="000000"/>
          <w:sz w:val="24"/>
          <w:highlight w:val="none"/>
          <w:u w:val="none"/>
          <w:lang w:val="en-US" w:eastAsia="zh-CN"/>
        </w:rPr>
        <w:t xml:space="preserve">甲方委托的第三方</w:t>
      </w:r>
      <w:r>
        <w:rPr>
          <w:rFonts w:hint="eastAsia" w:ascii="宋体" w:hAnsi="宋体" w:eastAsia="Arial" w:cs="宋体"/>
          <w:color w:val="000000"/>
          <w:sz w:val="24"/>
          <w:highlight w:val="none"/>
          <w:u w:val="none"/>
        </w:rPr>
        <w:t xml:space="preserve">审计单位审定后</w:t>
      </w:r>
      <w:r>
        <w:rPr>
          <w:rFonts w:hint="eastAsia" w:ascii="宋体" w:hAnsi="宋体" w:eastAsia="Arial" w:cs="宋体"/>
          <w:color w:val="000000"/>
          <w:sz w:val="24"/>
          <w:highlight w:val="none"/>
          <w:u w:val="none"/>
          <w:lang w:val="en-US" w:eastAsia="zh-CN"/>
        </w:rPr>
        <w:t xml:space="preserve">，</w:t>
      </w:r>
      <w:r>
        <w:rPr>
          <w:rFonts w:hint="eastAsia" w:ascii="宋体" w:hAnsi="宋体" w:eastAsia="Arial" w:cs="宋体"/>
          <w:color w:val="000000"/>
          <w:sz w:val="24"/>
          <w:highlight w:val="none"/>
          <w:u w:val="none"/>
        </w:rPr>
        <w:t xml:space="preserve">支付至审定价的100%。</w:t>
      </w:r>
      <w:r>
        <w:rPr>
          <w:rFonts w:hint="eastAsia" w:ascii="宋体" w:hAnsi="宋体" w:eastAsia="Arial" w:cs="宋体"/>
          <w:color w:val="000000"/>
          <w:sz w:val="24"/>
          <w:highlight w:val="none"/>
          <w:u w:val="none"/>
        </w:rPr>
      </w:r>
      <w:r/>
    </w:p>
    <w:p>
      <w:pPr>
        <w:pStyle w:val="641"/>
        <w:numPr>
          <w:ilvl w:val="0"/>
          <w:numId w:val="0"/>
        </w:numPr>
        <w:ind w:firstLine="480"/>
        <w:jc w:val="left"/>
        <w:keepLines w:val="0"/>
        <w:keepNext w:val="0"/>
        <w:pageBreakBefore w:val="0"/>
        <w:spacing w:line="360" w:lineRule="auto"/>
        <w:widowControl/>
        <w:rPr>
          <w:rFonts w:hint="eastAsia" w:ascii="宋体" w:hAnsi="宋体" w:eastAsia="Arial" w:cs="宋体"/>
          <w:color w:val="000000"/>
          <w:sz w:val="24"/>
          <w:highlight w:val="none"/>
          <w:u w:val="none"/>
        </w:rPr>
        <w:outlineLvl w:val="1"/>
      </w:pPr>
      <w:r>
        <w:rPr>
          <w:rFonts w:hint="eastAsia" w:ascii="宋体" w:hAnsi="宋体" w:eastAsia="Arial" w:cs="宋体"/>
          <w:color w:val="000000"/>
          <w:sz w:val="24"/>
          <w:highlight w:val="none"/>
          <w:u w:val="none"/>
        </w:rPr>
        <w:t xml:space="preserve">项目通过管理处组织的验收，审计结束后需缴纳审定价5%的质量保证金，质量保证期(整体24个月)届满</w:t>
      </w:r>
      <w:r>
        <w:rPr>
          <w:rFonts w:hint="eastAsia" w:ascii="宋体" w:hAnsi="宋体" w:eastAsia="Arial" w:cs="宋体"/>
          <w:i w:val="0"/>
          <w:iCs w:val="0"/>
          <w:caps w:val="0"/>
          <w:color w:val="000000"/>
          <w:spacing w:val="0"/>
          <w:sz w:val="24"/>
          <w:szCs w:val="20"/>
          <w:highlight w:val="none"/>
          <w:u w:val="none"/>
          <w:lang w:val="en-US" w:eastAsia="zh-CN" w:bidi="ar"/>
        </w:rPr>
        <w:t xml:space="preserve">且无质量问题的无息退还。若质保期内出现质量问题，乙方未按约定履行维修义务的，甲方有权从质量保证金中扣除相应的维修费用，不足部分甲方有权向乙方追偿</w:t>
      </w:r>
      <w:r>
        <w:rPr>
          <w:rFonts w:hint="eastAsia" w:ascii="宋体" w:hAnsi="宋体" w:eastAsia="Arial" w:cs="宋体"/>
          <w:color w:val="000000"/>
          <w:sz w:val="24"/>
          <w:highlight w:val="none"/>
          <w:u w:val="none"/>
        </w:rPr>
        <w:t xml:space="preserve">。乙方可自主选择以转账、支票、汇票、本票、履约保函（保险）的形式缴纳或提交，推荐使用银行保函（银行保函须为无条件见索即付保函，其他保函应当从省政府采购网-保险保函入口办理）。</w:t>
      </w:r>
      <w:r>
        <w:rPr>
          <w:rFonts w:hint="eastAsia" w:ascii="宋体" w:hAnsi="宋体" w:eastAsia="Arial" w:cs="宋体"/>
          <w:color w:val="000000"/>
          <w:sz w:val="24"/>
          <w:highlight w:val="none"/>
          <w:u w:val="none"/>
        </w:rPr>
      </w:r>
      <w:r/>
    </w:p>
    <w:p>
      <w:pPr>
        <w:pStyle w:val="641"/>
        <w:numPr>
          <w:ilvl w:val="0"/>
          <w:numId w:val="0"/>
        </w:numPr>
        <w:ind w:firstLine="480"/>
        <w:jc w:val="left"/>
        <w:keepLines w:val="0"/>
        <w:keepNext w:val="0"/>
        <w:pageBreakBefore w:val="0"/>
        <w:spacing w:line="360" w:lineRule="auto"/>
        <w:widowControl/>
        <w:rPr>
          <w:rFonts w:hint="eastAsia" w:ascii="宋体" w:hAnsi="宋体" w:eastAsia="Arial" w:cs="宋体"/>
          <w:color w:val="000000"/>
          <w:sz w:val="24"/>
          <w:highlight w:val="none"/>
          <w:u w:val="none"/>
        </w:rPr>
        <w:outlineLvl w:val="1"/>
      </w:pPr>
      <w:r>
        <w:rPr>
          <w:rFonts w:hint="eastAsia" w:ascii="宋体" w:hAnsi="宋体" w:eastAsia="Arial" w:cs="宋体"/>
          <w:color w:val="000000"/>
          <w:sz w:val="24"/>
          <w:highlight w:val="none"/>
          <w:u w:val="none"/>
        </w:rPr>
        <w:t xml:space="preserve">按以上付款进度，无任何利息补偿，每次付款时提供甲方认可的增值税专用发票，如因乙方未提供发票导致甲方付款迟延或不能付款的，一切责任由乙方自行承担，甲方不构成违约且不承担任何迟延付款或不能付款的法律责任。</w:t>
      </w:r>
      <w:r>
        <w:rPr>
          <w:rFonts w:hint="eastAsia" w:ascii="宋体" w:hAnsi="宋体" w:eastAsia="Arial" w:cs="宋体"/>
          <w:color w:val="000000"/>
          <w:sz w:val="24"/>
          <w:highlight w:val="none"/>
          <w:u w:val="none"/>
        </w:rPr>
      </w:r>
      <w:r/>
    </w:p>
    <w:p>
      <w:pPr>
        <w:pStyle w:val="641"/>
        <w:numPr>
          <w:ilvl w:val="0"/>
          <w:numId w:val="0"/>
        </w:numPr>
        <w:ind w:firstLine="480"/>
        <w:jc w:val="left"/>
        <w:keepLines w:val="0"/>
        <w:keepNext w:val="0"/>
        <w:pageBreakBefore w:val="0"/>
        <w:spacing w:line="360" w:lineRule="auto"/>
        <w:widowControl/>
        <w:rPr>
          <w:rFonts w:hint="eastAsia" w:ascii="宋体" w:hAnsi="宋体" w:eastAsia="Arial" w:cs="宋体"/>
          <w:color w:val="000000"/>
          <w:sz w:val="24"/>
          <w:highlight w:val="none"/>
          <w:u w:val="none"/>
        </w:rPr>
        <w:outlineLvl w:val="1"/>
      </w:pPr>
      <w:r>
        <w:rPr>
          <w:rFonts w:hint="eastAsia" w:ascii="宋体" w:hAnsi="宋体" w:eastAsia="Arial" w:cs="宋体"/>
          <w:color w:val="000000"/>
          <w:sz w:val="24"/>
          <w:highlight w:val="none"/>
          <w:u w:val="none"/>
        </w:rPr>
        <w:t xml:space="preserve">如因财政资金支付要求不能在2026年12月15日前完成合同内相应的工程进度（或未满质量保证期）导致无法完成财政资金支付进度，乙方有责任提供未完工程量等额的现金或支付担保(银行或保险公司的保函)配合甲方完成资金支付工作。如不配合导致资金被上级财政部门收回，无法进行工程款支付的，保护区不承担相关责任。</w:t>
      </w:r>
      <w:r>
        <w:rPr>
          <w:rFonts w:hint="eastAsia" w:ascii="宋体" w:hAnsi="宋体" w:eastAsia="Arial" w:cs="宋体"/>
          <w:color w:val="000000"/>
          <w:sz w:val="24"/>
          <w:highlight w:val="none"/>
          <w:u w:val="none"/>
        </w:rPr>
      </w:r>
      <w:r/>
    </w:p>
    <w:p>
      <w:pPr>
        <w:pStyle w:val="641"/>
        <w:numPr>
          <w:ilvl w:val="0"/>
          <w:numId w:val="0"/>
        </w:numPr>
        <w:ind w:firstLine="480"/>
        <w:jc w:val="left"/>
        <w:keepLines w:val="0"/>
        <w:keepNext w:val="0"/>
        <w:pageBreakBefore w:val="0"/>
        <w:spacing w:line="360" w:lineRule="auto"/>
        <w:widowControl/>
        <w:rPr>
          <w:rFonts w:hint="eastAsia" w:ascii="宋体" w:hAnsi="宋体" w:eastAsia="Arial" w:cs="宋体"/>
          <w:color w:val="000000"/>
          <w:sz w:val="24"/>
          <w:u w:val="single"/>
        </w:rPr>
        <w:outlineLvl w:val="1"/>
      </w:pPr>
      <w:r>
        <w:rPr>
          <w:rFonts w:hint="eastAsia" w:ascii="宋体" w:hAnsi="宋体" w:eastAsia="Arial" w:cs="宋体"/>
          <w:color w:val="000000"/>
          <w:sz w:val="24"/>
          <w:highlight w:val="none"/>
          <w:u w:val="none"/>
        </w:rPr>
        <w:t xml:space="preserve">注：如乙方提供的为保险公司保函，需从政府采购网-保险保函入口办理。</w:t>
      </w:r>
      <w:r>
        <w:rPr>
          <w:rFonts w:hint="eastAsia" w:ascii="宋体" w:hAnsi="宋体" w:eastAsia="Arial" w:cs="宋体"/>
          <w:color w:val="000000"/>
          <w:sz w:val="24"/>
          <w:u w:val="single"/>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（三）履约担保</w:t>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w:t>
      </w:r>
      <w:r>
        <w:rPr>
          <w:rFonts w:hint="eastAsia" w:ascii="宋体" w:hAnsi="宋体" w:eastAsia="宋体" w:cs="宋体"/>
          <w:color w:val="000000"/>
          <w:sz w:val="24"/>
        </w:rPr>
        <w:t xml:space="preserve">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w:t>
      </w:r>
      <w:r>
        <w:rPr>
          <w:rFonts w:hint="eastAsia" w:ascii="宋体" w:hAnsi="宋体" w:eastAsia="宋体" w:cs="宋体"/>
          <w:color w:val="000000"/>
          <w:sz w:val="24"/>
        </w:rPr>
        <w:t xml:space="preserve">履约保证金用以约束成交供应商在合同履行中的行为，弥补合同执行中由于自身行为可能给采购人带来的各种损失。</w:t>
      </w:r>
      <w:r>
        <w:rPr>
          <w:rFonts w:hint="eastAsia" w:ascii="宋体" w:hAnsi="宋体" w:eastAsia="宋体" w:cs="宋体"/>
          <w:color w:val="000000"/>
          <w:sz w:val="24"/>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）履约保证金的退还：</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①方式：无息退还至投标人缴纳履约保证金的账户。如为保函，在到期时自行失效。</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②时间：验收合格且采购人收到发票后30日内。</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③条件：按合同要求全部履约完成并经采购人验收合格，且采购人收到成交供应商出具的发票。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④不予退还情形：</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除不可抗力情况外，投标人出现下列情形之一的，其履约保证金，招标人将视情节决定不予退还或部分不予退还。</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（1）成交供应商无正当理由拒绝签订合同的，或者在签订合同时向采购人提出附加条件或者更改合同实质性内容要求的；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（2）成交供应商不履行与采购人订立的合同的；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（3）成交供应商所供货物或服务不符合招标文件规定要求的；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（4）成交供应商采取欺骗、弄虚作假方式投标的或与其它投标人串通投标的；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（5）成交供应商将合同内容转包、违法分包的；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（6）成交供应商故意捏造事实或伪造证明材料，进行虚假恶意投诉或反映的。</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⑤逾期退还的违约责任：采购人逾期无故未退还履约保证金的，按中国人民银行同期贷款基准利率上浮20%后的利率支付超期资金占用费，但因供应商自身原因导致无法及时退还的除外。</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 图纸、监造、检验</w:t>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1、图纸</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甲方委托设计单位向乙方提供经中国船检部门审查通过的设计图纸和技术文件，乙方按规定向设计单位索取。</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甲方对图纸文件持有全权，在未经甲方书面同意，在任何情况下，乙方不得将其泄露给第三方或建造同型船。</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2、船舶监理</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(1)甲方在船舶建造期间，向乙方派出监理人员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人，监理人员需持甲方的委托监造授权书。</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(2)监理组按施工图纸，参照本条第1款及本合同和合同附件进行监理。</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(3)监理组的市内交通、办公（借用电脑及打印机一台）、日常劳保用品、厂内三餐、住宿场所由乙方解决。</w:t>
      </w:r>
      <w:r>
        <w:rPr>
          <w:highlight w:val="none"/>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(4)乙方在每个生产阶段通知中国船检验船师检验船舶</w:t>
      </w:r>
      <w:r>
        <w:rPr>
          <w:rFonts w:ascii="宋体" w:hAnsi="宋体" w:eastAsia="宋体" w:cs="宋体"/>
          <w:color w:val="000000"/>
          <w:sz w:val="24"/>
        </w:rPr>
        <w:t xml:space="preserve">质量。</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(5)除因监理组人员的过失外，监理组成员在监造现场发生人身意外事故，乙方有义务协助处理，乙方对此承担相应责任。</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(6)监理组成员在执行既定职责时应遵守正常的监理程序。</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(7)监理组成员有权进入本厂与本船艇建造有关的各工作场所，为使监理人员检验方便，乙方应为甲方及时提供施工建造进度报告。</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3、船舶证书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(1)该船由乙方向中国船检部门申请检验，并取得相应的整套船舶检验证书。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(2)乙方质管部签署的船舶质量证书。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(3)乙方售后服务部签署的船舶操作使用指南。</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(4)机电设备随机备品备件专用工具淸单。</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(5)自制件图纸资料。</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第四条 修改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1、图纸及其他文件的修改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(1)图纸及其他文件的修改需经双方书面同意，由此而可能引起的合同价格、交船日期，合同和说明书的其他条件的变更，双方协商解决。</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(2)修改协议须经双方授权代表签字确认之后生效。</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(3)乙方若为改进生产方法，可对图纸和其他文件做少量修改，但事先须征得甲方同意。</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2、船舶所配备备品备件应满足规范要求，甲方需增加备品、备件，乙方在可能的情况下，应尽量满足甲方的要求，但由此而多付的费用由甲方承担。</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3、材料的代用品</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按照本合同及该船设计文件所需要的某种材料若不能及时购买或短缺时,乙方在保证该船性能和满足船检及建造该船规范要求的前提下，可用其他代用材料，乙方应与甲方提前协商确认。</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 试航</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本船的系泊试验和试航大纲应经甲方和船检部门认可,并于试验3日前送</w:t>
      </w:r>
      <w:r>
        <w:rPr>
          <w:rFonts w:hint="eastAsia" w:ascii="宋体" w:hAnsi="宋体" w:cs="宋体"/>
          <w:color w:val="000000"/>
          <w:sz w:val="24"/>
          <w:lang w:val="en-US" w:eastAsia="zh-CN"/>
        </w:rPr>
        <w:t xml:space="preserve">交</w:t>
      </w:r>
      <w:r>
        <w:rPr>
          <w:rFonts w:ascii="宋体" w:hAnsi="宋体" w:eastAsia="宋体" w:cs="宋体"/>
          <w:color w:val="000000"/>
          <w:sz w:val="24"/>
        </w:rPr>
        <w:t xml:space="preserve">监理组代表。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1、通知</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(1)乙方至少要在试航前3天书面通知（含传真）该船试航的时间、地点；甲方在收到通知后应立即书面告之乙方。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(2)甲方派代表随船参加试航检验并对试验结果进行确认。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2、气候条件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(1)乙方应选择合适的气候条件予以试航。</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(2)若确定的试航日期气候条件不宜时，应在气候条件允许的情况下尽快试航。</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(3)若该船进行试航时气候骤变，不能继续试航，应立即停止并延迟到气候允许试航的时间进行。</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(4)由于不佳的气候条件使试航予以推迟而导致交船的延迟，双方允诺不作为延期交船处理。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3、接船或拒绝接船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(1)试航完毕后，若经中国船检部门和甲方监理代表认可的试航结果满足本合同的要求，乙方应将交船亊项书面通知甲方。甲方收到乙方通知后3天内，应书面通知乙方确认接船及其时间。</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(2)若试航结果不满足本合同的要求，乙方应在</w:t>
      </w:r>
      <w:r>
        <w:rPr>
          <w:rFonts w:ascii="宋体" w:hAnsi="宋体" w:eastAsia="宋体" w:cs="宋体"/>
          <w:color w:val="000000"/>
          <w:sz w:val="24"/>
          <w:u w:val="single"/>
        </w:rPr>
        <w:t xml:space="preserve">5工作日</w:t>
      </w:r>
      <w:r>
        <w:rPr>
          <w:rFonts w:ascii="宋体" w:hAnsi="宋体" w:eastAsia="宋体" w:cs="宋体"/>
          <w:color w:val="000000"/>
          <w:sz w:val="24"/>
        </w:rPr>
        <w:t xml:space="preserve">内书面通知甲方。双方按本合同规定协商处理。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(3)在交船时，航速和拖力未达到设计要求，噪音控制未达到设计要求（若图纸有明确规定〉，甲方有权拒绝接船或降价接船。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(4)若产生争议，通过双方协商无法解决的，可按本合同第十二条执行。</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 交船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本船合同及合同附件规定的所有工程、项目全部</w:t>
      </w:r>
      <w:r>
        <w:rPr>
          <w:rFonts w:hint="eastAsia" w:ascii="宋体" w:hAnsi="宋体" w:cs="宋体"/>
          <w:color w:val="000000"/>
          <w:sz w:val="24"/>
          <w:lang w:val="en-US" w:eastAsia="zh-CN"/>
        </w:rPr>
        <w:t xml:space="preserve">实施</w:t>
      </w:r>
      <w:r>
        <w:rPr>
          <w:rFonts w:ascii="宋体" w:hAnsi="宋体" w:eastAsia="宋体" w:cs="宋体"/>
          <w:color w:val="000000"/>
          <w:sz w:val="24"/>
        </w:rPr>
        <w:t xml:space="preserve">结束，经试航各项技术性能指标全部达到设计要求，备品、备件、物料全部备齐，船检证书齐全，由乙方质检部门出具产品质量合格证明，主要机电设备的随机说明书、船检认可证明完备，即可进行交船。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1、时间与地点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该船应于本合同签订后且监理工程师签署认定开工令之日起</w:t>
      </w:r>
      <w:r>
        <w:rPr>
          <w:rFonts w:hint="eastAsia" w:ascii="宋体" w:hAnsi="宋体" w:eastAsia="宋体" w:cs="宋体"/>
          <w:color w:val="000000"/>
          <w:sz w:val="24"/>
        </w:rPr>
        <w:t xml:space="preserve">12个月</w:t>
      </w:r>
      <w:r>
        <w:rPr>
          <w:rFonts w:ascii="宋体" w:hAnsi="宋体" w:eastAsia="宋体" w:cs="宋体"/>
          <w:color w:val="000000"/>
          <w:sz w:val="24"/>
        </w:rPr>
        <w:t xml:space="preserve">内在甲方所在地指定码头交船。若根据本合同条款而允许推迟交船,则上述交船日期可作为相应的推迟。</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2、乙方完成了全部义务，并经双方代表签署了《交接船议定书》后，即确认该船已由乙方交付，甲方接收。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3、产权与风险</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该船的产权和灭失的风险只有完成上述交船与接船后，移交给甲方。建造期内，该船的产权和灭失的风险及该船的设备属乙方。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4、该船的移交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该船交付后，甲方立即拥有该船的所有权。</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试航所用的油料及有关费用由乙方负责。</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5、交船时乙方应向甲方提交下列文件、资料</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(1)乙方检验部门签署的《船舶质量证书》。</w:t>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(2)ZC签发的整套船舶检验证书。</w:t>
      </w:r>
      <w:r>
        <w:rPr>
          <w:highlight w:val="none"/>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(3)随船设备的技术文件、使用说明书，保养维修说明书、船检证书、零配件手册、准用油料规格、所有试验报告等资料。</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(4)船舶完工后的全套竣工图纸叁套。</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(5)机电设备的随机备品、备件、专用工具明细表一式两份。</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(6)全船使用、操作说明书。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(7)本船的发票。</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 不可抗力</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若在实际交船前的任何时候，由于不可抗力的原因，该船不能按原定计划交船时，其期限自然延期。但出现该种情况时，必须及时书面通知甲方，以便于甲方认可该种情况的真实性。</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 质量保证</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1、该船移交给甲方后，在正常运行和维护保养的条件下，</w:t>
      </w:r>
      <w:r>
        <w:rPr>
          <w:rFonts w:ascii="宋体" w:hAnsi="宋体" w:eastAsia="宋体" w:cs="宋体"/>
          <w:b/>
          <w:color w:val="000000"/>
          <w:sz w:val="24"/>
        </w:rPr>
        <w:t xml:space="preserve">固定件18个月，运转件12个月，装修工程24个月。</w:t>
      </w:r>
      <w:r>
        <w:rPr>
          <w:rFonts w:ascii="宋体" w:hAnsi="宋体" w:eastAsia="宋体" w:cs="宋体"/>
          <w:color w:val="000000"/>
          <w:sz w:val="24"/>
        </w:rPr>
        <w:t xml:space="preserve">除上述要求外并满足验收中提出的问题整改完毕、交付之日起计算，</w:t>
      </w:r>
      <w:r>
        <w:rPr>
          <w:rFonts w:ascii="宋体" w:hAnsi="宋体" w:eastAsia="宋体" w:cs="宋体"/>
          <w:b/>
          <w:color w:val="000000"/>
          <w:sz w:val="24"/>
        </w:rPr>
        <w:t xml:space="preserve">整船质保期2年。</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2、质量保证期内，凡出现属于船体及机电设备、材料及部件等存在的质量缺陷，乙方应予以免费修复或更换，并承担所有费用。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3、甲方在该船缺陷出现时，应及时书面或其他有效方法通知乙方，乙方在接到该类通知后的1小时内，应做出自行修复或委托甲方请人修复的决定。在委托修复的情况下,经证实为乙方责任时，乙方承担修理费用。</w:t>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4、由于甲方的操作不当而造成的设备损坏，乙方不承担免费维修的责任。该条的证实以中国船检验船师的检验为准。</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5、乙方在投标文件里的其他承诺和优惠条件。</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6、其他质保条款见附件。</w:t>
      </w:r>
      <w:r>
        <w:rPr>
          <w:highlight w:val="none"/>
        </w:rPr>
      </w:r>
      <w:r/>
    </w:p>
    <w:p>
      <w:pPr>
        <w:pStyle w:val="641"/>
        <w:ind w:left="0" w:right="0" w:firstLine="48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第九条 甲方不履行责任</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1、不履行责任的定义</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下列所述应视为甲方没有履行本合同项下的义务：</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(1)根据本合同规定，甲方未按时向乙方付款。</w:t>
      </w:r>
      <w:r>
        <w:rPr>
          <w:highlight w:val="none"/>
        </w:rPr>
      </w:r>
      <w:r/>
    </w:p>
    <w:p>
      <w:pPr>
        <w:pStyle w:val="641"/>
        <w:ind w:left="0" w:right="0" w:firstLine="48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(2)乙方按合同建造完工具备交船条件，签定《交船协议书》，并书面通知甲方后，甲方</w:t>
      </w:r>
      <w:r>
        <w:rPr>
          <w:rFonts w:hint="eastAsia" w:ascii="宋体" w:hAnsi="宋体" w:cs="宋体"/>
          <w:color w:val="000000"/>
          <w:sz w:val="24"/>
          <w:highlight w:val="none"/>
          <w:lang w:val="en-US" w:eastAsia="zh-CN"/>
        </w:rPr>
        <w:t xml:space="preserve">30</w:t>
      </w:r>
      <w:r>
        <w:rPr>
          <w:rFonts w:ascii="宋体" w:hAnsi="宋体" w:eastAsia="宋体" w:cs="宋体"/>
          <w:color w:val="000000"/>
          <w:sz w:val="24"/>
          <w:highlight w:val="none"/>
        </w:rPr>
        <w:t xml:space="preserve">天内不接船不付款。</w:t>
      </w:r>
      <w:r>
        <w:rPr>
          <w:highlight w:val="none"/>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2、若发生上述规定的甲方违约</w:t>
      </w:r>
      <w:r>
        <w:rPr>
          <w:rFonts w:ascii="宋体" w:hAnsi="宋体" w:eastAsia="宋体" w:cs="宋体"/>
          <w:color w:val="000000"/>
          <w:sz w:val="24"/>
        </w:rPr>
        <w:t xml:space="preserve">，则交船日期应顺延。</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3、若甲方违约持续30天，乙方可自行用书面确认取消合同。</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 乙方不履行责任</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1、不履行责任的定义</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下列所述应视为乙方没有履行本合同项下的义务：</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根据本合同规定，乙方未按时向业主或业主代表交船。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2、由于乙方原因若在本合同规定的交船日后的</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天内交船，合同价不变。若在本合同规定的交船日</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天后交船，每延期一天，乙方应按合同价的0.1%承担违约金。若逾期超过1</w:t>
      </w:r>
      <w:r>
        <w:rPr>
          <w:rFonts w:ascii="宋体" w:hAnsi="宋体" w:eastAsia="宋体" w:cs="宋体"/>
          <w:b/>
          <w:color w:val="000000"/>
          <w:sz w:val="24"/>
        </w:rPr>
        <w:t xml:space="preserve">00天</w:t>
      </w:r>
      <w:r>
        <w:rPr>
          <w:rFonts w:ascii="宋体" w:hAnsi="宋体" w:eastAsia="宋体" w:cs="宋体"/>
          <w:color w:val="000000"/>
          <w:sz w:val="24"/>
        </w:rPr>
        <w:t xml:space="preserve">不能交船，则甲方有权取消合同，则乙方应支付甲方已支付的所有款项</w:t>
      </w:r>
      <w:r>
        <w:rPr>
          <w:rFonts w:ascii="宋体" w:hAnsi="宋体" w:eastAsia="宋体" w:cs="宋体"/>
          <w:b/>
          <w:color w:val="000000"/>
          <w:sz w:val="24"/>
        </w:rPr>
        <w:t xml:space="preserve">及利息（以中国人民银行同期同档贷款基准利率为计算标准）和合同价款10%的违约金。</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 保险</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乙方在该船建造期间（开工至交船前），应向保险公司投保，保险的责任和费用由乙方承担。</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本合同乙方的投保义务在乙方交船并由甲方接船后立即终止。</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 争议的解决</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1、双方就本合同及建造过程中产生争议时，首先应本着相互合作的态度，协商解决。</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如协商不成，由甲方住所地人民法院管辖</w:t>
      </w:r>
      <w:r>
        <w:rPr>
          <w:rFonts w:ascii="宋体" w:hAnsi="宋体" w:eastAsia="宋体" w:cs="宋体"/>
          <w:color w:val="000000"/>
          <w:sz w:val="24"/>
        </w:rPr>
        <w:t xml:space="preserve">。</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第十三条 转让的权利</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除事先征得另一方的书面同意外，任何一方不得将本合同转让给第三方。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在船</w:t>
      </w:r>
      <w:r>
        <w:rPr>
          <w:rFonts w:hint="eastAsia" w:ascii="宋体" w:hAnsi="宋体" w:cs="宋体"/>
          <w:color w:val="000000"/>
          <w:sz w:val="24"/>
          <w:lang w:val="en-US" w:eastAsia="zh-CN"/>
        </w:rPr>
        <w:t xml:space="preserve">只</w:t>
      </w:r>
      <w:r>
        <w:rPr>
          <w:rFonts w:ascii="宋体" w:hAnsi="宋体" w:eastAsia="宋体" w:cs="宋体"/>
          <w:color w:val="000000"/>
          <w:sz w:val="24"/>
        </w:rPr>
        <w:t xml:space="preserve">建造期间，若一方合并、分立，则由继承其权利、义务的法人接受其权利和义</w:t>
      </w:r>
      <w:r>
        <w:rPr>
          <w:rFonts w:ascii="宋体" w:hAnsi="宋体" w:eastAsia="宋体" w:cs="宋体"/>
          <w:color w:val="000000"/>
          <w:sz w:val="24"/>
          <w:u w:val="none"/>
        </w:rPr>
        <w:t xml:space="preserve">务。</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第十四条 通知</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1、地址</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与本合同有关的任何通知应按下列地址：</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法定地址:</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法定地址:</w:t>
      </w:r>
      <w:r/>
    </w:p>
    <w:p>
      <w:pPr>
        <w:pStyle w:val="641"/>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邮编</w:t>
      </w:r>
      <w:r>
        <w:rPr>
          <w:rFonts w:hint="eastAsia" w:ascii="宋体" w:hAnsi="宋体" w:cs="宋体"/>
          <w:color w:val="000000"/>
          <w:sz w:val="24"/>
          <w:lang w:eastAsia="zh-CN"/>
        </w:rPr>
        <w:t xml:space="preserve">：</w:t>
      </w:r>
      <w:r>
        <w:rPr>
          <w:rFonts w:hint="eastAsia" w:eastAsia="宋体"/>
          <w:lang w:eastAsia="zh-CN"/>
        </w:r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电话：</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传真：</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若一方地址的变更，该方应及时书面通知另一方。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2、本合同有关的所有通知、通信和传真等均应使用中文。</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第十五条 合同生效</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本合同经双方代表签字并盖章后即生效，未经双方协商一致，任何一方不得变更或解除合同。否则违约方应对另一方进行赔偿。</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第十六条 解释</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1、适用法律</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合同双方同意,本合同每条款的生效和解释应受中华人民共和国法律和中华人民共和国海事局相应规范的约束。</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2、本合同签订后双方所达成的所有书面协议均为本合同不可分割的组成部分。若前、后协议就同一问题的表述不一致吋，以时间最后的协议为准。</w:t>
      </w:r>
      <w:r/>
    </w:p>
    <w:p>
      <w:pPr>
        <w:pStyle w:val="641"/>
        <w:ind w:left="0" w:right="0" w:firstLine="48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第十七条 其他条款</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w:t>
      </w:r>
      <w:r>
        <w:rPr>
          <w:rFonts w:hint="eastAsia" w:ascii="宋体" w:hAnsi="宋体" w:cs="宋体"/>
          <w:color w:val="000000"/>
          <w:sz w:val="24"/>
          <w:lang w:val="en-US" w:eastAsia="zh-CN"/>
        </w:rPr>
        <w:t xml:space="preserve">陆</w:t>
      </w:r>
      <w:r>
        <w:rPr>
          <w:rFonts w:ascii="宋体" w:hAnsi="宋体" w:eastAsia="宋体" w:cs="宋体"/>
          <w:color w:val="000000"/>
          <w:sz w:val="24"/>
        </w:rPr>
        <w:t xml:space="preserve">份，双方各持</w:t>
      </w:r>
      <w:r>
        <w:rPr>
          <w:rFonts w:hint="eastAsia" w:ascii="宋体" w:hAnsi="宋体" w:cs="宋体"/>
          <w:color w:val="000000"/>
          <w:sz w:val="24"/>
          <w:lang w:val="en-US" w:eastAsia="zh-CN"/>
        </w:rPr>
        <w:t xml:space="preserve">叁</w:t>
      </w:r>
      <w:r>
        <w:rPr>
          <w:rFonts w:ascii="宋体" w:hAnsi="宋体" w:eastAsia="宋体" w:cs="宋体"/>
          <w:color w:val="000000"/>
          <w:sz w:val="24"/>
        </w:rPr>
        <w:t xml:space="preserve">份。</w:t>
      </w:r>
      <w:r/>
    </w:p>
    <w:p>
      <w:pPr>
        <w:pStyle w:val="641"/>
        <w:ind w:right="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乙方（盖章）：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法定代表人（或授权代表）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签字或盖章：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签字或盖章：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 月 日</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日期：年 月 日</w:t>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rPr>
          <w:rFonts w:hint="eastAsia" w:ascii="黑体" w:hAnsi="宋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color w:val="000000"/>
          <w:sz w:val="44"/>
          <w:szCs w:val="44"/>
          <w:highlight w:val="none"/>
        </w:rPr>
      </w:r>
      <w:r/>
    </w:p>
    <w:p>
      <w:pPr>
        <w:pStyle w:val="641"/>
        <w:ind w:left="0" w:right="0" w:firstLine="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p>
    <w:p>
      <w:pPr>
        <w:pStyle w:val="641"/>
        <w:ind w:left="0" w:right="0" w:firstLine="0"/>
        <w:jc w:val="center"/>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船舶保修书</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一、保修范围：所有船舶的原辅材料、设备等和建造、安装工艺</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二、保修内容：所有因乙方采购设备及船舶建造造成的质量问题。</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三、乙方责任及违约处理措施</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自接到质量修理通知书之日起（受件人签字或甲方传真），必须在48小时内到达现场与甲方共同查看待修理部位，明确责任方，商议返修内容和方案。如乙方未能按期到达现场，甲方有权单方面按以下方式处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（1）按原设计标准和验收规范自行安排返修，所发生的费用直接从乙方质保金中扣除。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（2）仍需由乙方返修，但乙方延迟一天到达现场，甲方将按质保金总额的0.5%从乙方质保金中扣除。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有属于乙方保修范围内的返修项目，乙方必须于到达现场与甲方确定返修内容和方案后72小时内完成返修工作，如因特殊情况不能按期完成，经甲方同意后方可延长返修工期。如乙方未经甲方同意擅自延长返修工期，则甲方有权按以下方式处理：</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（1）停止乙方的返修工作，按原设计标准和验收规范自行安排返修，所发生的费用直接从乙方质保金中扣除。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（2）返修工期延长一天按质保金总额的0.5%从乙方质保金中扣除。</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凡属于乙方保修责任范围内的材料设备，乙方在维修更换时需提供同种品牌、型号的设备，如无同种品牌、型号的材料设备，乙方需经甲方同意更换其他品牌、型号的设备材料并保证原设计标准、要求，满足原有使用功能。</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4、如因乙方建造及使用材料不当造成的质量问题和一切损害，除由乙方无偿维修更换外，乙方应负责赔偿全部损失并承担其它连带责任。</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对于甲方人员使用不当及其它非乙方建造原因造成的质量问题和故障，由甲方与乙方进行协商，确定整改内容、时间及人工材料成本费，乙方应与甲方积极配合，按双方协商确定的内容保质保量完成整改内容。</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四、甲方有权依据本合同规定扣除应由乙方支付的款项及违约金和赔偿款。</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五、保修期满，乙方需承担维修义务，除收取材料成本费以外，其他服务承诺与保修期内一致。</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六、合同中的“缺陷责任期”与“保修期”为同一含义。</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七、乙方应严格遵守在投标文件中的各种优惠条件和服务承诺。</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八、本附件与原合同有同等效力。</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乙方（盖章）：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法定代表人（或授权代表）</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签字或盖章：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签字或盖章：</w:t>
      </w:r>
      <w:r/>
    </w:p>
    <w:p>
      <w:pPr>
        <w:pStyle w:val="641"/>
        <w:ind w:left="0" w:right="0" w:firstLine="48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 月 日</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日期：年 月 日</w:t>
      </w:r>
      <w:r/>
    </w:p>
    <w:p>
      <w:pPr>
        <w:pStyle w:val="641"/>
        <w:ind w:left="0" w:right="0" w:firstLine="0"/>
        <w:jc w:val="center"/>
        <w:keepLines w:val="0"/>
        <w:keepNext w:val="0"/>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br w:type="page" w:clear="all"/>
      </w:r>
      <w:r>
        <w:rPr>
          <w:rFonts w:hint="eastAsia" w:ascii="宋体" w:hAnsi="宋体" w:eastAsia="宋体" w:cs="宋体"/>
          <w:b/>
          <w:color w:val="000000"/>
          <w:sz w:val="36"/>
          <w:highlight w:val="none"/>
        </w:rPr>
        <w:t xml:space="preserve">廉政合同</w:t>
      </w:r>
      <w:r>
        <w:rPr>
          <w:rFonts w:hint="eastAsia" w:ascii="宋体" w:hAnsi="宋体" w:eastAsia="宋体" w:cs="宋体"/>
          <w:b/>
          <w:color w:val="000000"/>
          <w:sz w:val="36"/>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根据有关工程建设、廉政建设的规定，为做好</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中的党风廉政建设，保证工程建设高效优质，保证建设资金的安全和有效使用以及投资效益，</w:t>
      </w:r>
      <w:r>
        <w:rPr>
          <w:rFonts w:hint="eastAsia" w:hAnsi="宋体" w:eastAsia="宋体" w:cs="宋体"/>
          <w:b w:val="0"/>
          <w:bCs/>
          <w:color w:val="000000"/>
          <w:sz w:val="24"/>
          <w:szCs w:val="24"/>
          <w:highlight w:val="none"/>
          <w:u w:val="single"/>
          <w:lang w:val="en-US" w:eastAsia="zh-CN"/>
        </w:rPr>
        <w:t xml:space="preserve">巡护船及配套设施采购项目（二次）</w:t>
      </w:r>
      <w:r>
        <w:rPr>
          <w:rFonts w:hint="eastAsia" w:ascii="宋体" w:hAnsi="宋体" w:eastAsia="宋体" w:cs="宋体"/>
          <w:color w:val="000000"/>
          <w:sz w:val="24"/>
          <w:szCs w:val="24"/>
          <w:highlight w:val="none"/>
        </w:rPr>
        <w:t xml:space="preserve">的项目法人</w:t>
      </w:r>
      <w:r>
        <w:rPr>
          <w:rFonts w:hint="eastAsia" w:ascii="宋体" w:hAnsi="宋体" w:eastAsia="宋体" w:cs="宋体"/>
          <w:b w:val="0"/>
          <w:bCs/>
          <w:color w:val="000000"/>
          <w:sz w:val="24"/>
          <w:szCs w:val="24"/>
          <w:highlight w:val="none"/>
          <w:u w:val="single"/>
        </w:rPr>
        <w:t xml:space="preserve">江苏盐城国家级珍禽自然保护区管理处</w:t>
      </w:r>
      <w:r>
        <w:rPr>
          <w:rFonts w:hint="eastAsia" w:ascii="宋体" w:hAnsi="宋体" w:eastAsia="宋体" w:cs="宋体"/>
          <w:color w:val="000000"/>
          <w:sz w:val="24"/>
          <w:szCs w:val="24"/>
          <w:highlight w:val="none"/>
        </w:rPr>
        <w:t xml:space="preserve">（以下简称“甲方”）与该项目的乙方</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（以下简称“乙方”），特订立如下合同。</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67" w:name="_Toc52285366"/>
      <w:r>
        <w:rPr>
          <w:rFonts w:hint="eastAsia" w:ascii="宋体" w:hAnsi="宋体" w:eastAsia="宋体" w:cs="宋体"/>
          <w:b/>
          <w:color w:val="000000"/>
          <w:sz w:val="24"/>
          <w:szCs w:val="24"/>
          <w:highlight w:val="none"/>
        </w:rPr>
        <w:t xml:space="preserve">1、甲方和乙方双方的权利和义务</w:t>
      </w:r>
      <w:bookmarkEnd w:id="167"/>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(1)严格遵守党的政策规定和国家有关法律法规的有关规定。</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(2)严格执行</w:t>
      </w:r>
      <w:r>
        <w:rPr>
          <w:rFonts w:hint="eastAsia" w:hAnsi="宋体" w:eastAsia="宋体" w:cs="宋体"/>
          <w:b w:val="0"/>
          <w:bCs/>
          <w:color w:val="000000"/>
          <w:sz w:val="24"/>
          <w:szCs w:val="24"/>
          <w:highlight w:val="none"/>
          <w:u w:val="single"/>
          <w:lang w:val="en-US" w:eastAsia="zh-CN"/>
        </w:rPr>
        <w:t xml:space="preserve">巡护船及配套设施采购项目（二次）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合同文件，自觉按合同办事。</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(4)建立健全廉政制度，开展廉政教育，设廉政告示牌，公布举报电话，监督并认真查处违法违纪行为。</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(5)发现对方在业务活动中有违反廉政规定的行为，有及时提醒对方纠正的权利和义务。</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(6)发现对方严重违反本合同义务条款的行为，有向其上级有关部门举报、建议给予处理并要求告知处理结果的权利。</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68" w:name="_Toc52285367"/>
      <w:r>
        <w:rPr>
          <w:rFonts w:hint="eastAsia" w:ascii="宋体" w:hAnsi="宋体" w:eastAsia="宋体" w:cs="宋体"/>
          <w:b/>
          <w:color w:val="000000"/>
          <w:sz w:val="24"/>
          <w:szCs w:val="24"/>
          <w:highlight w:val="none"/>
        </w:rPr>
        <w:t xml:space="preserve">2、甲方的义务</w:t>
      </w:r>
      <w:bookmarkEnd w:id="168"/>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(1)甲方及其工作人员不得索要或接受乙方的礼金、有价证券和贵重物品，不得让乙方报销任何应由甲方或甲方工作人员个人支付的费用等。</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(2)甲方工作人员不得参加乙方安排的超标准宴请和娱乐活动；不得接受乙方提供的通讯工具、交通工具和高档办公用品等。</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(3)甲方及其工作人员不得要求或者接受乙方为其住房装修、婚丧嫁娶活动、配偶子女的工作安排以及出国出境、旅游等提供方便等。</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(4)甲方工作人员及其配偶、子女不得从事与甲方工程有关的材料设备供应、工程分包、劳务等经济活动等。</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(5)甲方及其工作人员不得以任何理由向乙方推荐分包单位或推销材料，不得要求乙方购买合同规定外的材料和设备。</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(6)甲方工作人员要秉公办事，不准营私舞弊，不准利用职权从事各种个人有偿中介活动和安排个人施工队伍。</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69" w:name="_Toc52285368"/>
      <w:r>
        <w:rPr>
          <w:rFonts w:hint="eastAsia" w:ascii="宋体" w:hAnsi="宋体" w:eastAsia="宋体" w:cs="宋体"/>
          <w:b/>
          <w:color w:val="000000"/>
          <w:sz w:val="24"/>
          <w:szCs w:val="24"/>
          <w:highlight w:val="none"/>
        </w:rPr>
        <w:t xml:space="preserve">3、乙方的义务</w:t>
      </w:r>
      <w:bookmarkEnd w:id="169"/>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(1)乙方不得以任何理由向甲方及其工作人员行贿或馈赠礼金、有价证券、贵重礼品。</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(2)乙方不得以任何名义为甲方及其工作人员报销应由甲方单位或个人支付的任何费用。</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(3)乙方不得以任何理由安排甲方工作人员参加超标准宴请及娱乐活动。</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(4)乙方不得为甲方单位和个人购置或提供通讯工具、交通工具和高档办公用品等。</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0" w:name="_Toc52285369"/>
      <w:r>
        <w:rPr>
          <w:rFonts w:hint="eastAsia" w:ascii="宋体" w:hAnsi="宋体" w:eastAsia="宋体" w:cs="宋体"/>
          <w:b/>
          <w:color w:val="000000"/>
          <w:sz w:val="24"/>
          <w:szCs w:val="24"/>
          <w:highlight w:val="none"/>
        </w:rPr>
        <w:t xml:space="preserve">4、违约责任</w:t>
      </w:r>
      <w:bookmarkEnd w:id="170"/>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(1)甲方及其工作人员违反本合同第l、2条，按管理权限，依据有关规定给予党纪、政纪或组织处理；涉嫌犯罪的，移交司法机关追究刑事责任；给乙方单位造成经济损失的，应予以赔偿。</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及其工作人员违反本合同第l、3条，按管理权限，依据有关规定给予党纪、政纪或组织处理；给甲方单位造成经济损失的，应予以赔偿；情节严重的，甲方建议建筑主管部门给予乙方一至三年内不得进入其主管的建筑建设市场的处罚。</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1" w:name="_Toc52285370"/>
      <w:r>
        <w:rPr>
          <w:rFonts w:hint="eastAsia" w:ascii="宋体" w:hAnsi="宋体" w:eastAsia="宋体" w:cs="宋体"/>
          <w:b/>
          <w:color w:val="000000"/>
          <w:sz w:val="24"/>
          <w:szCs w:val="24"/>
          <w:highlight w:val="none"/>
        </w:rPr>
        <w:t xml:space="preserve">5、双方约定：</w:t>
      </w:r>
      <w:bookmarkEnd w:id="171"/>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2" w:name="_Toc52285371"/>
      <w:r>
        <w:rPr>
          <w:rFonts w:hint="eastAsia" w:ascii="宋体" w:hAnsi="宋体" w:eastAsia="宋体" w:cs="宋体"/>
          <w:b/>
          <w:color w:val="000000"/>
          <w:sz w:val="24"/>
          <w:szCs w:val="24"/>
          <w:highlight w:val="none"/>
        </w:rPr>
        <w:t xml:space="preserve">6、本合同有效期</w:t>
      </w:r>
      <w:bookmarkEnd w:id="172"/>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甲方和乙方签署之日起至该工程项目竣工验收后止。</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3" w:name="_Toc52285372"/>
      <w:r>
        <w:rPr>
          <w:rFonts w:hint="eastAsia" w:ascii="宋体" w:hAnsi="宋体" w:eastAsia="宋体" w:cs="宋体"/>
          <w:b/>
          <w:color w:val="000000"/>
          <w:sz w:val="24"/>
          <w:szCs w:val="24"/>
          <w:highlight w:val="none"/>
        </w:rPr>
        <w:t xml:space="preserve">7、合同生效</w:t>
      </w:r>
      <w:bookmarkEnd w:id="173"/>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本合同作为</w:t>
      </w:r>
      <w:r>
        <w:rPr>
          <w:rFonts w:hint="eastAsia" w:hAnsi="宋体" w:eastAsia="宋体" w:cs="宋体"/>
          <w:b w:val="0"/>
          <w:bCs/>
          <w:color w:val="000000"/>
          <w:sz w:val="24"/>
          <w:szCs w:val="24"/>
          <w:highlight w:val="none"/>
          <w:u w:val="single"/>
          <w:lang w:eastAsia="zh-CN"/>
        </w:rPr>
        <w:t xml:space="preserve">巡护船及配套设施采购项目（二次）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合同的附件，与工程施工合同具有同等的法律效力，经合同双方签署后立即生效。</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4" w:name="_Toc52285373"/>
      <w:r>
        <w:rPr>
          <w:rFonts w:hint="eastAsia" w:ascii="宋体" w:hAnsi="宋体" w:eastAsia="宋体" w:cs="宋体"/>
          <w:b/>
          <w:color w:val="000000"/>
          <w:sz w:val="24"/>
          <w:szCs w:val="24"/>
          <w:highlight w:val="none"/>
        </w:rPr>
        <w:t xml:space="preserve">8、合同份数</w:t>
      </w:r>
      <w:bookmarkEnd w:id="174"/>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本合同一式陆份，发乙方双方各执叁份。</w:t>
      </w:r>
      <w:bookmarkStart w:id="175" w:name="_Toc52285374"/>
      <w:r>
        <w:rPr>
          <w:rFonts w:hint="eastAsia" w:ascii="宋体" w:hAnsi="宋体" w:eastAsia="宋体" w:cs="宋体"/>
          <w:color w:val="000000"/>
          <w:sz w:val="24"/>
          <w:szCs w:val="24"/>
          <w:highlight w:val="none"/>
        </w:rPr>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乙方（盖章）：</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法定代表人（或授权代表）</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签字或盖章：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签字或盖章：</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 月 日</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日期：年 月 日</w:t>
      </w:r>
      <w:r/>
    </w:p>
    <w:p>
      <w:pPr>
        <w:pStyle w:val="641"/>
        <w:jc w:val="center"/>
        <w:keepLines w:val="0"/>
        <w:keepNext w:val="0"/>
        <w:pageBreakBefore w:val="0"/>
        <w:spacing w:before="156" w:after="156" w:line="390" w:lineRule="exact"/>
        <w:widowControl w:val="off"/>
        <w:rPr>
          <w:rFonts w:hint="eastAsia" w:ascii="宋体" w:hAnsi="宋体" w:eastAsia="宋体" w:cs="宋体"/>
          <w:b/>
          <w:color w:val="000000"/>
          <w:sz w:val="36"/>
          <w:highlight w:val="none"/>
        </w:rPr>
        <w:outlineLvl w:val="1"/>
      </w:pPr>
      <w:r>
        <w:rPr>
          <w:rFonts w:hint="eastAsia" w:ascii="宋体" w:hAnsi="宋体" w:eastAsia="宋体" w:cs="宋体"/>
          <w:b/>
          <w:color w:val="000000"/>
          <w:sz w:val="36"/>
          <w:highlight w:val="none"/>
        </w:rPr>
        <w:br w:type="page" w:clear="all"/>
      </w:r>
      <w:r>
        <w:rPr>
          <w:rFonts w:hint="eastAsia" w:ascii="宋体" w:hAnsi="宋体" w:eastAsia="宋体" w:cs="宋体"/>
          <w:b/>
          <w:color w:val="000000"/>
          <w:sz w:val="36"/>
          <w:highlight w:val="none"/>
        </w:rPr>
        <w:t xml:space="preserve">安全生产合同</w:t>
      </w:r>
      <w:bookmarkEnd w:id="175"/>
      <w:r>
        <w:rPr>
          <w:rFonts w:hint="eastAsia" w:ascii="宋体" w:hAnsi="宋体" w:eastAsia="宋体" w:cs="宋体"/>
          <w:b/>
          <w:color w:val="000000"/>
          <w:sz w:val="36"/>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hAnsi="宋体" w:eastAsia="宋体" w:cs="宋体"/>
          <w:b w:val="0"/>
          <w:bCs/>
          <w:color w:val="000000"/>
          <w:sz w:val="24"/>
          <w:szCs w:val="24"/>
          <w:highlight w:val="none"/>
          <w:u w:val="single"/>
          <w:lang w:eastAsia="zh-CN"/>
        </w:rPr>
        <w:t xml:space="preserve">巡护船及配套设施采购项目（二次）</w:t>
      </w:r>
      <w:r>
        <w:rPr>
          <w:rFonts w:hint="eastAsia" w:ascii="宋体" w:hAnsi="宋体" w:eastAsia="宋体" w:cs="宋体"/>
          <w:color w:val="000000"/>
          <w:sz w:val="24"/>
          <w:szCs w:val="24"/>
          <w:highlight w:val="none"/>
        </w:rPr>
        <w:t xml:space="preserve">实施过程中创造安全、高效的施工环境，切实搞好本项目的安全管理工作，本项目甲方</w:t>
      </w:r>
      <w:r>
        <w:rPr>
          <w:rFonts w:hint="eastAsia" w:ascii="宋体" w:hAnsi="宋体" w:eastAsia="宋体" w:cs="宋体"/>
          <w:b w:val="0"/>
          <w:bCs/>
          <w:color w:val="000000"/>
          <w:sz w:val="24"/>
          <w:szCs w:val="24"/>
          <w:highlight w:val="none"/>
          <w:u w:val="single"/>
        </w:rPr>
        <w:t xml:space="preserve">江苏盐城国家级珍禽自然保护区管理处</w:t>
      </w:r>
      <w:r>
        <w:rPr>
          <w:rFonts w:hint="eastAsia" w:ascii="宋体" w:hAnsi="宋体" w:eastAsia="宋体" w:cs="宋体"/>
          <w:color w:val="000000"/>
          <w:sz w:val="24"/>
          <w:szCs w:val="24"/>
          <w:highlight w:val="none"/>
        </w:rPr>
        <w:t xml:space="preserve">（甲方名称，以下简称“甲方”）与乙方</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（乙方名称，以下简称“乙方”）特此签订安全生产合同：</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6" w:name="_Toc52285375"/>
      <w:r>
        <w:rPr>
          <w:rFonts w:hint="eastAsia" w:ascii="宋体" w:hAnsi="宋体" w:eastAsia="宋体" w:cs="宋体"/>
          <w:b/>
          <w:color w:val="000000"/>
          <w:sz w:val="24"/>
          <w:szCs w:val="24"/>
          <w:highlight w:val="none"/>
        </w:rPr>
        <w:t xml:space="preserve">1、</w:t>
      </w:r>
      <w:bookmarkEnd w:id="176"/>
      <w:r>
        <w:rPr>
          <w:rFonts w:hint="eastAsia" w:ascii="宋体" w:hAnsi="宋体" w:eastAsia="宋体" w:cs="宋体"/>
          <w:b/>
          <w:color w:val="000000"/>
          <w:sz w:val="24"/>
          <w:szCs w:val="24"/>
          <w:highlight w:val="none"/>
        </w:rPr>
        <w:t xml:space="preserve">甲方职责</w:t>
      </w:r>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(5)组织对乙方施工现场进行安全生产检查，监督乙方及时处理发现的各种安全隐患。</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7" w:name="_Toc52285376"/>
      <w:r>
        <w:rPr>
          <w:rFonts w:hint="eastAsia" w:ascii="宋体" w:hAnsi="宋体" w:eastAsia="宋体" w:cs="宋体"/>
          <w:b/>
          <w:color w:val="000000"/>
          <w:sz w:val="24"/>
          <w:szCs w:val="24"/>
          <w:highlight w:val="none"/>
        </w:rPr>
        <w:t xml:space="preserve">2、乙方职责</w:t>
      </w:r>
      <w:bookmarkEnd w:id="177"/>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(1)严格遵守《中华人民共和国安全生产法》等国家有关安全生产的法律法规及有关安全生产的规定。认真执行工程承包合同中的有关安全要求。</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必须按照本工程项目特点，组织制定本工程实施中的生产安全事故应急救援预案；本项目自实施之日起，由乙方统一承担安全生产责任，发生一切安全生产事故均与甲方无关；如果发生安全事故，应按照相关规定，及时上报有关部门，并坚持“四不放过”的原则，严肃处理乙方的相关责任人。</w:t>
      </w:r>
      <w:r>
        <w:rPr>
          <w:rFonts w:hint="eastAsia" w:ascii="宋体" w:hAnsi="宋体" w:eastAsia="宋体" w:cs="宋体"/>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w:t>
      </w:r>
      <w:r>
        <w:rPr>
          <w:rFonts w:hint="eastAsia" w:ascii="宋体" w:hAnsi="宋体" w:eastAsia="宋体" w:cs="宋体"/>
          <w:b w:val="0"/>
          <w:bCs w:val="0"/>
          <w:color w:val="000000"/>
          <w:sz w:val="24"/>
          <w:szCs w:val="24"/>
          <w:highlight w:val="none"/>
        </w:rPr>
        <w:t xml:space="preserve">照《建设工程安全生产管理条例》的相关使</w:t>
      </w:r>
      <w:r>
        <w:rPr>
          <w:rFonts w:hint="eastAsia" w:ascii="宋体" w:hAnsi="宋体" w:eastAsia="宋体" w:cs="宋体"/>
          <w:color w:val="000000"/>
          <w:sz w:val="24"/>
          <w:szCs w:val="24"/>
          <w:highlight w:val="none"/>
        </w:rPr>
        <w:t xml:space="preserve">用和管理。</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8" w:name="_Toc52285377"/>
      <w:r>
        <w:rPr>
          <w:rFonts w:hint="eastAsia" w:ascii="宋体" w:hAnsi="宋体" w:eastAsia="宋体" w:cs="宋体"/>
          <w:b/>
          <w:color w:val="000000"/>
          <w:sz w:val="24"/>
          <w:szCs w:val="24"/>
          <w:highlight w:val="none"/>
        </w:rPr>
        <w:t xml:space="preserve">3、违约责任</w:t>
      </w:r>
      <w:bookmarkEnd w:id="178"/>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如因甲方或乙方违约造成安全事故，将依法追究责任。</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79" w:name="_Toc52285378"/>
      <w:r>
        <w:rPr>
          <w:rFonts w:hint="eastAsia" w:ascii="宋体" w:hAnsi="宋体" w:eastAsia="宋体" w:cs="宋体"/>
          <w:b/>
          <w:color w:val="000000"/>
          <w:sz w:val="24"/>
          <w:szCs w:val="24"/>
          <w:highlight w:val="none"/>
        </w:rPr>
        <w:t xml:space="preserve">4、合同生效</w:t>
      </w:r>
      <w:bookmarkEnd w:id="179"/>
      <w:r>
        <w:rPr>
          <w:rFonts w:hint="eastAsia" w:ascii="宋体" w:hAnsi="宋体" w:eastAsia="宋体" w:cs="宋体"/>
          <w:b/>
          <w:color w:val="000000"/>
          <w:sz w:val="24"/>
          <w:szCs w:val="24"/>
          <w:highlight w:val="none"/>
        </w:rPr>
      </w:r>
      <w:r/>
    </w:p>
    <w:p>
      <w:pPr>
        <w:pStyle w:val="641"/>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本合同由双方法定代表人或其授权的代理人签署并加盖单位章后生效，全部工程竣工验收后失效。</w:t>
      </w:r>
      <w:r>
        <w:rPr>
          <w:rFonts w:hint="eastAsia" w:ascii="宋体" w:hAnsi="宋体" w:eastAsia="宋体" w:cs="宋体"/>
          <w:color w:val="000000"/>
          <w:sz w:val="24"/>
          <w:szCs w:val="24"/>
          <w:highlight w:val="none"/>
        </w:rPr>
      </w:r>
      <w:r/>
    </w:p>
    <w:p>
      <w:pPr>
        <w:pStyle w:val="641"/>
        <w:ind w:firstLine="482"/>
        <w:keepLines w:val="0"/>
        <w:keepNext w:val="0"/>
        <w:pageBreakBefore w:val="0"/>
        <w:spacing w:before="93" w:line="410" w:lineRule="exact"/>
        <w:widowControl w:val="off"/>
        <w:rPr>
          <w:rFonts w:hint="eastAsia" w:ascii="宋体" w:hAnsi="宋体" w:eastAsia="宋体" w:cs="宋体"/>
          <w:b/>
          <w:color w:val="000000"/>
          <w:sz w:val="24"/>
          <w:szCs w:val="24"/>
          <w:highlight w:val="none"/>
        </w:rPr>
        <w:outlineLvl w:val="2"/>
      </w:pPr>
      <w:r/>
      <w:bookmarkStart w:id="180" w:name="_Toc52285379"/>
      <w:r>
        <w:rPr>
          <w:rFonts w:hint="eastAsia" w:ascii="宋体" w:hAnsi="宋体" w:eastAsia="宋体" w:cs="宋体"/>
          <w:b/>
          <w:color w:val="000000"/>
          <w:sz w:val="24"/>
          <w:szCs w:val="24"/>
          <w:highlight w:val="none"/>
        </w:rPr>
        <w:t xml:space="preserve">5、合同份数</w:t>
      </w:r>
      <w:bookmarkEnd w:id="180"/>
      <w:r>
        <w:rPr>
          <w:rFonts w:hint="eastAsia" w:ascii="宋体" w:hAnsi="宋体" w:eastAsia="宋体" w:cs="宋体"/>
          <w:b/>
          <w:color w:val="000000"/>
          <w:sz w:val="24"/>
          <w:szCs w:val="24"/>
          <w:highlight w:val="none"/>
        </w:rPr>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乙方（盖章）：</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法定代表人（或授权代表）</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签字或盖章：</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签字或盖章：</w:t>
      </w:r>
      <w:r/>
    </w:p>
    <w:p>
      <w:pPr>
        <w:pStyle w:val="641"/>
        <w:ind w:left="0" w:right="0" w:firstLine="480"/>
        <w:jc w:val="both"/>
        <w:keepLines w:val="0"/>
        <w:keepNext w:val="0"/>
        <w:pageBreakBefore w:val="0"/>
        <w:spacing w:before="0" w:after="0" w:line="41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 月 日</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日期：年 月 日</w:t>
      </w:r>
      <w:r/>
    </w:p>
    <w:p>
      <w:pPr>
        <w:pStyle w:val="641"/>
        <w:jc w:val="both"/>
        <w:keepLines w:val="0"/>
        <w:keepNext w:val="0"/>
        <w:pageBreakBefore w:val="0"/>
        <w:spacing w:before="156" w:after="156" w:line="390" w:lineRule="exact"/>
        <w:widowControl w:val="off"/>
        <w:rPr>
          <w:rFonts w:hint="eastAsia" w:ascii="宋体" w:hAnsi="宋体" w:eastAsia="宋体" w:cs="宋体"/>
          <w:b/>
          <w:color w:val="000000"/>
          <w:sz w:val="36"/>
          <w:highlight w:val="none"/>
        </w:rPr>
        <w:outlineLvl w:val="1"/>
      </w:pPr>
      <w:r>
        <w:rPr>
          <w:rFonts w:hint="eastAsia" w:ascii="宋体" w:hAnsi="宋体" w:eastAsia="宋体" w:cs="宋体"/>
          <w:b/>
          <w:color w:val="000000"/>
          <w:sz w:val="36"/>
          <w:highlight w:val="none"/>
        </w:rPr>
      </w:r>
      <w:r/>
    </w:p>
    <w:p>
      <w:pPr>
        <w:pStyle w:val="641"/>
        <w:jc w:val="center"/>
        <w:keepLines w:val="0"/>
        <w:keepNext w:val="0"/>
        <w:pageBreakBefore w:val="0"/>
        <w:spacing w:before="156" w:after="156" w:line="390" w:lineRule="exact"/>
        <w:widowControl w:val="off"/>
        <w:rPr>
          <w:rFonts w:hint="eastAsia" w:ascii="宋体" w:hAnsi="宋体" w:eastAsia="宋体" w:cs="宋体"/>
          <w:b/>
          <w:color w:val="000000"/>
          <w:sz w:val="36"/>
          <w:highlight w:val="none"/>
        </w:rPr>
        <w:outlineLvl w:val="1"/>
      </w:pPr>
      <w:r>
        <w:rPr>
          <w:rFonts w:hint="eastAsia" w:ascii="宋体" w:hAnsi="宋体" w:eastAsia="宋体" w:cs="宋体"/>
          <w:b/>
          <w:color w:val="000000"/>
          <w:sz w:val="36"/>
          <w:highlight w:val="none"/>
        </w:rPr>
      </w:r>
      <w:r/>
    </w:p>
    <w:p>
      <w:pPr>
        <w:pStyle w:val="641"/>
        <w:jc w:val="center"/>
        <w:keepLines w:val="0"/>
        <w:keepNext w:val="0"/>
        <w:pageBreakBefore w:val="0"/>
        <w:spacing w:before="156" w:after="156" w:line="390" w:lineRule="exact"/>
        <w:widowControl w:val="off"/>
        <w:rPr>
          <w:rFonts w:hint="eastAsia" w:ascii="宋体" w:hAnsi="宋体" w:eastAsia="宋体" w:cs="宋体"/>
          <w:b/>
          <w:color w:val="000000"/>
          <w:sz w:val="36"/>
          <w:highlight w:val="none"/>
          <w:lang w:val="en-US" w:eastAsia="zh-CN"/>
        </w:rPr>
        <w:outlineLvl w:val="1"/>
      </w:pPr>
      <w:r>
        <w:rPr>
          <w:rFonts w:hint="eastAsia" w:ascii="宋体" w:hAnsi="宋体" w:eastAsia="宋体" w:cs="宋体"/>
          <w:b/>
          <w:color w:val="000000"/>
          <w:sz w:val="36"/>
          <w:highlight w:val="none"/>
        </w:rPr>
        <w:t xml:space="preserve">安全生产</w:t>
      </w:r>
      <w:r>
        <w:rPr>
          <w:rFonts w:hint="eastAsia" w:ascii="宋体" w:hAnsi="宋体" w:eastAsia="宋体" w:cs="宋体"/>
          <w:b/>
          <w:color w:val="000000"/>
          <w:sz w:val="36"/>
          <w:highlight w:val="none"/>
          <w:lang w:val="en-US" w:eastAsia="zh-CN"/>
        </w:rPr>
        <w:t xml:space="preserve">责任承诺书</w:t>
      </w:r>
      <w:r>
        <w:rPr>
          <w:rFonts w:hint="eastAsia" w:ascii="宋体" w:hAnsi="宋体" w:eastAsia="宋体" w:cs="宋体"/>
          <w:b/>
          <w:color w:val="000000"/>
          <w:sz w:val="36"/>
          <w:highlight w:val="none"/>
          <w:lang w:val="en-US" w:eastAsia="zh-CN"/>
        </w:rPr>
      </w:r>
      <w:r/>
    </w:p>
    <w:p>
      <w:pPr>
        <w:pStyle w:val="641"/>
        <w:ind w:firstLine="480"/>
        <w:pageBreakBefore w:val="0"/>
        <w:spacing w:line="39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641"/>
        <w:pageBreakBefore w:val="0"/>
        <w:spacing w:line="39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江苏盐城国家级珍禽自然保护区管理处：</w:t>
      </w:r>
      <w:r>
        <w:rPr>
          <w:rFonts w:hint="eastAsia" w:ascii="宋体" w:hAnsi="宋体" w:eastAsia="宋体" w:cs="宋体"/>
          <w:color w:val="000000"/>
          <w:sz w:val="24"/>
          <w:highlight w:val="none"/>
          <w:lang w:val="en-US" w:eastAsia="zh-CN"/>
        </w:rPr>
      </w:r>
      <w:r/>
    </w:p>
    <w:p>
      <w:pPr>
        <w:pStyle w:val="641"/>
        <w:numPr>
          <w:ilvl w:val="0"/>
          <w:numId w:val="0"/>
        </w:numPr>
        <w:ind w:firstLine="480"/>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我(单位)向你(单位)承诺：</w:t>
      </w:r>
      <w:r>
        <w:rPr>
          <w:rFonts w:hint="eastAsia" w:ascii="宋体" w:hAnsi="宋体" w:eastAsia="宋体" w:cs="宋体"/>
          <w:color w:val="000000"/>
          <w:sz w:val="24"/>
          <w:szCs w:val="24"/>
          <w:highlight w:val="none"/>
          <w:lang w:val="en-US" w:eastAsia="zh-CN"/>
        </w:rPr>
      </w:r>
      <w:r/>
    </w:p>
    <w:p>
      <w:pPr>
        <w:pStyle w:val="641"/>
        <w:numPr>
          <w:ilvl w:val="0"/>
          <w:numId w:val="0"/>
        </w:numPr>
        <w:ind w:firstLine="480"/>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我(单位)在承接</w:t>
      </w:r>
      <w:r>
        <w:rPr>
          <w:rFonts w:hint="eastAsia" w:hAnsi="宋体" w:eastAsia="宋体" w:cs="宋体"/>
          <w:color w:val="000000"/>
          <w:sz w:val="24"/>
          <w:szCs w:val="24"/>
          <w:highlight w:val="none"/>
          <w:u w:val="single"/>
          <w:lang w:val="en-US" w:eastAsia="zh-CN"/>
        </w:rPr>
        <w:t xml:space="preserve">巡护船及配套设施采购项目（二次）</w:t>
      </w:r>
      <w:r>
        <w:rPr>
          <w:rFonts w:hint="eastAsia" w:ascii="宋体" w:hAnsi="宋体" w:eastAsia="宋体" w:cs="宋体"/>
          <w:color w:val="000000"/>
          <w:sz w:val="24"/>
          <w:szCs w:val="24"/>
          <w:highlight w:val="none"/>
          <w:lang w:val="en-US" w:eastAsia="zh-CN"/>
        </w:rPr>
        <w:t xml:space="preserve">实施过程中，自行负责本项目</w:t>
      </w:r>
      <w:r>
        <w:rPr>
          <w:rFonts w:hint="eastAsia" w:ascii="宋体" w:hAnsi="宋体" w:eastAsia="宋体" w:cs="宋体"/>
          <w:color w:val="000000"/>
          <w:sz w:val="24"/>
          <w:szCs w:val="24"/>
          <w:highlight w:val="none"/>
          <w:lang w:eastAsia="zh-CN"/>
        </w:rPr>
        <w:t xml:space="preserve">实施</w:t>
      </w:r>
      <w:r>
        <w:rPr>
          <w:rFonts w:hint="eastAsia" w:ascii="宋体" w:hAnsi="宋体" w:eastAsia="宋体" w:cs="宋体"/>
          <w:color w:val="000000"/>
          <w:sz w:val="24"/>
          <w:szCs w:val="24"/>
          <w:highlight w:val="none"/>
          <w:lang w:val="en-US" w:eastAsia="zh-CN"/>
        </w:rPr>
        <w:t xml:space="preserve">过程中的相关安全措施，并自行承担全部安全责任，乙方在施工现场及为施工所发生的任何安全责任事故均由乙方自行负责，并承担由此发生的一切费用。</w:t>
      </w:r>
      <w:r>
        <w:rPr>
          <w:rFonts w:hint="eastAsia" w:ascii="宋体" w:hAnsi="宋体" w:eastAsia="宋体" w:cs="宋体"/>
          <w:color w:val="000000"/>
          <w:sz w:val="24"/>
          <w:szCs w:val="24"/>
          <w:highlight w:val="none"/>
          <w:lang w:val="en-US" w:eastAsia="zh-CN"/>
        </w:rPr>
      </w:r>
      <w:r/>
    </w:p>
    <w:p>
      <w:pPr>
        <w:pStyle w:val="641"/>
        <w:numPr>
          <w:ilvl w:val="0"/>
          <w:numId w:val="0"/>
        </w:numPr>
        <w:ind w:firstLine="480"/>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特此承诺！</w:t>
      </w:r>
      <w:r>
        <w:rPr>
          <w:rFonts w:hint="eastAsia" w:ascii="宋体" w:hAnsi="宋体" w:eastAsia="宋体" w:cs="宋体"/>
          <w:color w:val="000000"/>
          <w:sz w:val="24"/>
          <w:szCs w:val="24"/>
          <w:highlight w:val="none"/>
          <w:lang w:val="en-US" w:eastAsia="zh-CN"/>
        </w:rPr>
      </w:r>
      <w:r/>
    </w:p>
    <w:p>
      <w:pPr>
        <w:pStyle w:val="641"/>
        <w:ind w:firstLine="480"/>
        <w:pageBreakBefore w:val="0"/>
        <w:spacing w:line="39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1"/>
        <w:ind w:firstLine="480"/>
        <w:pageBreakBefore w:val="0"/>
        <w:spacing w:line="39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1"/>
        <w:ind w:firstLine="5040"/>
        <w:pageBreakBefore w:val="0"/>
        <w:spacing w:line="3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rPr>
      </w:r>
      <w:r/>
    </w:p>
    <w:p>
      <w:pPr>
        <w:pStyle w:val="641"/>
        <w:pageBreakBefore w:val="0"/>
        <w:spacing w:line="3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41"/>
        <w:ind w:firstLine="5040"/>
        <w:pageBreakBefore w:val="0"/>
        <w:spacing w:line="3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代表(理)人签名：</w:t>
      </w:r>
      <w:r>
        <w:rPr>
          <w:rFonts w:hint="eastAsia" w:ascii="宋体" w:hAnsi="宋体" w:eastAsia="宋体" w:cs="宋体"/>
          <w:color w:val="000000"/>
          <w:sz w:val="24"/>
          <w:szCs w:val="24"/>
          <w:highlight w:val="none"/>
        </w:rPr>
      </w:r>
      <w:r/>
    </w:p>
    <w:p>
      <w:pPr>
        <w:pStyle w:val="641"/>
        <w:ind w:firstLine="5040"/>
        <w:pageBreakBefore w:val="0"/>
        <w:spacing w:line="39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1"/>
        <w:ind w:firstLine="5040"/>
        <w:pageBreakBefore w:val="0"/>
        <w:spacing w:line="3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承诺日期：     年   月   日</w:t>
      </w:r>
      <w:r>
        <w:rPr>
          <w:rFonts w:hint="eastAsia" w:ascii="宋体" w:hAnsi="宋体" w:eastAsia="宋体" w:cs="宋体"/>
          <w:color w:val="000000"/>
          <w:sz w:val="24"/>
          <w:szCs w:val="2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1"/>
      <w:r>
        <w:rPr>
          <w:rFonts w:hint="eastAsia" w:ascii="黑体" w:hAnsi="宋体" w:eastAsia="黑体" w:cs="黑体"/>
          <w:color w:val="000000"/>
          <w:sz w:val="44"/>
          <w:szCs w:val="44"/>
          <w:highlight w:val="none"/>
        </w:rPr>
        <w:t xml:space="preserve">四章 采购需求</w:t>
      </w:r>
      <w:bookmarkEnd w:id="160"/>
      <w:r/>
      <w:bookmarkEnd w:id="162"/>
      <w:r/>
      <w:bookmarkEnd w:id="163"/>
      <w:r/>
      <w:bookmarkEnd w:id="164"/>
      <w:r/>
      <w:bookmarkEnd w:id="165"/>
      <w:r>
        <w:rPr>
          <w:highlight w:val="none"/>
        </w:rPr>
      </w:r>
      <w:r/>
    </w:p>
    <w:p>
      <w:pPr>
        <w:pStyle w:val="659"/>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81" w:name="_Toc26554093"/>
      <w:r/>
      <w:bookmarkStart w:id="182" w:name="_Toc120614281"/>
      <w:r/>
      <w:bookmarkStart w:id="183"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81"/>
      <w:r/>
      <w:bookmarkEnd w:id="183"/>
      <w:r>
        <w:rPr>
          <w:rFonts w:hint="eastAsia" w:ascii="宋体" w:hAnsi="宋体" w:eastAsia="宋体" w:cs="宋体"/>
          <w:color w:val="000000"/>
          <w:sz w:val="24"/>
          <w:szCs w:val="24"/>
          <w:highlight w:val="none"/>
          <w:shd w:val="clear" w:color="auto" w:fill="auto"/>
        </w:rPr>
      </w:r>
      <w:r/>
    </w:p>
    <w:p>
      <w:pPr>
        <w:pStyle w:val="659"/>
        <w:ind w:firstLine="480"/>
        <w:jc w:val="both"/>
        <w:spacing w:beforeAutospacing="0" w:afterAutospacing="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巡护船及配套设施采购项目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包含但不限于货物（及附配件）的采购、制造、运输、安装、调试、系泊试验、试航、船检、交船、培训、验收、质保期内维保、售后服务、船舶登记证书办理相关费用、图审相关费用、专家咨询费、验收费、评审费等一切费用</w:t>
      </w:r>
      <w:r>
        <w:rPr>
          <w:rFonts w:hint="eastAsia" w:ascii="宋体" w:hAnsi="宋体" w:eastAsia="宋体" w:cs="宋体"/>
          <w:color w:val="000000"/>
          <w:sz w:val="24"/>
          <w:szCs w:val="24"/>
          <w:highlight w:val="none"/>
        </w:rPr>
        <w:t xml:space="preserve">，具体内容及要求以招标文件规定为准，招标人保留调整部分工程量的权利。本项目由乙方负责办理船舶登记证书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本项目合同签订后由乙方负责图纸在当地审图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具体明细详见</w:t>
      </w:r>
      <w:r>
        <w:rPr>
          <w:rFonts w:hint="eastAsia" w:ascii="宋体" w:hAnsi="宋体" w:cs="宋体"/>
          <w:color w:val="000000"/>
          <w:sz w:val="24"/>
          <w:szCs w:val="24"/>
          <w:highlight w:val="none"/>
          <w:lang w:eastAsia="zh-CN"/>
        </w:rPr>
        <w:t xml:space="preserve">投标分项报价表</w:t>
      </w:r>
      <w:r>
        <w:rPr>
          <w:rFonts w:hint="eastAsia" w:ascii="宋体" w:hAnsi="宋体" w:cs="宋体"/>
          <w:color w:val="000000"/>
          <w:sz w:val="24"/>
          <w:szCs w:val="24"/>
          <w:highlight w:val="none"/>
          <w:lang w:val="en-US" w:eastAsia="zh-CN"/>
        </w:rPr>
        <w:t xml:space="preserve">及图纸。</w:t>
      </w:r>
      <w:r>
        <w:rPr>
          <w:rFonts w:ascii="宋体" w:hAnsi="宋体" w:eastAsia="宋体" w:cs="宋体"/>
          <w:color w:val="000000"/>
          <w:sz w:val="24"/>
          <w:szCs w:val="24"/>
          <w:highlight w:val="none"/>
          <w:lang w:val="en-US" w:eastAsia="zh-CN"/>
        </w:rPr>
      </w:r>
      <w:r/>
    </w:p>
    <w:p>
      <w:pPr>
        <w:pStyle w:val="641"/>
        <w:ind w:firstLine="480"/>
        <w:keepLines w:val="0"/>
        <w:keepNext w:val="0"/>
        <w:pageBreakBefore w:val="0"/>
        <w:spacing w:line="470" w:lineRule="exac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质量要求：完成项目需求约定的全部内容，满足采购人需求，质量合格，并通过采购人组织的专家验收。</w:t>
      </w:r>
      <w:r>
        <w:rPr>
          <w:rFonts w:hint="eastAsia" w:ascii="宋体" w:hAnsi="宋体" w:eastAsia="宋体" w:cs="宋体"/>
          <w:sz w:val="24"/>
          <w:szCs w:val="24"/>
          <w:highlight w:val="none"/>
          <w:lang w:val="zh-CN" w:eastAsia="zh-CN"/>
        </w:rPr>
      </w:r>
      <w:r/>
    </w:p>
    <w:p>
      <w:pPr>
        <w:pStyle w:val="641"/>
        <w:ind w:firstLine="480"/>
        <w:keepLines w:val="0"/>
        <w:keepNext w:val="0"/>
        <w:pageBreakBefore w:val="0"/>
        <w:spacing w:line="47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本项目图纸下载链接为：https://pan.baidu.com/s/1s6t7lAb-riAfaQyRxq9tXg?pwd=qukf 提取码: qukf </w:t>
      </w:r>
      <w:r>
        <w:rPr>
          <w:rFonts w:hint="eastAsia" w:ascii="宋体" w:hAnsi="宋体" w:eastAsia="宋体" w:cs="宋体"/>
          <w:sz w:val="24"/>
          <w:szCs w:val="24"/>
          <w:highlight w:val="none"/>
          <w:lang w:val="en-US" w:eastAsia="zh-CN"/>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1"/>
        <w:ind w:firstLine="132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4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rPr>
          <w:rFonts w:hint="eastAsia" w:ascii="宋体" w:hAnsi="宋体" w:eastAsia="宋体" w:cs="宋体"/>
          <w:color w:val="000000"/>
          <w:sz w:val="24"/>
          <w:szCs w:val="24"/>
          <w:highlight w:val="none"/>
        </w:rPr>
      </w:r>
      <w:r/>
    </w:p>
    <w:p>
      <w:pPr>
        <w:pStyle w:val="659"/>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（1）本项目为非专门面向中小企业采购，采购标的所属行业为工业，对符合规定的小型和微型企业报价给予20%的扣除价格，用扣除后的价格参与评审。</w:t>
      </w:r>
      <w:r>
        <w:rPr>
          <w:rFonts w:hint="eastAsia" w:ascii="宋体" w:hAnsi="宋体" w:eastAsia="宋体" w:cs="宋体"/>
          <w:color w:val="000000"/>
          <w:sz w:val="24"/>
          <w:szCs w:val="24"/>
          <w:highlight w:val="none"/>
        </w:rPr>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59"/>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41"/>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sz w:val="24"/>
          <w:szCs w:val="24"/>
          <w:lang w:val="en-US" w:eastAsia="zh-CN"/>
        </w:rPr>
      </w:r>
      <w:r/>
    </w:p>
    <w:p>
      <w:pPr>
        <w:pStyle w:val="641"/>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6、联合体各方均为小型、微型企业（残疾人福利单位、监狱企业）的，联合体享受20%的价格扣除。</w:t>
      </w:r>
      <w:r>
        <w:rPr>
          <w:rFonts w:hint="eastAsia" w:ascii="宋体" w:hAnsi="宋体" w:eastAsia="宋体" w:cs="宋体"/>
          <w:sz w:val="24"/>
          <w:szCs w:val="24"/>
          <w:lang w:val="en-US" w:eastAsia="zh-CN"/>
        </w:rPr>
      </w:r>
      <w:r/>
    </w:p>
    <w:p>
      <w:pPr>
        <w:pStyle w:val="641"/>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rPr>
          <w:rFonts w:hint="eastAsia" w:ascii="宋体" w:hAnsi="宋体" w:eastAsia="宋体" w:cs="宋体"/>
          <w:b/>
          <w:bCs/>
          <w:color w:val="ff0000"/>
          <w:sz w:val="24"/>
          <w:szCs w:val="24"/>
        </w:rPr>
      </w:r>
      <w:r/>
    </w:p>
    <w:p>
      <w:pPr>
        <w:pStyle w:val="641"/>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rPr>
          <w:rFonts w:hint="eastAsia" w:ascii="宋体" w:hAnsi="宋体" w:eastAsia="宋体" w:cs="宋体"/>
          <w:b/>
          <w:bCs/>
          <w:color w:val="ff0000"/>
          <w:sz w:val="24"/>
          <w:szCs w:val="24"/>
        </w:rPr>
      </w:r>
      <w:r/>
    </w:p>
    <w:p>
      <w:pPr>
        <w:pStyle w:val="641"/>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w:t>
      </w:r>
      <w:r>
        <w:rPr>
          <w:rFonts w:hint="eastAsia" w:ascii="宋体" w:hAnsi="宋体" w:eastAsia="宋体" w:cs="宋体"/>
          <w:b/>
          <w:bCs/>
          <w:color w:val="ff0000"/>
          <w:sz w:val="24"/>
          <w:szCs w:val="24"/>
          <w:highlight w:val="none"/>
        </w:rPr>
        <w:t xml:space="preserve">例数值未达到80%的，将</w:t>
      </w:r>
      <w:r>
        <w:rPr>
          <w:rFonts w:hint="eastAsia" w:ascii="宋体" w:hAnsi="宋体" w:eastAsia="宋体" w:cs="宋体"/>
          <w:b/>
          <w:bCs/>
          <w:color w:val="ff0000"/>
          <w:sz w:val="24"/>
          <w:szCs w:val="24"/>
        </w:rPr>
        <w:t xml:space="preserve">不享受本国产品价格评审优惠。</w:t>
      </w:r>
      <w:r>
        <w:rPr>
          <w:rFonts w:hint="eastAsia" w:ascii="宋体" w:hAnsi="宋体" w:eastAsia="宋体" w:cs="宋体"/>
          <w:b/>
          <w:bCs/>
          <w:color w:val="ff0000"/>
          <w:sz w:val="24"/>
          <w:szCs w:val="24"/>
        </w:rPr>
      </w:r>
      <w:r/>
    </w:p>
    <w:p>
      <w:pPr>
        <w:pStyle w:val="641"/>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rPr>
      </w:r>
      <w:r/>
    </w:p>
    <w:p>
      <w:pPr>
        <w:pStyle w:val="641"/>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b/>
          <w:bCs/>
          <w:color w:val="ff0000"/>
          <w:sz w:val="24"/>
          <w:szCs w:val="24"/>
        </w:rPr>
      </w:r>
      <w:r/>
    </w:p>
    <w:p>
      <w:pPr>
        <w:pStyle w:val="641"/>
        <w:ind w:firstLine="482"/>
        <w:jc w:val="left"/>
        <w:spacing w:line="40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宋体" w:hAnsi="宋体" w:eastAsia="宋体" w:cs="宋体"/>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bCs/>
          <w:color w:val="000000"/>
          <w:sz w:val="24"/>
          <w:szCs w:val="24"/>
          <w:highlight w:val="none"/>
          <w:lang w:val="en-US" w:eastAsia="zh-CN"/>
        </w:rPr>
      </w:r>
      <w:r/>
    </w:p>
    <w:p>
      <w:pPr>
        <w:pStyle w:val="641"/>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lang w:val="en-US" w:eastAsia="zh-CN"/>
        </w:rPr>
      </w:r>
      <w:r/>
    </w:p>
    <w:p>
      <w:pPr>
        <w:pStyle w:val="659"/>
        <w:ind w:firstLine="482"/>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color w:val="000000"/>
          <w:sz w:val="24"/>
          <w:szCs w:val="24"/>
          <w:highlight w:val="none"/>
        </w:rPr>
      </w:r>
      <w:r/>
    </w:p>
    <w:p>
      <w:pPr>
        <w:pStyle w:val="641"/>
        <w:ind w:firstLine="480"/>
        <w:spacing w:line="360" w:lineRule="auto"/>
        <w:widowControl/>
        <w:rPr>
          <w:rFonts w:hint="eastAsia" w:ascii="宋体" w:hAnsi="宋体" w:eastAsia="宋体" w:cs="宋体"/>
          <w:spacing w:val="-12"/>
          <w:sz w:val="22"/>
          <w:szCs w:val="21"/>
          <w:highlight w:val="none"/>
          <w:lang w:val="en-US" w:eastAsia="zh-CN" w:bidi="ar-SA"/>
        </w:rPr>
      </w:pPr>
      <w:r>
        <w:rPr>
          <w:rFonts w:hint="eastAsia" w:eastAsia="Arial"/>
          <w:color w:val="000000"/>
          <w:sz w:val="24"/>
          <w:highlight w:val="none"/>
          <w:lang w:val="en-US" w:eastAsia="zh-CN"/>
        </w:rPr>
        <w:t xml:space="preserve">评标时，评标委员会各成员独立对每个投标人的投标文件进行评价，并汇总每个投标人的得分。</w:t>
      </w:r>
      <w:r>
        <w:rPr>
          <w:rFonts w:hint="eastAsia" w:ascii="宋体" w:hAnsi="宋体" w:eastAsia="宋体" w:cs="宋体"/>
          <w:spacing w:val="-12"/>
          <w:sz w:val="22"/>
          <w:szCs w:val="21"/>
          <w:highlight w:val="none"/>
          <w:lang w:val="en-US" w:eastAsia="zh-CN" w:bidi="ar-SA"/>
        </w:rPr>
      </w:r>
      <w:r/>
    </w:p>
    <w:tbl>
      <w:tblPr>
        <w:tblpPr w:horzAnchor="page" w:tblpX="1201" w:vertAnchor="text" w:tblpY="1187" w:leftFromText="180" w:topFromText="0" w:rightFromText="180" w:bottomFromText="0"/>
        <w:tblW w:w="9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9"/>
        <w:gridCol w:w="1118"/>
        <w:gridCol w:w="6943"/>
        <w:gridCol w:w="606"/>
      </w:tblGrid>
      <w:tr>
        <w:trPr>
          <w:trHeight w:val="1036"/>
        </w:trPr>
        <w:tc>
          <w:tcPr>
            <w:tcW w:w="969" w:type="dxa"/>
            <w:vAlign w:val="top"/>
            <w:textDirection w:val="lrTb"/>
            <w:noWrap w:val="false"/>
          </w:tcPr>
          <w:p>
            <w:pPr>
              <w:pStyle w:val="674"/>
              <w:ind w:left="231" w:right="221"/>
              <w:jc w:val="center"/>
              <w:spacing w:before="153"/>
              <w:rPr>
                <w:rFonts w:hint="eastAsia" w:ascii="宋体" w:hAnsi="宋体" w:eastAsia="宋体" w:cs="宋体"/>
                <w:b/>
                <w:color w:val="000000"/>
                <w:sz w:val="22"/>
                <w:szCs w:val="22"/>
                <w:highlight w:val="none"/>
              </w:rPr>
              <w:framePr w:vAnchor="text" w:hAnchor="page" w:x="1201" w:y="1187"/>
            </w:pPr>
            <w:r>
              <w:rPr>
                <w:rFonts w:hint="eastAsia" w:ascii="宋体" w:hAnsi="宋体" w:eastAsia="宋体" w:cs="宋体"/>
                <w:b/>
                <w:color w:val="000000"/>
                <w:sz w:val="22"/>
                <w:szCs w:val="22"/>
                <w:highlight w:val="none"/>
              </w:rPr>
              <w:t xml:space="preserve">序号</w:t>
            </w:r>
            <w:r>
              <w:rPr>
                <w:rFonts w:hint="eastAsia" w:ascii="宋体" w:hAnsi="宋体" w:eastAsia="宋体" w:cs="宋体"/>
                <w:b/>
                <w:color w:val="000000"/>
                <w:sz w:val="22"/>
                <w:szCs w:val="22"/>
                <w:highlight w:val="none"/>
              </w:rPr>
            </w:r>
            <w:r/>
          </w:p>
        </w:tc>
        <w:tc>
          <w:tcPr>
            <w:tcW w:w="1118" w:type="dxa"/>
            <w:vAlign w:val="top"/>
            <w:textDirection w:val="lrTb"/>
            <w:noWrap w:val="false"/>
          </w:tcPr>
          <w:p>
            <w:pPr>
              <w:pStyle w:val="674"/>
              <w:ind w:left="138"/>
              <w:jc w:val="center"/>
              <w:spacing w:before="153"/>
              <w:rPr>
                <w:rFonts w:hint="eastAsia" w:ascii="宋体" w:hAnsi="宋体" w:eastAsia="宋体" w:cs="宋体"/>
                <w:b/>
                <w:color w:val="000000"/>
                <w:sz w:val="22"/>
                <w:szCs w:val="22"/>
                <w:highlight w:val="none"/>
              </w:rPr>
              <w:framePr w:vAnchor="text" w:hAnchor="page" w:x="1201" w:y="1187"/>
            </w:pPr>
            <w:r>
              <w:rPr>
                <w:rFonts w:hint="eastAsia" w:ascii="宋体" w:hAnsi="宋体" w:eastAsia="宋体" w:cs="宋体"/>
                <w:b/>
                <w:color w:val="000000"/>
                <w:sz w:val="22"/>
                <w:szCs w:val="22"/>
                <w:highlight w:val="none"/>
              </w:rPr>
              <w:t xml:space="preserve">评分因素</w:t>
            </w:r>
            <w:r>
              <w:rPr>
                <w:rFonts w:hint="eastAsia" w:ascii="宋体" w:hAnsi="宋体" w:eastAsia="宋体" w:cs="宋体"/>
                <w:b/>
                <w:color w:val="000000"/>
                <w:sz w:val="22"/>
                <w:szCs w:val="22"/>
                <w:highlight w:val="none"/>
              </w:rPr>
            </w:r>
            <w:r/>
          </w:p>
        </w:tc>
        <w:tc>
          <w:tcPr>
            <w:tcW w:w="6943" w:type="dxa"/>
            <w:vAlign w:val="top"/>
            <w:textDirection w:val="lrTb"/>
            <w:noWrap w:val="false"/>
          </w:tcPr>
          <w:p>
            <w:pPr>
              <w:pStyle w:val="674"/>
              <w:ind w:left="2797" w:right="2784"/>
              <w:jc w:val="center"/>
              <w:spacing w:before="153"/>
              <w:rPr>
                <w:rFonts w:hint="eastAsia" w:ascii="宋体" w:hAnsi="宋体" w:eastAsia="宋体" w:cs="宋体"/>
                <w:b/>
                <w:color w:val="000000"/>
                <w:sz w:val="22"/>
                <w:szCs w:val="22"/>
                <w:highlight w:val="none"/>
              </w:rPr>
              <w:framePr w:vAnchor="text" w:hAnchor="page" w:x="1201" w:y="1187"/>
            </w:pPr>
            <w:r>
              <w:rPr>
                <w:rFonts w:hint="eastAsia" w:ascii="宋体" w:hAnsi="宋体" w:eastAsia="宋体" w:cs="宋体"/>
                <w:b/>
                <w:color w:val="000000"/>
                <w:sz w:val="22"/>
                <w:szCs w:val="22"/>
                <w:highlight w:val="none"/>
              </w:rPr>
              <w:t xml:space="preserve">评审标准</w:t>
            </w:r>
            <w:r>
              <w:rPr>
                <w:rFonts w:hint="eastAsia" w:ascii="宋体" w:hAnsi="宋体" w:eastAsia="宋体" w:cs="宋体"/>
                <w:b/>
                <w:color w:val="000000"/>
                <w:sz w:val="22"/>
                <w:szCs w:val="22"/>
                <w:highlight w:val="none"/>
              </w:rPr>
            </w:r>
            <w:r/>
          </w:p>
        </w:tc>
        <w:tc>
          <w:tcPr>
            <w:tcW w:w="606" w:type="dxa"/>
            <w:vAlign w:val="top"/>
            <w:textDirection w:val="lrTb"/>
            <w:noWrap w:val="false"/>
          </w:tcPr>
          <w:p>
            <w:pPr>
              <w:pStyle w:val="674"/>
              <w:ind w:left="224" w:right="216"/>
              <w:jc w:val="center"/>
              <w:spacing w:before="153"/>
              <w:rPr>
                <w:rFonts w:hint="eastAsia" w:ascii="宋体" w:hAnsi="宋体" w:eastAsia="宋体" w:cs="宋体"/>
                <w:b/>
                <w:color w:val="000000"/>
                <w:sz w:val="22"/>
                <w:szCs w:val="22"/>
                <w:highlight w:val="none"/>
              </w:rPr>
              <w:framePr w:vAnchor="text" w:hAnchor="page" w:x="1201" w:y="1187"/>
            </w:pPr>
            <w:r>
              <w:rPr>
                <w:rFonts w:hint="eastAsia" w:ascii="宋体" w:hAnsi="宋体" w:eastAsia="宋体" w:cs="宋体"/>
                <w:b/>
                <w:color w:val="000000"/>
                <w:sz w:val="22"/>
                <w:szCs w:val="22"/>
                <w:highlight w:val="none"/>
              </w:rPr>
              <w:t xml:space="preserve">分值</w:t>
            </w:r>
            <w:r>
              <w:rPr>
                <w:rFonts w:hint="eastAsia" w:ascii="宋体" w:hAnsi="宋体" w:eastAsia="宋体" w:cs="宋体"/>
                <w:b/>
                <w:color w:val="000000"/>
                <w:sz w:val="22"/>
                <w:szCs w:val="22"/>
                <w:highlight w:val="none"/>
              </w:rPr>
            </w:r>
            <w:r/>
          </w:p>
        </w:tc>
      </w:tr>
      <w:tr>
        <w:trPr>
          <w:trHeight w:val="1247"/>
        </w:trPr>
        <w:tc>
          <w:tcPr>
            <w:tcW w:w="969" w:type="dxa"/>
            <w:vAlign w:val="center"/>
            <w:textDirection w:val="lrTb"/>
            <w:noWrap w:val="false"/>
          </w:tcPr>
          <w:p>
            <w:pPr>
              <w:pStyle w:val="674"/>
              <w:ind w:left="108" w:firstLine="220"/>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pacing w:val="-3"/>
                <w:sz w:val="22"/>
                <w:szCs w:val="22"/>
                <w:highlight w:val="none"/>
                <w:lang w:val="en-US" w:eastAsia="zh-CN"/>
              </w:rPr>
            </w:r>
            <w:r/>
          </w:p>
        </w:tc>
        <w:tc>
          <w:tcPr>
            <w:tcW w:w="1118" w:type="dxa"/>
            <w:vAlign w:val="center"/>
            <w:textDirection w:val="lrTb"/>
            <w:noWrap w:val="false"/>
          </w:tcPr>
          <w:p>
            <w:pPr>
              <w:pStyle w:val="674"/>
              <w:ind w:left="108" w:right="0"/>
              <w:jc w:val="center"/>
              <w:spacing w:before="21" w:line="360" w:lineRule="auto"/>
              <w:rPr>
                <w:rFonts w:hint="eastAsia" w:ascii="宋体" w:hAnsi="宋体" w:eastAsia="宋体" w:cs="宋体"/>
                <w:color w:val="000000"/>
                <w:spacing w:val="-3"/>
                <w:sz w:val="22"/>
                <w:szCs w:val="22"/>
                <w:highlight w:val="none"/>
              </w:rPr>
              <w:framePr w:vAnchor="text" w:hAnchor="page" w:x="1201" w:y="1187"/>
            </w:pPr>
            <w:r>
              <w:rPr>
                <w:rFonts w:hint="eastAsia" w:ascii="宋体" w:hAnsi="宋体" w:eastAsia="宋体" w:cs="宋体"/>
                <w:color w:val="000000"/>
                <w:sz w:val="22"/>
                <w:szCs w:val="22"/>
                <w:highlight w:val="none"/>
                <w:lang w:val="en-US" w:bidi="ar-SA"/>
              </w:rPr>
              <w:t xml:space="preserve">报价</w:t>
            </w:r>
            <w:r>
              <w:rPr>
                <w:rFonts w:hint="eastAsia" w:ascii="宋体" w:hAnsi="宋体" w:eastAsia="宋体" w:cs="宋体"/>
                <w:color w:val="000000"/>
                <w:spacing w:val="-3"/>
                <w:sz w:val="22"/>
                <w:szCs w:val="22"/>
                <w:highlight w:val="none"/>
              </w:rPr>
            </w:r>
            <w:r/>
          </w:p>
        </w:tc>
        <w:tc>
          <w:tcPr>
            <w:tcW w:w="6943" w:type="dxa"/>
            <w:vAlign w:val="center"/>
            <w:textDirection w:val="lrTb"/>
            <w:noWrap w:val="false"/>
          </w:tcPr>
          <w:p>
            <w:pPr>
              <w:pStyle w:val="641"/>
              <w:ind w:firstLine="431"/>
              <w:spacing w:line="600" w:lineRule="exact"/>
              <w:rPr>
                <w:rFonts w:hint="eastAsia" w:ascii="宋体" w:hAnsi="宋体" w:eastAsia="宋体" w:cs="宋体"/>
                <w:color w:val="000000"/>
                <w:spacing w:val="-3"/>
                <w:sz w:val="22"/>
                <w:szCs w:val="22"/>
                <w:highlight w:val="none"/>
              </w:rPr>
              <w:framePr w:vAnchor="text" w:hAnchor="page" w:x="1201" w:y="1187"/>
            </w:pPr>
            <w:r>
              <w:rPr>
                <w:rFonts w:hint="eastAsia" w:ascii="宋体" w:hAnsi="宋体" w:eastAsia="宋体" w:cs="宋体"/>
                <w:color w:val="000000"/>
                <w:sz w:val="22"/>
                <w:szCs w:val="22"/>
                <w:highlight w:val="none"/>
              </w:rPr>
              <w:t xml:space="preserve">投标人的价格分统一按下列公式计算：投标报价得分=（评标基准价/投标报价）×</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。评标基准价是指满足招标文件要求且投标价格最低的投标报价。(报价得分四舍五入保留2位小数）</w:t>
            </w:r>
            <w:r>
              <w:rPr>
                <w:rFonts w:hint="eastAsia" w:ascii="宋体" w:hAnsi="宋体" w:eastAsia="宋体" w:cs="宋体"/>
                <w:color w:val="000000"/>
                <w:spacing w:val="-3"/>
                <w:sz w:val="22"/>
                <w:szCs w:val="22"/>
                <w:highlight w:val="none"/>
              </w:rPr>
            </w:r>
            <w:r/>
          </w:p>
        </w:tc>
        <w:tc>
          <w:tcPr>
            <w:tcW w:w="606" w:type="dxa"/>
            <w:vAlign w:val="center"/>
            <w:textDirection w:val="lrTb"/>
            <w:noWrap w:val="false"/>
          </w:tcPr>
          <w:p>
            <w:pPr>
              <w:pStyle w:val="674"/>
              <w:ind w:left="108" w:right="0"/>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30分</w:t>
            </w:r>
            <w:r>
              <w:rPr>
                <w:rFonts w:hint="eastAsia" w:ascii="宋体" w:hAnsi="宋体" w:eastAsia="宋体" w:cs="宋体"/>
                <w:color w:val="000000"/>
                <w:spacing w:val="-3"/>
                <w:sz w:val="22"/>
                <w:szCs w:val="22"/>
                <w:highlight w:val="none"/>
                <w:lang w:val="en-US" w:eastAsia="zh-CN"/>
              </w:rPr>
            </w:r>
            <w:r/>
          </w:p>
        </w:tc>
      </w:tr>
      <w:tr>
        <w:trPr>
          <w:trHeight w:val="603"/>
        </w:trPr>
        <w:tc>
          <w:tcPr>
            <w:tcW w:w="969" w:type="dxa"/>
            <w:vAlign w:val="center"/>
            <w:textDirection w:val="lrTb"/>
            <w:noWrap w:val="false"/>
          </w:tcPr>
          <w:p>
            <w:pPr>
              <w:pStyle w:val="674"/>
              <w:ind w:left="108" w:firstLine="220"/>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r>
            <w:r/>
          </w:p>
        </w:tc>
        <w:tc>
          <w:tcPr>
            <w:tcW w:w="1118" w:type="dxa"/>
            <w:vAlign w:val="center"/>
            <w:textDirection w:val="lrTb"/>
            <w:noWrap w:val="false"/>
          </w:tcPr>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pacing w:val="0"/>
                <w:sz w:val="22"/>
                <w:szCs w:val="22"/>
                <w:highlight w:val="none"/>
                <w:lang w:val="en-US" w:bidi="ar-SA"/>
              </w:rPr>
              <w:t xml:space="preserve">企业管理体系认证</w:t>
            </w:r>
            <w:r>
              <w:rPr>
                <w:rFonts w:hint="eastAsia" w:ascii="宋体" w:hAnsi="宋体" w:eastAsia="宋体" w:cs="宋体"/>
                <w:color w:val="000000"/>
                <w:sz w:val="22"/>
                <w:szCs w:val="22"/>
                <w:highlight w:val="none"/>
                <w:lang w:val="en-US" w:eastAsia="zh-CN" w:bidi="ar-SA"/>
              </w:rPr>
            </w:r>
            <w:r/>
          </w:p>
        </w:tc>
        <w:tc>
          <w:tcPr>
            <w:tcW w:w="6943" w:type="dxa"/>
            <w:vAlign w:val="center"/>
            <w:textDirection w:val="lrTb"/>
            <w:noWrap w:val="false"/>
          </w:tcPr>
          <w:p>
            <w:pPr>
              <w:pStyle w:val="641"/>
              <w:ind w:firstLine="431"/>
              <w:spacing w:line="600" w:lineRule="exact"/>
              <w:rPr>
                <w:rFonts w:hint="eastAsia" w:ascii="宋体" w:hAnsi="宋体" w:eastAsia="宋体" w:cs="宋体"/>
                <w:color w:val="000000"/>
                <w:sz w:val="22"/>
                <w:szCs w:val="22"/>
                <w:highlight w:val="none"/>
              </w:rPr>
              <w:framePr w:vAnchor="text" w:hAnchor="page" w:x="1201" w:y="1187"/>
            </w:pPr>
            <w:r>
              <w:rPr>
                <w:rFonts w:hint="eastAsia" w:ascii="宋体" w:hAnsi="宋体" w:eastAsia="宋体" w:cs="宋体"/>
                <w:color w:val="000000"/>
                <w:sz w:val="22"/>
                <w:szCs w:val="22"/>
                <w:highlight w:val="none"/>
              </w:rPr>
              <w:t xml:space="preserve">投标供应商具备ISO9001质量管理体系认证证书得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分，具备ISO14001环境管理体系认证证书得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分，具备ISO45001职业安全健康管理体系认证证书得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rPr>
              <w:t xml:space="preserve">注：本项最高得</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分，提供有效期内的证书复印件及网站（国家认证认可监督管理委员会网站）查询截图加盖投标单位公章。</w:t>
            </w:r>
            <w:r>
              <w:rPr>
                <w:rFonts w:hint="eastAsia" w:ascii="宋体" w:hAnsi="宋体" w:eastAsia="宋体" w:cs="宋体"/>
                <w:color w:val="000000"/>
                <w:sz w:val="22"/>
                <w:szCs w:val="22"/>
                <w:highlight w:val="none"/>
                <w:lang w:val="en-US" w:eastAsia="zh-CN" w:bidi="ar-SA"/>
              </w:rPr>
            </w:r>
            <w:r/>
          </w:p>
        </w:tc>
        <w:tc>
          <w:tcPr>
            <w:tcW w:w="606" w:type="dxa"/>
            <w:vAlign w:val="center"/>
            <w:textDirection w:val="lrTb"/>
            <w:noWrap w:val="false"/>
          </w:tcPr>
          <w:p>
            <w:pPr>
              <w:pStyle w:val="674"/>
              <w:ind w:left="108"/>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6分</w:t>
            </w:r>
            <w:r>
              <w:rPr>
                <w:rFonts w:hint="eastAsia" w:ascii="宋体" w:hAnsi="宋体" w:eastAsia="宋体" w:cs="宋体"/>
                <w:color w:val="000000"/>
                <w:spacing w:val="-3"/>
                <w:sz w:val="22"/>
                <w:szCs w:val="22"/>
                <w:highlight w:val="none"/>
                <w:lang w:val="en-US" w:eastAsia="zh-CN"/>
              </w:rPr>
            </w:r>
            <w:r/>
          </w:p>
        </w:tc>
      </w:tr>
      <w:tr>
        <w:trPr>
          <w:trHeight w:val="603"/>
        </w:trPr>
        <w:tc>
          <w:tcPr>
            <w:tcW w:w="969" w:type="dxa"/>
            <w:vAlign w:val="center"/>
            <w:textDirection w:val="lrTb"/>
            <w:noWrap w:val="false"/>
          </w:tcPr>
          <w:p>
            <w:pPr>
              <w:pStyle w:val="674"/>
              <w:ind w:left="108" w:firstLine="220"/>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rPr>
            </w:r>
            <w:r/>
          </w:p>
        </w:tc>
        <w:tc>
          <w:tcPr>
            <w:tcW w:w="1118" w:type="dxa"/>
            <w:vAlign w:val="center"/>
            <w:textDirection w:val="lrTb"/>
            <w:noWrap w:val="false"/>
          </w:tcPr>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业绩</w:t>
            </w:r>
            <w:r>
              <w:rPr>
                <w:rFonts w:hint="eastAsia" w:ascii="宋体" w:hAnsi="宋体" w:eastAsia="宋体" w:cs="宋体"/>
                <w:color w:val="000000"/>
                <w:sz w:val="22"/>
                <w:szCs w:val="22"/>
                <w:highlight w:val="none"/>
                <w:lang w:val="en-US" w:eastAsia="zh-CN" w:bidi="ar-SA"/>
              </w:rPr>
            </w:r>
            <w:r/>
          </w:p>
        </w:tc>
        <w:tc>
          <w:tcPr>
            <w:tcW w:w="6943" w:type="dxa"/>
            <w:vAlign w:val="center"/>
            <w:textDirection w:val="lrTb"/>
            <w:noWrap w:val="false"/>
          </w:tcPr>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自2021年1月1日（以合同签订时间为准）投标人承担过类似</w:t>
            </w:r>
            <w:r>
              <w:rPr>
                <w:rFonts w:hint="eastAsia" w:ascii="宋体" w:hAnsi="宋体" w:cs="宋体"/>
                <w:color w:val="000000"/>
                <w:sz w:val="22"/>
                <w:szCs w:val="22"/>
                <w:highlight w:val="none"/>
                <w:lang w:val="en-US" w:eastAsia="zh-CN" w:bidi="ar-SA"/>
              </w:rPr>
              <w:t xml:space="preserve">船长在35米及以上</w:t>
            </w:r>
            <w:r>
              <w:rPr>
                <w:rFonts w:hint="eastAsia" w:ascii="宋体" w:hAnsi="宋体" w:eastAsia="宋体" w:cs="宋体"/>
                <w:color w:val="000000"/>
                <w:sz w:val="22"/>
                <w:szCs w:val="22"/>
                <w:highlight w:val="none"/>
                <w:lang w:val="en-US" w:eastAsia="zh-CN" w:bidi="ar-SA"/>
              </w:rPr>
              <w:t xml:space="preserve">巡护船艇建造的项目业绩，每提供1份得2分，最高得10分。</w:t>
            </w:r>
            <w:r>
              <w:rPr>
                <w:rFonts w:hint="eastAsia" w:ascii="宋体" w:hAnsi="宋体" w:eastAsia="宋体" w:cs="宋体"/>
                <w:color w:val="000000"/>
                <w:sz w:val="22"/>
                <w:szCs w:val="22"/>
                <w:highlight w:val="none"/>
                <w:lang w:val="en-US" w:eastAsia="zh-CN" w:bidi="ar-SA"/>
              </w:rPr>
            </w:r>
            <w:r/>
          </w:p>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注：提供合同复印件及验收证明材料</w:t>
            </w:r>
            <w:r>
              <w:rPr>
                <w:rFonts w:hint="eastAsia" w:ascii="宋体" w:hAnsi="宋体" w:cs="宋体"/>
                <w:color w:val="000000"/>
                <w:sz w:val="22"/>
                <w:szCs w:val="22"/>
                <w:highlight w:val="none"/>
                <w:lang w:val="en-US" w:eastAsia="zh-CN" w:bidi="ar-SA"/>
              </w:rPr>
              <w:t xml:space="preserve">及任意一张（任意金额）的项目发票</w:t>
            </w:r>
            <w:r>
              <w:rPr>
                <w:rFonts w:hint="eastAsia" w:ascii="宋体" w:hAnsi="宋体" w:eastAsia="宋体" w:cs="宋体"/>
                <w:color w:val="000000"/>
                <w:sz w:val="22"/>
                <w:szCs w:val="22"/>
                <w:highlight w:val="none"/>
                <w:lang w:val="en-US" w:eastAsia="zh-CN" w:bidi="ar-SA"/>
              </w:rPr>
              <w:t xml:space="preserve">加盖单位公章，否则不得分。</w:t>
            </w:r>
            <w:r>
              <w:rPr>
                <w:rFonts w:hint="eastAsia" w:ascii="宋体" w:hAnsi="宋体" w:eastAsia="宋体" w:cs="宋体"/>
                <w:color w:val="000000"/>
                <w:sz w:val="22"/>
                <w:szCs w:val="22"/>
                <w:highlight w:val="none"/>
                <w:lang w:val="en-US" w:eastAsia="zh-CN" w:bidi="ar-SA"/>
              </w:rPr>
            </w:r>
            <w:r/>
          </w:p>
        </w:tc>
        <w:tc>
          <w:tcPr>
            <w:tcW w:w="606" w:type="dxa"/>
            <w:vAlign w:val="center"/>
            <w:textDirection w:val="lrTb"/>
            <w:noWrap w:val="false"/>
          </w:tcPr>
          <w:p>
            <w:pPr>
              <w:pStyle w:val="674"/>
              <w:ind w:left="108"/>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10分</w:t>
            </w:r>
            <w:r>
              <w:rPr>
                <w:rFonts w:hint="eastAsia" w:ascii="宋体" w:hAnsi="宋体" w:eastAsia="宋体" w:cs="宋体"/>
                <w:color w:val="000000"/>
                <w:spacing w:val="-3"/>
                <w:sz w:val="22"/>
                <w:szCs w:val="22"/>
                <w:highlight w:val="none"/>
                <w:lang w:val="en-US" w:eastAsia="zh-CN"/>
              </w:rPr>
            </w:r>
            <w:r/>
          </w:p>
        </w:tc>
      </w:tr>
      <w:tr>
        <w:trPr>
          <w:trHeight w:val="603"/>
        </w:trPr>
        <w:tc>
          <w:tcPr>
            <w:tcW w:w="969" w:type="dxa"/>
            <w:vAlign w:val="top"/>
            <w:textDirection w:val="lrTb"/>
            <w:noWrap w:val="false"/>
          </w:tcPr>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rPr>
              <w:framePr w:vAnchor="text" w:hAnchor="page" w:x="1201" w:y="1187"/>
            </w:pPr>
            <w:r>
              <w:rPr>
                <w:rFonts w:hint="eastAsia" w:ascii="宋体" w:hAnsi="宋体" w:eastAsia="宋体" w:cs="宋体"/>
                <w:color w:val="000000"/>
                <w:sz w:val="22"/>
                <w:szCs w:val="22"/>
                <w:highlight w:val="none"/>
              </w:rPr>
            </w:r>
            <w:r/>
          </w:p>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rPr>
              <w:framePr w:vAnchor="text" w:hAnchor="page" w:x="1201" w:y="1187"/>
            </w:pPr>
            <w:r>
              <w:rPr>
                <w:rFonts w:hint="eastAsia" w:ascii="宋体" w:hAnsi="宋体" w:eastAsia="宋体" w:cs="宋体"/>
                <w:color w:val="000000"/>
                <w:sz w:val="22"/>
                <w:szCs w:val="22"/>
                <w:highlight w:val="none"/>
              </w:rPr>
            </w:r>
            <w:r/>
          </w:p>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lang w:val="en-US" w:eastAsia="zh-CN"/>
              </w:rPr>
              <w:framePr w:vAnchor="text" w:hAnchor="page" w:x="1201" w:y="1187"/>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r>
            <w:r/>
          </w:p>
        </w:tc>
        <w:tc>
          <w:tcPr>
            <w:tcW w:w="1118" w:type="dxa"/>
            <w:vAlign w:val="top"/>
            <w:textDirection w:val="lrTb"/>
            <w:noWrap w:val="false"/>
          </w:tcPr>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rPr>
              <w:framePr w:vAnchor="text" w:hAnchor="page" w:x="1201" w:y="1187"/>
            </w:pPr>
            <w:r>
              <w:rPr>
                <w:rFonts w:hint="eastAsia" w:ascii="宋体" w:hAnsi="宋体" w:eastAsia="宋体" w:cs="宋体"/>
                <w:color w:val="000000"/>
                <w:sz w:val="22"/>
                <w:szCs w:val="22"/>
                <w:highlight w:val="none"/>
              </w:rPr>
            </w:r>
            <w:r/>
          </w:p>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rPr>
              <w:framePr w:vAnchor="text" w:hAnchor="page" w:x="1201" w:y="1187"/>
            </w:pPr>
            <w:r>
              <w:rPr>
                <w:rFonts w:hint="eastAsia" w:ascii="宋体" w:hAnsi="宋体" w:eastAsia="宋体" w:cs="宋体"/>
                <w:color w:val="000000"/>
                <w:sz w:val="22"/>
                <w:szCs w:val="22"/>
                <w:highlight w:val="none"/>
              </w:rPr>
            </w:r>
            <w:r/>
          </w:p>
          <w:p>
            <w:pPr>
              <w:pStyle w:val="641"/>
              <w:jc w:val="center"/>
              <w:keepLines w:val="0"/>
              <w:keepNext w:val="0"/>
              <w:pageBreakBefore w:val="0"/>
              <w:spacing w:line="600" w:lineRule="exact"/>
              <w:widowControl w:val="off"/>
              <w:rPr>
                <w:rFonts w:hint="eastAsia" w:ascii="宋体" w:hAnsi="宋体" w:eastAsia="宋体" w:cs="宋体"/>
                <w:color w:val="000000"/>
                <w:sz w:val="22"/>
                <w:szCs w:val="22"/>
                <w:highlight w:val="none"/>
                <w:lang w:val="en-US"/>
              </w:rPr>
              <w:framePr w:vAnchor="text" w:hAnchor="page" w:x="1201" w:y="1187"/>
            </w:pPr>
            <w:r>
              <w:rPr>
                <w:rFonts w:hint="eastAsia" w:ascii="宋体" w:hAnsi="宋体" w:eastAsia="宋体" w:cs="宋体"/>
                <w:color w:val="000000"/>
                <w:sz w:val="22"/>
                <w:szCs w:val="22"/>
                <w:highlight w:val="none"/>
              </w:rPr>
              <w:t xml:space="preserve">人员</w:t>
            </w:r>
            <w:r>
              <w:rPr>
                <w:rFonts w:hint="eastAsia" w:ascii="宋体" w:hAnsi="宋体" w:eastAsia="宋体" w:cs="宋体"/>
                <w:color w:val="000000"/>
                <w:sz w:val="22"/>
                <w:szCs w:val="22"/>
                <w:highlight w:val="none"/>
                <w:lang w:val="en-US" w:eastAsia="zh-CN"/>
              </w:rPr>
              <w:t xml:space="preserve">配备</w:t>
            </w:r>
            <w:r>
              <w:rPr>
                <w:rFonts w:hint="eastAsia" w:ascii="宋体" w:hAnsi="宋体" w:eastAsia="宋体" w:cs="宋体"/>
                <w:color w:val="000000"/>
                <w:sz w:val="22"/>
                <w:szCs w:val="22"/>
                <w:highlight w:val="none"/>
                <w:lang w:val="en-US"/>
              </w:rPr>
            </w:r>
            <w:r/>
          </w:p>
        </w:tc>
        <w:tc>
          <w:tcPr>
            <w:tcW w:w="6943" w:type="dxa"/>
            <w:vAlign w:val="top"/>
            <w:textDirection w:val="lrTb"/>
            <w:noWrap w:val="false"/>
          </w:tcPr>
          <w:p>
            <w:pPr>
              <w:pStyle w:val="641"/>
              <w:numPr>
                <w:ilvl w:val="0"/>
                <w:numId w:val="0"/>
              </w:numPr>
              <w:ind w:firstLine="440"/>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rPr>
              <w:framePr w:vAnchor="text" w:hAnchor="page" w:x="1201" w:y="1187"/>
            </w:pPr>
            <w:r>
              <w:rPr>
                <w:rFonts w:hint="eastAsia" w:ascii="宋体" w:hAnsi="宋体" w:eastAsia="宋体" w:cs="宋体"/>
                <w:color w:val="000000"/>
                <w:sz w:val="22"/>
                <w:szCs w:val="22"/>
                <w:highlight w:val="none"/>
                <w:lang w:val="en-US" w:eastAsia="zh-CN"/>
              </w:rPr>
              <w:t xml:space="preserve">项目组成员中（含项目负责人）具有类似船舶建造相关专业高级及以上职称的得1分，本项最高得4分；</w:t>
            </w:r>
            <w:r>
              <w:rPr>
                <w:rFonts w:hint="eastAsia" w:ascii="宋体" w:hAnsi="宋体" w:eastAsia="宋体" w:cs="宋体"/>
                <w:color w:val="000000"/>
                <w:sz w:val="22"/>
                <w:szCs w:val="22"/>
                <w:highlight w:val="none"/>
                <w:lang w:val="en-US" w:eastAsia="zh-CN"/>
              </w:rPr>
            </w:r>
            <w:r/>
          </w:p>
          <w:p>
            <w:pPr>
              <w:pStyle w:val="641"/>
              <w:numPr>
                <w:ilvl w:val="0"/>
                <w:numId w:val="0"/>
              </w:numPr>
              <w:ind w:left="0" w:firstLine="440"/>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注：</w:t>
            </w:r>
            <w:r>
              <w:rPr>
                <w:rFonts w:hint="eastAsia" w:ascii="宋体" w:hAnsi="宋体" w:eastAsia="宋体" w:cs="宋体"/>
                <w:color w:val="000000"/>
                <w:sz w:val="22"/>
                <w:szCs w:val="22"/>
                <w:highlight w:val="none"/>
                <w:lang w:val="en-US" w:eastAsia="zh-CN"/>
              </w:rPr>
              <w:t xml:space="preserve">提供人员职称证书、社保证明（提供相关人员投标截止日往前连续3个月在本单位缴纳养老保险记录（如开标日期为2024年10月的某一天，则投标单位需提供以上人员2024年6月-2024年9月中任意连续3个月的缴费记录证明，如投标单位成立不满一年，则提供项目负责人从投标截止之日当月向前连续3个月中至少1个月的养老保险缴费记录证明），以上材料提供复印件加盖单位公章。</w:t>
            </w:r>
            <w:r>
              <w:rPr>
                <w:rFonts w:hint="eastAsia" w:ascii="宋体" w:hAnsi="宋体" w:eastAsia="宋体" w:cs="宋体"/>
                <w:color w:val="000000"/>
                <w:sz w:val="22"/>
                <w:szCs w:val="22"/>
                <w:highlight w:val="none"/>
                <w:lang w:val="en-US" w:eastAsia="zh-CN" w:bidi="ar-SA"/>
              </w:rPr>
            </w:r>
            <w:r/>
          </w:p>
        </w:tc>
        <w:tc>
          <w:tcPr>
            <w:tcW w:w="606" w:type="dxa"/>
            <w:vAlign w:val="center"/>
            <w:textDirection w:val="lrTb"/>
            <w:noWrap w:val="false"/>
          </w:tcPr>
          <w:p>
            <w:pPr>
              <w:pStyle w:val="641"/>
              <w:jc w:val="center"/>
              <w:keepLines w:val="0"/>
              <w:keepNext w:val="0"/>
              <w:pageBreakBefore w:val="0"/>
              <w:spacing w:line="600" w:lineRule="exact"/>
              <w:widowControl w:val="off"/>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4分</w:t>
            </w:r>
            <w:r>
              <w:rPr>
                <w:rFonts w:hint="eastAsia" w:ascii="宋体" w:hAnsi="宋体" w:eastAsia="宋体" w:cs="宋体"/>
                <w:color w:val="000000"/>
                <w:spacing w:val="-3"/>
                <w:sz w:val="22"/>
                <w:szCs w:val="22"/>
                <w:highlight w:val="none"/>
                <w:lang w:val="en-US" w:eastAsia="zh-CN"/>
              </w:rPr>
            </w:r>
            <w:r/>
          </w:p>
        </w:tc>
      </w:tr>
      <w:tr>
        <w:trPr>
          <w:trHeight w:val="603"/>
        </w:trPr>
        <w:tc>
          <w:tcPr>
            <w:tcW w:w="969" w:type="dxa"/>
            <w:vAlign w:val="center"/>
            <w:textDirection w:val="lrTb"/>
            <w:noWrap w:val="false"/>
          </w:tcPr>
          <w:p>
            <w:pPr>
              <w:pStyle w:val="674"/>
              <w:ind w:left="108" w:firstLine="220"/>
              <w:jc w:val="both"/>
              <w:spacing w:before="21" w:line="360" w:lineRule="auto"/>
              <w:rPr>
                <w:rFonts w:hint="eastAsia" w:ascii="宋体" w:hAnsi="宋体" w:eastAsia="宋体" w:cs="宋体"/>
                <w:color w:val="000000"/>
                <w:spacing w:val="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pacing w:val="0"/>
                <w:sz w:val="22"/>
                <w:szCs w:val="22"/>
                <w:highlight w:val="none"/>
                <w:lang w:val="en-US" w:eastAsia="zh-CN" w:bidi="ar-SA"/>
              </w:rPr>
            </w:r>
            <w:r/>
          </w:p>
        </w:tc>
        <w:tc>
          <w:tcPr>
            <w:tcW w:w="1118" w:type="dxa"/>
            <w:vAlign w:val="center"/>
            <w:textDirection w:val="lrTb"/>
            <w:noWrap w:val="false"/>
          </w:tcPr>
          <w:p>
            <w:pPr>
              <w:pStyle w:val="674"/>
              <w:ind w:left="108"/>
              <w:jc w:val="center"/>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技术部分</w:t>
            </w:r>
            <w:r>
              <w:rPr>
                <w:rFonts w:hint="eastAsia" w:ascii="宋体" w:hAnsi="宋体" w:eastAsia="宋体" w:cs="宋体"/>
                <w:color w:val="000000"/>
                <w:sz w:val="22"/>
                <w:szCs w:val="22"/>
                <w:highlight w:val="none"/>
                <w:lang w:val="en-US" w:eastAsia="zh-CN" w:bidi="ar-SA"/>
              </w:rPr>
            </w:r>
            <w:r/>
          </w:p>
        </w:tc>
        <w:tc>
          <w:tcPr>
            <w:tcW w:w="6943" w:type="dxa"/>
            <w:vAlign w:val="center"/>
            <w:textDirection w:val="lrTb"/>
            <w:noWrap w:val="false"/>
          </w:tcPr>
          <w:p>
            <w:pPr>
              <w:pStyle w:val="674"/>
              <w:ind w:left="108" w:firstLine="440"/>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评标委员会根据以下评审要点，对投标文件的施工组织设计进行评分。评标委员会根据下列评审要点的内容完整性、针对性、先进性等方面进行评审打分。</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zh-CN" w:bidi="ar-SA"/>
              </w:rPr>
              <w:t xml:space="preserve">船体总体建造方案（10分）：评委根据投标人为本项目专门制定船体总体建造方案包括制造工艺、工艺流程、工艺措施、建造整体的控制方案及措施进行评议，方案科学合理性强、内容详尽细致、针对性和落地性强，满足项目要求性强的得10分；方案科学合理性较强、内容符合性较强、针对性和落地性较强，满足项目要求性较强的得9.5分；方案科学合理性一般、内容符合性一般、针对性和落地性一般，满足项目要求性一般的得9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t xml:space="preserve">船舶各项试验方案及保障方案(10分)：评委根据投标人提供的船舶各项试验方案及保障方案包括系泊试验的方案及保障方案、航行试验的方案及保障方案、甲板机械试验的方案及保障方案，船舶各项试验方案及保障方案进行评议，方案科学合理性强、内容详尽细致、针对性和落地性强，满足项目要求性强的得10分；方案科学合理性较强、内容符合性较强、针对性和落地性较强，满足项目要求性较强的得9.5分；方案科学合理性一般、内容符合性一般、针对性和落地性一般，满足项目要求性一般的得9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t xml:space="preserve">铝合金焊接和薄板焊接的工艺方案（5分）：评委根据投标人提供的铝合金焊接和薄板焊接的工艺措施及方案包括拟投入焊接工艺设施设备情况介绍、焊接工艺和局部变形控制的措施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t xml:space="preserve">轮机系统的安装及调试方案（5分）：评委根据投标人提供的轮机系统的安装及调试能力说明包括本船机舱管系综合放样能力、管线焊接制作、清洁保护工序，主机、主推进系统、减振降噪和其它主要动力设备的安装工艺及调试能力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电气系统安装调试能力（5分）：评委根据投标人提供的电气系统安装调试能力说明包括本船电气综合放样能力和电缆敷设能力，电力系统、机舱监测系统、通讯导航系统的协调和调试能力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成品保护措施（5分）：评委根据投标人提供的成品保护措施包括在船舶交付前确保本船设备设施完好的措施及处理方式、成品保护措施实施方案的适用性、针对性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eastAsia="宋体" w:cs="宋体"/>
                <w:color w:val="000000"/>
                <w:sz w:val="22"/>
                <w:szCs w:val="22"/>
                <w:highlight w:val="none"/>
                <w:lang w:val="en-US" w:eastAsia="zh-CN" w:bidi="ar-SA"/>
              </w:rPr>
              <w:t xml:space="preserve">7、</w:t>
            </w:r>
            <w:r>
              <w:rPr>
                <w:rFonts w:hint="eastAsia" w:ascii="宋体" w:hAnsi="宋体" w:eastAsia="宋体" w:cs="宋体"/>
                <w:color w:val="000000"/>
                <w:sz w:val="22"/>
                <w:szCs w:val="22"/>
                <w:highlight w:val="none"/>
                <w:lang w:val="en-US" w:eastAsia="zh-CN" w:bidi="ar-SA"/>
              </w:rPr>
              <w:t xml:space="preserve">进度计划安排及保障措施(5分):评委根据投标人提供的进度计划安排及保障措施包括船艇详细设计时间安排、主要设备生产或采购的计划安排及相应保证措施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674"/>
              <w:numPr>
                <w:ilvl w:val="0"/>
                <w:numId w:val="0"/>
              </w:numPr>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t xml:space="preserve">8、技术服务和技术培训方案(5分）：评委根据投标人提供的技术服务和技术培训方案进行评议，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w:t>
            </w:r>
            <w:r>
              <w:rPr>
                <w:rFonts w:hint="eastAsia" w:eastAsia="宋体" w:cs="宋体"/>
                <w:color w:val="000000"/>
                <w:sz w:val="22"/>
                <w:szCs w:val="22"/>
                <w:highlight w:val="none"/>
                <w:lang w:val="en-US" w:eastAsia="zh-CN" w:bidi="ar-SA"/>
              </w:rPr>
              <w:t xml:space="preserve">，未提供不得分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tc>
        <w:tc>
          <w:tcPr>
            <w:tcW w:w="606" w:type="dxa"/>
            <w:vAlign w:val="center"/>
            <w:textDirection w:val="lrTb"/>
            <w:noWrap w:val="false"/>
          </w:tcPr>
          <w:p>
            <w:pPr>
              <w:pStyle w:val="674"/>
              <w:ind w:left="108" w:right="0" w:firstLine="0"/>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50分</w:t>
            </w:r>
            <w:r>
              <w:rPr>
                <w:rFonts w:hint="eastAsia" w:ascii="宋体" w:hAnsi="宋体" w:eastAsia="宋体" w:cs="宋体"/>
                <w:color w:val="000000"/>
                <w:spacing w:val="-3"/>
                <w:sz w:val="22"/>
                <w:szCs w:val="22"/>
                <w:highlight w:val="none"/>
                <w:lang w:val="en-US" w:eastAsia="zh-CN"/>
              </w:rPr>
            </w:r>
            <w:r/>
          </w:p>
        </w:tc>
      </w:tr>
      <w:tr>
        <w:trPr>
          <w:trHeight w:val="903"/>
        </w:trPr>
        <w:tc>
          <w:tcPr>
            <w:tcW w:w="969" w:type="dxa"/>
            <w:vAlign w:val="center"/>
            <w:textDirection w:val="lrTb"/>
            <w:noWrap w:val="false"/>
          </w:tcPr>
          <w:p>
            <w:pPr>
              <w:pStyle w:val="674"/>
              <w:ind w:left="108" w:firstLine="214"/>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r>
            <w:r/>
          </w:p>
        </w:tc>
        <w:tc>
          <w:tcPr>
            <w:tcW w:w="1118" w:type="dxa"/>
            <w:vAlign w:val="center"/>
            <w:textDirection w:val="lrTb"/>
            <w:noWrap w:val="false"/>
          </w:tcPr>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pacing w:val="0"/>
                <w:sz w:val="22"/>
                <w:szCs w:val="22"/>
                <w:highlight w:val="none"/>
                <w:lang w:val="en-US" w:eastAsia="zh-CN" w:bidi="ar-SA"/>
              </w:rPr>
              <w:t xml:space="preserve">合计</w:t>
            </w:r>
            <w:r>
              <w:rPr>
                <w:rFonts w:hint="eastAsia" w:ascii="宋体" w:hAnsi="宋体" w:eastAsia="宋体" w:cs="宋体"/>
                <w:color w:val="000000"/>
                <w:sz w:val="22"/>
                <w:szCs w:val="22"/>
                <w:highlight w:val="none"/>
                <w:lang w:val="en-US" w:eastAsia="zh-CN" w:bidi="ar-SA"/>
              </w:rPr>
            </w:r>
            <w:r/>
          </w:p>
        </w:tc>
        <w:tc>
          <w:tcPr>
            <w:tcW w:w="6943" w:type="dxa"/>
            <w:vAlign w:val="center"/>
            <w:textDirection w:val="lrTb"/>
            <w:noWrap w:val="false"/>
          </w:tcPr>
          <w:p>
            <w:pPr>
              <w:pStyle w:val="674"/>
              <w:ind w:left="108"/>
              <w:jc w:val="both"/>
              <w:spacing w:before="21" w:line="360" w:lineRule="auto"/>
              <w:rPr>
                <w:rFonts w:hint="eastAsia" w:ascii="宋体" w:hAnsi="宋体" w:eastAsia="宋体" w:cs="宋体"/>
                <w:color w:val="000000"/>
                <w:sz w:val="22"/>
                <w:szCs w:val="22"/>
                <w:highlight w:val="none"/>
                <w:lang w:val="en-US" w:eastAsia="zh-CN" w:bidi="ar-SA"/>
              </w:rPr>
              <w:framePr w:vAnchor="text" w:hAnchor="page" w:x="1201" w:y="1187"/>
            </w:pPr>
            <w:r>
              <w:rPr>
                <w:rFonts w:hint="eastAsia" w:ascii="宋体" w:hAnsi="宋体" w:eastAsia="宋体" w:cs="宋体"/>
                <w:color w:val="000000"/>
                <w:sz w:val="22"/>
                <w:szCs w:val="22"/>
                <w:highlight w:val="none"/>
                <w:lang w:val="en-US" w:eastAsia="zh-CN" w:bidi="ar-SA"/>
              </w:rPr>
            </w:r>
            <w:r/>
          </w:p>
        </w:tc>
        <w:tc>
          <w:tcPr>
            <w:tcW w:w="606" w:type="dxa"/>
            <w:vAlign w:val="center"/>
            <w:textDirection w:val="lrTb"/>
            <w:noWrap w:val="false"/>
          </w:tcPr>
          <w:p>
            <w:pPr>
              <w:pStyle w:val="674"/>
              <w:ind w:left="108" w:right="0"/>
              <w:jc w:val="both"/>
              <w:spacing w:before="21" w:line="360" w:lineRule="auto"/>
              <w:rPr>
                <w:rFonts w:hint="eastAsia" w:ascii="宋体" w:hAnsi="宋体" w:eastAsia="宋体" w:cs="宋体"/>
                <w:color w:val="000000"/>
                <w:spacing w:val="-3"/>
                <w:sz w:val="22"/>
                <w:szCs w:val="22"/>
                <w:highlight w:val="none"/>
                <w:lang w:val="en-US" w:eastAsia="zh-CN"/>
              </w:rPr>
              <w:framePr w:vAnchor="text" w:hAnchor="page" w:x="1201" w:y="1187"/>
            </w:pPr>
            <w:r>
              <w:rPr>
                <w:rFonts w:hint="eastAsia" w:ascii="宋体" w:hAnsi="宋体" w:eastAsia="宋体" w:cs="宋体"/>
                <w:color w:val="000000"/>
                <w:spacing w:val="-3"/>
                <w:sz w:val="22"/>
                <w:szCs w:val="22"/>
                <w:highlight w:val="none"/>
                <w:lang w:val="en-US" w:eastAsia="zh-CN"/>
              </w:rPr>
              <w:t xml:space="preserve">100分</w:t>
            </w:r>
            <w:r>
              <w:rPr>
                <w:rFonts w:hint="eastAsia" w:ascii="宋体" w:hAnsi="宋体" w:eastAsia="宋体" w:cs="宋体"/>
                <w:color w:val="000000"/>
                <w:spacing w:val="-3"/>
                <w:sz w:val="22"/>
                <w:szCs w:val="22"/>
                <w:highlight w:val="none"/>
                <w:lang w:val="en-US" w:eastAsia="zh-CN"/>
              </w:rPr>
            </w:r>
            <w:r/>
          </w:p>
        </w:tc>
      </w:tr>
    </w:tbl>
    <w:p>
      <w:pPr>
        <w:pStyle w:val="659"/>
        <w:ind w:firstLine="422"/>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b/>
          <w:bCs/>
          <w:sz w:val="21"/>
          <w:szCs w:val="28"/>
          <w:highlight w:val="none"/>
          <w:shd w:val="clear" w:color="auto" w:fill="ffffff"/>
          <w:lang w:val="en-US" w:eastAsia="zh-CN" w:bidi="ar-SA"/>
        </w:rPr>
        <w:t xml:space="preserve">以上证书及证明材料提供加盖单位公章的扫描件，同时提供相关人员投标截止日往前连续3个月在本单位缴纳养老保险记录（如开标日期为2024年10月的某一天，则投标单位需提供以上人员2024年6月-2024年9月中任意连续3个月的缴费记录证明，如投标单位成立不满一年，则提供项目负责人从投标截止之日当月向前连续3个月中至少1个月的养老保险缴费记录证明）</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59"/>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41"/>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rPr>
          <w:rFonts w:hint="eastAsia" w:ascii="黑体" w:hAnsi="宋体" w:eastAsia="黑体" w:cs="黑体"/>
          <w:color w:val="000000"/>
          <w:sz w:val="44"/>
          <w:szCs w:val="44"/>
          <w:highlight w:val="none"/>
        </w:rPr>
      </w:r>
      <w:r/>
    </w:p>
    <w:p>
      <w:pPr>
        <w:pStyle w:val="6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rPr>
          <w:highlight w:val="none"/>
        </w:rPr>
      </w:r>
      <w:r/>
    </w:p>
    <w:p>
      <w:pPr>
        <w:pStyle w:val="659"/>
        <w:jc w:val="center"/>
        <w:spacing w:beforeAutospacing="0" w:afterAutospacing="0"/>
        <w:rPr>
          <w:highlight w:val="none"/>
        </w:rPr>
      </w:pPr>
      <w:r/>
      <w:bookmarkStart w:id="184" w:name="_Toc26554094"/>
      <w:r/>
      <w:bookmarkStart w:id="185" w:name="_Hlt26671244"/>
      <w:r/>
      <w:bookmarkStart w:id="186" w:name="_Hlt26955039"/>
      <w:r/>
      <w:bookmarkStart w:id="187" w:name="_Toc120614282"/>
      <w:r/>
      <w:bookmarkEnd w:id="187"/>
      <w:r/>
      <w:bookmarkStart w:id="188" w:name="_Toc49090576"/>
      <w:r/>
      <w:bookmarkEnd w:id="188"/>
      <w:r>
        <w:rPr>
          <w:rFonts w:hint="eastAsia" w:ascii="宋体" w:hAnsi="宋体" w:eastAsia="宋体" w:cs="宋体"/>
          <w:b/>
          <w:color w:val="000000"/>
          <w:sz w:val="72"/>
          <w:szCs w:val="72"/>
          <w:highlight w:val="none"/>
        </w:rPr>
        <w:t xml:space="preserve">投  标  文  件</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highlight w:val="none"/>
        </w:rPr>
      </w:r>
      <w:r/>
    </w:p>
    <w:p>
      <w:pPr>
        <w:pStyle w:val="6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659"/>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659"/>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both"/>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ind w:left="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i w:val="0"/>
          <w:iCs/>
          <w:highlight w:val="none"/>
          <w:u w:val="none"/>
        </w:rPr>
      </w:r>
      <w:r/>
    </w:p>
    <w:p>
      <w:pPr>
        <w:pStyle w:val="641"/>
        <w:ind w:firstLine="480"/>
        <w:jc w:val="left"/>
        <w:keepLines w:val="0"/>
        <w:keepNext w:val="0"/>
        <w:pageBreakBefore w:val="0"/>
        <w:spacing w:line="420" w:lineRule="exact"/>
        <w:widowControl w:val="off"/>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w:t>
      </w:r>
      <w:r>
        <w:rPr>
          <w:rFonts w:hint="eastAsia" w:ascii="宋体" w:hAnsi="宋体" w:eastAsia="宋体" w:cs="宋体"/>
          <w:i w:val="0"/>
          <w:iCs/>
          <w:color w:val="000000"/>
          <w:sz w:val="24"/>
          <w:szCs w:val="24"/>
          <w:highlight w:val="none"/>
          <w:u w:val="none"/>
          <w:lang w:val="en-US" w:eastAsia="zh-CN" w:bidi="ar-SA"/>
        </w:rPr>
        <w:t xml:space="preserve">成立不满一年不需提供，提供2024年度或2025年度均可）</w:t>
      </w:r>
      <w:r>
        <w:rPr>
          <w:i w:val="0"/>
          <w:iCs/>
          <w:highlight w:val="none"/>
          <w:u w:val="none"/>
        </w:rPr>
      </w:r>
      <w:r/>
    </w:p>
    <w:p>
      <w:pPr>
        <w:pStyle w:val="659"/>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59"/>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000000"/>
          <w:highlight w:val="none"/>
          <w:u w:val="none"/>
          <w:lang w:eastAsia="zh-CN"/>
        </w:rPr>
        <w:t xml:space="preserve">供应商</w:t>
      </w:r>
      <w:r>
        <w:rPr>
          <w:rFonts w:hint="eastAsia" w:ascii="宋体" w:hAnsi="宋体" w:eastAsia="宋体" w:cs="宋体"/>
          <w:i w:val="0"/>
          <w:iCs/>
          <w:color w:val="000000"/>
          <w:highlight w:val="none"/>
          <w:u w:val="none"/>
        </w:rPr>
        <w:t xml:space="preserve">依法享受缓缴、免缴税收、社会保障资金的提供证明材料。）</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i w:val="0"/>
          <w:iCs/>
          <w:highlight w:val="none"/>
          <w:u w:val="none"/>
        </w:rPr>
      </w:r>
      <w:r/>
    </w:p>
    <w:p>
      <w:pPr>
        <w:pStyle w:val="659"/>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i w:val="0"/>
          <w:iCs/>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七、法人授权书</w:t>
      </w:r>
      <w:r>
        <w:rPr>
          <w:rFonts w:hint="eastAsia" w:ascii="宋体" w:hAnsi="宋体" w:eastAsia="宋体" w:cs="宋体"/>
          <w:i w:val="0"/>
          <w:iCs/>
          <w:color w:val="000000"/>
          <w:highlight w:val="none"/>
          <w:u w:val="none"/>
          <w:lang w:val="en-US" w:eastAsia="zh-CN"/>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九、中小企业声明函（货物）</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 关于符合本国产品标准的声明函</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rPr>
        <w:t xml:space="preserve">二、投标分项报价表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十六、</w:t>
      </w:r>
      <w:r>
        <w:rPr>
          <w:rFonts w:hint="eastAsia" w:ascii="宋体" w:hAnsi="宋体" w:eastAsia="宋体" w:cs="宋体"/>
          <w:i w:val="0"/>
          <w:iCs/>
          <w:color w:val="000000"/>
          <w:highlight w:val="none"/>
          <w:u w:val="none"/>
          <w:lang w:val="en-US" w:eastAsia="zh-CN"/>
        </w:rPr>
        <w:t xml:space="preserve">企业管理体系认证</w:t>
      </w:r>
      <w:r>
        <w:rPr>
          <w:rFonts w:ascii="宋体" w:hAnsi="宋体" w:eastAsia="宋体" w:cs="宋体"/>
          <w:i w:val="0"/>
          <w:iCs/>
          <w:color w:val="000000"/>
          <w:highlight w:val="none"/>
          <w:u w:val="none"/>
          <w:lang w:val="en-US" w:eastAsia="zh-CN"/>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十七、业绩一览表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十八、项目团队人员一览表</w:t>
      </w:r>
      <w:r>
        <w:rPr>
          <w:rFonts w:hint="eastAsia" w:ascii="宋体" w:hAnsi="宋体" w:eastAsia="宋体" w:cs="宋体"/>
          <w:i w:val="0"/>
          <w:iCs/>
          <w:color w:val="000000"/>
          <w:highlight w:val="none"/>
          <w:u w:val="none"/>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十九、技术</w:t>
      </w:r>
      <w:r>
        <w:rPr>
          <w:rFonts w:hint="eastAsia" w:ascii="宋体" w:hAnsi="宋体" w:eastAsia="宋体" w:cs="宋体"/>
          <w:i w:val="0"/>
          <w:iCs/>
          <w:color w:val="000000"/>
          <w:highlight w:val="none"/>
          <w:u w:val="none"/>
          <w:lang w:val="en-US" w:eastAsia="zh-CN"/>
        </w:rPr>
        <w:t xml:space="preserve">部分</w:t>
      </w:r>
      <w:r>
        <w:rPr>
          <w:rFonts w:hint="eastAsia" w:ascii="宋体" w:hAnsi="宋体" w:eastAsia="宋体" w:cs="宋体"/>
          <w:i w:val="0"/>
          <w:iCs/>
          <w:color w:val="000000"/>
          <w:highlight w:val="none"/>
          <w:u w:val="none"/>
          <w:lang w:eastAsia="zh-CN"/>
        </w:rPr>
      </w:r>
      <w:r/>
    </w:p>
    <w:p>
      <w:pPr>
        <w:pStyle w:val="659"/>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二十、盐城市政府采购事前信用承诺书 </w:t>
      </w:r>
      <w:r>
        <w:rPr>
          <w:rFonts w:hint="eastAsia" w:ascii="宋体" w:hAnsi="宋体" w:eastAsia="宋体" w:cs="宋体"/>
          <w:i w:val="0"/>
          <w:iCs/>
          <w:color w:val="000000"/>
          <w:highlight w:val="none"/>
          <w:u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rFonts w:hint="eastAsia" w:ascii="黑体" w:hAnsi="Calibri" w:eastAsia="黑体" w:cs="Times New Roman"/>
          <w:b/>
          <w:bCs/>
          <w:sz w:val="32"/>
          <w:szCs w:val="32"/>
          <w:lang w:val="en-US" w:eastAsia="zh-CN" w:bidi="ar-SA"/>
        </w:rPr>
      </w:pPr>
      <w:r>
        <w:rPr>
          <w:highlight w:val="none"/>
        </w:rPr>
        <w:t xml:space="preserve"> </w:t>
      </w:r>
      <w:r>
        <w:rPr>
          <w:rFonts w:hint="eastAsia" w:ascii="黑体" w:hAnsi="Calibri" w:eastAsia="黑体" w:cs="Times New Roman"/>
          <w:b/>
          <w:bCs/>
          <w:sz w:val="32"/>
          <w:szCs w:val="32"/>
          <w:lang w:val="en-US" w:eastAsia="zh-CN" w:bidi="ar-SA"/>
        </w:rPr>
        <w:t xml:space="preserve">一、法人或者其他组织的营业执照等证明文件，自然人的身份证明</w:t>
      </w:r>
      <w:r>
        <w:rPr>
          <w:rFonts w:hint="eastAsia" w:ascii="黑体" w:hAnsi="Calibri" w:eastAsia="黑体" w:cs="Times New Roman"/>
          <w:b/>
          <w:bCs/>
          <w:sz w:val="32"/>
          <w:szCs w:val="32"/>
          <w:lang w:val="en-US" w:eastAsia="zh-CN" w:bidi="ar-SA"/>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jc w:val="both"/>
        <w:spacing w:beforeAutospacing="0" w:afterAutospacing="0"/>
        <w:rPr>
          <w:rFonts w:hint="eastAsia" w:eastAsia="黑体"/>
          <w:highlight w:val="none"/>
          <w:lang w:val="en-US" w:eastAsia="zh-CN"/>
        </w:rPr>
      </w:pPr>
      <w:r>
        <w:rPr>
          <w:rFonts w:hint="eastAsia" w:ascii="黑体" w:hAnsi="Calibri" w:eastAsia="黑体" w:cs="Times New Roman"/>
          <w:b/>
          <w:bCs/>
          <w:sz w:val="32"/>
          <w:szCs w:val="32"/>
          <w:lang w:val="en-US" w:eastAsia="zh-CN" w:bidi="ar-SA"/>
        </w:rPr>
        <w:t xml:space="preserve">二、</w:t>
      </w:r>
      <w:r>
        <w:rPr>
          <w:rFonts w:hint="eastAsia" w:ascii="黑体" w:eastAsia="黑体" w:cs="Times New Roman"/>
          <w:b/>
          <w:bCs/>
          <w:sz w:val="32"/>
          <w:szCs w:val="32"/>
          <w:lang w:val="en-US" w:eastAsia="zh-CN" w:bidi="ar-SA"/>
        </w:rPr>
        <w:t xml:space="preserve">上一年度的财务状况报表（至少提供资产负债表、利润表、现金流量表，成立不满一年不需提供，提供2024年度或2025年度均可）</w:t>
      </w:r>
      <w:r>
        <w:rPr>
          <w:rFonts w:hint="eastAsia" w:eastAsia="黑体"/>
          <w:highlight w:val="none"/>
          <w:lang w:val="en-US" w:eastAsia="zh-CN"/>
        </w:rPr>
      </w:r>
      <w:r/>
    </w:p>
    <w:p>
      <w:pPr>
        <w:pStyle w:val="659"/>
        <w:jc w:val="both"/>
        <w:spacing w:beforeAutospacing="0" w:afterAutospacing="0"/>
        <w:rPr>
          <w:highlight w:val="none"/>
        </w:rPr>
      </w:pPr>
      <w:r>
        <w:rPr>
          <w:highlight w:val="none"/>
        </w:rPr>
        <w:t xml:space="preserve"> </w:t>
      </w:r>
      <w:r>
        <w:rPr>
          <w:highlight w:val="none"/>
        </w:rPr>
      </w:r>
      <w:r/>
    </w:p>
    <w:p>
      <w:pPr>
        <w:pStyle w:val="641"/>
        <w:jc w:val="center"/>
        <w:rPr>
          <w:rFonts w:hint="eastAsia" w:ascii="黑体" w:hAnsi="Times New Roman" w:eastAsia="黑体" w:cs="Times New Roman"/>
          <w:b/>
          <w:bCs/>
          <w:sz w:val="32"/>
          <w:szCs w:val="32"/>
          <w:lang w:val="en-US" w:eastAsia="zh-CN"/>
        </w:rPr>
      </w:pPr>
      <w:r>
        <w:rPr>
          <w:rFonts w:hint="eastAsia" w:ascii="黑体" w:hAnsi="Times New Roman" w:eastAsia="黑体" w:cs="Times New Roman"/>
          <w:b/>
          <w:bCs/>
          <w:sz w:val="32"/>
          <w:szCs w:val="32"/>
          <w:lang w:val="en-US" w:eastAsia="zh-CN"/>
        </w:rPr>
      </w:r>
      <w:r/>
    </w:p>
    <w:p>
      <w:pPr>
        <w:pStyle w:val="641"/>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 xml:space="preserve">三、</w:t>
      </w: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rPr>
          <w:rFonts w:hint="eastAsia" w:ascii="黑体" w:eastAsia="黑体"/>
          <w:b/>
          <w:bCs/>
          <w:sz w:val="32"/>
          <w:szCs w:val="32"/>
          <w:highlight w:val="none"/>
        </w:rPr>
      </w:r>
      <w:r/>
    </w:p>
    <w:p>
      <w:pPr>
        <w:pStyle w:val="641"/>
        <w:rPr>
          <w:rFonts w:ascii="仿宋_GB2312" w:eastAsia="仿宋_GB2312"/>
        </w:rPr>
      </w:pPr>
      <w:r>
        <w:rPr>
          <w:rFonts w:ascii="仿宋_GB2312" w:eastAsia="仿宋_GB2312"/>
        </w:rPr>
      </w:r>
      <w:r/>
    </w:p>
    <w:p>
      <w:pPr>
        <w:pStyle w:val="641"/>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sz w:val="24"/>
          <w:szCs w:val="24"/>
        </w:rPr>
      </w:r>
      <w:r/>
    </w:p>
    <w:p>
      <w:pPr>
        <w:pStyle w:val="641"/>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641"/>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641"/>
        <w:ind w:firstLine="461"/>
        <w:spacing w:line="600" w:lineRule="exact"/>
        <w:rPr>
          <w:rFonts w:ascii="宋体" w:hAnsi="宋体" w:eastAsia="宋体" w:cs="宋体"/>
          <w:sz w:val="24"/>
          <w:szCs w:val="24"/>
        </w:rPr>
      </w:pPr>
      <w:r>
        <w:rPr>
          <w:rFonts w:ascii="宋体" w:hAnsi="宋体" w:eastAsia="宋体" w:cs="宋体"/>
          <w:sz w:val="24"/>
          <w:szCs w:val="24"/>
        </w:rPr>
      </w:r>
      <w:r/>
    </w:p>
    <w:p>
      <w:pPr>
        <w:pStyle w:val="641"/>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41"/>
        <w:ind w:firstLine="288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641"/>
        <w:ind w:firstLine="1680"/>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59"/>
        <w:ind w:firstLine="5520"/>
        <w:jc w:val="both"/>
        <w:spacing w:beforeAutospacing="0" w:afterAutospacing="0"/>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highlight w:val="none"/>
        </w:rPr>
      </w:r>
      <w:r/>
    </w:p>
    <w:p>
      <w:pPr>
        <w:pStyle w:val="65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9"/>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59"/>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四、依法缴纳税收和社会保障资金的相关材料</w:t>
      </w:r>
      <w:r>
        <w:rPr>
          <w:rFonts w:hint="eastAsia" w:ascii="黑体" w:hAnsi="Calibri" w:eastAsia="黑体" w:cs="Times New Roman"/>
          <w:b/>
          <w:bCs/>
          <w:sz w:val="32"/>
          <w:szCs w:val="32"/>
          <w:lang w:val="en-US" w:eastAsia="zh-CN" w:bidi="ar-SA"/>
        </w:rPr>
      </w:r>
      <w:r/>
    </w:p>
    <w:p>
      <w:pPr>
        <w:pStyle w:val="659"/>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依法享受缓缴、免缴税收、社会保障资金的提供证明材料。</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41"/>
        <w:jc w:val="center"/>
        <w:spacing w:line="600" w:lineRule="exact"/>
        <w:rPr>
          <w:rFonts w:hint="eastAsia" w:ascii="黑体" w:eastAsia="黑体" w:cs="Times New Roman"/>
          <w:b/>
          <w:bCs/>
          <w:sz w:val="32"/>
          <w:szCs w:val="32"/>
          <w:lang w:val="en-US" w:eastAsia="zh-CN"/>
        </w:rPr>
      </w:pPr>
      <w:r>
        <w:rPr>
          <w:rFonts w:hint="eastAsia" w:ascii="黑体" w:eastAsia="黑体" w:cs="Times New Roman"/>
          <w:b/>
          <w:bCs/>
          <w:sz w:val="32"/>
          <w:szCs w:val="32"/>
          <w:lang w:val="en-US" w:eastAsia="zh-CN"/>
        </w:rPr>
      </w:r>
      <w:r/>
    </w:p>
    <w:p>
      <w:pPr>
        <w:pStyle w:val="641"/>
        <w:jc w:val="center"/>
        <w:spacing w:line="600" w:lineRule="exact"/>
        <w:rPr>
          <w:rFonts w:ascii="黑体" w:eastAsia="黑体"/>
          <w:b/>
          <w:bCs/>
          <w:sz w:val="32"/>
          <w:szCs w:val="32"/>
        </w:rPr>
      </w:pPr>
      <w:r>
        <w:rPr>
          <w:rFonts w:hint="eastAsia" w:ascii="黑体" w:eastAsia="黑体" w:cs="Times New Roman"/>
          <w:b/>
          <w:bCs/>
          <w:sz w:val="32"/>
          <w:szCs w:val="32"/>
          <w:lang w:val="en-US" w:eastAsia="zh-CN"/>
        </w:rPr>
        <w:t xml:space="preserve">五、</w:t>
      </w: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府采购活动前3年内在经营活动中没有重大违法记录的书面声明</w:t>
      </w:r>
      <w:r>
        <w:rPr>
          <w:rFonts w:ascii="黑体" w:eastAsia="黑体"/>
          <w:b/>
          <w:bCs/>
          <w:sz w:val="32"/>
          <w:szCs w:val="32"/>
        </w:rPr>
      </w:r>
      <w:r/>
    </w:p>
    <w:p>
      <w:pPr>
        <w:pStyle w:val="641"/>
        <w:spacing w:line="600" w:lineRule="exact"/>
        <w:rPr>
          <w:rFonts w:ascii="仿宋_GB2312" w:eastAsia="仿宋_GB2312"/>
        </w:rPr>
      </w:pPr>
      <w:r>
        <w:rPr>
          <w:rFonts w:ascii="仿宋_GB2312" w:eastAsia="仿宋_GB2312"/>
        </w:rPr>
      </w:r>
      <w:r/>
    </w:p>
    <w:p>
      <w:pPr>
        <w:pStyle w:val="641"/>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cs="宋体"/>
          <w:sz w:val="24"/>
          <w:szCs w:val="24"/>
        </w:rPr>
      </w:r>
      <w:r/>
    </w:p>
    <w:p>
      <w:pPr>
        <w:pStyle w:val="641"/>
        <w:ind w:firstLine="461"/>
        <w:spacing w:line="600" w:lineRule="exact"/>
        <w:rPr>
          <w:rFonts w:ascii="宋体" w:hAnsi="宋体" w:eastAsia="宋体" w:cs="宋体"/>
          <w:sz w:val="24"/>
          <w:szCs w:val="24"/>
        </w:rPr>
      </w:pPr>
      <w:r>
        <w:rPr>
          <w:rFonts w:ascii="宋体" w:hAnsi="宋体" w:eastAsia="宋体" w:cs="宋体"/>
          <w:sz w:val="24"/>
          <w:szCs w:val="24"/>
        </w:rPr>
      </w:r>
      <w:r/>
    </w:p>
    <w:p>
      <w:pPr>
        <w:pStyle w:val="641"/>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41"/>
        <w:ind w:firstLine="461"/>
        <w:spacing w:line="600" w:lineRule="exact"/>
        <w:rPr>
          <w:rFonts w:ascii="宋体" w:hAnsi="宋体" w:eastAsia="宋体" w:cs="宋体"/>
          <w:sz w:val="24"/>
          <w:szCs w:val="24"/>
        </w:rPr>
      </w:pPr>
      <w:r>
        <w:rPr>
          <w:rFonts w:ascii="宋体" w:hAnsi="宋体" w:eastAsia="宋体" w:cs="宋体"/>
          <w:sz w:val="24"/>
          <w:szCs w:val="24"/>
        </w:rPr>
      </w:r>
      <w:r/>
    </w:p>
    <w:p>
      <w:pPr>
        <w:pStyle w:val="641"/>
        <w:ind w:firstLine="312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641"/>
        <w:ind w:firstLine="1680"/>
        <w:spacing w:line="600" w:lineRule="exact"/>
        <w:rPr>
          <w:rFonts w:ascii="宋体" w:hAnsi="宋体" w:eastAsia="宋体" w:cs="宋体"/>
          <w:sz w:val="24"/>
          <w:szCs w:val="24"/>
        </w:rPr>
      </w:pPr>
      <w:r>
        <w:rPr>
          <w:rFonts w:ascii="宋体" w:hAnsi="宋体" w:eastAsia="宋体" w:cs="宋体"/>
          <w:sz w:val="24"/>
          <w:szCs w:val="24"/>
        </w:rPr>
      </w:r>
      <w:r/>
    </w:p>
    <w:p>
      <w:pPr>
        <w:pStyle w:val="659"/>
        <w:jc w:val="both"/>
        <w:spacing w:beforeAutospacing="0" w:afterAutospacing="0" w:line="0" w:lineRule="atLeast"/>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9"/>
        <w:jc w:val="both"/>
        <w:spacing w:beforeAutospacing="0" w:afterAutospacing="0"/>
        <w:rPr>
          <w:rFonts w:hint="eastAsia" w:ascii="黑体" w:hAnsi="Calibri" w:eastAsia="黑体" w:cs="Times New Roman"/>
          <w:b/>
          <w:bCs/>
          <w:sz w:val="32"/>
          <w:szCs w:val="32"/>
          <w:lang w:val="en-US" w:eastAsia="zh-CN" w:bidi="ar-SA"/>
        </w:rPr>
      </w:pPr>
      <w:r/>
      <w:bookmarkStart w:id="189" w:name="_Toc120614284"/>
      <w:r>
        <w:rPr>
          <w:rFonts w:hint="eastAsia" w:ascii="黑体" w:hAnsi="Calibri" w:eastAsia="黑体" w:cs="Times New Roman"/>
          <w:b/>
          <w:bCs/>
          <w:sz w:val="32"/>
          <w:szCs w:val="32"/>
          <w:lang w:val="en-US" w:eastAsia="zh-CN" w:bidi="ar-SA"/>
        </w:rPr>
        <w:t xml:space="preserve">六、特定资格要求的证明文件</w:t>
      </w:r>
      <w:r>
        <w:rPr>
          <w:rFonts w:hint="eastAsia" w:ascii="黑体" w:hAnsi="Calibri" w:eastAsia="黑体" w:cs="Times New Roman"/>
          <w:b/>
          <w:bCs/>
          <w:sz w:val="32"/>
          <w:szCs w:val="32"/>
          <w:lang w:val="en-US" w:eastAsia="zh-CN" w:bidi="ar-SA"/>
        </w:rPr>
      </w:r>
      <w:r/>
    </w:p>
    <w:p>
      <w:pPr>
        <w:pStyle w:val="659"/>
        <w:jc w:val="both"/>
        <w:spacing w:beforeAutospacing="0" w:afterAutospacing="0"/>
        <w:rPr>
          <w:rFonts w:ascii="黑体" w:hAnsi="宋体" w:eastAsia="黑体" w:cs="黑体"/>
          <w:i/>
          <w:color w:val="000000"/>
          <w:sz w:val="32"/>
          <w:szCs w:val="32"/>
          <w:highlight w:val="none"/>
          <w:u w:val="single"/>
        </w:rPr>
      </w:pPr>
      <w:r>
        <w:rPr>
          <w:rFonts w:hint="eastAsia" w:ascii="宋体" w:hAnsi="宋体" w:eastAsia="宋体" w:cs="宋体"/>
          <w:color w:val="000000"/>
          <w:highlight w:val="none"/>
        </w:rPr>
        <w:t xml:space="preserve">如果本项目申请人的特定资格要求中要求提供的，必须提供。</w:t>
      </w:r>
      <w:r>
        <w:rPr>
          <w:rFonts w:ascii="黑体" w:hAnsi="宋体" w:eastAsia="黑体" w:cs="黑体"/>
          <w:i/>
          <w:color w:val="000000"/>
          <w:sz w:val="32"/>
          <w:szCs w:val="32"/>
          <w:highlight w:val="none"/>
          <w:u w:val="single"/>
        </w:rPr>
      </w:r>
      <w:r/>
    </w:p>
    <w:p>
      <w:pPr>
        <w:pStyle w:val="6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9"/>
        <w:jc w:val="both"/>
        <w:spacing w:beforeAutospacing="0" w:afterAutospacing="0"/>
        <w:rPr>
          <w:rFonts w:hint="eastAsia" w:ascii="黑体" w:eastAsia="黑体" w:cs="Times New Roman"/>
          <w:b/>
          <w:bCs/>
          <w:sz w:val="32"/>
          <w:szCs w:val="32"/>
          <w:highlight w:val="none"/>
          <w:lang w:val="en-US" w:eastAsia="zh-CN"/>
        </w:rPr>
      </w:pPr>
      <w:r/>
      <w:bookmarkStart w:id="190" w:name="_Hlt26671380"/>
      <w:r/>
      <w:bookmarkStart w:id="191" w:name="_格式3__银行出具的资信证明"/>
      <w:r/>
      <w:bookmarkStart w:id="192" w:name="_Hlt26955070"/>
      <w:r>
        <w:rPr>
          <w:rFonts w:hint="eastAsia" w:ascii="黑体" w:eastAsia="黑体" w:cs="Times New Roman"/>
          <w:b/>
          <w:bCs/>
          <w:sz w:val="32"/>
          <w:szCs w:val="32"/>
          <w:highlight w:val="none"/>
          <w:lang w:val="en-US" w:eastAsia="zh-CN"/>
        </w:rPr>
      </w:r>
      <w:r/>
    </w:p>
    <w:p>
      <w:pPr>
        <w:pStyle w:val="659"/>
        <w:jc w:val="center"/>
        <w:spacing w:beforeAutospacing="0" w:afterAutospacing="0"/>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 xml:space="preserve">七、</w:t>
      </w:r>
      <w:r>
        <w:rPr>
          <w:rFonts w:hint="eastAsia" w:ascii="黑体" w:hAnsi="Calibri" w:eastAsia="黑体" w:cs="Times New Roman"/>
          <w:b/>
          <w:bCs/>
          <w:sz w:val="32"/>
          <w:szCs w:val="32"/>
          <w:highlight w:val="none"/>
          <w:lang w:val="en-US" w:eastAsia="zh-CN"/>
        </w:rPr>
        <w:t xml:space="preserve">法人授权</w:t>
      </w:r>
      <w:r>
        <w:rPr>
          <w:rFonts w:hint="eastAsia" w:ascii="黑体" w:eastAsia="黑体"/>
          <w:b/>
          <w:bCs/>
          <w:sz w:val="32"/>
          <w:szCs w:val="32"/>
          <w:highlight w:val="none"/>
        </w:rPr>
        <w:t xml:space="preserve">书</w:t>
      </w:r>
      <w:r>
        <w:rPr>
          <w:rFonts w:hint="eastAsia" w:ascii="黑体" w:eastAsia="黑体"/>
          <w:b/>
          <w:bCs/>
          <w:sz w:val="32"/>
          <w:szCs w:val="32"/>
          <w:highlight w:val="none"/>
        </w:rPr>
      </w:r>
      <w:r/>
    </w:p>
    <w:p>
      <w:pPr>
        <w:pStyle w:val="641"/>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JSZC-320000-HCXM-G2026-0004</w:t>
      </w:r>
      <w:r>
        <w:rPr>
          <w:rFonts w:hint="eastAsia" w:ascii="宋体" w:hAnsi="宋体" w:eastAsia="宋体" w:cs="宋体"/>
          <w:color w:val="000000"/>
          <w:sz w:val="24"/>
          <w:szCs w:val="24"/>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641"/>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9"/>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rPr>
          <w:rFonts w:hint="eastAsia"/>
        </w:rPr>
      </w:r>
      <w:r/>
    </w:p>
    <w:p>
      <w:pPr>
        <w:pStyle w:val="659"/>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rPr>
      </w:r>
      <w:r/>
    </w:p>
    <w:p>
      <w:pPr>
        <w:pStyle w:val="659"/>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rFonts w:hint="eastAsia"/>
        </w:rPr>
      </w:r>
      <w:r/>
    </w:p>
    <w:p>
      <w:pPr>
        <w:pStyle w:val="659"/>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rPr>
      </w:r>
      <w:r/>
    </w:p>
    <w:p>
      <w:pPr>
        <w:pStyle w:val="659"/>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rPr>
      </w:r>
      <w:r/>
    </w:p>
    <w:p>
      <w:pPr>
        <w:pStyle w:val="641"/>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rPr>
          <w:rFonts w:hint="eastAsia" w:ascii="宋体" w:hAnsi="宋体" w:eastAsia="宋体" w:cs="宋体"/>
          <w:sz w:val="24"/>
          <w:highlight w:val="none"/>
        </w:rPr>
      </w:r>
      <w:r/>
    </w:p>
    <w:p>
      <w:pPr>
        <w:pStyle w:val="641"/>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9"/>
        <w:jc w:val="both"/>
        <w:keepLines/>
        <w:keepNext/>
        <w:spacing w:before="260" w:beforeAutospacing="0" w:after="260" w:afterAutospacing="0" w:line="415" w:lineRule="auto"/>
        <w:rPr>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rFonts w:hint="eastAsia" w:ascii="宋体" w:hAnsi="宋体" w:eastAsia="宋体" w:cs="宋体"/>
          <w:b/>
          <w:color w:val="000000"/>
          <w:highlight w:val="none"/>
        </w:rPr>
        <w:br w:type="page" w:clear="all"/>
      </w:r>
      <w:r>
        <w:rPr>
          <w:rFonts w:hint="eastAsia" w:ascii="黑体" w:hAnsi="Calibri" w:eastAsia="黑体" w:cs="Times New Roman"/>
          <w:b/>
          <w:bCs/>
          <w:sz w:val="32"/>
          <w:szCs w:val="32"/>
          <w:highlight w:val="none"/>
          <w:lang w:val="en-US" w:eastAsia="zh-CN"/>
        </w:rPr>
        <w:t xml:space="preserve"> </w:t>
      </w: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rPr>
          <w:highlight w:val="none"/>
        </w:rPr>
      </w:r>
      <w:r/>
    </w:p>
    <w:p>
      <w:pPr>
        <w:pStyle w:val="659"/>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江苏盐城国家级珍禽自然保护区管理处</w:t>
      </w:r>
      <w:r>
        <w:rPr>
          <w:rFonts w:eastAsia="宋体"/>
          <w:highlight w:val="none"/>
          <w:lang w:val="en-US" w:eastAsia="zh-CN"/>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JSZC-320000-HCXM-G2026-0004</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659"/>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659"/>
        <w:ind w:firstLine="240"/>
        <w:jc w:val="center"/>
        <w:spacing w:beforeAutospacing="0" w:afterAutospacing="0" w:line="0" w:lineRule="atLeast"/>
        <w:rPr>
          <w:highlight w:val="none"/>
        </w:rPr>
      </w:pPr>
      <w:r>
        <w:rPr>
          <w:highlight w:val="none"/>
        </w:rPr>
        <w:t xml:space="preserve"> </w:t>
      </w:r>
      <w:r>
        <w:rPr>
          <w:highlight w:val="none"/>
        </w:rPr>
      </w:r>
      <w:r/>
    </w:p>
    <w:p>
      <w:pPr>
        <w:pStyle w:val="659"/>
        <w:ind w:firstLine="240"/>
        <w:jc w:val="center"/>
        <w:spacing w:beforeAutospacing="0" w:afterAutospacing="0" w:line="0" w:lineRule="atLeast"/>
        <w:rPr>
          <w:highlight w:val="none"/>
        </w:rPr>
      </w:pPr>
      <w:r>
        <w:rPr>
          <w:highlight w:val="none"/>
        </w:rPr>
        <w:t xml:space="preserve"> </w:t>
      </w:r>
      <w:r>
        <w:rPr>
          <w:highlight w:val="none"/>
        </w:rPr>
      </w:r>
      <w:r/>
    </w:p>
    <w:p>
      <w:pPr>
        <w:pStyle w:val="659"/>
        <w:ind w:firstLine="240"/>
        <w:jc w:val="center"/>
        <w:spacing w:beforeAutospacing="0" w:afterAutospacing="0" w:line="0" w:lineRule="atLeast"/>
        <w:rPr>
          <w:highlight w:val="none"/>
        </w:rPr>
      </w:pPr>
      <w:r>
        <w:rPr>
          <w:highlight w:val="none"/>
        </w:rPr>
        <w:t xml:space="preserve"> </w:t>
      </w:r>
      <w:r>
        <w:rPr>
          <w:highlight w:val="none"/>
        </w:rPr>
      </w:r>
      <w:r/>
    </w:p>
    <w:p>
      <w:pPr>
        <w:pStyle w:val="659"/>
        <w:ind w:firstLine="240"/>
        <w:jc w:val="center"/>
        <w:spacing w:beforeAutospacing="0" w:afterAutospacing="0" w:line="0" w:lineRule="atLeast"/>
        <w:rPr>
          <w:highlight w:val="none"/>
        </w:rPr>
      </w:pPr>
      <w:r>
        <w:rPr>
          <w:highlight w:val="none"/>
        </w:rPr>
        <w:t xml:space="preserve"> </w:t>
      </w: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eastAsia="黑体"/>
          <w:color w:val="000000"/>
          <w:highlight w:val="none"/>
          <w:lang w:eastAsia="zh-CN"/>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lang w:eastAsia="zh-CN"/>
        </w:rPr>
        <w:t xml:space="preserve">）</w:t>
      </w:r>
      <w:r>
        <w:rPr>
          <w:rFonts w:hint="eastAsia" w:eastAsia="黑体"/>
          <w:color w:val="000000"/>
          <w:highlight w:val="none"/>
          <w:lang w:eastAsia="zh-CN"/>
        </w:rPr>
      </w:r>
      <w:r/>
    </w:p>
    <w:p>
      <w:pPr>
        <w:pStyle w:val="641"/>
        <w:ind w:firstLine="480"/>
        <w:jc w:val="both"/>
        <w:spacing w:line="500" w:lineRule="exact"/>
        <w:rPr>
          <w:rFonts w:hint="eastAsia"/>
          <w:color w:val="000000"/>
          <w:sz w:val="24"/>
          <w:highlight w:val="none"/>
        </w:rPr>
      </w:pPr>
      <w:r>
        <w:rPr>
          <w:rFonts w:hint="eastAsia"/>
          <w:color w:val="000000"/>
          <w:sz w:val="24"/>
          <w:highlight w:val="none"/>
        </w:rPr>
      </w:r>
      <w:r/>
    </w:p>
    <w:p>
      <w:pPr>
        <w:pStyle w:val="641"/>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)的规定，本公司参加</w:t>
      </w:r>
      <w:r>
        <w:rPr>
          <w:rFonts w:hint="eastAsia"/>
          <w:color w:val="000000"/>
          <w:sz w:val="24"/>
          <w:highlight w:val="none"/>
          <w:lang w:val="en-US" w:eastAsia="zh-CN"/>
        </w:rPr>
        <w:t xml:space="preserve">江苏盐城国家级珍禽自然保护区管理处</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JSZC-320000-HCXM-G2026-0004</w:t>
      </w:r>
      <w:r>
        <w:rPr>
          <w:rFonts w:hint="eastAsia"/>
          <w:color w:val="000000"/>
          <w:sz w:val="24"/>
          <w:highlight w:val="none"/>
        </w:rPr>
        <w:t xml:space="preserve">的</w:t>
      </w:r>
      <w:r>
        <w:rPr>
          <w:rFonts w:hint="eastAsia"/>
          <w:color w:val="000000"/>
          <w:sz w:val="24"/>
          <w:highlight w:val="none"/>
          <w:u w:val="single"/>
          <w:lang w:eastAsia="zh-CN"/>
        </w:rPr>
        <w:t xml:space="preserve">巡护船及配套设施采购项目（二次）</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65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65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65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65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65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659"/>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659"/>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659"/>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659"/>
        <w:ind w:firstLine="360"/>
        <w:jc w:val="both"/>
        <w:spacing w:before="0" w:beforeAutospacing="0" w:after="0" w:afterAutospacing="0" w:line="360" w:lineRule="auto"/>
        <w:widowControl w:val="off"/>
        <w:rPr>
          <w:color w:val="ff0000"/>
          <w:highlight w:val="none"/>
        </w:rPr>
      </w:pPr>
      <w:r>
        <w:rPr>
          <w:color w:val="ff0000"/>
          <w:highlight w:val="none"/>
        </w:rPr>
        <w:t xml:space="preserve"> </w:t>
      </w:r>
      <w:r>
        <w:rPr>
          <w:color w:val="ff0000"/>
          <w:highlight w:val="none"/>
        </w:rPr>
      </w:r>
      <w:r/>
    </w:p>
    <w:p>
      <w:pPr>
        <w:pStyle w:val="659"/>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659"/>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rPr>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rPr>
          <w:highlight w:val="none"/>
        </w:rPr>
      </w:r>
      <w:r/>
    </w:p>
    <w:p>
      <w:pPr>
        <w:pStyle w:val="65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lang w:val="en-US" w:eastAsia="zh-CN"/>
        </w:rPr>
        <w:t xml:space="preserve">江苏盐城国家级珍禽自然保护区管理处</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JSZC-320000-HCXM-G2026-0004</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巡护船及配套设施采购项目（二次）</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rPr>
          <w:highlight w:val="none"/>
        </w:rPr>
      </w:r>
      <w:r/>
    </w:p>
    <w:p>
      <w:pPr>
        <w:pStyle w:val="659"/>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659"/>
        <w:ind w:firstLine="480"/>
        <w:jc w:val="both"/>
        <w:spacing w:beforeAutospacing="0" w:afterAutospacing="0" w:line="0" w:lineRule="atLeast"/>
        <w:rPr>
          <w:highlight w:val="none"/>
        </w:rPr>
      </w:pPr>
      <w:r>
        <w:rPr>
          <w:highlight w:val="none"/>
        </w:rPr>
        <w:t xml:space="preserve"> </w:t>
      </w:r>
      <w:r>
        <w:rPr>
          <w:highlight w:val="none"/>
        </w:rPr>
      </w:r>
      <w:r/>
    </w:p>
    <w:p>
      <w:pPr>
        <w:pStyle w:val="6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highlight w:val="none"/>
        </w:rPr>
      </w:r>
      <w:r/>
    </w:p>
    <w:p>
      <w:pPr>
        <w:pStyle w:val="659"/>
        <w:ind w:firstLine="624"/>
        <w:jc w:val="both"/>
        <w:spacing w:beforeAutospacing="0" w:afterAutospacing="0" w:line="0" w:lineRule="atLeast"/>
        <w:rPr>
          <w:highlight w:val="none"/>
        </w:rPr>
      </w:pPr>
      <w:r>
        <w:rPr>
          <w:highlight w:val="none"/>
        </w:rPr>
        <w:t xml:space="preserve"> </w:t>
      </w:r>
      <w:r>
        <w:rPr>
          <w:highlight w:val="none"/>
        </w:rPr>
      </w:r>
      <w:r/>
    </w:p>
    <w:p>
      <w:pPr>
        <w:pStyle w:val="659"/>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659"/>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t xml:space="preserve"> </w:t>
      </w: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b/>
          <w:bCs/>
          <w:color w:val="000000"/>
        </w:rPr>
      </w:r>
      <w:r/>
    </w:p>
    <w:p>
      <w:pPr>
        <w:pStyle w:val="659"/>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rPr>
          <w:b/>
          <w:bCs/>
          <w:color w:val="000000"/>
        </w:rPr>
      </w:r>
      <w:r/>
    </w:p>
    <w:p>
      <w:pPr>
        <w:pStyle w:val="659"/>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659"/>
        <w:numPr>
          <w:ilvl w:val="0"/>
          <w:numId w:val="2"/>
        </w:numPr>
        <w:ind w:left="0" w:firstLine="420"/>
        <w:jc w:val="both"/>
        <w:keepLines w:val="0"/>
        <w:keepNext w:val="0"/>
        <w:spacing w:before="30" w:beforeAutospacing="0" w:after="30" w:afterAutospacing="0"/>
        <w:widowControl w:val="off"/>
        <w:tabs>
          <w:tab w:val="left" w:pos="312" w:leader="none"/>
        </w:tabs>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color w:val="000000"/>
          <w:sz w:val="24"/>
          <w:szCs w:val="24"/>
          <w:shd w:val="clear" w:color="auto" w:fill="ffffff"/>
        </w:rPr>
      </w:r>
      <w:r/>
    </w:p>
    <w:p>
      <w:pPr>
        <w:pStyle w:val="659"/>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b/>
          <w:bCs/>
          <w:color w:val="000000"/>
        </w:rPr>
      </w:r>
      <w:r/>
    </w:p>
    <w:p>
      <w:pPr>
        <w:pStyle w:val="659"/>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659"/>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659"/>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659"/>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659"/>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659"/>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659"/>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659"/>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641"/>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pStyle w:val="641"/>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both"/>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rPr>
          <w:rFonts w:hint="eastAsia" w:ascii="黑体" w:hAnsi="宋体" w:eastAsia="黑体" w:cs="黑体"/>
          <w:b/>
          <w:color w:val="000000"/>
          <w:sz w:val="32"/>
          <w:szCs w:val="32"/>
          <w:highlight w:val="none"/>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057"/>
        <w:gridCol w:w="2750"/>
        <w:gridCol w:w="491"/>
        <w:gridCol w:w="846"/>
        <w:gridCol w:w="881"/>
        <w:gridCol w:w="838"/>
        <w:gridCol w:w="898"/>
      </w:tblGrid>
      <w:tr>
        <w:trPr>
          <w:trHeight w:val="883"/>
        </w:trPr>
        <w:tc>
          <w:tcPr>
            <w:shd w:val="clear" w:color="auto" w:fill="ffffff"/>
            <w:tcW w:w="443"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shd w:val="clear" w:color="auto" w:fill="ffffff"/>
            <w:tcW w:w="62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rPr>
                <w:rFonts w:hint="eastAsia" w:ascii="宋体" w:hAnsi="宋体" w:eastAsia="宋体" w:cs="宋体"/>
                <w:b/>
                <w:bCs/>
                <w:i w:val="0"/>
                <w:iCs w:val="0"/>
                <w:color w:val="000000"/>
                <w:sz w:val="18"/>
                <w:szCs w:val="18"/>
                <w:u w:val="none"/>
              </w:rPr>
            </w:r>
            <w:r/>
          </w:p>
        </w:tc>
        <w:tc>
          <w:tcPr>
            <w:shd w:val="clear" w:color="auto" w:fill="ffffff"/>
            <w:tcW w:w="161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规格、型号（结构）</w:t>
            </w:r>
            <w:r>
              <w:rPr>
                <w:rFonts w:hint="eastAsia" w:ascii="宋体" w:hAnsi="宋体" w:eastAsia="宋体" w:cs="宋体"/>
                <w:b/>
                <w:bCs/>
                <w:i w:val="0"/>
                <w:iCs w:val="0"/>
                <w:color w:val="000000"/>
                <w:sz w:val="18"/>
                <w:szCs w:val="18"/>
                <w:u w:val="none"/>
              </w:rPr>
            </w:r>
            <w:r/>
          </w:p>
        </w:tc>
        <w:tc>
          <w:tcPr>
            <w:shd w:val="clear" w:color="auto" w:fill="ffffff"/>
            <w:tcW w:w="289"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shd w:val="clear" w:color="auto" w:fill="ffffff"/>
            <w:tcW w:w="49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c>
          <w:tcPr>
            <w:shd w:val="clear" w:color="auto" w:fill="ffffff"/>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全费用综合单价（元）</w:t>
            </w:r>
            <w:r>
              <w:rPr>
                <w:rFonts w:hint="eastAsia" w:ascii="宋体" w:hAnsi="宋体" w:eastAsia="宋体" w:cs="宋体"/>
                <w:b/>
                <w:bCs/>
                <w:i w:val="0"/>
                <w:iCs w:val="0"/>
                <w:color w:val="000000"/>
                <w:sz w:val="18"/>
                <w:szCs w:val="18"/>
                <w:u w:val="none"/>
              </w:rPr>
            </w:r>
            <w:r/>
          </w:p>
        </w:tc>
        <w:tc>
          <w:tcPr>
            <w:shd w:val="clear" w:color="auto" w:fill="ffffff"/>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合价（元）</w:t>
            </w:r>
            <w:r>
              <w:rPr>
                <w:rFonts w:hint="eastAsia" w:ascii="宋体" w:hAnsi="宋体" w:eastAsia="宋体" w:cs="宋体"/>
                <w:b/>
                <w:bCs/>
                <w:i w:val="0"/>
                <w:iCs w:val="0"/>
                <w:color w:val="000000"/>
                <w:sz w:val="18"/>
                <w:szCs w:val="18"/>
                <w:u w:val="none"/>
              </w:rPr>
            </w:r>
            <w:r/>
          </w:p>
        </w:tc>
        <w:tc>
          <w:tcPr>
            <w:shd w:val="clear" w:color="auto" w:fill="ffffff"/>
            <w:tcW w:w="526" w:type="dxa"/>
            <w:vAlign w:val="center"/>
            <w:textDirection w:val="lrTb"/>
            <w:noWrap w:val="false"/>
          </w:tcPr>
          <w:p>
            <w:pPr>
              <w:pStyle w:val="641"/>
              <w:jc w:val="center"/>
              <w:keepLines w:val="0"/>
              <w:keepNext w:val="0"/>
              <w:widowControl/>
              <w:rPr>
                <w:rFonts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品牌型号</w:t>
            </w:r>
            <w:r>
              <w:rPr>
                <w:rFonts w:ascii="宋体" w:hAnsi="宋体" w:eastAsia="宋体" w:cs="宋体"/>
                <w:b/>
                <w:bCs/>
                <w:i w:val="0"/>
                <w:iCs w:val="0"/>
                <w:color w:val="000000"/>
                <w:sz w:val="18"/>
                <w:szCs w:val="18"/>
                <w:u w:val="none"/>
                <w:lang w:val="en-US" w:eastAsia="zh-CN" w:bidi="ar"/>
              </w:rPr>
            </w:r>
            <w:r/>
          </w:p>
        </w:tc>
      </w:tr>
      <w:tr>
        <w:trPr>
          <w:trHeight w:val="567"/>
        </w:trPr>
        <w:tc>
          <w:tcPr>
            <w:tcW w:w="443"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w:t>
            </w:r>
            <w:r>
              <w:rPr>
                <w:rFonts w:hint="eastAsia" w:ascii="宋体" w:hAnsi="宋体" w:eastAsia="宋体" w:cs="宋体"/>
                <w:b/>
                <w:bCs/>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船体</w:t>
            </w:r>
            <w:r>
              <w:rPr>
                <w:rFonts w:hint="eastAsia" w:ascii="宋体" w:hAnsi="宋体" w:eastAsia="宋体" w:cs="宋体"/>
                <w:b/>
                <w:bCs/>
                <w:i w:val="0"/>
                <w:iCs w:val="0"/>
                <w:color w:val="000000"/>
                <w:sz w:val="24"/>
                <w:szCs w:val="24"/>
                <w:u w:val="none"/>
                <w:lang w:val="en-US" w:eastAsia="zh-CN" w:bidi="ar"/>
              </w:rPr>
            </w:r>
            <w:r/>
          </w:p>
        </w:tc>
      </w:tr>
      <w:tr>
        <w:trPr>
          <w:trHeight w:val="1253"/>
        </w:trPr>
        <w:tc>
          <w:tcPr>
            <w:tcW w:w="443"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rPr>
                <w:rFonts w:hint="eastAsia" w:ascii="宋体" w:hAnsi="宋体" w:eastAsia="宋体" w:cs="宋体"/>
                <w:b/>
                <w:bCs/>
                <w:i w:val="0"/>
                <w:iCs w:val="0"/>
                <w:color w:val="000000"/>
                <w:sz w:val="18"/>
                <w:szCs w:val="18"/>
                <w:u w:val="none"/>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船体</w:t>
            </w:r>
            <w:r>
              <w:rPr>
                <w:rFonts w:hint="eastAsia" w:ascii="宋体" w:hAnsi="宋体" w:eastAsia="宋体" w:cs="宋体"/>
                <w:i w:val="0"/>
                <w:iCs w:val="0"/>
                <w:color w:val="000000"/>
                <w:sz w:val="18"/>
                <w:szCs w:val="18"/>
                <w:u w:val="none"/>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1、船体材质：CCSB 级船用低碳钢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2、船体结构：单底、单舷、单甲板、横骨架式，全船肋骨间距为： s=500mm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3、具体详见设计图纸及满足相关规范要求</w:t>
            </w:r>
            <w:r>
              <w:rPr>
                <w:rFonts w:hint="eastAsia" w:ascii="宋体" w:hAnsi="宋体" w:eastAsia="宋体" w:cs="宋体"/>
                <w:i w:val="0"/>
                <w:iCs w:val="0"/>
                <w:color w:val="000000"/>
                <w:sz w:val="18"/>
                <w:szCs w:val="18"/>
                <w:u w:val="none"/>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艘</w:t>
            </w:r>
            <w:r>
              <w:rPr>
                <w:rFonts w:hint="eastAsia" w:ascii="宋体" w:hAnsi="宋体" w:eastAsia="宋体" w:cs="宋体"/>
                <w:i w:val="0"/>
                <w:iCs w:val="0"/>
                <w:color w:val="000000"/>
                <w:sz w:val="18"/>
                <w:szCs w:val="18"/>
                <w:u w:val="none"/>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101"/>
        </w:trPr>
        <w:tc>
          <w:tcPr>
            <w:tcW w:w="443"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rPr>
                <w:rFonts w:hint="eastAsia" w:ascii="宋体" w:hAnsi="宋体" w:eastAsia="宋体" w:cs="宋体"/>
                <w:b/>
                <w:bCs/>
                <w:i w:val="0"/>
                <w:iCs w:val="0"/>
                <w:color w:val="000000"/>
                <w:sz w:val="18"/>
                <w:szCs w:val="18"/>
                <w:u w:val="none"/>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涂装</w:t>
            </w:r>
            <w:r>
              <w:rPr>
                <w:rFonts w:hint="eastAsia" w:ascii="宋体" w:hAnsi="宋体" w:eastAsia="宋体" w:cs="宋体"/>
                <w:i w:val="0"/>
                <w:iCs w:val="0"/>
                <w:color w:val="000000"/>
                <w:sz w:val="18"/>
                <w:szCs w:val="18"/>
                <w:u w:val="none"/>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1、本项内容包含船体油漆、阴极保护和主甲板、全船外板喷锌喷砂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2、本船油漆采用 CCS 认可优质船用漆，油漆施工应保证漆膜在 5 年内能良好地保护船体结构，油漆颜色由船东选定；采用牺牲阳极阴极保护法予以保护，质保年限至少为3年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3、具体详见设计图纸及满足相关规范要求</w:t>
            </w:r>
            <w:r>
              <w:rPr>
                <w:rFonts w:hint="eastAsia" w:ascii="宋体" w:hAnsi="宋体" w:eastAsia="宋体" w:cs="宋体"/>
                <w:i w:val="0"/>
                <w:iCs w:val="0"/>
                <w:color w:val="000000"/>
                <w:sz w:val="18"/>
                <w:szCs w:val="18"/>
                <w:u w:val="none"/>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67"/>
        </w:trPr>
        <w:tc>
          <w:tcPr>
            <w:tcW w:w="443" w:type="dxa"/>
            <w:vAlign w:val="center"/>
            <w:textDirection w:val="lrTb"/>
            <w:noWrap w:val="false"/>
          </w:tcPr>
          <w:p>
            <w:pPr>
              <w:pStyle w:val="641"/>
              <w:jc w:val="center"/>
              <w:keepLines w:val="0"/>
              <w:keepNext w:val="0"/>
              <w:widowControl/>
              <w:rPr>
                <w:rFonts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3</w:t>
            </w:r>
            <w:r>
              <w:rPr>
                <w:rFonts w:ascii="宋体" w:hAnsi="宋体" w:eastAsia="宋体" w:cs="宋体"/>
                <w:b/>
                <w:bCs/>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小计</w:t>
            </w:r>
            <w:r>
              <w:rPr>
                <w:rFonts w:ascii="宋体" w:hAnsi="宋体" w:eastAsia="宋体" w:cs="宋体"/>
                <w:i w:val="0"/>
                <w:iCs w:val="0"/>
                <w:color w:val="000000"/>
                <w:sz w:val="18"/>
                <w:szCs w:val="18"/>
                <w:u w:val="none"/>
                <w:lang w:val="en-US" w:eastAsia="zh-CN"/>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67"/>
        </w:trPr>
        <w:tc>
          <w:tcPr>
            <w:tcW w:w="443" w:type="dxa"/>
            <w:vAlign w:val="center"/>
            <w:textDirection w:val="lrTb"/>
            <w:noWrap w:val="false"/>
          </w:tcPr>
          <w:p>
            <w:pPr>
              <w:pStyle w:val="641"/>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二</w:t>
            </w:r>
            <w:r>
              <w:rPr>
                <w:rFonts w:ascii="宋体" w:hAnsi="宋体" w:eastAsia="宋体" w:cs="宋体"/>
                <w:b/>
                <w:bCs/>
                <w:i w:val="0"/>
                <w:iCs w:val="0"/>
                <w:color w:val="000000"/>
                <w:sz w:val="24"/>
                <w:szCs w:val="24"/>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舾装设备</w:t>
            </w:r>
            <w:r>
              <w:rPr>
                <w:rFonts w:hint="eastAsia" w:ascii="宋体" w:hAnsi="宋体" w:eastAsia="宋体" w:cs="宋体"/>
                <w:b/>
                <w:bCs/>
                <w:i w:val="0"/>
                <w:iCs w:val="0"/>
                <w:color w:val="000000"/>
                <w:sz w:val="24"/>
                <w:szCs w:val="24"/>
                <w:u w:val="none"/>
                <w:lang w:val="en-US" w:eastAsia="zh-CN" w:bidi="ar"/>
              </w:rPr>
            </w:r>
            <w:r/>
          </w:p>
        </w:tc>
      </w:tr>
      <w:tr>
        <w:trPr>
          <w:trHeight w:val="717"/>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金属门、窗、盖、扶梯、扶手、栏杆、护舷、帆布防护罩</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349"/>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金属门、窗、盖、扶梯、扶手、栏杆、护舷、帆布防护罩</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1、本项包含本船所有金属门、窗、盖、扶梯、扶手、栏杆、护舷、帆布防护罩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2、风雨密钢质门（含防盗纱门） 机舱门槛 600mm，其他 380mm、</w:t>
            </w:r>
            <w:r>
              <w:rPr>
                <w:rFonts w:hint="eastAsia" w:ascii="宋体" w:hAnsi="宋体" w:eastAsia="宋体" w:cs="宋体"/>
                <w:i w:val="0"/>
                <w:iCs w:val="0"/>
                <w:color w:val="000000"/>
                <w:sz w:val="18"/>
                <w:szCs w:val="18"/>
                <w:u w:val="none"/>
                <w:lang w:val="en-US" w:eastAsia="zh-CN" w:bidi="ar"/>
              </w:rPr>
              <w:t xml:space="preserve">铝质风雨密移门（驾驶室）、铝质舱室空腹门 门槛 200mm、钢质防火门、船用舷窗（船员舱 配不锈钢窗斗、窗帘）、铝质移窗（甲板室舱室 配不锈钢窗斗、窗帘）、驾驶室固定矩形窗（配不锈钢窗斗、窗帘）、纱窗（配套水密可开窗）、风雨密舱口盖（单面启闭 630×630）、风雨密舱口盖（双面启闭 830×830）、油密 / 水密人孔盖（600×400）、钢质机舱斜梯（55° 倾角）、转角梯（船员住舱）、钢质直梯（底舱）、斜梯（主甲板以上）、钢质栏杆（高1000mm、含防风暴扶手）、露天甲板的机械及电气设备，配帆布防护罩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3、具体详见设计图纸及满足相关规范要求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消防、救生设备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二氧化碳灭火系统（系统成套供应）</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1、本项包含二氧化碳单列气瓶组68L/瓶(共5瓶)、遥控施放站、CO</w:t>
            </w:r>
            <w:r>
              <w:rPr>
                <w:rFonts w:ascii="宋体" w:hAnsi="宋体" w:eastAsia="宋体" w:cs="宋体"/>
                <w:i w:val="0"/>
                <w:iCs w:val="0"/>
                <w:color w:val="000000"/>
                <w:sz w:val="18"/>
                <w:szCs w:val="18"/>
                <w:u w:val="none"/>
                <w:lang w:val="en-US" w:eastAsia="zh-CN" w:bidi="ar"/>
              </w:rPr>
              <w:t xml:space="preserve">₂</w:t>
            </w:r>
            <w:r>
              <w:rPr>
                <w:rFonts w:hint="eastAsia" w:ascii="宋体" w:hAnsi="宋体" w:eastAsia="宋体" w:cs="宋体"/>
                <w:i w:val="0"/>
                <w:iCs w:val="0"/>
                <w:color w:val="000000"/>
                <w:sz w:val="18"/>
                <w:szCs w:val="18"/>
                <w:u w:val="none"/>
                <w:lang w:val="en-US" w:eastAsia="zh-CN" w:bidi="ar"/>
              </w:rPr>
              <w:t xml:space="preserve">施放报警系统（包含二氧化碳施放报警控制箱、旋转报警器、二氧化碳施放报警指示灯及管线），具体详见设计图纸；系统管材为无缝钢管，管路按照船体情况进行制作与安装，包括管道附件及阀门等全部费用。</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2.2</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防火及报警系统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1、RM-1B/JBS-4Q 含控制屏、2只感温探测器、27只感烟探测器、12只火警按钮、2只手动报警按钮点、1套应急蓄电池组、1套应急配电板、2套通风进口关闭装置、2套空调通风遥控关闭、2套燃油/风机遥控关闭、4套经济逃生呼吸装置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2.3</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水灭火系统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1、φ50消防栓5只，φ50水龙带1根(15m)，φ50水龙带4根(20m)φ16水枪5只(水雾/水柱两用型)，包含管道、管道附件、阀门等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消防用品</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二氧化碳灭火器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MFZL-5kg</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2.4.2</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手提干粉灭火器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MT-5kg</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2.4.3</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手提泡沫灭火器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MJPZ-9L</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2.4.4</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大型灭火器45L 舟车式泡沫灭火器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MJPZ-45</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2.4.5</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手提式泡沫枪</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PQ8.C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2.4.6</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消防栓</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B10050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2.4.7</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消防水带箱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2.4.8</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消防水带</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15m1 根、20m4 根</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2.4.9</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水枪（水雾 / 水柱两用）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φ16mm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2.4.10</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紧急逃生呼吸装置（EEBD）</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THDF15-1 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2.4.11</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太平斧</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2.4.12</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太平桶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2.4.13</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黄砂箱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2.4.14</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2.5.1</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抛投式自扶正气胀救生筏</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 人型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2.5.2</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救生筏架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2.5.3</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登乘绳梯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B20 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2.5.4</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救生圈（带 30m 浮索）</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救生圈（带自亮浮灯）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2.5.6</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救生圈（带浮灯 + 烟雾信号）</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2.5.7</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普通救生圈</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2.5.8</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救生衣（带救生衣灯）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YB 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件</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救生服</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BFB1 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件</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2.5.10</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火箭降落伞火焰信号</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2.5.11</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医药急救箱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系泊、锚泊设备</w:t>
            </w:r>
            <w:r>
              <w:rPr>
                <w:rFonts w:hint="eastAsia" w:ascii="宋体" w:hAnsi="宋体" w:eastAsia="宋体" w:cs="宋体"/>
                <w:i w:val="0"/>
                <w:iCs w:val="0"/>
                <w:color w:val="000000"/>
                <w:sz w:val="18"/>
                <w:szCs w:val="18"/>
                <w:u w:val="none"/>
                <w:lang w:val="en-US" w:eastAsia="zh-CN" w:bidi="ar"/>
              </w:rPr>
            </w:r>
            <w:r/>
          </w:p>
        </w:tc>
        <w:tc>
          <w:tcPr>
            <w:tcW w:w="526"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w:t>
            </w:r>
            <w:r>
              <w:rPr>
                <w:rFonts w:ascii="宋体" w:hAnsi="宋体" w:eastAsia="宋体" w:cs="宋体"/>
                <w:i w:val="0"/>
                <w:iCs w:val="0"/>
                <w:color w:val="000000"/>
                <w:sz w:val="18"/>
                <w:szCs w:val="18"/>
                <w:u w:val="none"/>
                <w:lang w:val="en-US" w:eastAsia="zh-CN" w:bidi="ar"/>
              </w:rPr>
            </w:r>
            <w:r/>
          </w:p>
        </w:tc>
        <w:tc>
          <w:tcPr>
            <w:tcW w:w="1057"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霍尔锚（首锚）</w:t>
            </w:r>
            <w:r>
              <w:rPr>
                <w:rFonts w:hint="eastAsia" w:ascii="宋体" w:hAnsi="宋体" w:eastAsia="宋体" w:cs="宋体"/>
                <w:i w:val="0"/>
                <w:iCs w:val="0"/>
                <w:color w:val="000000"/>
                <w:sz w:val="18"/>
                <w:szCs w:val="18"/>
                <w:highlight w:val="none"/>
                <w:u w:val="none"/>
                <w:lang w:val="en-US" w:eastAsia="zh-CN" w:bidi="ar"/>
              </w:rPr>
            </w:r>
            <w:r/>
          </w:p>
        </w:tc>
        <w:tc>
          <w:tcPr>
            <w:tcW w:w="2750"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570kg/只</w:t>
            </w:r>
            <w:r>
              <w:rPr>
                <w:rFonts w:hint="eastAsia" w:ascii="宋体" w:hAnsi="宋体" w:eastAsia="宋体" w:cs="宋体"/>
                <w:i w:val="0"/>
                <w:iCs w:val="0"/>
                <w:color w:val="000000"/>
                <w:sz w:val="18"/>
                <w:szCs w:val="18"/>
                <w:highlight w:val="none"/>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lang w:val="en-US" w:eastAsia="zh-CN" w:bidi="ar"/>
              </w:rPr>
            </w:r>
            <w:r/>
          </w:p>
        </w:tc>
        <w:tc>
          <w:tcPr>
            <w:tcW w:w="84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CCS2 级有档锚链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φ20.50mm 分2根使用</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302.5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电动组合起锚机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φ20.50mm 工作负载 17.9kN，起锚速度≥12m/min</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系泊纤维索绞车</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首尾各2台</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系船索（丙纶绳）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φ28mm 120m/根</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拖索（钢丝绳）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6×37+FC-1570 φ16mm，180m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lang w:val="en-US" w:eastAsia="zh-CN" w:bidi="ar"/>
              </w:rPr>
            </w:r>
            <w:r/>
          </w:p>
        </w:tc>
        <w:tc>
          <w:tcPr>
            <w:tcW w:w="1057"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带缆桩</w:t>
            </w:r>
            <w:r>
              <w:rPr>
                <w:rFonts w:hint="eastAsia" w:ascii="宋体" w:hAnsi="宋体" w:eastAsia="宋体" w:cs="宋体"/>
                <w:i w:val="0"/>
                <w:iCs w:val="0"/>
                <w:color w:val="000000"/>
                <w:sz w:val="18"/>
                <w:szCs w:val="18"/>
                <w:highlight w:val="none"/>
                <w:u w:val="none"/>
                <w:lang w:val="en-US" w:eastAsia="zh-CN" w:bidi="ar"/>
              </w:rPr>
            </w:r>
            <w:r/>
          </w:p>
        </w:tc>
        <w:tc>
          <w:tcPr>
            <w:tcW w:w="2750"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配B250型带缆桩4只，DH250型双十字形缆桩9只，D150型单十字形缆桩1只</w:t>
            </w:r>
            <w:r>
              <w:rPr>
                <w:rFonts w:hint="eastAsia" w:ascii="宋体" w:hAnsi="宋体" w:eastAsia="宋体" w:cs="宋体"/>
                <w:i w:val="0"/>
                <w:iCs w:val="0"/>
                <w:color w:val="000000"/>
                <w:sz w:val="18"/>
                <w:szCs w:val="18"/>
                <w:highlight w:val="none"/>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lang w:val="en-US" w:eastAsia="zh-CN" w:bidi="ar"/>
              </w:rPr>
            </w:r>
            <w:r/>
          </w:p>
        </w:tc>
        <w:tc>
          <w:tcPr>
            <w:tcW w:w="84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w:t>
            </w:r>
            <w:r>
              <w:rPr>
                <w:rFonts w:ascii="宋体" w:hAnsi="宋体" w:eastAsia="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航行、信号设备</w:t>
            </w:r>
            <w:r>
              <w:rPr>
                <w:rFonts w:hint="eastAsia" w:ascii="宋体" w:hAnsi="宋体" w:eastAsia="宋体" w:cs="宋体"/>
                <w:i w:val="0"/>
                <w:iCs w:val="0"/>
                <w:color w:val="000000"/>
                <w:sz w:val="18"/>
                <w:szCs w:val="18"/>
                <w:u w:val="none"/>
                <w:lang w:val="en-US" w:eastAsia="zh-CN" w:bidi="ar"/>
              </w:rPr>
            </w:r>
            <w:r/>
          </w:p>
        </w:tc>
        <w:tc>
          <w:tcPr>
            <w:tcW w:w="526"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中型号笛</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大型号钟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大号球体（号型）</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中国国旗（5 号）</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国际信号旗（4 号）</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4.6</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both"/>
              <w:keepLines w:val="0"/>
              <w:keepNext w:val="0"/>
              <w:widowControl/>
              <w:tabs>
                <w:tab w:val="left" w:pos="1122" w:leader="none"/>
              </w:tabs>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both"/>
              <w:keepLines w:val="0"/>
              <w:keepNext w:val="0"/>
              <w:widowControl/>
              <w:tabs>
                <w:tab w:val="left" w:pos="1122" w:leader="none"/>
              </w:tabs>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其他</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both"/>
              <w:keepLines w:val="0"/>
              <w:keepNext w:val="0"/>
              <w:widowControl/>
              <w:tabs>
                <w:tab w:val="left" w:pos="1122" w:leader="none"/>
              </w:tabs>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船舶标志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包括钢制船名标志和船藉港标志、钢制干舷标志、钢制水尺标志、钢制首侧推标志、不锈钢铭牌、救生应急行动标志、消防应急行动标志等，具体详见设计图纸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轮胎及链条</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cs="宋体"/>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小计</w:t>
            </w: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三</w:t>
            </w:r>
            <w:r>
              <w:rPr>
                <w:rFonts w:hint="eastAsia"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机械设备</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主柴油机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型号：EZ8180ZLCZ-5A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型式: 直列六缸</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工作方式 :四冲程、直喷、增压中冷</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缸数： 8</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缸径×行程：     180×210mm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额定功率：       735kW</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额定转速：        1350 r/min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油底壳形式：     湿式</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转向：面对飞轮端逆时针</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起动方式:DC24V 电起动</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冷却方式：海淡水双循环水冷却</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柴油消耗率： 189g/kW.h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滑油消耗率：≤0.8g/kW.h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随机供应：</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1)滑油冷却器+滑油调温器</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2)淡水冷却器+淡水调温器</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3)仪表及监控、保护系统驾驶室远程显示监控保护</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4)冷却海水泵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5)起动电瓶组</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6)滑油备品泵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7)主机弹性机脚</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8)带双层高压油管及泄漏报警</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 用产品证书及第二阶段排放证书</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10)随机配件、专用工具、技术文件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齿轮箱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型号：GQ750/1</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输入转速范围：1000~2500r/min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减速比：       2.5:1</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传递能力：     0.554kW/r ·min-1</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输入/输出轴转向：   相反</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额定推力：90kN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配套弹性联轴器</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三相交流发电机组（75kW）</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CCFJ-75J</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发电机：     SB-HW4.D-75</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额定功率：     75kW</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额定电压：     400V</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额定电流：     135A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频    率：     50HZ</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功率因素：     cos φ =0.8（滞后）</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接线方式：   三相三线</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柴油机：WP4.1NCD100E220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型式: 直列、直喷、四冲程、水冷</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缸数：            4</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缸径×行程：     105×118mm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额定功率：       90kW</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额定转速：        1500 r/min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柴油消耗率：200g/kW.h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带双层高压油管及泄漏报警装置</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带船用产品证书及第二阶段排放证书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电动燃油驳运泵组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KCB-55</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齿轮泵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3.3m3/h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  力：      0.33 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1.5kW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电动污油驳运泵组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KCB-55</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齿轮泵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3.3m3/h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  力：      0.33 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1.5kW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电动总用泵组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65CBZ-30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卧式自吸离心泵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36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扬  程：      30m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5.5kW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电动舱底泵组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65CBZ-21</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卧式自吸离心泵</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36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扬  程：      21m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4.0kW/AC380V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电动生活污水粉碎泵组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1PWF-20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10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扬  程：     20m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3.0kW/AC380V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艉轴管润滑手摇泵</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CS-20Y</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1.2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  力：    0.245 MPa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油污水分离装置</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CYSC107-0.25</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处理能力：    0.25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排放标准：    ＜15 ppm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排放方式：     自动</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3.0 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生活污水处理装置</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WCBM-20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使用人数：   20 人</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3.0 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机舱通风机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JCZ-50C</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船用轴流式通风机</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12000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  压：    670 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4.0 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居住舱室通风机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JCK315C</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    直联式管道通风机</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1500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  压：    120 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304 W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船用热泵型冷热水机组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JCQLS-72(II)</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制冷量：84KW</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制热量：84KW</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媒水泵：2 台（一用一备）</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冷却水泵：2 台（一用一备）</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风机盘管：24 台</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2*13.8 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电动空气压缩机组</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CZF-10/10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  式：双级压缩、风冷、活塞式</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排  量：        10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  力：        1.0 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机：       2.2kW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杂用空气瓶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A0.1-1</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容  量：          0.1 m3</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工作压力：        1.0 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设计压力：        1.1 MPa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船用汽笛</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YQ－8</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公称压力：0.6Mpa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可听距离:1 n mile</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船用组装式压力水柜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ZYG-0.5</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容  积：     0.5 m3</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3.0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设计压力：   0.44MPa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工作压力：   0.40MPa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2.2kW*2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船用电加热水柜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DRG-0.12</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加热水量：   180kg/h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设计压力：   0.44MPa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工作压力：   0.40MPa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   12kW  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全金属管道换气扇</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BPT15-44J80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流  量：    480 m3/h</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静  压：    210 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  源：   58W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液压伸缩起重机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其安全负载：30kN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最大臂长：7m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电机功率：22kW/AC380V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台式钻床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Z512A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转盘式台虎钳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  SG90-80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钳口宽度：       150 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摆缸式液压舵机（配舵角指示器）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 kN ·m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公称扭矩 50kN ·m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转舵角+35 °~-35 °</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转舵时间小于 28S</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速闭阀控制箱 SDC-50-4</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50L,0.7Mpa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液压离合分动箱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TFL-320-2</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增速比：i=2.0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额定扭矩：3200 N.m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配套液压油泵型号：CBG3160</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额定压力： 16MPa</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公称排量：160ml/r</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额定转速：2000r/min</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液压侧推器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RFCT70Y</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螺旋桨直径：   φ700mm</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螺旋桨转速：  ≥910r/min</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名义推力：  约 18.5KN</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restart"/>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28</w:t>
            </w:r>
            <w:r>
              <w:rPr>
                <w:rFonts w:ascii="宋体" w:hAnsi="宋体" w:cs="宋体"/>
                <w:i w:val="0"/>
                <w:iCs w:val="0"/>
                <w:color w:val="000000"/>
                <w:sz w:val="18"/>
                <w:szCs w:val="18"/>
                <w:u w:val="none"/>
                <w:lang w:val="en-US" w:eastAsia="zh-CN" w:bidi="ar"/>
              </w:rPr>
            </w:r>
            <w:r/>
          </w:p>
        </w:tc>
        <w:tc>
          <w:tcPr>
            <w:tcW w:w="621" w:type="dxa"/>
            <w:vAlign w:val="center"/>
            <w:vMerge w:val="restart"/>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轴系、舵系</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尾轴前轴承</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尾轴后轴承</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尾轴前密封装置</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尾轴后密封装置</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尾轴</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中间轴</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上舵承</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滑动水密下舵承</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螺旋桨</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舵叶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片</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vMerge w:val="continue"/>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r>
            <w:r/>
          </w:p>
        </w:tc>
        <w:tc>
          <w:tcPr>
            <w:tcW w:w="621" w:type="dxa"/>
            <w:vAlign w:val="center"/>
            <w:vMerge w:val="continue"/>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舵杆</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29</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工作艇</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玻璃钢 额定 6 人配备</w:t>
            </w:r>
            <w:r>
              <w:rPr>
                <w:rFonts w:hint="eastAsia" w:ascii="宋体" w:hAnsi="宋体" w:eastAsia="宋体" w:cs="宋体"/>
                <w:i w:val="0"/>
                <w:iCs w:val="0"/>
                <w:color w:val="000000"/>
                <w:sz w:val="18"/>
                <w:szCs w:val="18"/>
                <w:u w:val="none"/>
                <w:lang w:val="en-US" w:eastAsia="zh-CN" w:bidi="ar"/>
              </w:rPr>
            </w:r>
            <w:r/>
          </w:p>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50HP 四冲程船外机</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艘</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30</w:t>
            </w:r>
            <w:r>
              <w:rPr>
                <w:rFonts w:ascii="宋体" w:hAnsi="宋体" w:cs="宋体"/>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小计</w:t>
            </w: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四</w:t>
            </w:r>
            <w:r>
              <w:rPr>
                <w:rFonts w:hint="eastAsia"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系统及配套设备</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电力系统设备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主配电板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 屏立式</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充放配电板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屏挂式</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无线电充放配电板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屏挂式</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交流无线电分电箱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PD6-6/2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直流助航分电箱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PD6-18/2 DC24V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交流助航分电箱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PD6-16/2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机舱照明分电箱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PD6-4/2P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居住舱室照明分电箱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PD6-6/2P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主甲板照明分电箱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PD6-6/2P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驾驶甲板照明分电箱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PD6-4/2P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空调风机分电箱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PD6-6/2P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厨房用电分电箱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PD6-6/2P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水冷空调机组控制箱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装机功率34kW/380V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生活污水处理装置控制箱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装机功率3.0kW/380V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油水分离器控制箱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装机功率3.0kW/380V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电加热水柜控制箱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装机功率12kW/380V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压力水柜控制箱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装机功率4.4kW/380V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空压机控制箱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装机功率2.2kW/380V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吊机控制箱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装机功率22kW/380V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锚机控制箱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装机功率8.5kW/380V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磁力起动箱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QC91系列 过载定值按点击额定电流设定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航行信号灯控制单元</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DC24V直流2路手动双电源转换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闪光灯控制板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SK3DC24V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XHD-8-D/DC24V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航行灯控制板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HXD-7-D/DC24V 带失电报警及故障报警功能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电源变换器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AC220/DC24/1.0kW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驾控台</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1.28</w:t>
            </w:r>
            <w:r>
              <w:rPr>
                <w:rFonts w:hint="eastAsia" w:ascii="宋体" w:hAnsi="宋体" w:cs="宋体"/>
                <w:i w:val="0"/>
                <w:iCs w:val="0"/>
                <w:color w:val="000000"/>
                <w:sz w:val="18"/>
                <w:szCs w:val="18"/>
                <w:u w:val="none"/>
                <w:lang w:val="en-US" w:eastAsia="zh-CN" w:bidi="ar"/>
              </w:rPr>
            </w:r>
            <w:r/>
          </w:p>
        </w:tc>
        <w:tc>
          <w:tcPr>
            <w:tcW w:w="1057"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变压器</w:t>
            </w:r>
            <w:r>
              <w:rPr>
                <w:rFonts w:hint="eastAsia" w:ascii="宋体" w:hAnsi="宋体" w:eastAsia="宋体" w:cs="宋体"/>
                <w:i w:val="0"/>
                <w:iCs w:val="0"/>
                <w:color w:val="000000"/>
                <w:sz w:val="18"/>
                <w:szCs w:val="18"/>
                <w:highlight w:val="none"/>
                <w:u w:val="none"/>
                <w:lang w:val="en-US" w:eastAsia="zh-CN" w:bidi="ar"/>
              </w:rPr>
            </w:r>
            <w:r/>
          </w:p>
        </w:tc>
        <w:tc>
          <w:tcPr>
            <w:tcW w:w="2750"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CSD-30 30kVA</w:t>
            </w:r>
            <w:r>
              <w:rPr>
                <w:rFonts w:hint="eastAsia" w:ascii="宋体" w:hAnsi="宋体" w:eastAsia="宋体" w:cs="宋体"/>
                <w:i w:val="0"/>
                <w:iCs w:val="0"/>
                <w:color w:val="000000"/>
                <w:sz w:val="18"/>
                <w:szCs w:val="18"/>
                <w:highlight w:val="none"/>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lang w:val="en-US" w:eastAsia="zh-CN" w:bidi="ar"/>
              </w:rPr>
            </w:r>
            <w:r/>
          </w:p>
        </w:tc>
        <w:tc>
          <w:tcPr>
            <w:tcW w:w="84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低压蓄电池充电器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GCA-80/2 输入 AC220V，输出 0-36V 80A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无线电充电器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GCA-30/2 输入 AC220V，输出 0-36V 30A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主机起动蓄电池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6-CQ-200/12V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辅机起动蓄电池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6-CQ-200/12V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应急电源蓄电池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6-CQ-200/12V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无线电蓄电池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6-CQ-200/12V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岸电船载装置（含岸电箱）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岸电箱（AJ100-100/3 100A400V）、岸电插拔件及软电缆（125A、400V插拔件、100m 50mm2电缆、电缆绞车）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航行、信号灯系统设备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右舷灯（绿色）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CXH1-2P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左舷灯（红色）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CXH2-2P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桅灯（白色）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CXH3-2P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艉灯（白色）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CXH4-2P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锚灯（白色）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CXH8-2P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环照灯（2 红 2 白）</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CXH5-2A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闪光灯（1 红 1 白 1 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CXH5-2A DC24V 30W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2.8</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手提式白昼通信闪光灯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CXD8 60W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2.9</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组合开关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HZ910-40P/2</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水密插座</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CZF2-2</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船用插头</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CTF2-1</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照明系统设备、主照明系统</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探照灯（白炽灯）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TG27 220V/1000W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搜索灯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TG26 24V 250W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荧光蓬顶灯（带应急灯）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JPY22-2E AC220V/2X20W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荧光舱顶灯（带应急灯）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JCY22-2E AC220V/2X20W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荧光蓬顶灯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JPY22-2 AC220V/2X20W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荧光舱顶灯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JCY22-2 AC220V/2X20W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舱顶灯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CCD2-1-2 、220V 、60W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蓬顶灯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CPD1-1 、220V 、60W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船名灯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白炽灯  220V 、60W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投光灯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TG5  220V    250W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船用插座箱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CZX220/220    250V 10A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舱室插座</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CZE2-3B-2N    250V 10A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水密开关（220V 10A）</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HF2-2 机舱 22 只、其他区域 2 只</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舱室开关（220V 10A）</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HE-2N-1 居住舱 35 只、其他区域 3 只</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CTD2    220V 、12W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大功率挂灯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CGD1    220V 、200W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接线盒</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JXH402 250V 10A</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3.18</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床头灯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JTY08-1C    220V    8W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3.19</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伸缩式海图灯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CHT4    220V 、100W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舱顶灯（24V 25W，带应急标志）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CCD3-3</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蓬顶灯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CPD1-1    DC24V    25W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探照灯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TG16A DC24V 100W</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航行设备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标准磁罗经</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CPL-165</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操舵磁罗经</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CPT-130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推进器转速指示器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SB-CS</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雷达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有效显示： ≥φ180mm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其中一台应配备自动雷达标绘装置</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AIS（基于北斗）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XA-198BD</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北斗导航系统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NGR-1000BD</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电子海图（基于北斗）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HM-5817</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回声测深仪</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DS-2008</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无线电设备</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甚高频无线电装置</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FT-805(其中一台带 DSC)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 / 高频无线电装置（带 DSC）</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FT-808</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NAVTEX 接收机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FT-7600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救生艇双向甚高频无线电话</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FT-2800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卫星紧急无线电示位标</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SEP-406</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搜救雷达应答器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FT-501</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现场（航空）双向 VHF 无线电话</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船内通信及船舶和乘员安全系统</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传令钟（双机型）</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KED12 型</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声力电话（直通型）</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KS 系列</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通用报警及失火报警</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包括报警电源箱WYC-1、通用紧急报警板RB-1B、火灾报警控制箱JBS-4Q、防水带灯报警电铃YLX120PZ DC24V、防水报警电铃YL120PZ DC24V、手动防水火灾报警按钮HD05BF、手动火灾报警按钮HD05B、手动防水报警按钮DK-7、时间继电器 2min、感温探测器、感烟探测器等，含布设管线等费用，详见设计图纸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公共广播</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包括船用公共广播主机KG-1T、5W嵌入式扬声器、25W号筒扬声器、带闪光信号高音扬声器、可携式对讲机等，含管线布置，详见设计图纸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ascii="宋体" w:hAnsi="宋体" w:cs="宋体"/>
                <w:i w:val="0"/>
                <w:iCs w:val="0"/>
                <w:color w:val="000000"/>
                <w:sz w:val="18"/>
                <w:szCs w:val="18"/>
                <w:u w:val="none"/>
                <w:lang w:val="en-US" w:eastAsia="zh-CN" w:bidi="ar"/>
              </w:rPr>
            </w:r>
            <w:r/>
          </w:p>
        </w:tc>
        <w:tc>
          <w:tcPr>
            <w:gridSpan w:val="6"/>
            <w:tcW w:w="6863"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其他</w:t>
            </w: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雨雪清除器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WGP2-JR AC220V</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船用主机遥控系统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AJYK-CDDY21</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交互智能显示终端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1、98寸交互式智能显示终端（会议协作用） 1台：内置4800W摄像头，3840*2160分辨率，60Hz高刷新率，4K超清防眩光显示，8阵列麦克风，G-G零贴合流畅书写，支持OPS设备接入、智能AI、无线投屏，适配IOS、Android、Windows、MacOS等各主流系统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2、嵌入式智能处理模块（适配大屏交互使用） 2台：第12代 Intel® Core™ i5处理器 8G+256G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3、显示终端支架 1付：行业款前维护支架，适用尺寸：98英寸，载荷承重：150 Kg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4、壁挂支架 2付：伸缩支架旋转挂架，通用 40-80英寸，超强承重伸缩支架，500mm*380mm*60mm，最大承重65KG</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5、高清摄像机 1套：1080P/60帧，视场可达93°，变焦型国内标配，光学变倍：5倍无损变焦，数字变倍：4倍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6、无线投屏器 1套：无线投屏器CM586带网口版，2.4G+5G双频，分辨率：4K/30HZ并向下兼容，对应接口：HDMI口，LAN网口，3.5mm音频口，Type-C充电口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7、HDMI高清视频矩阵 1套：HDMI矩阵8进8出4K数字高清音视频切换器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8、包含安装调试、辅材等费用</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闭路监视系统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包含室外一体化摄像头4只、室内一体化球形摄像头2只、室内恒光摄像头2只、室外云台摄像头1只、视屏监控单元1套、14寸彩色显示器1套、电源一套及管线，具体详见设计图纸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舱底水高液位报警</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包含液位报警板、蜂鸣器、报警灯、浮球液位控制器、电源指示灯、按钮及管线等，具体详见设计图纸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船用电缆</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船用电缆规格应图纸要求，长度按实船放样为准。所有电缆均应有船检证书。具体详见设计图纸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机舱通风管系统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包括风管、风口及支架制作安装，具体详见设计图纸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空气管、测量管系统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燃油系统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包括油管、管道附件、阀门等，具体详见设计图纸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生活供水系统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包括水管、管道附件、阀门、水龙头等，具体详见设及图纸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生活污水处理系统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包括水管、管道附件、阀门等，具体详见设及图纸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速闭阀操纵系统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包括速闭阀系统控制管、管道附件、阀门等，具体详见设计图纸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压缩空气系统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包括压缩空气管、管道附件、阀门等，具体详见设计图纸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7.14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主、辅机冷却水管系统</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包括冷却水管、管道附件、阀门等，具体详见设计图纸</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rPr>
                <w:rFonts w:ascii="宋体" w:hAnsi="宋体" w:cs="宋体"/>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小计</w:t>
            </w: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五</w:t>
            </w:r>
            <w:r>
              <w:rPr>
                <w:rFonts w:ascii="宋体" w:hAnsi="宋体" w:cs="宋体"/>
                <w:b/>
                <w:bCs/>
                <w:i w:val="0"/>
                <w:iCs w:val="0"/>
                <w:color w:val="000000"/>
                <w:sz w:val="24"/>
                <w:szCs w:val="24"/>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内饰装修</w:t>
            </w:r>
            <w:r>
              <w:rPr>
                <w:rFonts w:hint="eastAsia" w:ascii="宋体" w:hAnsi="宋体" w:cs="宋体"/>
                <w:b/>
                <w:bCs/>
                <w:i w:val="0"/>
                <w:iCs w:val="0"/>
                <w:color w:val="000000"/>
                <w:sz w:val="24"/>
                <w:szCs w:val="24"/>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队长室/船长室（2间）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75.44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专业船用家具厂家生产，木质表面贴防火板饰面，550mm*1450mm，样式由船东选定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1.10</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专业船用家具厂家生产，木质表面贴防火板饰面，600mm*1350mm，样式由船东选定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左右1人间（2间）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43.378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专业船用家具厂家生产，木质表面贴防火板饰面，800mm*370mm，样式由船东选定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专业船用家具厂家生产，木质表面贴防火板饰面，600mm*1350mm，样式由船东选定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轮机长室</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专业船用家具厂家生产，木质表面贴防火板饰面，800mm*370mm，样式由船东选定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专业船用家具厂家生产，木质表面贴防火板饰面，600mm*1350mm，样式由船东选定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后1人间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19.78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专业船用家具厂家生产，木质表面贴防火板饰面，800mm*370mm，样式由船东选定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4.10</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专业船用家具厂家生产，木质表面贴防火板饰面，600mm*1350mm，样式由船东选定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4.11</w:t>
            </w:r>
            <w:r>
              <w:rPr>
                <w:rFonts w:hint="eastAsia" w:ascii="宋体" w:hAnsi="宋体" w:eastAsia="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食品储藏间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顶面集成吊顶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t=50mm矿物棉板进行隔热，面层采用 t=0.8mm 300mm*300mm 集成吊顶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墙面不锈钢蜂窝板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矿物棉板，面层采用 t=25mm 铝蜂窝板（单面不锈钢）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17.48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地面地砖铺设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300mm*300mm耐用防滑地砖</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冰柜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300L，具体样式由船东选定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搁架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不锈钢搁架，具体样式由船东选定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样品处理间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28.75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文件柜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专业船用家具厂家生产，木质表面贴防火板饰面，2150mm*600mm，样式由船东选定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专业船用家具厂家生产，木质表面贴防火板饰面，600mm*1500mm，样式由船东选定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走道及梯道</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134.745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踏步防滑条</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带橡胶楼梯防滑条</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餐厅及后走道</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70.61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餐桌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专业船用家具厂家生产，台面木质表面贴防火板饰面，金属桌腿，820mm*2200mm，样式由船东选定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餐椅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皮革坐垫，金属椅腿，样式由船东选定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餐具柜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专业船用家具厂家生产，木质表面贴防火板饰面，400mm*800mm，样式由船东选定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壁挂式电视</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带净水器开水器</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厨房</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顶面集成吊顶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t=50mm矿物棉板进行隔热，面层采用 t=0.8mm 300mm*300mm 集成吊顶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10.34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墙面不锈钢蜂窝板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t=25+25mm 可溶纤维毯，面层采用 t=25mm 铝蜂窝板（单面不锈钢）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30mm 轻质甲板基层敷料（A60）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10.34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地面地砖铺设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300mm*300mm耐用防滑地砖</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10.34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厨房橱柜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欧松板表面覆膜柜体，不锈钢台面，样式由船东选定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组合柜子</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专业船用家具厂家生产，木质表面贴防火板饰面，400mm*800mm，样式由船东选定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船用双眼电灶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15-20kW/380-440V/CCS，满足船东使用需求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不锈钢洗池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双槽，成套安装，满足船东使用需求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不锈钢配餐桌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1m*1m，满足船东使用需求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不锈钢消毒柜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20人用，满足船东使用需求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电饭煲</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20人用，满足船东使用需求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微波炉</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20L，满足船东使用需求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9.15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蒸车</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20人用，满足船东使用需求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卫生间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顶面集成吊顶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t=50mm矿物棉板进行隔热，面层采用 t=0.8mm 300mm*300mm 集成吊顶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墙面不锈钢蜂窝板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矿物棉板，面层采用 t=25mm 铝蜂窝板（单面不锈钢）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30mm 轻质甲板基层敷料（A60）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地面地砖铺设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300mm*300mm耐用防滑地砖</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陶瓷蹲便器带水箱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防臭蹲坑便池蹲厕陶瓷水箱CW8RB全整套大便器(13) 蹲坑+鑫铂瑞后置明装(ABS材质)水箱，样式由船东选定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陶瓷小便斗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全自动感应式小便池落地式除臭小便池陶瓷立便池 125CM高(内置感应)，样式由船东选定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陶瓷柱盆带水龙头</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柱盆LWN251CB/220FRB 挂墙式陶瓷智洁立柱洗脸手面盆釉面台盆 智洁盆+立柱+龙头(带下水)+排污，样式由船东选定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卫浴隔断</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防水抗倍特板t=12mm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位</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银镜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市购</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卫浴五金</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与卫浴洁具配套</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间</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主甲板 盥洗室</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顶面集成吊顶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t=50mm矿物棉板进行隔热，面层采用 t=0.8mm 300mm*300mm 集成吊顶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墙面不锈钢蜂窝板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矿物棉板，面层采用 t=25mm 铝蜂窝板（单面不锈钢）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20.93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30mm 轻质甲板基层敷料（A60）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地面地砖铺设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300mm*300mm耐用防滑地砖</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陶瓷柱盆带水龙头</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柱盆LWN251CB/220FRB 挂墙式陶瓷智洁立柱洗脸手面盆釉面台盆 智洁盆+立柱+龙头(带下水)+排污，样式由船东选定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银镜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市购</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卫浴隔断</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防水抗倍特板t=12mm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位</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淋浴龙头</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恒温花洒套装智能数显铜淋浴器沐浴淋雨家用卫生间枪灰色冷热版，样式由船东选定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卫浴五金</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与卫浴洁具配套</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间</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洗衣机</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9kg，样式由船东选定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驾驶甲板 驾驶室</w:t>
            </w:r>
            <w:r>
              <w:rPr>
                <w:rFonts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28.55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56.35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地面地板铺设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PVC木纹片材地板，双组份PVC地板胶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报务桌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专业船用家具厂家生产，木质表面贴防火板饰面，1900mm*1100mm，样式由船东选定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海图桌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专业船用家具厂家生产，木质表面贴防火板饰面，1900mm*1100mm，样式由船东选定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扶手靠背椅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皮革坐垫及靠背，支撑脚不带滚轮，样式由船东选定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驾驶甲板 卫生间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顶面集成吊顶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t=50mm矿物棉板进行隔热，面层采用 t=0.8mm 300mm*300mm 集成吊顶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墙面不锈钢蜂窝板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矿物棉板，面层采用 t=25mm 铝蜂窝板（单面不锈钢）</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22.31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30mm 轻质甲板基层敷料（A60）</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地面地砖铺设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300mm*300mm耐用防滑地砖</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陶瓷蹲便器带水箱</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防臭蹲坑便池蹲厕陶瓷水箱CW8RB全整套大便器(13) 蹲坑+鑫铂瑞后置明装(ABS材质)水箱，样式由船东选定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陶瓷小便斗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全自动感应式小便池落地式除臭小便池陶瓷立便池 125CM高(内置感应)，样式由船东选定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带柜台盆加水龙头</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浴室柜陶瓷一体盆组合LBDA060，样式由船东选定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卫浴隔断</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防水抗倍特板t=12mm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位</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卫浴五金</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与卫浴洁具配套</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间</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驾驶甲板 会议室</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56.81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地面地板铺设</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PVC木纹片材地板，双组份PVC地板胶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38.05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会议桌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4000mm*1530mm，木质，台面带电源接线盒，样式由船东选定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会议椅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620mm*560mm，皮革靠背坐垫，木质框架，样式由船东选定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双人沙发</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975mm*490mm，高弹海绵，皮革表面，样式由船东选定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茶几</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565mm*490mm，实木茶几，样式由船东选定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文件柜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专业船用家具厂家生产，木质表面油漆饰面，800mm*400mm，样式由船东选定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带抽屉柜子</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专业船用家具厂家生产，木质表面油漆饰面，450mm*510mm，样式由船东选定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14.12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14.13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底舱 活动舱</w:t>
            </w:r>
            <w:r>
              <w:rPr>
                <w:rFonts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44.275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桌子</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台面木质，金属桌腿，750mm*750mm，样式由船东选定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皮革坐垫，金属椅腿，样式由船东选定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柜子</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专业船用家具厂家生产，木质表面贴防火板饰面，800mm*400mm，样式由船东选定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圆形窗套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19.25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底舱 1人间（2间）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14.47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49.427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14.47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14.47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14.47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专业船用家具厂家生产，木质表面贴防火板饰面，800mm*400mm，样式由船东选定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专业船用家具厂家生产，木质表面贴防火板饰面，600mm*1500mm，样式由船东选定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圆形窗套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21.5</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底舱 2人间（6间）</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47.69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155.917</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47.69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47.69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47.69</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带抽屉单人床</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专业船用家具厂家生产，木质表面贴防火板饰面，800mm*1980mm，样式由船东选定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17.7</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衣柜</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专业船用家具厂家生产，木质表面贴防火板饰面，800mm*400mm，样式由船东选定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17.8</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带柜子和抽屉的办公桌</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专业船用家具厂家生产，木质表面贴防火板饰面，600mm*1500mm/820mm*500mm，样式由船东选定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17.9</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靠背椅</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网布坐垫及靠背，支撑脚不带滚轮，样式由船东选定</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17.10</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17.11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圆形窗套</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按窗型定制</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底舱 走道</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顶面铝蜂窝板吊顶</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采用铝蜂窝板t=25mm，A型，部分区域需以T型梁过度</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墙面复合岩棉板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t=50mm 矿物棉板进行隔热，面层采用 t=25mm 铝蜂窝板（单面 PVC）</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64.63</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地面甲板敷料找平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耐火轻质甲板敷料t=10mm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18.4</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地面水泥自流平</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t=2mm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18.5</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地面PVC地板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采用防滑 PVC 地板，双组份PVC地板胶确保使用寿命</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13.04</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18.6</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踢脚线</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PVC踢脚线h=65mm</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w:t>
            </w:r>
            <w:r>
              <w:rPr>
                <w:rFonts w:ascii="宋体" w:hAnsi="宋体" w:cs="宋体"/>
                <w:i w:val="0"/>
                <w:iCs w:val="0"/>
                <w:color w:val="000000"/>
                <w:sz w:val="18"/>
                <w:szCs w:val="18"/>
                <w:u w:val="none"/>
                <w:lang w:val="en-US" w:eastAsia="zh-CN" w:bidi="ar"/>
              </w:rPr>
            </w:r>
            <w:r/>
          </w:p>
        </w:tc>
        <w:tc>
          <w:tcPr>
            <w:gridSpan w:val="7"/>
            <w:tcW w:w="7761" w:type="dxa"/>
            <w:vAlign w:val="center"/>
            <w:textDirection w:val="lrTb"/>
            <w:noWrap w:val="false"/>
          </w:tcPr>
          <w:p>
            <w:pPr>
              <w:pStyle w:val="641"/>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全船其他</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19.1</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LED筒灯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19.2</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300*600集成吊顶灯</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hint="eastAsia"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19.3</w:t>
            </w:r>
            <w:r>
              <w:rPr>
                <w:rFonts w:hint="eastAsia"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全船开关插座</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满足船东使用需求</w:t>
            </w: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w:t>
            </w:r>
            <w:r>
              <w:rPr>
                <w:rFonts w:ascii="宋体" w:hAnsi="宋体" w:cs="宋体"/>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小计</w:t>
            </w: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gridSpan w:val="8"/>
            <w:tcW w:w="8517"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六  </w:t>
            </w:r>
            <w:r>
              <w:rPr>
                <w:rFonts w:hint="eastAsia" w:ascii="宋体" w:hAnsi="宋体" w:eastAsia="宋体" w:cs="宋体"/>
                <w:b/>
                <w:bCs/>
                <w:i w:val="0"/>
                <w:iCs w:val="0"/>
                <w:color w:val="000000"/>
                <w:sz w:val="18"/>
                <w:szCs w:val="18"/>
                <w:u w:val="none"/>
                <w:lang w:val="en-US" w:eastAsia="zh-CN" w:bidi="ar"/>
              </w:rPr>
              <w:t xml:space="preserve">专项工程费</w:t>
            </w: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材料预处理费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放样样板、工艺材料费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船台胎架费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吊装、下水费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X光探损、密性测试费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设备调试、检验、试验费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水电费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运杂费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rPr>
                <w:rFonts w:ascii="宋体" w:hAnsi="宋体" w:cs="宋体"/>
                <w:i w:val="0"/>
                <w:iCs w:val="0"/>
                <w:color w:val="000000"/>
                <w:sz w:val="18"/>
                <w:szCs w:val="18"/>
                <w:u w:val="none"/>
                <w:lang w:val="en-US" w:eastAsia="zh-CN" w:bidi="ar"/>
              </w:rPr>
            </w:r>
            <w:r/>
          </w:p>
        </w:tc>
        <w:tc>
          <w:tcPr>
            <w:tcW w:w="621"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运输费</w:t>
            </w:r>
            <w:r>
              <w:rPr>
                <w:rFonts w:hint="eastAsia" w:ascii="宋体" w:hAnsi="宋体" w:eastAsia="宋体" w:cs="宋体"/>
                <w:i w:val="0"/>
                <w:iCs w:val="0"/>
                <w:color w:val="000000"/>
                <w:sz w:val="18"/>
                <w:szCs w:val="18"/>
                <w:u w:val="none"/>
                <w:lang w:val="en-US" w:eastAsia="zh-CN" w:bidi="ar"/>
              </w:rPr>
            </w:r>
            <w:r/>
          </w:p>
        </w:tc>
        <w:tc>
          <w:tcPr>
            <w:tcW w:w="1615"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289"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
              </w:rPr>
            </w:r>
            <w:r/>
          </w:p>
        </w:tc>
        <w:tc>
          <w:tcPr>
            <w:tcW w:w="496"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tc>
        <w:tc>
          <w:tcPr>
            <w:tcW w:w="514"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95"/>
        </w:trPr>
        <w:tc>
          <w:tcPr>
            <w:tcW w:w="443" w:type="dxa"/>
            <w:vAlign w:val="center"/>
            <w:textDirection w:val="lrTb"/>
            <w:noWrap w:val="false"/>
          </w:tcPr>
          <w:p>
            <w:pPr>
              <w:pStyle w:val="641"/>
              <w:jc w:val="center"/>
              <w:keepLines w:val="0"/>
              <w:keepNext w:val="0"/>
              <w:widowControl/>
              <w:rPr>
                <w:rFonts w:ascii="宋体" w:hAnsi="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rPr>
                <w:rFonts w:ascii="宋体" w:hAnsi="宋体" w:cs="宋体"/>
                <w:i w:val="0"/>
                <w:iCs w:val="0"/>
                <w:color w:val="000000"/>
                <w:sz w:val="18"/>
                <w:szCs w:val="18"/>
                <w:u w:val="none"/>
                <w:lang w:val="en-US" w:eastAsia="zh-CN" w:bidi="ar"/>
              </w:rPr>
            </w:r>
            <w:r/>
          </w:p>
        </w:tc>
        <w:tc>
          <w:tcPr>
            <w:gridSpan w:val="5"/>
            <w:tcW w:w="6025"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rPr>
              <w:t xml:space="preserve">小计</w:t>
            </w:r>
            <w:r>
              <w:rPr>
                <w:rFonts w:hint="eastAsia" w:ascii="宋体" w:hAnsi="宋体" w:eastAsia="宋体" w:cs="宋体"/>
                <w:b/>
                <w:bCs/>
                <w:i w:val="0"/>
                <w:iCs w:val="0"/>
                <w:color w:val="000000"/>
                <w:sz w:val="18"/>
                <w:szCs w:val="18"/>
                <w:u w:val="none"/>
                <w:lang w:val="en-US" w:eastAsia="zh-CN" w:bidi="ar"/>
              </w:rPr>
            </w:r>
            <w:r/>
          </w:p>
        </w:tc>
        <w:tc>
          <w:tcPr>
            <w:tcW w:w="491"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tcW w:w="526" w:type="dxa"/>
            <w:vAlign w:val="center"/>
            <w:textDirection w:val="lrTb"/>
            <w:noWrap w:val="false"/>
          </w:tcPr>
          <w:p>
            <w:pPr>
              <w:pStyle w:val="641"/>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400"/>
        </w:trPr>
        <w:tc>
          <w:tcPr>
            <w:gridSpan w:val="8"/>
            <w:tcW w:w="8517"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合计：人民币大写                        （小写</w:t>
            </w:r>
            <w:r>
              <w:rPr>
                <w:rFonts w:ascii="Arial" w:hAnsi="Arial" w:eastAsia="宋体" w:cs="Arial"/>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r>
      <w:tr>
        <w:trPr>
          <w:trHeight w:val="400"/>
        </w:trPr>
        <w:tc>
          <w:tcPr>
            <w:gridSpan w:val="8"/>
            <w:tcW w:w="8517" w:type="dxa"/>
            <w:vAlign w:val="center"/>
            <w:textDirection w:val="lrTb"/>
            <w:noWrap w:val="false"/>
          </w:tcPr>
          <w:p>
            <w:pPr>
              <w:pStyle w:val="64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val="0"/>
                <w:bCs w:val="0"/>
                <w:i w:val="0"/>
                <w:iCs w:val="0"/>
                <w:color w:val="000000"/>
                <w:sz w:val="20"/>
                <w:szCs w:val="20"/>
                <w:highlight w:val="none"/>
                <w:u w:val="single"/>
                <w:lang w:val="en-US" w:eastAsia="zh-CN" w:bidi="ar"/>
              </w:rPr>
              <w:t xml:space="preserve">   </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18"/>
                <w:szCs w:val="18"/>
                <w:u w:val="none"/>
                <w:lang w:val="en-US" w:eastAsia="zh-CN"/>
              </w:rPr>
            </w:r>
            <w:r/>
          </w:p>
        </w:tc>
      </w:tr>
    </w:tbl>
    <w:p>
      <w:pPr>
        <w:pStyle w:val="659"/>
        <w:numPr>
          <w:ilvl w:val="0"/>
          <w:numId w:val="0"/>
        </w:numPr>
        <w:jc w:val="both"/>
        <w:keepLines w:val="0"/>
        <w:keepNext w:val="0"/>
        <w:pageBreakBefore w:val="0"/>
        <w:spacing w:beforeAutospacing="0" w:afterAutospacing="0" w:line="500" w:lineRule="exact"/>
        <w:widowControl w:val="off"/>
        <w:rPr>
          <w:rFonts w:hint="eastAsia" w:ascii="宋体" w:hAnsi="宋体" w:eastAsia="宋体" w:cs="Times New Roman"/>
          <w:b w:val="0"/>
          <w:bCs/>
          <w:sz w:val="24"/>
          <w:szCs w:val="24"/>
          <w:highlight w:val="none"/>
          <w:lang w:val="en-US" w:eastAsia="zh-CN" w:bidi="ar-SA"/>
        </w:rPr>
        <w:outlineLvl w:val="1"/>
      </w:pPr>
      <w:r>
        <w:rPr>
          <w:rFonts w:hint="eastAsia" w:ascii="宋体" w:hAnsi="宋体" w:cs="Times New Roman"/>
          <w:b w:val="0"/>
          <w:bCs/>
          <w:sz w:val="24"/>
          <w:szCs w:val="24"/>
          <w:highlight w:val="none"/>
          <w:lang w:val="en-US" w:eastAsia="zh-CN" w:bidi="ar-SA"/>
        </w:rPr>
        <w:t xml:space="preserve">注：1、响应报价超过最高限价作无效标处理。投标报价包括但不限于货物（及附配件）的采购、制造、运输、安装、调试、系泊试验、试航、船检、交船、培训、验收、质保期内维保、售后服务、船舶登记证书办理相关费用、图审相关费用、专家咨询费、验收费、评审费等一切费用。</w:t>
      </w:r>
      <w:r>
        <w:rPr>
          <w:rFonts w:hint="eastAsia" w:ascii="宋体" w:hAnsi="宋体" w:eastAsia="宋体" w:cs="Times New Roman"/>
          <w:b w:val="0"/>
          <w:bCs/>
          <w:sz w:val="24"/>
          <w:szCs w:val="24"/>
          <w:highlight w:val="none"/>
          <w:lang w:val="en-US" w:eastAsia="zh-CN" w:bidi="ar-SA"/>
        </w:rPr>
      </w:r>
      <w:r/>
    </w:p>
    <w:p>
      <w:pPr>
        <w:pStyle w:val="659"/>
        <w:numPr>
          <w:ilvl w:val="0"/>
          <w:numId w:val="3"/>
        </w:numPr>
        <w:jc w:val="both"/>
        <w:keepLines w:val="0"/>
        <w:keepNext w:val="0"/>
        <w:pageBreakBefore w:val="0"/>
        <w:spacing w:beforeAutospacing="0" w:afterAutospacing="0" w:line="500" w:lineRule="exact"/>
        <w:widowControl w:val="off"/>
        <w:rPr>
          <w:rFonts w:hint="eastAsia" w:ascii="宋体" w:hAnsi="宋体" w:eastAsia="宋体" w:cs="Times New Roman"/>
          <w:b w:val="0"/>
          <w:bCs/>
          <w:sz w:val="24"/>
          <w:szCs w:val="24"/>
          <w:highlight w:val="none"/>
          <w:lang w:val="en-US" w:eastAsia="zh-CN" w:bidi="ar-SA"/>
        </w:rPr>
        <w:outlineLvl w:val="1"/>
      </w:pPr>
      <w:r>
        <w:rPr>
          <w:rFonts w:hint="eastAsia" w:ascii="宋体" w:hAnsi="宋体" w:eastAsia="宋体" w:cs="Times New Roman"/>
          <w:b w:val="0"/>
          <w:bCs/>
          <w:sz w:val="24"/>
          <w:szCs w:val="24"/>
          <w:highlight w:val="none"/>
          <w:lang w:val="en-US" w:eastAsia="zh-CN"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b w:val="0"/>
          <w:bCs/>
          <w:sz w:val="24"/>
          <w:szCs w:val="24"/>
          <w:highlight w:val="none"/>
          <w:lang w:val="en-US" w:eastAsia="zh-CN" w:bidi="ar-SA"/>
        </w:rPr>
      </w:r>
      <w:r/>
    </w:p>
    <w:p>
      <w:pPr>
        <w:pStyle w:val="641"/>
        <w:ind w:firstLine="3513"/>
        <w:jc w:val="right"/>
        <w:rPr>
          <w:sz w:val="24"/>
          <w:szCs w:val="24"/>
        </w:rPr>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sz w:val="24"/>
          <w:szCs w:val="24"/>
        </w:rPr>
        <w:t xml:space="preserve">      </w:t>
      </w:r>
      <w:r>
        <w:rPr>
          <w:sz w:val="24"/>
          <w:szCs w:val="24"/>
        </w:rPr>
      </w:r>
      <w:r/>
    </w:p>
    <w:p>
      <w:pPr>
        <w:pStyle w:val="659"/>
        <w:ind w:firstLine="5520"/>
        <w:jc w:val="right"/>
        <w:spacing w:beforeAutospacing="0" w:afterAutospacing="0"/>
        <w:rPr>
          <w:rFonts w:hint="eastAsia" w:ascii="黑体" w:hAnsi="宋体" w:eastAsia="黑体" w:cs="黑体"/>
          <w:b/>
          <w:color w:val="000000"/>
          <w:sz w:val="24"/>
          <w:szCs w:val="24"/>
          <w:highlight w:val="none"/>
        </w:rPr>
      </w:pP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ascii="黑体" w:hAnsi="宋体" w:eastAsia="黑体" w:cs="黑体"/>
          <w:b/>
          <w:color w:val="000000"/>
          <w:sz w:val="24"/>
          <w:szCs w:val="24"/>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59"/>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bl>
    <w:p>
      <w:pPr>
        <w:pStyle w:val="6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both"/>
        <w:spacing w:beforeAutospacing="0" w:afterAutospacing="0"/>
        <w:rPr>
          <w:highlight w:val="none"/>
        </w:rPr>
      </w:pPr>
      <w:r>
        <w:rPr>
          <w:highlight w:val="none"/>
        </w:rPr>
        <w:t xml:space="preserve"> </w:t>
      </w:r>
      <w:r>
        <w:rPr>
          <w:highlight w:val="none"/>
        </w:rPr>
      </w:r>
      <w:r/>
    </w:p>
    <w:p>
      <w:pPr>
        <w:pStyle w:val="659"/>
        <w:jc w:val="center"/>
        <w:spacing w:beforeAutospacing="0" w:afterAutospacing="0"/>
        <w:rPr>
          <w:highlight w:val="none"/>
        </w:rPr>
      </w:pPr>
      <w:r/>
      <w:bookmarkStart w:id="193" w:name="_Hlt26955066"/>
      <w:r/>
      <w:bookmarkStart w:id="194" w:name="_Hlt26609389"/>
      <w:r/>
      <w:bookmarkStart w:id="195" w:name="_Toc462564146"/>
      <w:r/>
      <w:bookmarkStart w:id="196" w:name="_格式2__法定代表人授权书"/>
      <w:r/>
      <w:bookmarkStart w:id="197" w:name="_Hlt26955054"/>
      <w:r/>
      <w:bookmarkStart w:id="198" w:name="_Hlt26671374"/>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bookmarkStart w:id="199" w:name="_Hlt26955056"/>
            <w:r/>
            <w:bookmarkStart w:id="200" w:name="_Hlt26671343"/>
            <w:r/>
            <w:bookmarkStart w:id="201" w:name="_Hlt26609391"/>
            <w:r/>
            <w:bookmarkStart w:id="202" w:name="_Hlt26782999"/>
            <w:r/>
            <w:bookmarkStart w:id="203" w:name="_Hlt26671372"/>
            <w:r/>
            <w:bookmarkStart w:id="204" w:name="_Hlt26580838"/>
            <w:r/>
            <w:bookmarkStart w:id="205" w:name="_Hlt24879081"/>
            <w:r/>
            <w:bookmarkStart w:id="206" w:name="_Hlt26955064"/>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bookmarkEnd w:id="199"/>
            <w:r/>
            <w:bookmarkEnd w:id="200"/>
            <w:r/>
            <w:bookmarkEnd w:id="201"/>
            <w:r/>
            <w:bookmarkEnd w:id="202"/>
            <w:r/>
            <w:bookmarkEnd w:id="203"/>
            <w:r/>
            <w:bookmarkEnd w:id="204"/>
            <w:r/>
            <w:bookmarkEnd w:id="205"/>
            <w:r/>
            <w:bookmarkEnd w:id="206"/>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59"/>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rPr>
                <w:highlight w:val="none"/>
              </w:rPr>
            </w:r>
            <w:r/>
          </w:p>
        </w:tc>
      </w:tr>
    </w:tbl>
    <w:p>
      <w:pPr>
        <w:pStyle w:val="641"/>
        <w:jc w:val="both"/>
        <w:spacing w:before="50" w:after="50"/>
        <w:widowControl/>
        <w:rPr>
          <w:highlight w:val="none"/>
        </w:rPr>
      </w:pPr>
      <w:r>
        <w:rPr>
          <w:rFonts w:hint="eastAsia" w:ascii="宋体" w:hAnsi="宋体" w:eastAsia="宋体" w:cs="宋体"/>
          <w:color w:val="000000"/>
          <w:highlight w:val="none"/>
        </w:rPr>
        <w:t xml:space="preserve">注： 行数不够，可自行添加。</w:t>
      </w:r>
      <w:r>
        <w:rPr>
          <w:highlight w:val="none"/>
        </w:rPr>
        <w:tab/>
      </w:r>
      <w:r>
        <w:rPr>
          <w:highlight w:val="none"/>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bidi="ar-SA"/>
        </w:rPr>
        <w:t xml:space="preserve">十五、</w:t>
      </w:r>
      <w:r>
        <w:rPr>
          <w:rFonts w:hint="eastAsia" w:ascii="黑体" w:hAnsi="宋体" w:eastAsia="黑体" w:cs="黑体"/>
          <w:b/>
          <w:color w:val="000000"/>
          <w:sz w:val="32"/>
          <w:szCs w:val="32"/>
          <w:highlight w:val="none"/>
          <w:lang w:val="en-US" w:eastAsia="zh-CN"/>
        </w:rPr>
        <w:t xml:space="preserve">开标一览表</w:t>
      </w:r>
      <w:r>
        <w:rPr>
          <w:rFonts w:hint="eastAsia" w:ascii="黑体" w:hAnsi="宋体" w:eastAsia="黑体" w:cs="黑体"/>
          <w:b/>
          <w:color w:val="000000"/>
          <w:sz w:val="32"/>
          <w:szCs w:val="32"/>
          <w:highlight w:val="none"/>
          <w:lang w:val="en-US" w:eastAsia="zh-CN"/>
        </w:rPr>
      </w:r>
      <w:r/>
    </w:p>
    <w:p>
      <w:pPr>
        <w:pStyle w:val="659"/>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rPr>
          <w:rFonts w:hint="eastAsia" w:ascii="仿宋" w:hAnsi="仿宋" w:eastAsia="仿宋" w:cs="仿宋"/>
        </w:rPr>
      </w:r>
      <w:r/>
    </w:p>
    <w:p>
      <w:pPr>
        <w:pStyle w:val="659"/>
        <w:ind w:firstLine="480"/>
        <w:jc w:val="both"/>
        <w:spacing w:beforeAutospacing="0" w:afterAutospacing="0"/>
        <w:rPr>
          <w:rFonts w:hint="eastAsia" w:ascii="仿宋" w:hAnsi="仿宋" w:eastAsia="仿宋" w:cs="仿宋"/>
          <w:lang w:eastAsia="zh-CN"/>
        </w:rPr>
      </w:pPr>
      <w:r>
        <w:rPr>
          <w:rFonts w:hint="eastAsia" w:ascii="仿宋" w:hAnsi="仿宋" w:eastAsia="仿宋" w:cs="仿宋"/>
          <w:color w:val="000000"/>
        </w:rPr>
        <w:t xml:space="preserve">项目名称：</w:t>
      </w:r>
      <w:r>
        <w:rPr>
          <w:rFonts w:hint="eastAsia" w:ascii="仿宋" w:hAnsi="仿宋" w:eastAsia="仿宋" w:cs="仿宋"/>
          <w:color w:val="000000"/>
          <w:lang w:eastAsia="zh-CN"/>
        </w:rPr>
        <w:t xml:space="preserve">巡护船及配套设施采购项目（二次）</w:t>
      </w:r>
      <w:r>
        <w:rPr>
          <w:rFonts w:hint="eastAsia" w:ascii="仿宋" w:hAnsi="仿宋" w:eastAsia="仿宋" w:cs="仿宋"/>
          <w:lang w:eastAsia="zh-CN"/>
        </w:rPr>
      </w:r>
      <w:r/>
    </w:p>
    <w:p>
      <w:pPr>
        <w:pStyle w:val="659"/>
        <w:ind w:firstLine="480"/>
        <w:jc w:val="both"/>
        <w:spacing w:beforeAutospacing="0" w:afterAutospacing="0"/>
        <w:rPr>
          <w:rFonts w:hint="eastAsia" w:ascii="仿宋" w:hAnsi="仿宋" w:eastAsia="仿宋" w:cs="仿宋"/>
          <w:color w:val="000000"/>
          <w:lang w:eastAsia="zh-CN"/>
        </w:rPr>
      </w:pPr>
      <w:r>
        <w:rPr>
          <w:rFonts w:hint="eastAsia" w:ascii="仿宋" w:hAnsi="仿宋" w:eastAsia="仿宋" w:cs="仿宋"/>
          <w:color w:val="000000"/>
        </w:rPr>
        <w:t xml:space="preserve">招标编号：</w:t>
      </w:r>
      <w:r>
        <w:rPr>
          <w:rFonts w:hint="eastAsia" w:ascii="仿宋" w:hAnsi="仿宋" w:eastAsia="仿宋" w:cs="仿宋"/>
          <w:color w:val="000000"/>
          <w:lang w:eastAsia="zh-CN"/>
        </w:rPr>
        <w:t xml:space="preserve">JSZC-320000-HCXM-G2026-0004</w:t>
      </w:r>
      <w:r>
        <w:rPr>
          <w:rFonts w:hint="eastAsia" w:ascii="仿宋" w:hAnsi="仿宋" w:eastAsia="仿宋" w:cs="仿宋"/>
          <w:color w:val="000000"/>
          <w:lang w:eastAsia="zh-CN"/>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9"/>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rPr>
                <w:rFonts w:hint="eastAsia" w:ascii="仿宋" w:hAnsi="仿宋" w:eastAsia="仿宋" w:cs="仿宋"/>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9"/>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rPr>
                <w:rFonts w:hint="eastAsia" w:ascii="仿宋" w:hAnsi="仿宋" w:eastAsia="仿宋" w:cs="仿宋"/>
                <w:color w:val="000000"/>
              </w:rPr>
            </w:r>
            <w:r/>
          </w:p>
        </w:tc>
      </w:tr>
    </w:tbl>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hint="eastAsia" w:ascii="仿宋" w:hAnsi="仿宋" w:eastAsia="仿宋" w:cs="仿宋"/>
        </w:rPr>
      </w:r>
      <w:r/>
    </w:p>
    <w:p>
      <w:pPr>
        <w:pStyle w:val="659"/>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ind w:left="1600" w:firstLine="643"/>
        <w:jc w:val="both"/>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十六、企业管理体系认证</w:t>
      </w: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jc w:val="cente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十七、业绩一览表</w:t>
      </w:r>
      <w:r>
        <w:rPr>
          <w:rFonts w:hint="eastAsia" w:ascii="黑体" w:hAnsi="宋体" w:eastAsia="黑体" w:cs="黑体"/>
          <w:b/>
          <w:color w:val="000000"/>
          <w:sz w:val="32"/>
          <w:szCs w:val="32"/>
          <w:highlight w:val="none"/>
          <w:lang w:val="en-US" w:eastAsia="zh-CN" w:bidi="ar-SA"/>
        </w:rPr>
      </w:r>
      <w:r/>
    </w:p>
    <w:p>
      <w:pPr>
        <w:pStyle w:val="660"/>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项目名称：巡护船及配套设施采购项目（二次）</w:t>
      </w:r>
      <w:r>
        <w:rPr>
          <w:rFonts w:hint="eastAsia" w:ascii="宋体" w:hAnsi="宋体" w:eastAsia="宋体" w:cs="宋体"/>
          <w:b/>
          <w:color w:val="000000"/>
          <w:sz w:val="24"/>
          <w:szCs w:val="24"/>
          <w:highlight w:val="none"/>
          <w:lang w:val="en-US" w:eastAsia="zh-CN"/>
        </w:rPr>
      </w:r>
      <w:r/>
    </w:p>
    <w:p>
      <w:pPr>
        <w:pStyle w:val="660"/>
        <w:ind w:left="0" w:firstLine="0"/>
        <w:jc w:val="both"/>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项目编号：JSZC-320000-HCXM-G2026-0004</w:t>
      </w:r>
      <w:r>
        <w:rPr>
          <w:rFonts w:ascii="宋体" w:hAnsi="宋体" w:eastAsia="宋体" w:cs="宋体"/>
          <w:b/>
          <w:color w:val="000000"/>
          <w:sz w:val="24"/>
          <w:szCs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692"/>
        <w:gridCol w:w="1853"/>
        <w:gridCol w:w="1988"/>
        <w:gridCol w:w="1311"/>
      </w:tblGrid>
      <w:tr>
        <w:trPr>
          <w:cantSplit/>
          <w:trHeight w:val="752"/>
        </w:trPr>
        <w:tc>
          <w:tcPr>
            <w:tcW w:w="39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tcW w:w="157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tc>
        <w:tc>
          <w:tcPr>
            <w:tcW w:w="1087"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t xml:space="preserve">签订时间</w:t>
            </w:r>
            <w:r>
              <w:rPr>
                <w:rFonts w:ascii="宋体" w:hAnsi="宋体"/>
                <w:color w:val="000000"/>
                <w:sz w:val="24"/>
                <w:szCs w:val="24"/>
                <w:highlight w:val="none"/>
              </w:rPr>
            </w:r>
            <w:r/>
          </w:p>
        </w:tc>
        <w:tc>
          <w:tcPr>
            <w:tcW w:w="116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t xml:space="preserve">采购单位</w:t>
            </w:r>
            <w:r>
              <w:rPr>
                <w:rFonts w:ascii="宋体" w:hAnsi="宋体"/>
                <w:color w:val="000000"/>
                <w:sz w:val="24"/>
                <w:szCs w:val="24"/>
                <w:highlight w:val="none"/>
              </w:rPr>
            </w:r>
            <w:r/>
          </w:p>
        </w:tc>
        <w:tc>
          <w:tcPr>
            <w:tcW w:w="76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41"/>
              <w:jc w:val="center"/>
              <w:rPr>
                <w:rFonts w:ascii="宋体" w:hAnsi="宋体"/>
                <w:color w:val="000000"/>
                <w:sz w:val="24"/>
                <w:szCs w:val="24"/>
                <w:highlight w:val="none"/>
              </w:rPr>
            </w:pPr>
            <w:r>
              <w:rPr>
                <w:rFonts w:ascii="宋体" w:hAnsi="宋体"/>
                <w:color w:val="000000"/>
                <w:sz w:val="24"/>
                <w:szCs w:val="24"/>
                <w:highlight w:val="none"/>
              </w:rPr>
            </w:r>
            <w:r/>
          </w:p>
        </w:tc>
      </w:tr>
    </w:tbl>
    <w:p>
      <w:pPr>
        <w:pStyle w:val="641"/>
        <w:ind w:firstLine="480"/>
        <w:spacing w:line="360" w:lineRule="auto"/>
        <w:rPr>
          <w:rFonts w:hint="eastAsia"/>
          <w:color w:val="000000"/>
          <w:sz w:val="24"/>
          <w:szCs w:val="24"/>
          <w:highlight w:val="none"/>
        </w:rPr>
      </w:pPr>
      <w:r>
        <w:rPr>
          <w:rFonts w:hint="eastAsia"/>
          <w:color w:val="000000"/>
          <w:sz w:val="24"/>
          <w:szCs w:val="24"/>
          <w:highlight w:val="none"/>
        </w:rPr>
      </w:r>
      <w:r/>
    </w:p>
    <w:p>
      <w:pPr>
        <w:pStyle w:val="6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641"/>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本表为参考格式，供应商可根据实际情况自行调整。</w:t>
      </w:r>
      <w:r>
        <w:rPr>
          <w:rFonts w:ascii="宋体" w:hAnsi="宋体" w:eastAsia="宋体" w:cs="宋体"/>
          <w:color w:val="000000"/>
          <w:sz w:val="24"/>
          <w:szCs w:val="24"/>
          <w:highlight w:val="none"/>
          <w:lang w:val="en-US" w:eastAsia="zh-CN"/>
        </w:rPr>
      </w:r>
      <w:r/>
    </w:p>
    <w:p>
      <w:pPr>
        <w:pStyle w:val="641"/>
        <w:ind w:firstLine="480"/>
        <w:spacing w:line="360" w:lineRule="auto"/>
        <w:rPr>
          <w:rFonts w:hint="eastAsia"/>
          <w:color w:val="000000"/>
          <w:sz w:val="24"/>
          <w:szCs w:val="24"/>
          <w:highlight w:val="none"/>
        </w:rPr>
      </w:pPr>
      <w:r>
        <w:rPr>
          <w:rFonts w:hint="eastAsia"/>
          <w:color w:val="000000"/>
          <w:sz w:val="24"/>
          <w:szCs w:val="24"/>
          <w:highlight w:val="none"/>
        </w:rPr>
      </w:r>
      <w:r/>
    </w:p>
    <w:p>
      <w:pPr>
        <w:pStyle w:val="641"/>
        <w:ind w:firstLine="480"/>
        <w:spacing w:line="360" w:lineRule="auto"/>
        <w:rPr>
          <w:color w:val="000000"/>
          <w:sz w:val="24"/>
          <w:szCs w:val="24"/>
          <w:highlight w:val="none"/>
        </w:rPr>
      </w:pPr>
      <w:r>
        <w:rPr>
          <w:rFonts w:hint="eastAsia"/>
          <w:color w:val="000000"/>
          <w:sz w:val="24"/>
          <w:szCs w:val="24"/>
          <w:highlight w:val="none"/>
        </w:rPr>
        <w:t xml:space="preserve">供应商（加盖CA电子公章）：</w:t>
      </w:r>
      <w:r>
        <w:rPr>
          <w:color w:val="000000"/>
          <w:sz w:val="24"/>
          <w:szCs w:val="24"/>
          <w:highlight w:val="none"/>
        </w:rPr>
      </w:r>
      <w:r/>
    </w:p>
    <w:p>
      <w:pPr>
        <w:pStyle w:val="641"/>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w:t>
      </w:r>
      <w:r>
        <w:rPr>
          <w:rFonts w:hint="eastAsia"/>
          <w:color w:val="000000"/>
          <w:sz w:val="24"/>
          <w:szCs w:val="24"/>
          <w:highlight w:val="none"/>
          <w:lang w:val="en-US" w:eastAsia="zh-CN"/>
        </w:rPr>
        <w:t xml:space="preserve">签</w:t>
      </w:r>
      <w:r>
        <w:rPr>
          <w:rFonts w:hint="eastAsia"/>
          <w:color w:val="000000"/>
          <w:sz w:val="24"/>
          <w:szCs w:val="24"/>
          <w:highlight w:val="none"/>
        </w:rPr>
        <w:t xml:space="preserve">章）：</w:t>
      </w:r>
      <w:r>
        <w:rPr>
          <w:color w:val="000000"/>
          <w:sz w:val="24"/>
          <w:szCs w:val="24"/>
          <w:highlight w:val="none"/>
        </w:rPr>
      </w:r>
      <w:r/>
    </w:p>
    <w:p>
      <w:pPr>
        <w:pStyle w:val="641"/>
        <w:ind w:firstLine="480"/>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十八、项目团队人员一览表</w:t>
      </w:r>
      <w:r>
        <w:rPr>
          <w:rFonts w:hint="eastAsia" w:ascii="黑体" w:hAnsi="宋体" w:eastAsia="黑体" w:cs="黑体"/>
          <w:b/>
          <w:color w:val="000000"/>
          <w:sz w:val="32"/>
          <w:szCs w:val="32"/>
          <w:highlight w:val="none"/>
          <w:lang w:val="en-US" w:eastAsia="zh-CN" w:bidi="ar-SA"/>
        </w:rPr>
      </w:r>
      <w:r/>
    </w:p>
    <w:p>
      <w:pPr>
        <w:pStyle w:val="660"/>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项目名称：巡护船及配套设施采购项目（二次）</w:t>
      </w:r>
      <w:r>
        <w:rPr>
          <w:rFonts w:hint="eastAsia" w:ascii="宋体" w:hAnsi="宋体" w:eastAsia="宋体" w:cs="宋体"/>
          <w:b/>
          <w:color w:val="000000"/>
          <w:sz w:val="24"/>
          <w:szCs w:val="24"/>
          <w:highlight w:val="none"/>
          <w:lang w:val="en-US" w:eastAsia="zh-CN"/>
        </w:rPr>
      </w:r>
      <w:r/>
    </w:p>
    <w:p>
      <w:pPr>
        <w:pStyle w:val="660"/>
        <w:ind w:left="0" w:firstLine="0"/>
        <w:jc w:val="both"/>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项目编号：JSZC-320000-HCXM-G2026-0004</w:t>
      </w:r>
      <w:r>
        <w:rPr>
          <w:rFonts w:ascii="宋体" w:hAnsi="宋体" w:eastAsia="宋体" w:cs="宋体"/>
          <w:b/>
          <w:color w:val="000000"/>
          <w:sz w:val="24"/>
          <w:szCs w:val="24"/>
          <w:highlight w:val="none"/>
          <w:lang w:val="en-US" w:eastAsia="zh-CN"/>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6"/>
        <w:gridCol w:w="616"/>
        <w:gridCol w:w="617"/>
        <w:gridCol w:w="617"/>
        <w:gridCol w:w="1683"/>
        <w:gridCol w:w="617"/>
        <w:gridCol w:w="617"/>
        <w:gridCol w:w="1683"/>
        <w:gridCol w:w="830"/>
        <w:gridCol w:w="617"/>
      </w:tblGrid>
      <w:tr>
        <w:trPr/>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88"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88"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487" w:type="dxa"/>
            <w:vAlign w:val="center"/>
            <w:textDirection w:val="lrTb"/>
            <w:noWrap w:val="false"/>
          </w:tcPr>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6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362" w:type="dxa"/>
            <w:vAlign w:val="center"/>
            <w:textDirection w:val="lrTb"/>
            <w:noWrap w:val="false"/>
          </w:tcPr>
          <w:p>
            <w:pPr>
              <w:pStyle w:val="641"/>
              <w:jc w:val="center"/>
              <w:spacing w:line="360" w:lineRule="auto"/>
              <w:tabs>
                <w:tab w:val="left" w:pos="9765"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备注</w:t>
            </w:r>
            <w:r>
              <w:rPr>
                <w:rFonts w:hint="eastAsia" w:ascii="宋体" w:hAnsi="宋体" w:eastAsia="宋体" w:cs="宋体"/>
                <w:color w:val="000000"/>
                <w:sz w:val="24"/>
                <w:highlight w:val="none"/>
                <w:lang w:val="en-US" w:eastAsia="zh-CN"/>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41"/>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60"/>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pStyle w:val="660"/>
        <w:ind w:left="0" w:firstLine="0"/>
        <w:jc w:val="both"/>
        <w:rPr>
          <w:rFonts w:ascii="宋体" w:hAnsi="宋体" w:eastAsia="宋体" w:cs="宋体"/>
          <w:b/>
          <w:color w:val="000000"/>
          <w:sz w:val="24"/>
          <w:szCs w:val="24"/>
          <w:highlight w:val="none"/>
          <w:lang w:val="en-US" w:eastAsia="zh-CN"/>
        </w:rPr>
        <w:outlineLvl w:val="9"/>
      </w:pPr>
      <w:r>
        <w:rPr>
          <w:rFonts w:ascii="宋体" w:hAnsi="宋体" w:eastAsia="宋体" w:cs="宋体"/>
          <w:b/>
          <w:color w:val="000000"/>
          <w:sz w:val="24"/>
          <w:szCs w:val="24"/>
          <w:highlight w:val="none"/>
          <w:lang w:val="en-US" w:eastAsia="zh-CN"/>
        </w:rPr>
      </w:r>
      <w:r/>
    </w:p>
    <w:p>
      <w:pPr>
        <w:pStyle w:val="6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641"/>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本表为参考格式，供应商可根据实际情况自行调整。</w:t>
      </w:r>
      <w:r>
        <w:rPr>
          <w:rFonts w:ascii="宋体" w:hAnsi="宋体" w:eastAsia="宋体" w:cs="宋体"/>
          <w:color w:val="000000"/>
          <w:sz w:val="24"/>
          <w:szCs w:val="24"/>
          <w:highlight w:val="none"/>
          <w:lang w:val="en-US" w:eastAsia="zh-CN"/>
        </w:rPr>
      </w:r>
      <w:r/>
    </w:p>
    <w:p>
      <w:pPr>
        <w:pStyle w:val="641"/>
        <w:ind w:firstLine="480"/>
        <w:spacing w:line="360" w:lineRule="auto"/>
        <w:rPr>
          <w:rFonts w:hint="eastAsia"/>
          <w:color w:val="000000"/>
          <w:sz w:val="24"/>
          <w:szCs w:val="24"/>
          <w:highlight w:val="none"/>
        </w:rPr>
      </w:pPr>
      <w:r>
        <w:rPr>
          <w:rFonts w:hint="eastAsia"/>
          <w:color w:val="000000"/>
          <w:sz w:val="24"/>
          <w:szCs w:val="24"/>
          <w:highlight w:val="none"/>
        </w:rPr>
      </w:r>
      <w:r/>
    </w:p>
    <w:p>
      <w:pPr>
        <w:pStyle w:val="641"/>
        <w:ind w:firstLine="480"/>
        <w:spacing w:line="360" w:lineRule="auto"/>
        <w:rPr>
          <w:color w:val="000000"/>
          <w:sz w:val="24"/>
          <w:szCs w:val="24"/>
          <w:highlight w:val="none"/>
        </w:rPr>
      </w:pPr>
      <w:r>
        <w:rPr>
          <w:rFonts w:hint="eastAsia"/>
          <w:color w:val="000000"/>
          <w:sz w:val="24"/>
          <w:szCs w:val="24"/>
          <w:highlight w:val="none"/>
        </w:rPr>
        <w:t xml:space="preserve">供应商（加盖CA电子公章）：</w:t>
      </w:r>
      <w:r>
        <w:rPr>
          <w:color w:val="000000"/>
          <w:sz w:val="24"/>
          <w:szCs w:val="24"/>
          <w:highlight w:val="none"/>
        </w:rPr>
      </w:r>
      <w:r/>
    </w:p>
    <w:p>
      <w:pPr>
        <w:pStyle w:val="641"/>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w:t>
      </w:r>
      <w:r>
        <w:rPr>
          <w:rFonts w:hint="eastAsia"/>
          <w:color w:val="000000"/>
          <w:sz w:val="24"/>
          <w:szCs w:val="24"/>
          <w:highlight w:val="none"/>
          <w:lang w:val="en-US" w:eastAsia="zh-CN"/>
        </w:rPr>
        <w:t xml:space="preserve">签</w:t>
      </w:r>
      <w:r>
        <w:rPr>
          <w:rFonts w:hint="eastAsia"/>
          <w:color w:val="000000"/>
          <w:sz w:val="24"/>
          <w:szCs w:val="24"/>
          <w:highlight w:val="none"/>
        </w:rPr>
        <w:t xml:space="preserve">章）：</w:t>
      </w:r>
      <w:r>
        <w:rPr>
          <w:color w:val="000000"/>
          <w:sz w:val="24"/>
          <w:szCs w:val="24"/>
          <w:highlight w:val="none"/>
        </w:rPr>
      </w:r>
      <w:r/>
    </w:p>
    <w:p>
      <w:pPr>
        <w:pStyle w:val="641"/>
        <w:ind w:firstLine="480"/>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641"/>
        <w:numPr>
          <w:ilvl w:val="0"/>
          <w:numId w:val="0"/>
        </w:numPr>
        <w:ind w:left="1600"/>
        <w:jc w:val="cente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41"/>
        <w:ind w:firstLine="2766"/>
        <w:jc w:val="both"/>
        <w:spacing w:line="499" w:lineRule="atLeast"/>
        <w:widowControl/>
        <w:rPr>
          <w:rFonts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十九、技术部分</w:t>
      </w:r>
      <w:r>
        <w:rPr>
          <w:rFonts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41"/>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二十、盐城市政府采购事前信用承诺书</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sz w:val="24"/>
          <w:highlight w:val="none"/>
        </w:rPr>
      </w:r>
      <w:r/>
    </w:p>
    <w:p>
      <w:pPr>
        <w:pStyle w:val="641"/>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41"/>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rPr>
          <w:rFonts w:hint="eastAsia" w:ascii="宋体" w:hAnsi="宋体" w:eastAsia="宋体" w:cs="宋体"/>
          <w:color w:val="000000"/>
          <w:sz w:val="24"/>
          <w:highlight w:val="none"/>
        </w:rPr>
      </w:r>
      <w:r/>
    </w:p>
    <w:p>
      <w:pPr>
        <w:pStyle w:val="641"/>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rPr>
          <w:rFonts w:ascii="宋体" w:hAnsi="宋体" w:eastAsia="宋体" w:cs="宋体"/>
          <w:sz w:val="24"/>
          <w:highlight w:val="none"/>
        </w:rPr>
      </w:r>
      <w:r/>
    </w:p>
    <w:p>
      <w:pPr>
        <w:pStyle w:val="659"/>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5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3"/>
      <w:r/>
      <w:bookmarkEnd w:id="44"/>
      <w:r/>
      <w:bookmarkEnd w:id="45"/>
      <w:r/>
      <w:bookmarkEnd w:id="47"/>
      <w:r/>
      <w:bookmarkEnd w:id="48"/>
      <w:r/>
      <w:bookmarkEnd w:id="49"/>
      <w:r/>
      <w:bookmarkEnd w:id="50"/>
      <w:r/>
      <w:bookmarkEnd w:id="51"/>
      <w:r/>
      <w:bookmarkEnd w:id="52"/>
      <w:r/>
      <w:bookmarkEnd w:id="53"/>
      <w:r/>
      <w:bookmarkEnd w:id="54"/>
      <w:r/>
      <w:bookmarkEnd w:id="55"/>
      <w:r/>
      <w:bookmarkEnd w:id="166"/>
      <w:r/>
      <w:bookmarkEnd w:id="182"/>
      <w:r/>
      <w:bookmarkEnd w:id="184"/>
      <w:r/>
      <w:bookmarkEnd w:id="185"/>
      <w:r/>
      <w:bookmarkEnd w:id="186"/>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b/>
          <w:color w:val="000000"/>
          <w:sz w:val="32"/>
          <w:szCs w:val="32"/>
          <w:highlight w:val="none"/>
        </w:rPr>
      </w:r>
      <w:r/>
    </w:p>
    <w:p>
      <w:pPr>
        <w:pStyle w:val="659"/>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65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65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41"/>
        <w:tabs>
          <w:tab w:val="num" w:pos="312" w:leader="none"/>
        </w:tabs>
      </w:pPr>
    </w:lvl>
    <w:lvl w:ilvl="1">
      <w:start w:val="1"/>
      <w:numFmt w:val="bullet"/>
      <w:isLgl w:val="false"/>
      <w:suff w:val="tab"/>
      <w:lvlText w:val="o"/>
      <w:lvlJc w:val="left"/>
      <w:pPr>
        <w:pStyle w:val="641"/>
        <w:ind w:left="1440" w:hanging="360"/>
      </w:pPr>
      <w:rPr>
        <w:rFonts w:ascii="Courier New" w:hAnsi="Courier New" w:eastAsia="Courier New" w:cs="Courier New"/>
      </w:rPr>
    </w:lvl>
    <w:lvl w:ilvl="2">
      <w:start w:val="1"/>
      <w:numFmt w:val="bullet"/>
      <w:isLgl w:val="false"/>
      <w:suff w:val="tab"/>
      <w:lvlText w:val="§"/>
      <w:lvlJc w:val="left"/>
      <w:pPr>
        <w:pStyle w:val="641"/>
        <w:ind w:left="2160" w:hanging="360"/>
      </w:pPr>
      <w:rPr>
        <w:rFonts w:ascii="Wingdings" w:hAnsi="Wingdings" w:eastAsia="Wingdings" w:cs="Wingdings"/>
      </w:rPr>
    </w:lvl>
    <w:lvl w:ilvl="3">
      <w:start w:val="1"/>
      <w:numFmt w:val="bullet"/>
      <w:isLgl w:val="false"/>
      <w:suff w:val="tab"/>
      <w:lvlText w:val="·"/>
      <w:lvlJc w:val="left"/>
      <w:pPr>
        <w:pStyle w:val="641"/>
        <w:ind w:left="2880" w:hanging="360"/>
      </w:pPr>
      <w:rPr>
        <w:rFonts w:ascii="Symbol" w:hAnsi="Symbol" w:eastAsia="Symbol" w:cs="Symbol"/>
      </w:rPr>
    </w:lvl>
    <w:lvl w:ilvl="4">
      <w:start w:val="1"/>
      <w:numFmt w:val="bullet"/>
      <w:isLgl w:val="false"/>
      <w:suff w:val="tab"/>
      <w:lvlText w:val="o"/>
      <w:lvlJc w:val="left"/>
      <w:pPr>
        <w:pStyle w:val="641"/>
        <w:ind w:left="3600" w:hanging="360"/>
      </w:pPr>
      <w:rPr>
        <w:rFonts w:ascii="Courier New" w:hAnsi="Courier New" w:eastAsia="Courier New" w:cs="Courier New"/>
      </w:rPr>
    </w:lvl>
    <w:lvl w:ilvl="5">
      <w:start w:val="1"/>
      <w:numFmt w:val="bullet"/>
      <w:isLgl w:val="false"/>
      <w:suff w:val="tab"/>
      <w:lvlText w:val="§"/>
      <w:lvlJc w:val="left"/>
      <w:pPr>
        <w:pStyle w:val="641"/>
        <w:ind w:left="4320" w:hanging="360"/>
      </w:pPr>
      <w:rPr>
        <w:rFonts w:ascii="Wingdings" w:hAnsi="Wingdings" w:eastAsia="Wingdings" w:cs="Wingdings"/>
      </w:rPr>
    </w:lvl>
    <w:lvl w:ilvl="6">
      <w:start w:val="1"/>
      <w:numFmt w:val="bullet"/>
      <w:isLgl w:val="false"/>
      <w:suff w:val="tab"/>
      <w:lvlText w:val="·"/>
      <w:lvlJc w:val="left"/>
      <w:pPr>
        <w:pStyle w:val="641"/>
        <w:ind w:left="5040" w:hanging="360"/>
      </w:pPr>
      <w:rPr>
        <w:rFonts w:ascii="Symbol" w:hAnsi="Symbol" w:eastAsia="Symbol" w:cs="Symbol"/>
      </w:rPr>
    </w:lvl>
    <w:lvl w:ilvl="7">
      <w:start w:val="1"/>
      <w:numFmt w:val="bullet"/>
      <w:isLgl w:val="false"/>
      <w:suff w:val="tab"/>
      <w:lvlText w:val="o"/>
      <w:lvlJc w:val="left"/>
      <w:pPr>
        <w:pStyle w:val="641"/>
        <w:ind w:left="5760" w:hanging="360"/>
      </w:pPr>
      <w:rPr>
        <w:rFonts w:ascii="Courier New" w:hAnsi="Courier New" w:eastAsia="Courier New" w:cs="Courier New"/>
      </w:rPr>
    </w:lvl>
    <w:lvl w:ilvl="8">
      <w:start w:val="1"/>
      <w:numFmt w:val="bullet"/>
      <w:isLgl w:val="false"/>
      <w:suff w:val="tab"/>
      <w:lvlText w:val="§"/>
      <w:lvlJc w:val="left"/>
      <w:pPr>
        <w:pStyle w:val="641"/>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41"/>
      </w:pPr>
    </w:lvl>
    <w:lvl w:ilvl="1">
      <w:start w:val="1"/>
      <w:numFmt w:val="bullet"/>
      <w:isLgl w:val="false"/>
      <w:suff w:val="tab"/>
      <w:lvlText w:val="o"/>
      <w:lvlJc w:val="left"/>
      <w:pPr>
        <w:pStyle w:val="641"/>
        <w:ind w:left="1440" w:hanging="360"/>
      </w:pPr>
      <w:rPr>
        <w:rFonts w:ascii="Courier New" w:hAnsi="Courier New" w:eastAsia="Courier New" w:cs="Courier New"/>
      </w:rPr>
    </w:lvl>
    <w:lvl w:ilvl="2">
      <w:start w:val="1"/>
      <w:numFmt w:val="bullet"/>
      <w:isLgl w:val="false"/>
      <w:suff w:val="tab"/>
      <w:lvlText w:val="§"/>
      <w:lvlJc w:val="left"/>
      <w:pPr>
        <w:pStyle w:val="641"/>
        <w:ind w:left="2160" w:hanging="360"/>
      </w:pPr>
      <w:rPr>
        <w:rFonts w:ascii="Wingdings" w:hAnsi="Wingdings" w:eastAsia="Wingdings" w:cs="Wingdings"/>
      </w:rPr>
    </w:lvl>
    <w:lvl w:ilvl="3">
      <w:start w:val="1"/>
      <w:numFmt w:val="bullet"/>
      <w:isLgl w:val="false"/>
      <w:suff w:val="tab"/>
      <w:lvlText w:val="·"/>
      <w:lvlJc w:val="left"/>
      <w:pPr>
        <w:pStyle w:val="641"/>
        <w:ind w:left="2880" w:hanging="360"/>
      </w:pPr>
      <w:rPr>
        <w:rFonts w:ascii="Symbol" w:hAnsi="Symbol" w:eastAsia="Symbol" w:cs="Symbol"/>
      </w:rPr>
    </w:lvl>
    <w:lvl w:ilvl="4">
      <w:start w:val="1"/>
      <w:numFmt w:val="bullet"/>
      <w:isLgl w:val="false"/>
      <w:suff w:val="tab"/>
      <w:lvlText w:val="o"/>
      <w:lvlJc w:val="left"/>
      <w:pPr>
        <w:pStyle w:val="641"/>
        <w:ind w:left="3600" w:hanging="360"/>
      </w:pPr>
      <w:rPr>
        <w:rFonts w:ascii="Courier New" w:hAnsi="Courier New" w:eastAsia="Courier New" w:cs="Courier New"/>
      </w:rPr>
    </w:lvl>
    <w:lvl w:ilvl="5">
      <w:start w:val="1"/>
      <w:numFmt w:val="bullet"/>
      <w:isLgl w:val="false"/>
      <w:suff w:val="tab"/>
      <w:lvlText w:val="§"/>
      <w:lvlJc w:val="left"/>
      <w:pPr>
        <w:pStyle w:val="641"/>
        <w:ind w:left="4320" w:hanging="360"/>
      </w:pPr>
      <w:rPr>
        <w:rFonts w:ascii="Wingdings" w:hAnsi="Wingdings" w:eastAsia="Wingdings" w:cs="Wingdings"/>
      </w:rPr>
    </w:lvl>
    <w:lvl w:ilvl="6">
      <w:start w:val="1"/>
      <w:numFmt w:val="bullet"/>
      <w:isLgl w:val="false"/>
      <w:suff w:val="tab"/>
      <w:lvlText w:val="·"/>
      <w:lvlJc w:val="left"/>
      <w:pPr>
        <w:pStyle w:val="641"/>
        <w:ind w:left="5040" w:hanging="360"/>
      </w:pPr>
      <w:rPr>
        <w:rFonts w:ascii="Symbol" w:hAnsi="Symbol" w:eastAsia="Symbol" w:cs="Symbol"/>
      </w:rPr>
    </w:lvl>
    <w:lvl w:ilvl="7">
      <w:start w:val="1"/>
      <w:numFmt w:val="bullet"/>
      <w:isLgl w:val="false"/>
      <w:suff w:val="tab"/>
      <w:lvlText w:val="o"/>
      <w:lvlJc w:val="left"/>
      <w:pPr>
        <w:pStyle w:val="641"/>
        <w:ind w:left="5760" w:hanging="360"/>
      </w:pPr>
      <w:rPr>
        <w:rFonts w:ascii="Courier New" w:hAnsi="Courier New" w:eastAsia="Courier New" w:cs="Courier New"/>
      </w:rPr>
    </w:lvl>
    <w:lvl w:ilvl="8">
      <w:start w:val="1"/>
      <w:numFmt w:val="bullet"/>
      <w:isLgl w:val="false"/>
      <w:suff w:val="tab"/>
      <w:lvlText w:val="§"/>
      <w:lvlJc w:val="left"/>
      <w:pPr>
        <w:pStyle w:val="641"/>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1"/>
    <w:link w:val="641"/>
    <w:qFormat/>
    <w:pPr>
      <w:jc w:val="both"/>
      <w:widowControl w:val="off"/>
    </w:pPr>
    <w:rPr>
      <w:rFonts w:ascii="Calibri" w:hAnsi="Calibri" w:eastAsia="宋体" w:cs="Times New Roman"/>
      <w:sz w:val="21"/>
      <w:szCs w:val="24"/>
      <w:lang w:val="en-US" w:eastAsia="zh-CN" w:bidi="ar-SA"/>
    </w:rPr>
  </w:style>
  <w:style w:type="paragraph" w:styleId="642">
    <w:name w:val="标题 2"/>
    <w:basedOn w:val="641"/>
    <w:next w:val="641"/>
    <w:link w:val="641"/>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643">
    <w:name w:val="标题 3"/>
    <w:basedOn w:val="641"/>
    <w:next w:val="647"/>
    <w:link w:val="641"/>
    <w:uiPriority w:val="99"/>
    <w:qFormat/>
    <w:pPr>
      <w:ind w:firstLine="137"/>
      <w:keepLines/>
      <w:keepNext/>
      <w:spacing w:line="415" w:lineRule="auto"/>
      <w:outlineLvl w:val="2"/>
    </w:pPr>
    <w:rPr>
      <w:rFonts w:hAnsi="黑体" w:eastAsia="黑体"/>
      <w:sz w:val="24"/>
      <w:szCs w:val="20"/>
    </w:rPr>
  </w:style>
  <w:style w:type="paragraph" w:styleId="644">
    <w:name w:val="标题 4"/>
    <w:basedOn w:val="641"/>
    <w:next w:val="641"/>
    <w:link w:val="641"/>
    <w:qFormat/>
    <w:pPr>
      <w:keepLines/>
      <w:keepNext/>
      <w:spacing w:before="280" w:after="290" w:line="376" w:lineRule="auto"/>
      <w:outlineLvl w:val="3"/>
    </w:pPr>
    <w:rPr>
      <w:rFonts w:ascii="Arial" w:hAnsi="Arial" w:eastAsia="黑体" w:cs="Arial"/>
      <w:b/>
      <w:bCs/>
      <w:sz w:val="28"/>
      <w:szCs w:val="28"/>
    </w:rPr>
  </w:style>
  <w:style w:type="character" w:styleId="645">
    <w:name w:val="默认段落字体"/>
    <w:next w:val="645"/>
    <w:link w:val="641"/>
    <w:uiPriority w:val="1"/>
    <w:unhideWhenUsed/>
    <w:qFormat/>
  </w:style>
  <w:style w:type="table" w:styleId="646">
    <w:name w:val="普通表格"/>
    <w:next w:val="646"/>
    <w:link w:val="641"/>
    <w:uiPriority w:val="99"/>
    <w:unhideWhenUsed/>
    <w:qFormat/>
    <w:tblPr/>
  </w:style>
  <w:style w:type="paragraph" w:styleId="647">
    <w:name w:val="正文缩进"/>
    <w:basedOn w:val="641"/>
    <w:next w:val="647"/>
    <w:link w:val="641"/>
    <w:qFormat/>
    <w:pPr>
      <w:ind w:firstLine="420"/>
    </w:pPr>
    <w:rPr>
      <w:szCs w:val="21"/>
    </w:rPr>
  </w:style>
  <w:style w:type="paragraph" w:styleId="648">
    <w:name w:val="批注文字"/>
    <w:basedOn w:val="641"/>
    <w:next w:val="648"/>
    <w:link w:val="641"/>
    <w:qFormat/>
    <w:pPr>
      <w:jc w:val="left"/>
    </w:pPr>
  </w:style>
  <w:style w:type="paragraph" w:styleId="649">
    <w:name w:val="正文文本"/>
    <w:basedOn w:val="641"/>
    <w:next w:val="650"/>
    <w:link w:val="641"/>
    <w:unhideWhenUsed/>
    <w:qFormat/>
    <w:pPr>
      <w:spacing w:after="120"/>
    </w:pPr>
    <w:rPr>
      <w:rFonts w:ascii="Calibri" w:hAnsi="Calibri"/>
      <w:szCs w:val="22"/>
    </w:rPr>
  </w:style>
  <w:style w:type="paragraph" w:styleId="650">
    <w:name w:val="正文首行缩进"/>
    <w:basedOn w:val="649"/>
    <w:next w:val="650"/>
    <w:link w:val="641"/>
    <w:qFormat/>
    <w:pPr>
      <w:ind w:firstLine="420"/>
    </w:pPr>
    <w:rPr>
      <w:sz w:val="24"/>
    </w:rPr>
  </w:style>
  <w:style w:type="paragraph" w:styleId="651">
    <w:name w:val="正文文本缩进"/>
    <w:basedOn w:val="641"/>
    <w:next w:val="652"/>
    <w:link w:val="641"/>
    <w:qFormat/>
    <w:pPr>
      <w:ind w:firstLine="645"/>
    </w:pPr>
    <w:rPr>
      <w:rFonts w:ascii="KaiTi_GB2312" w:eastAsia="KaiTi_GB2312"/>
      <w:sz w:val="32"/>
      <w:szCs w:val="32"/>
    </w:rPr>
  </w:style>
  <w:style w:type="paragraph" w:styleId="652">
    <w:name w:val="寄信人地址"/>
    <w:basedOn w:val="641"/>
    <w:next w:val="652"/>
    <w:link w:val="641"/>
    <w:uiPriority w:val="99"/>
    <w:qFormat/>
    <w:rPr>
      <w:rFonts w:ascii="Arial" w:hAnsi="Arial" w:cs="Arial"/>
    </w:rPr>
  </w:style>
  <w:style w:type="paragraph" w:styleId="653">
    <w:name w:val="文本块"/>
    <w:basedOn w:val="641"/>
    <w:next w:val="644"/>
    <w:link w:val="641"/>
    <w:qFormat/>
    <w:pPr>
      <w:ind w:left="1440" w:right="1440"/>
      <w:spacing w:after="120"/>
    </w:pPr>
  </w:style>
  <w:style w:type="paragraph" w:styleId="654">
    <w:name w:val="纯文本"/>
    <w:basedOn w:val="641"/>
    <w:next w:val="654"/>
    <w:link w:val="641"/>
    <w:unhideWhenUsed/>
    <w:qFormat/>
    <w:rPr>
      <w:rFonts w:ascii="宋体" w:hAnsi="Courier New" w:cs="Courier New"/>
      <w:szCs w:val="21"/>
    </w:rPr>
  </w:style>
  <w:style w:type="paragraph" w:styleId="655">
    <w:name w:val="页脚"/>
    <w:basedOn w:val="641"/>
    <w:next w:val="655"/>
    <w:link w:val="656"/>
    <w:qFormat/>
    <w:pPr>
      <w:jc w:val="left"/>
      <w:tabs>
        <w:tab w:val="center" w:pos="4153" w:leader="none"/>
        <w:tab w:val="right" w:pos="8306" w:leader="none"/>
      </w:tabs>
    </w:pPr>
    <w:rPr>
      <w:sz w:val="18"/>
      <w:szCs w:val="18"/>
    </w:rPr>
  </w:style>
  <w:style w:type="character" w:styleId="656">
    <w:name w:val="页脚 Char"/>
    <w:basedOn w:val="645"/>
    <w:next w:val="656"/>
    <w:link w:val="655"/>
    <w:qFormat/>
    <w:rPr>
      <w:rFonts w:ascii="Calibri" w:hAnsi="Calibri" w:eastAsia="宋体" w:cs="Times New Roman"/>
      <w:sz w:val="18"/>
      <w:szCs w:val="18"/>
    </w:rPr>
  </w:style>
  <w:style w:type="paragraph" w:styleId="657">
    <w:name w:val="页眉"/>
    <w:basedOn w:val="641"/>
    <w:next w:val="657"/>
    <w:link w:val="658"/>
    <w:qFormat/>
    <w:pPr>
      <w:jc w:val="center"/>
      <w:tabs>
        <w:tab w:val="center" w:pos="4153" w:leader="none"/>
        <w:tab w:val="right" w:pos="8306" w:leader="none"/>
      </w:tabs>
      <w:pBdr>
        <w:bottom w:val="single" w:color="000000" w:sz="6" w:space="1"/>
      </w:pBdr>
    </w:pPr>
    <w:rPr>
      <w:sz w:val="18"/>
      <w:szCs w:val="18"/>
    </w:rPr>
  </w:style>
  <w:style w:type="character" w:styleId="658">
    <w:name w:val="页眉 Char"/>
    <w:basedOn w:val="645"/>
    <w:next w:val="658"/>
    <w:link w:val="657"/>
    <w:qFormat/>
    <w:rPr>
      <w:rFonts w:ascii="Calibri" w:hAnsi="Calibri" w:eastAsia="宋体" w:cs="Times New Roman"/>
      <w:sz w:val="18"/>
      <w:szCs w:val="18"/>
    </w:rPr>
  </w:style>
  <w:style w:type="paragraph" w:styleId="659">
    <w:name w:val="普通(网站)"/>
    <w:basedOn w:val="641"/>
    <w:next w:val="659"/>
    <w:link w:val="641"/>
    <w:qFormat/>
    <w:pPr>
      <w:jc w:val="left"/>
      <w:spacing w:beforeAutospacing="1" w:afterAutospacing="1"/>
    </w:pPr>
    <w:rPr>
      <w:rFonts w:cs="Times New Roman"/>
      <w:sz w:val="24"/>
    </w:rPr>
  </w:style>
  <w:style w:type="paragraph" w:styleId="660">
    <w:name w:val="正文首行缩进 2"/>
    <w:basedOn w:val="651"/>
    <w:next w:val="660"/>
    <w:link w:val="641"/>
    <w:qFormat/>
    <w:pPr>
      <w:ind w:left="420" w:firstLine="420"/>
      <w:spacing w:after="120"/>
    </w:pPr>
    <w:rPr>
      <w:sz w:val="21"/>
    </w:rPr>
  </w:style>
  <w:style w:type="table" w:styleId="661">
    <w:name w:val="网格型"/>
    <w:basedOn w:val="646"/>
    <w:next w:val="661"/>
    <w:link w:val="641"/>
    <w:qFormat/>
    <w:pPr>
      <w:jc w:val="both"/>
      <w:widowControl w:val="off"/>
    </w:pPr>
    <w:tblPr/>
  </w:style>
  <w:style w:type="paragraph" w:styleId="662">
    <w:name w:val="List Paragraph"/>
    <w:basedOn w:val="641"/>
    <w:next w:val="641"/>
    <w:link w:val="641"/>
    <w:uiPriority w:val="34"/>
    <w:qFormat/>
    <w:pPr>
      <w:contextualSpacing/>
      <w:ind w:left="720"/>
    </w:pPr>
  </w:style>
  <w:style w:type="paragraph" w:styleId="663">
    <w:name w:val="文本块1"/>
    <w:basedOn w:val="641"/>
    <w:next w:val="663"/>
    <w:link w:val="641"/>
    <w:qFormat/>
    <w:pPr>
      <w:ind w:left="1440"/>
      <w:spacing w:after="120"/>
    </w:pPr>
    <w:rPr>
      <w:rFonts w:hint="eastAsia"/>
    </w:rPr>
  </w:style>
  <w:style w:type="paragraph" w:styleId="664">
    <w:name w:val="Default"/>
    <w:basedOn w:val="641"/>
    <w:next w:val="664"/>
    <w:link w:val="641"/>
    <w:semiHidden/>
    <w:qFormat/>
    <w:pPr>
      <w:jc w:val="left"/>
    </w:pPr>
    <w:rPr>
      <w:rFonts w:ascii="宋体" w:hAnsi="Calibri" w:cs="宋体"/>
      <w:color w:val="000000"/>
      <w:sz w:val="24"/>
    </w:rPr>
  </w:style>
  <w:style w:type="paragraph" w:styleId="665">
    <w:name w:val="AONormal"/>
    <w:next w:val="665"/>
    <w:link w:val="641"/>
    <w:qFormat/>
    <w:pPr>
      <w:ind w:firstLine="440"/>
      <w:spacing w:line="400" w:lineRule="exact"/>
    </w:pPr>
    <w:rPr>
      <w:rFonts w:ascii="华文楷体" w:hAnsi="华文楷体" w:eastAsia="华文楷体" w:cs="华文楷体"/>
      <w:sz w:val="22"/>
      <w:szCs w:val="21"/>
      <w:lang w:val="en-US" w:eastAsia="zh-CN" w:bidi="ar-SA"/>
    </w:rPr>
  </w:style>
  <w:style w:type="paragraph" w:styleId="666">
    <w:name w:val="页脚1"/>
    <w:basedOn w:val="641"/>
    <w:next w:val="666"/>
    <w:link w:val="641"/>
    <w:uiPriority w:val="99"/>
    <w:unhideWhenUsed/>
    <w:qFormat/>
    <w:pPr>
      <w:jc w:val="left"/>
      <w:tabs>
        <w:tab w:val="center" w:pos="4153" w:leader="none"/>
        <w:tab w:val="right" w:pos="8306" w:leader="none"/>
      </w:tabs>
    </w:pPr>
    <w:rPr>
      <w:sz w:val="18"/>
      <w:szCs w:val="18"/>
    </w:rPr>
  </w:style>
  <w:style w:type="paragraph" w:styleId="667">
    <w:name w:val="普通正文"/>
    <w:basedOn w:val="641"/>
    <w:next w:val="667"/>
    <w:link w:val="641"/>
    <w:qFormat/>
    <w:pPr>
      <w:ind w:firstLine="480"/>
      <w:jc w:val="left"/>
      <w:spacing w:before="120" w:after="120" w:line="360" w:lineRule="auto"/>
    </w:pPr>
    <w:rPr>
      <w:rFonts w:ascii="Arial" w:hAnsi="Arial" w:eastAsia="等线" w:cs="Arial"/>
      <w:sz w:val="24"/>
      <w:szCs w:val="24"/>
    </w:rPr>
  </w:style>
  <w:style w:type="paragraph" w:styleId="668">
    <w:name w:val="正文首行缩进 21"/>
    <w:basedOn w:val="669"/>
    <w:next w:val="668"/>
    <w:link w:val="641"/>
    <w:qFormat/>
    <w:pPr>
      <w:ind w:firstLine="420"/>
    </w:pPr>
  </w:style>
  <w:style w:type="paragraph" w:styleId="669">
    <w:name w:val="正文文本缩进1"/>
    <w:basedOn w:val="641"/>
    <w:next w:val="669"/>
    <w:link w:val="641"/>
    <w:qFormat/>
    <w:pPr>
      <w:ind w:left="420"/>
      <w:spacing w:after="120"/>
    </w:pPr>
  </w:style>
  <w:style w:type="paragraph" w:styleId="670">
    <w:name w:val="_Style 1"/>
    <w:basedOn w:val="641"/>
    <w:next w:val="670"/>
    <w:link w:val="641"/>
    <w:qFormat/>
    <w:pPr>
      <w:ind w:firstLine="200"/>
    </w:pPr>
    <w:rPr>
      <w:rFonts w:ascii="Times New Roman" w:hAnsi="Times New Roman" w:cs="Times New Roman"/>
      <w:szCs w:val="24"/>
    </w:rPr>
  </w:style>
  <w:style w:type="paragraph" w:styleId="671">
    <w:name w:val="正"/>
    <w:basedOn w:val="664"/>
    <w:next w:val="671"/>
    <w:link w:val="641"/>
    <w:qFormat/>
    <w:pPr>
      <w:ind w:firstLine="480"/>
    </w:pPr>
    <w:rPr>
      <w:rFonts w:ascii="宋体" w:hAnsi="宋体"/>
    </w:rPr>
  </w:style>
  <w:style w:type="paragraph" w:styleId="672">
    <w:name w:val="表格"/>
    <w:basedOn w:val="641"/>
    <w:next w:val="672"/>
    <w:link w:val="641"/>
    <w:qFormat/>
    <w:pPr>
      <w:ind w:firstLine="0"/>
      <w:jc w:val="center"/>
      <w:spacing w:line="240" w:lineRule="auto"/>
    </w:pPr>
    <w:rPr>
      <w:sz w:val="24"/>
    </w:rPr>
  </w:style>
  <w:style w:type="paragraph" w:styleId="673">
    <w:name w:val="Fließtext"/>
    <w:basedOn w:val="641"/>
    <w:next w:val="673"/>
    <w:link w:val="641"/>
    <w:qFormat/>
    <w:rPr>
      <w:szCs w:val="20"/>
    </w:rPr>
  </w:style>
  <w:style w:type="paragraph" w:styleId="674">
    <w:name w:val="Table Paragraph"/>
    <w:basedOn w:val="641"/>
    <w:next w:val="674"/>
    <w:link w:val="641"/>
    <w:uiPriority w:val="1"/>
    <w:qFormat/>
    <w:pPr>
      <w:jc w:val="left"/>
    </w:pPr>
    <w:rPr>
      <w:sz w:val="22"/>
      <w:lang w:eastAsia="en-US"/>
    </w:rPr>
  </w:style>
  <w:style w:type="character" w:styleId="45785" w:default="1">
    <w:name w:val="Default Paragraph Font"/>
    <w:uiPriority w:val="1"/>
    <w:semiHidden/>
    <w:unhideWhenUsed/>
  </w:style>
  <w:style w:type="numbering" w:styleId="45786" w:default="1">
    <w:name w:val="No List"/>
    <w:uiPriority w:val="99"/>
    <w:semiHidden/>
    <w:unhideWhenUsed/>
  </w:style>
  <w:style w:type="table" w:styleId="457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黄海燕</cp:lastModifiedBy>
  <cp:revision>12</cp:revision>
  <dcterms:created xsi:type="dcterms:W3CDTF">2014-10-29T12:08:00Z</dcterms:created>
  <dcterms:modified xsi:type="dcterms:W3CDTF">2026-04-29T07:44:15Z</dcterms:modified>
</cp:coreProperties>
</file>