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Hlk45004360"/>
      <w:r/>
      <w:bookmarkStart w:id="1" w:name="_Hlk45004396"/>
      <w:r/>
      <w:bookmarkStart w:id="2" w:name="_Hlk63065838"/>
      <w:r>
        <w:rPr>
          <w:rFonts w:hint="eastAsia" w:ascii="宋体" w:hAnsi="宋体" w:cs="宋体"/>
          <w:b/>
          <w:color w:val="auto"/>
          <w:sz w:val="32"/>
          <w:highlight w:val="none"/>
        </w:rPr>
        <w:t xml:space="preserve">招标公告</w:t>
      </w:r>
      <w:bookmarkEnd w:id="0"/>
      <w:r/>
      <w:bookmarkEnd w:id="1"/>
      <w:r/>
      <w:bookmarkEnd w:id="2"/>
      <w:r/>
      <w:r/>
    </w:p>
    <w:p>
      <w:pPr>
        <w:jc w:val="left"/>
        <w:spacing w:line="400" w:lineRule="exact"/>
        <w:shd w:val="clear" w:color="auto" w:fill="ffffff"/>
        <w:widowControl/>
        <w:rPr>
          <w:rFonts w:hint="eastAsia" w:ascii="宋体" w:hAnsi="宋体" w:cs="宋体"/>
          <w:color w:val="auto"/>
          <w:szCs w:val="21"/>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Cs w:val="21"/>
          <w:highlight w:val="none"/>
        </w:rPr>
        <w:t xml:space="preserve">项目概况 </w:t>
      </w:r>
      <w:r/>
    </w:p>
    <w:p>
      <w:pPr>
        <w:ind w:firstLine="39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Cs w:val="21"/>
          <w:highlight w:val="none"/>
          <w:u w:val="single"/>
        </w:rPr>
        <w:t xml:space="preserve">苏州市吴中区尹山湖医院信息网络安全建设</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苏采云系统通过网上报名</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2026年5月28日</w:t>
      </w:r>
      <w:r>
        <w:rPr>
          <w:rFonts w:hint="eastAsia" w:ascii="宋体" w:hAnsi="宋体" w:cs="宋体"/>
          <w:color w:val="auto"/>
          <w:szCs w:val="21"/>
          <w:highlight w:val="none"/>
          <w:u w:val="single"/>
        </w:rPr>
        <w:t xml:space="preserve">09点30分</w:t>
      </w:r>
      <w:r>
        <w:rPr>
          <w:rFonts w:hint="eastAsia" w:ascii="宋体" w:hAnsi="宋体" w:cs="宋体"/>
          <w:bCs/>
          <w:color w:val="auto"/>
          <w:szCs w:val="21"/>
          <w:highlight w:val="none"/>
        </w:rPr>
        <w:t xml:space="preserve">（北京时间）前提交电子投标文件</w:t>
      </w:r>
      <w:r>
        <w:rPr>
          <w:rFonts w:hint="eastAsia" w:ascii="宋体" w:hAnsi="宋体" w:cs="宋体"/>
          <w:color w:val="auto"/>
          <w:szCs w:val="21"/>
          <w:highlight w:val="none"/>
        </w:rPr>
        <w:t xml:space="preserve">。</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JSZC-320506-SZWK-G2026-0087</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2.项目名称：苏州市吴中区尹山湖医院信息网络安全建设</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3.采购方式：公开招标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4.预算金额：肆佰柒拾柒万零捌佰陆拾捌元贰角伍分（￥4770868.25）</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最高限价：肆佰零柒万元（￥3745000.00）</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5.采购需求：</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苏州市吴中区尹山湖医院信息化工程硬件采购。</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6.合同履行：</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6.1质保期：全部硬件设备免费质保期不低于5年，自全部设备验收合格且交付使用之日起开始计算。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6.2交货期限：合同签订之日起30天内送至指定地点并安装调试完成。</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6.3交付地点：苏州市吴中区尹山湖医院指定地点</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6.4验收标准：货物安装后，采购方按国际和国家标准及厂方标准进行质量验收。</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7.本项目不接受联合体投标，</w:t>
      </w:r>
      <w:r>
        <w:rPr>
          <w:rFonts w:hint="eastAsia" w:ascii="宋体" w:hAnsi="宋体" w:cs="宋体"/>
          <w:color w:val="auto"/>
          <w:szCs w:val="21"/>
          <w:highlight w:val="none"/>
        </w:rPr>
        <w:t xml:space="preserve">不允许中标后转包或分包</w:t>
      </w:r>
      <w:r>
        <w:rPr>
          <w:rFonts w:hint="eastAsia" w:ascii="宋体" w:hAnsi="宋体" w:cs="宋体"/>
          <w:bCs/>
          <w:color w:val="auto"/>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8.本项目不接受进口产品投标。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二、申请人的资格要求：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1.1具有独立承担民事责任的能力；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1.6法律、行政法规规定的其他条件；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2.落实政府采购政策需满足的资格要求：</w:t>
      </w:r>
      <w:r>
        <w:rPr>
          <w:rFonts w:hint="eastAsia" w:ascii="宋体" w:hAnsi="宋体" w:cs="宋体"/>
          <w:b/>
          <w:color w:val="auto"/>
          <w:szCs w:val="21"/>
          <w:highlight w:val="none"/>
        </w:rPr>
        <w:t xml:space="preserve">本项目为非专门面向中小企业采购项目，所属行业为工业；</w:t>
      </w:r>
      <w:r>
        <w:rPr>
          <w:rFonts w:ascii="宋体" w:hAnsi="宋体" w:cs="宋体"/>
          <w:b/>
          <w:color w:val="auto"/>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其他要求：</w:t>
      </w:r>
      <w:r/>
    </w:p>
    <w:p>
      <w:pPr>
        <w:ind w:firstLine="390"/>
        <w:rPr>
          <w:rFonts w:hint="eastAsia" w:ascii="宋体" w:hAnsi="宋体" w:cs="宋体"/>
          <w:color w:val="auto"/>
          <w:szCs w:val="21"/>
          <w:highlight w:val="none"/>
        </w:rPr>
      </w:pPr>
      <w:r>
        <w:rPr>
          <w:rFonts w:hint="eastAsia" w:ascii="宋体" w:hAnsi="宋体" w:cs="宋体"/>
          <w:color w:val="auto"/>
          <w:szCs w:val="21"/>
          <w:highlight w:val="none"/>
        </w:rPr>
        <w:t xml:space="preserve">3.1供应商须未被“信用中国”网站或“中国政府采购网”网站列入失信被执行人、重大税收违法案件当事人名单、政府采购严重失信行为记录名单。</w:t>
      </w:r>
      <w:r/>
    </w:p>
    <w:p>
      <w:pPr>
        <w:ind w:firstLine="390"/>
        <w:rPr>
          <w:rFonts w:hint="eastAsia" w:ascii="宋体" w:hAnsi="宋体" w:cs="宋体"/>
          <w:color w:val="auto"/>
          <w:szCs w:val="21"/>
          <w:highlight w:val="none"/>
        </w:rPr>
      </w:pPr>
      <w:r>
        <w:rPr>
          <w:rFonts w:hint="eastAsia" w:ascii="宋体" w:hAnsi="宋体" w:cs="宋体"/>
          <w:color w:val="auto"/>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hint="eastAsia" w:ascii="宋体" w:hAnsi="宋体" w:cs="宋体"/>
          <w:color w:val="auto"/>
          <w:szCs w:val="21"/>
          <w:highlight w:val="none"/>
        </w:rPr>
      </w:pPr>
      <w:r>
        <w:rPr>
          <w:rFonts w:hint="eastAsia" w:ascii="宋体" w:hAnsi="宋体" w:cs="宋体"/>
          <w:color w:val="auto"/>
          <w:szCs w:val="21"/>
          <w:highlight w:val="none"/>
        </w:rPr>
        <w:t xml:space="preserve">3.3</w:t>
      </w:r>
      <w:r>
        <w:rPr>
          <w:rFonts w:hint="eastAsia" w:ascii="宋体" w:hAnsi="宋体"/>
          <w:color w:val="auto"/>
          <w:szCs w:val="21"/>
          <w:highlight w:val="none"/>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3.5本次采购的产品不属于《节能产品政府采购品目清单》范围内强制或优先采购的产品。本次采购的产品不属于《环境标志产品政府采购品目清单》范围内优先采购的产品。</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三、获取采购文件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1.获取时间：采购公告发布之日起5个工作日</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2.方式：网上报名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（1）申领CA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供应商进入“江苏省政府采购”官网首页―“苏采云”―进入“苏采云政府采购一体化平台”―点击“新</w:t>
      </w:r>
      <w:r>
        <w:rPr>
          <w:rFonts w:ascii="宋体" w:hAnsi="宋体" w:cs="宋体"/>
          <w:color w:val="auto"/>
          <w:szCs w:val="21"/>
          <w:highlight w:val="none"/>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2）登录报名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供应商进入“江苏省政府采购”官网首页―点击“苏采云”―进入“苏采云政府采购一体化平台”―点击“供应商”。插入</w:t>
      </w:r>
      <w:r>
        <w:rPr>
          <w:rFonts w:ascii="宋体" w:hAnsi="宋体" w:cs="宋体"/>
          <w:color w:val="auto"/>
          <w:szCs w:val="21"/>
          <w:highlight w:val="none"/>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3）在网上报名过程中如有疑问，请及时联系：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CA技术咨询服务电话：400-608-6099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电子签章技术咨询服务电话：</w:t>
      </w:r>
      <w:r>
        <w:rPr>
          <w:rFonts w:ascii="宋体" w:hAnsi="宋体" w:cs="宋体"/>
          <w:color w:val="auto"/>
          <w:szCs w:val="21"/>
          <w:highlight w:val="none"/>
        </w:rPr>
        <w:t xml:space="preserve">15380932027 15371015030 13675197356 13675197221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系统使用指导与咨询：联系电话：</w:t>
      </w:r>
      <w:r>
        <w:rPr>
          <w:rFonts w:ascii="宋体" w:hAnsi="宋体" w:cs="宋体"/>
          <w:color w:val="auto"/>
          <w:szCs w:val="21"/>
          <w:highlight w:val="none"/>
        </w:rPr>
        <w:t xml:space="preserve">13914088964；18261002950（不见面项目）</w:t>
      </w:r>
      <w:r>
        <w:rPr>
          <w:rFonts w:hint="eastAsia" w:ascii="宋体" w:hAnsi="宋体" w:cs="宋体"/>
          <w:color w:val="auto"/>
          <w:szCs w:val="21"/>
          <w:highlight w:val="none"/>
        </w:rPr>
        <w:t xml:space="preserve">  </w:t>
      </w:r>
      <w:r>
        <w:rPr>
          <w:rFonts w:ascii="宋体" w:hAnsi="宋体" w:cs="宋体"/>
          <w:color w:val="auto"/>
          <w:szCs w:val="21"/>
          <w:highlight w:val="none"/>
        </w:rPr>
        <w:t xml:space="preserve">QQ：3048755361、895706745。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3.售价：无。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本项目采用网上投标电子评标方式。</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四、电子投标文件制作及上传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网上响应文件接收截止时间：</w:t>
      </w:r>
      <w:r>
        <w:rPr>
          <w:rFonts w:hint="eastAsia" w:ascii="宋体" w:hAnsi="宋体" w:cs="宋体"/>
          <w:color w:val="auto"/>
          <w:szCs w:val="21"/>
          <w:highlight w:val="none"/>
          <w:lang w:eastAsia="zh-CN"/>
        </w:rPr>
        <w:t xml:space="preserve">2026年5月28日</w:t>
      </w:r>
      <w:r>
        <w:rPr>
          <w:rFonts w:hint="eastAsia" w:ascii="宋体" w:hAnsi="宋体" w:cs="宋体"/>
          <w:color w:val="auto"/>
          <w:szCs w:val="21"/>
          <w:highlight w:val="none"/>
        </w:rPr>
        <w:t xml:space="preserve">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开标时间：</w:t>
      </w:r>
      <w:r>
        <w:rPr>
          <w:rFonts w:hint="eastAsia" w:ascii="宋体" w:hAnsi="宋体" w:cs="宋体"/>
          <w:color w:val="auto"/>
          <w:szCs w:val="21"/>
          <w:highlight w:val="none"/>
          <w:lang w:eastAsia="zh-CN"/>
        </w:rPr>
        <w:t xml:space="preserve">2026年5月28日</w:t>
      </w:r>
      <w:r>
        <w:rPr>
          <w:rFonts w:hint="eastAsia" w:ascii="宋体" w:hAnsi="宋体" w:cs="宋体"/>
          <w:color w:val="auto"/>
          <w:szCs w:val="21"/>
          <w:highlight w:val="none"/>
        </w:rPr>
        <w:t xml:space="preserve">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供应商解密开始时间：</w:t>
      </w:r>
      <w:r>
        <w:rPr>
          <w:rFonts w:hint="eastAsia" w:ascii="宋体" w:hAnsi="宋体" w:cs="宋体"/>
          <w:color w:val="auto"/>
          <w:szCs w:val="21"/>
          <w:highlight w:val="none"/>
          <w:lang w:eastAsia="zh-CN"/>
        </w:rPr>
        <w:t xml:space="preserve">2026年5月28日</w:t>
      </w:r>
      <w:r>
        <w:rPr>
          <w:rFonts w:hint="eastAsia" w:ascii="宋体" w:hAnsi="宋体" w:cs="宋体"/>
          <w:color w:val="auto"/>
          <w:szCs w:val="21"/>
          <w:highlight w:val="none"/>
        </w:rPr>
        <w:t xml:space="preserve">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4.开标地点：苏采云政府采购一体化平台</w:t>
      </w:r>
      <w:r>
        <w:rPr>
          <w:rFonts w:ascii="宋体" w:hAnsi="宋体" w:cs="宋体"/>
          <w:color w:val="auto"/>
          <w:szCs w:val="21"/>
          <w:highlight w:val="none"/>
        </w:rPr>
        <w:t xml:space="preserve">开标大厅</w:t>
      </w:r>
      <w:r>
        <w:rPr>
          <w:rFonts w:hint="eastAsia" w:ascii="宋体" w:hAnsi="宋体" w:cs="宋体"/>
          <w:color w:val="auto"/>
          <w:szCs w:val="21"/>
          <w:highlight w:val="none"/>
        </w:rPr>
        <w:t xml:space="preserve">（网上不见面开标）</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有关本项目电子投标具体操作方法详见苏采云系统中的客户端使用说明和供应商</w:t>
      </w:r>
      <w:r>
        <w:rPr>
          <w:rFonts w:hint="eastAsia" w:ascii="宋体" w:hAnsi="宋体" w:cs="宋体"/>
          <w:color w:val="auto"/>
          <w:szCs w:val="21"/>
          <w:highlight w:val="none"/>
        </w:rPr>
        <w:t xml:space="preserve"> </w:t>
      </w:r>
      <w:r>
        <w:rPr>
          <w:rFonts w:ascii="宋体" w:hAnsi="宋体" w:cs="宋体"/>
          <w:color w:val="auto"/>
          <w:szCs w:val="21"/>
          <w:highlight w:val="none"/>
        </w:rPr>
        <w:t xml:space="preserve">《操作手册》。</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1</w:t>
      </w:r>
      <w:r>
        <w:rPr>
          <w:rFonts w:ascii="宋体" w:hAnsi="宋体" w:cs="宋体"/>
          <w:color w:val="auto"/>
          <w:szCs w:val="21"/>
          <w:highlight w:val="none"/>
        </w:rPr>
        <w:t xml:space="preserve">江苏政府采购网</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ascii="宋体" w:hAnsi="宋体" w:cs="宋体"/>
          <w:color w:val="auto"/>
          <w:szCs w:val="21"/>
          <w:highlight w:val="none"/>
        </w:rPr>
        <w:t xml:space="preserve">苏州市政府采购网</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4.投标保证金：本项目无需缴纳投标保证金。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5.针对中小企业需要落实的政府采购政策：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采购人信息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名称：苏州市吴中区尹山湖医院</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地址：苏州市吴中区郭巷街道郭新东路75号</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联系人：戴子頔</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联系电话：0512-65979208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2.采购代理机构信息</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名</w:t>
      </w:r>
      <w:r>
        <w:rPr>
          <w:rFonts w:ascii="宋体" w:hAnsi="宋体" w:cs="宋体"/>
          <w:color w:val="auto"/>
          <w:szCs w:val="21"/>
          <w:highlight w:val="none"/>
        </w:rPr>
        <w:t xml:space="preserve">称：苏州市卫康招投标咨询服务有限公司</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前台联系方式：</w:t>
      </w:r>
      <w:r>
        <w:rPr>
          <w:rFonts w:ascii="宋体" w:hAnsi="宋体" w:cs="宋体"/>
          <w:color w:val="auto"/>
          <w:szCs w:val="21"/>
          <w:highlight w:val="none"/>
        </w:rPr>
        <w:t xml:space="preserve">0512-65158848</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3.项目联系方式</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项目联系人：王仕倩、吴帆</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ascii="宋体" w:hAnsi="宋体" w:cs="宋体"/>
          <w:color w:val="auto"/>
          <w:szCs w:val="21"/>
          <w:highlight w:val="none"/>
        </w:rPr>
        <w:t xml:space="preserve">0512-65237216</w:t>
      </w:r>
      <w:r/>
    </w:p>
    <w:p>
      <w:pPr>
        <w:jc w:val="center"/>
        <w:rPr>
          <w:b/>
          <w:bCs/>
          <w:color w:val="auto"/>
          <w:spacing w:val="60"/>
          <w:sz w:val="100"/>
          <w:szCs w:val="100"/>
          <w:highlight w:val="none"/>
        </w:rPr>
      </w:pPr>
      <w:r>
        <w:rPr>
          <w:b/>
          <w:bCs/>
          <w:color w:val="auto"/>
          <w:spacing w:val="60"/>
          <w:sz w:val="100"/>
          <w:szCs w:val="100"/>
          <w:highlight w:val="none"/>
        </w:rPr>
        <w:br w:type="page" w:clear="all"/>
      </w:r>
      <w:r/>
    </w:p>
    <w:p>
      <w:pPr>
        <w:jc w:val="center"/>
        <w:spacing w:before="624"/>
        <w:rPr>
          <w:b/>
          <w:bCs/>
          <w:color w:val="auto"/>
          <w:spacing w:val="60"/>
          <w:sz w:val="100"/>
          <w:szCs w:val="100"/>
          <w:highlight w:val="none"/>
        </w:rPr>
      </w:pPr>
      <w:r>
        <w:rPr>
          <w:b/>
          <w:bCs/>
          <w:color w:val="auto"/>
          <w:spacing w:val="60"/>
          <w:sz w:val="100"/>
          <w:szCs w:val="100"/>
          <w:highlight w:val="none"/>
        </w:rPr>
      </w:r>
      <w:r/>
    </w:p>
    <w:p>
      <w:pPr>
        <w:jc w:val="center"/>
        <w:spacing w:before="624"/>
        <w:rPr>
          <w:b/>
          <w:bCs/>
          <w:color w:val="auto"/>
          <w:spacing w:val="60"/>
          <w:sz w:val="100"/>
          <w:szCs w:val="100"/>
          <w:highlight w:val="none"/>
        </w:rPr>
      </w:pPr>
      <w:r>
        <w:rPr>
          <w:rFonts w:hint="eastAsia"/>
          <w:b/>
          <w:bCs/>
          <w:color w:val="auto"/>
          <w:spacing w:val="60"/>
          <w:sz w:val="100"/>
          <w:szCs w:val="100"/>
          <w:highlight w:val="none"/>
        </w:rPr>
        <w:t xml:space="preserve">政府采购招标</w:t>
      </w:r>
      <w:r/>
    </w:p>
    <w:p>
      <w:pPr>
        <w:jc w:val="center"/>
        <w:spacing w:line="360" w:lineRule="auto"/>
        <w:rPr>
          <w:b/>
          <w:bCs/>
          <w:color w:val="auto"/>
          <w:sz w:val="116"/>
          <w:highlight w:val="none"/>
        </w:rPr>
      </w:pPr>
      <w:r>
        <w:rPr>
          <w:rFonts w:hint="eastAsia"/>
          <w:b/>
          <w:bCs/>
          <w:color w:val="auto"/>
          <w:sz w:val="100"/>
          <w:szCs w:val="100"/>
          <w:highlight w:val="none"/>
        </w:rPr>
        <w:t xml:space="preserve">文 </w:t>
      </w:r>
      <w:r>
        <w:rPr>
          <w:b/>
          <w:bCs/>
          <w:color w:val="auto"/>
          <w:sz w:val="100"/>
          <w:szCs w:val="100"/>
          <w:highlight w:val="none"/>
        </w:rPr>
        <w:t xml:space="preserve"> </w:t>
      </w:r>
      <w:r>
        <w:rPr>
          <w:rFonts w:hint="eastAsia"/>
          <w:b/>
          <w:bCs/>
          <w:color w:val="auto"/>
          <w:sz w:val="100"/>
          <w:szCs w:val="100"/>
          <w:highlight w:val="none"/>
        </w:rPr>
        <w:t xml:space="preserve">件</w:t>
      </w:r>
      <w:r/>
    </w:p>
    <w:p>
      <w:pPr>
        <w:rPr>
          <w:color w:val="auto"/>
          <w:highlight w:val="none"/>
        </w:rPr>
      </w:pPr>
      <w:r>
        <w:rPr>
          <w:color w:val="auto"/>
          <w:highlight w:val="none"/>
        </w:rPr>
      </w:r>
      <w:r/>
    </w:p>
    <w:p>
      <w:pPr>
        <w:pStyle w:val="74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420" w:firstLine="1280"/>
        <w:spacing w:line="360" w:lineRule="auto"/>
        <w:rPr>
          <w:color w:val="auto"/>
          <w:sz w:val="30"/>
          <w:highlight w:val="none"/>
        </w:rPr>
      </w:pPr>
      <w:r>
        <w:rPr>
          <w:rFonts w:hint="eastAsia"/>
          <w:color w:val="auto"/>
          <w:sz w:val="30"/>
          <w:highlight w:val="none"/>
        </w:rPr>
        <w:t xml:space="preserve">采购编号：</w:t>
      </w:r>
      <w:r>
        <w:rPr>
          <w:rFonts w:hint="eastAsia"/>
          <w:color w:val="auto"/>
          <w:sz w:val="30"/>
          <w:highlight w:val="none"/>
          <w:lang w:eastAsia="zh-CN"/>
        </w:rPr>
        <w:t xml:space="preserve">JSZC-320506-SZWK-G2026-0087</w:t>
      </w:r>
      <w:r>
        <w:rPr>
          <w:rFonts w:hint="eastAsia"/>
          <w:color w:val="auto"/>
          <w:sz w:val="30"/>
          <w:highlight w:val="none"/>
        </w:rPr>
        <w:t xml:space="preserve">号</w:t>
      </w:r>
      <w:r/>
    </w:p>
    <w:p>
      <w:pPr>
        <w:ind w:left="3201" w:hanging="1500"/>
        <w:spacing w:line="360" w:lineRule="auto"/>
        <w:rPr>
          <w:color w:val="auto"/>
          <w:sz w:val="30"/>
          <w:highlight w:val="none"/>
        </w:rPr>
      </w:pPr>
      <w:r>
        <w:rPr>
          <w:rFonts w:hint="eastAsia"/>
          <w:color w:val="auto"/>
          <w:sz w:val="30"/>
          <w:highlight w:val="none"/>
        </w:rPr>
        <w:t xml:space="preserve">采购项目：苏州市吴中区尹山湖医院信息网络安全建设</w:t>
      </w:r>
      <w:r/>
    </w:p>
    <w:p>
      <w:pPr>
        <w:ind w:left="420" w:firstLine="1280"/>
        <w:spacing w:line="360" w:lineRule="auto"/>
        <w:rPr>
          <w:color w:val="auto"/>
          <w:sz w:val="30"/>
          <w:highlight w:val="none"/>
        </w:rPr>
      </w:pPr>
      <w:r>
        <w:rPr>
          <w:rFonts w:hint="eastAsia"/>
          <w:color w:val="auto"/>
          <w:sz w:val="30"/>
          <w:highlight w:val="none"/>
        </w:rPr>
        <w:t xml:space="preserve">采购单位：苏州市吴中区尹山湖医院</w:t>
      </w:r>
      <w:r/>
    </w:p>
    <w:p>
      <w:pPr>
        <w:ind w:right="-159" w:firstLine="2424"/>
        <w:spacing w:line="480" w:lineRule="auto"/>
        <w:tabs>
          <w:tab w:val="left" w:pos="6585" w:leader="none"/>
        </w:tabs>
        <w:rPr>
          <w:b/>
          <w:color w:val="auto"/>
          <w:highlight w:val="none"/>
        </w:rPr>
      </w:pPr>
      <w:r>
        <w:rPr>
          <w:b/>
          <w:color w:val="auto"/>
          <w:highlight w:val="none"/>
        </w:rPr>
        <w:tab/>
      </w:r>
      <w:r/>
    </w:p>
    <w:p>
      <w:pPr>
        <w:ind w:right="-159"/>
        <w:spacing w:line="480" w:lineRule="auto"/>
        <w:rPr>
          <w:b/>
          <w:color w:val="auto"/>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360170"/>
                <wp:effectExtent l="0" t="0" r="15240" b="1143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44221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107.1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rFonts w:hint="eastAsia"/>
          <w:color w:val="auto"/>
          <w:sz w:val="30"/>
          <w:highlight w:val="none"/>
        </w:rPr>
        <w:t xml:space="preserve">苏州市卫康招投标咨询服务有限公司</w:t>
      </w:r>
      <w:r/>
    </w:p>
    <w:p>
      <w:pPr>
        <w:ind w:firstLine="3150"/>
        <w:spacing w:line="360" w:lineRule="auto"/>
        <w:rPr>
          <w:color w:val="auto"/>
          <w:sz w:val="30"/>
          <w:highlight w:val="none"/>
        </w:rPr>
      </w:pPr>
      <w:r>
        <w:rPr>
          <w:rFonts w:hint="eastAsia"/>
          <w:color w:val="auto"/>
          <w:sz w:val="30"/>
          <w:highlight w:val="none"/>
        </w:rPr>
        <w:t xml:space="preserve">二〇二六年</w:t>
      </w:r>
      <w:r>
        <w:rPr>
          <w:rFonts w:hint="eastAsia"/>
          <w:color w:val="auto"/>
          <w:sz w:val="30"/>
          <w:highlight w:val="none"/>
          <w:lang w:val="en-US" w:eastAsia="zh-CN"/>
        </w:rPr>
        <w:t xml:space="preserve">五</w:t>
      </w:r>
      <w:r>
        <w:rPr>
          <w:rFonts w:hint="eastAsia"/>
          <w:color w:val="auto"/>
          <w:sz w:val="30"/>
          <w:highlight w:val="none"/>
        </w:rPr>
        <w:t xml:space="preserve">月</w:t>
      </w:r>
      <w:r/>
    </w:p>
    <w:p>
      <w:pPr>
        <w:rPr>
          <w:color w:val="auto"/>
          <w:highlight w:val="none"/>
        </w:rPr>
      </w:pPr>
      <w:r>
        <w:rPr>
          <w:color w:val="auto"/>
          <w:highlight w:val="none"/>
        </w:rPr>
      </w:r>
      <w:r/>
    </w:p>
    <w:p>
      <w:pPr>
        <w:jc w:val="center"/>
        <w:rPr>
          <w:rFonts w:hint="eastAsia" w:ascii="黑体" w:hAnsi="宋体" w:eastAsia="黑体"/>
          <w:b/>
          <w:bCs/>
          <w:color w:val="auto"/>
          <w:sz w:val="32"/>
          <w:szCs w:val="32"/>
          <w:highlight w:val="none"/>
        </w:rPr>
      </w:pPr>
      <w:r>
        <w:rPr>
          <w:rFonts w:hint="eastAsia" w:ascii="黑体" w:hAnsi="宋体" w:eastAsia="黑体"/>
          <w:b/>
          <w:bCs/>
          <w:color w:val="auto"/>
          <w:sz w:val="32"/>
          <w:szCs w:val="32"/>
          <w:highlight w:val="none"/>
        </w:rPr>
        <w:t xml:space="preserve">前 附 表</w:t>
      </w:r>
      <w:r/>
    </w:p>
    <w:p>
      <w:pPr>
        <w:pStyle w:val="940"/>
        <w:ind w:right="420" w:firstLine="420"/>
        <w:spacing w:line="360" w:lineRule="auto"/>
        <w:rPr>
          <w:color w:val="auto"/>
          <w:spacing w:val="20"/>
          <w:sz w:val="21"/>
          <w:szCs w:val="21"/>
          <w:highlight w:val="none"/>
        </w:rPr>
      </w:pPr>
      <w:r>
        <w:rPr>
          <w:rFonts w:hint="eastAsia" w:hAnsi="宋体"/>
          <w:color w:val="auto"/>
          <w:sz w:val="21"/>
          <w:szCs w:val="21"/>
          <w:highlight w:val="none"/>
        </w:rPr>
        <w:t xml:space="preserve">（下列附表说明是对招标文件的具体补充和修正，如有矛盾之处以本附表为准）</w:t>
      </w:r>
      <w:r/>
    </w:p>
    <w:tbl>
      <w:tblPr>
        <w:tblStyle w:val="744"/>
        <w:tblW w:w="85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1"/>
        <w:gridCol w:w="6242"/>
      </w:tblGrid>
      <w:tr>
        <w:trPr>
          <w:jc w:val="center"/>
          <w:trHeight w:val="529"/>
        </w:trPr>
        <w:tc>
          <w:tcPr>
            <w:tcW w:w="655" w:type="dxa"/>
            <w:vAlign w:val="center"/>
            <w:textDirection w:val="lrTb"/>
            <w:noWrap w:val="false"/>
          </w:tcPr>
          <w:p>
            <w:pPr>
              <w:jc w:val="center"/>
              <w:spacing w:line="36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1" w:type="dxa"/>
            <w:vAlign w:val="center"/>
            <w:textDirection w:val="lrTb"/>
            <w:noWrap w:val="false"/>
          </w:tcPr>
          <w:p>
            <w:pPr>
              <w:jc w:val="center"/>
              <w:spacing w:line="36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名称</w:t>
            </w:r>
            <w:r/>
          </w:p>
        </w:tc>
        <w:tc>
          <w:tcPr>
            <w:tcW w:w="6242" w:type="dxa"/>
            <w:vAlign w:val="center"/>
            <w:textDirection w:val="lrTb"/>
            <w:noWrap w:val="false"/>
          </w:tcPr>
          <w:p>
            <w:pPr>
              <w:jc w:val="center"/>
              <w:spacing w:line="36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 xml:space="preserve">容</w:t>
            </w:r>
            <w:r/>
          </w:p>
        </w:tc>
      </w:tr>
      <w:tr>
        <w:trPr>
          <w:jc w:val="center"/>
          <w:trHeight w:val="529"/>
        </w:trPr>
        <w:tc>
          <w:tcPr>
            <w:tcW w:w="655" w:type="dxa"/>
            <w:vAlign w:val="center"/>
            <w:textDirection w:val="lrTb"/>
            <w:noWrap w:val="false"/>
          </w:tcPr>
          <w:p>
            <w:pPr>
              <w:jc w:val="center"/>
              <w:spacing w:line="360" w:lineRule="exact"/>
              <w:rPr>
                <w:rFonts w:hint="eastAsia" w:ascii="宋体" w:hAnsi="宋体"/>
                <w:color w:val="auto"/>
                <w:szCs w:val="21"/>
                <w:highlight w:val="none"/>
                <w:lang w:val="zh-CN"/>
              </w:rPr>
            </w:pPr>
            <w:r>
              <w:rPr>
                <w:rFonts w:ascii="宋体" w:hAnsi="宋体"/>
                <w:color w:val="auto"/>
                <w:szCs w:val="21"/>
                <w:highlight w:val="none"/>
                <w:lang w:val="zh-CN"/>
              </w:rPr>
              <w:t xml:space="preserve">1</w:t>
            </w:r>
            <w:r/>
          </w:p>
        </w:tc>
        <w:tc>
          <w:tcPr>
            <w:tcW w:w="162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242"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JSZC-320506-SZWK-G2026-0087</w:t>
            </w:r>
            <w:r>
              <w:rPr>
                <w:rFonts w:hint="eastAsia" w:ascii="宋体" w:hAnsi="宋体"/>
                <w:color w:val="auto"/>
                <w:szCs w:val="21"/>
                <w:highlight w:val="none"/>
              </w:rPr>
              <w:t xml:space="preserve">号</w:t>
            </w:r>
            <w:r/>
          </w:p>
        </w:tc>
      </w:tr>
      <w:tr>
        <w:trPr>
          <w:jc w:val="center"/>
          <w:trHeight w:val="529"/>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w:t>
            </w:r>
            <w:r/>
          </w:p>
        </w:tc>
        <w:tc>
          <w:tcPr>
            <w:tcW w:w="162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采购项目名称</w:t>
            </w:r>
            <w:r/>
          </w:p>
        </w:tc>
        <w:tc>
          <w:tcPr>
            <w:tcW w:w="6242"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苏州市吴中区尹山湖医院信息网络安全建设</w:t>
            </w:r>
            <w:r/>
          </w:p>
        </w:tc>
      </w:tr>
      <w:tr>
        <w:trPr>
          <w:jc w:val="center"/>
          <w:trHeight w:val="480"/>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w:t>
            </w:r>
            <w:r/>
          </w:p>
        </w:tc>
        <w:tc>
          <w:tcPr>
            <w:tcW w:w="1621"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采购人</w:t>
            </w:r>
            <w:r/>
          </w:p>
        </w:tc>
        <w:tc>
          <w:tcPr>
            <w:tcW w:w="6242" w:type="dxa"/>
            <w:vAlign w:val="center"/>
            <w:textDirection w:val="lrTb"/>
            <w:noWrap w:val="false"/>
          </w:tcPr>
          <w:p>
            <w:pP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名称：苏州市吴中区尹山湖医院</w:t>
            </w:r>
            <w:r/>
          </w:p>
          <w:p>
            <w:pP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地址：苏州市吴中区郭巷街道郭新东路75号</w:t>
            </w:r>
            <w:r/>
          </w:p>
          <w:p>
            <w:pP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联系人：戴子頔</w:t>
            </w:r>
            <w:r/>
          </w:p>
          <w:p>
            <w:pP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联系电话：0512-65979208 </w:t>
            </w:r>
            <w:r/>
          </w:p>
        </w:tc>
      </w:tr>
      <w:tr>
        <w:trPr>
          <w:jc w:val="center"/>
          <w:trHeight w:val="480"/>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4</w:t>
            </w:r>
            <w:r/>
          </w:p>
        </w:tc>
        <w:tc>
          <w:tcPr>
            <w:tcW w:w="1621" w:type="dxa"/>
            <w:vAlign w:val="center"/>
            <w:textDirection w:val="lrTb"/>
            <w:noWrap w:val="false"/>
          </w:tcPr>
          <w:p>
            <w:pPr>
              <w:jc w:val="cente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W w:w="6242"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w:t>
            </w:r>
            <w:r>
              <w:rPr>
                <w:rFonts w:ascii="宋体" w:hAnsi="宋体"/>
                <w:color w:val="auto"/>
                <w:szCs w:val="21"/>
                <w:highlight w:val="none"/>
              </w:rPr>
              <w:t xml:space="preserve">  </w:t>
            </w:r>
            <w:r>
              <w:rPr>
                <w:rFonts w:hint="eastAsia" w:ascii="宋体" w:hAnsi="宋体"/>
                <w:color w:val="auto"/>
                <w:szCs w:val="21"/>
                <w:highlight w:val="none"/>
                <w:lang w:val="zh-CN"/>
              </w:rPr>
              <w:t xml:space="preserve">址：苏州市干将西路1296号1幢17楼</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电话：</w:t>
            </w:r>
            <w:r>
              <w:rPr>
                <w:rFonts w:ascii="宋体" w:hAnsi="宋体"/>
                <w:color w:val="auto"/>
                <w:szCs w:val="21"/>
                <w:highlight w:val="none"/>
              </w:rPr>
              <w:t xml:space="preserve">0512-65237216      </w:t>
            </w:r>
            <w:r>
              <w:rPr>
                <w:rFonts w:hint="eastAsia" w:ascii="宋体" w:hAnsi="宋体"/>
                <w:color w:val="auto"/>
                <w:szCs w:val="21"/>
                <w:highlight w:val="none"/>
              </w:rPr>
              <w:t xml:space="preserve">联系</w:t>
            </w:r>
            <w:r>
              <w:rPr>
                <w:rFonts w:hint="eastAsia" w:ascii="宋体" w:hAnsi="宋体"/>
                <w:color w:val="auto"/>
                <w:szCs w:val="21"/>
                <w:highlight w:val="none"/>
                <w:lang w:val="zh-CN"/>
              </w:rPr>
              <w:t xml:space="preserve">人：王仕倩、吴帆</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传真</w:t>
            </w:r>
            <w:r>
              <w:rPr>
                <w:rFonts w:hint="eastAsia" w:ascii="宋体" w:hAnsi="宋体"/>
                <w:color w:val="auto"/>
                <w:szCs w:val="21"/>
                <w:highlight w:val="none"/>
              </w:rPr>
              <w:t xml:space="preserve">：</w:t>
            </w:r>
            <w:r>
              <w:rPr>
                <w:rFonts w:ascii="宋体" w:hAnsi="宋体"/>
                <w:color w:val="auto"/>
                <w:szCs w:val="21"/>
                <w:highlight w:val="none"/>
              </w:rPr>
              <w:t xml:space="preserve">0512- 65153553</w:t>
            </w:r>
            <w:r/>
          </w:p>
        </w:tc>
      </w:tr>
      <w:tr>
        <w:trPr>
          <w:jc w:val="center"/>
          <w:trHeight w:val="532"/>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5</w:t>
            </w:r>
            <w:r/>
          </w:p>
        </w:tc>
        <w:tc>
          <w:tcPr>
            <w:tcW w:w="162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242"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w:t>
            </w:r>
            <w:r/>
          </w:p>
        </w:tc>
      </w:tr>
      <w:tr>
        <w:trPr>
          <w:jc w:val="center"/>
          <w:trHeight w:val="572"/>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6</w:t>
            </w:r>
            <w:r/>
          </w:p>
        </w:tc>
        <w:tc>
          <w:tcPr>
            <w:tcW w:w="162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W w:w="6242"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7</w:t>
            </w:r>
            <w:r/>
          </w:p>
        </w:tc>
        <w:tc>
          <w:tcPr>
            <w:tcW w:w="1621" w:type="dxa"/>
            <w:vAlign w:val="center"/>
            <w:textDirection w:val="lrTb"/>
            <w:noWrap w:val="false"/>
          </w:tcPr>
          <w:p>
            <w:pPr>
              <w:pStyle w:val="940"/>
              <w:ind w:firstLine="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网上报名截止时间</w:t>
            </w:r>
            <w:r/>
          </w:p>
        </w:tc>
        <w:tc>
          <w:tcPr>
            <w:tcW w:w="6242" w:type="dxa"/>
            <w:vAlign w:val="center"/>
            <w:textDirection w:val="lrTb"/>
            <w:noWrap w:val="false"/>
          </w:tcPr>
          <w:p>
            <w:pPr>
              <w:pStyle w:val="940"/>
              <w:ind w:firstLine="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采购公告发布之日起5个工作日</w:t>
            </w:r>
            <w:r/>
          </w:p>
        </w:tc>
      </w:tr>
      <w:tr>
        <w:trPr>
          <w:jc w:val="center"/>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8</w:t>
            </w:r>
            <w:r/>
          </w:p>
        </w:tc>
        <w:tc>
          <w:tcPr>
            <w:tcW w:w="1621" w:type="dxa"/>
            <w:vAlign w:val="center"/>
            <w:textDirection w:val="lrTb"/>
            <w:noWrap w:val="false"/>
          </w:tcPr>
          <w:p>
            <w:pPr>
              <w:jc w:val="center"/>
              <w:spacing w:line="400" w:lineRule="exact"/>
              <w:rPr>
                <w:rFonts w:hint="eastAsia" w:ascii="宋体" w:hAnsi="宋体" w:cs="宋体"/>
                <w:b/>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W w:w="6242" w:type="dxa"/>
            <w:vAlign w:val="center"/>
            <w:textDirection w:val="lrTb"/>
            <w:noWrap w:val="false"/>
          </w:tcPr>
          <w:p>
            <w:pPr>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s="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9</w:t>
            </w:r>
            <w:r/>
          </w:p>
        </w:tc>
        <w:tc>
          <w:tcPr>
            <w:tcW w:w="1621" w:type="dxa"/>
            <w:vAlign w:val="center"/>
            <w:textDirection w:val="lrTb"/>
            <w:noWrap w:val="false"/>
          </w:tcPr>
          <w:p>
            <w:pPr>
              <w:jc w:val="center"/>
              <w:spacing w:line="400" w:lineRule="exact"/>
              <w:rPr>
                <w:rFonts w:hint="eastAsia" w:ascii="宋体" w:hAnsi="宋体"/>
                <w:color w:val="auto"/>
                <w:szCs w:val="21"/>
                <w:highlight w:val="none"/>
                <w:lang w:val="zh-CN"/>
              </w:rPr>
            </w:pPr>
            <w:r>
              <w:rPr>
                <w:rFonts w:hint="eastAsia" w:ascii="宋体" w:hAnsi="宋体" w:cs="宋体"/>
                <w:color w:val="auto"/>
                <w:szCs w:val="21"/>
                <w:highlight w:val="none"/>
                <w:lang w:val="zh-CN"/>
              </w:rPr>
              <w:t xml:space="preserve">电子投标文件解密开始时间</w:t>
            </w:r>
            <w:r/>
          </w:p>
        </w:tc>
        <w:tc>
          <w:tcPr>
            <w:tcW w:w="6242"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2026年5月28日</w:t>
            </w:r>
            <w:r>
              <w:rPr>
                <w:rFonts w:hint="eastAsia" w:ascii="宋体" w:hAnsi="宋体"/>
                <w:color w:val="auto"/>
                <w:szCs w:val="21"/>
                <w:highlight w:val="none"/>
              </w:rPr>
              <w:t xml:space="preserve">09:30（北京时间）</w:t>
            </w:r>
            <w:r/>
          </w:p>
        </w:tc>
      </w:tr>
      <w:tr>
        <w:trPr>
          <w:jc w:val="center"/>
          <w:trHeight w:val="480"/>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10</w:t>
            </w:r>
            <w:r/>
          </w:p>
        </w:tc>
        <w:tc>
          <w:tcPr>
            <w:tcW w:w="1621" w:type="dxa"/>
            <w:vAlign w:val="center"/>
            <w:textDirection w:val="lrTb"/>
            <w:noWrap w:val="false"/>
          </w:tcPr>
          <w:p>
            <w:pPr>
              <w:jc w:val="cente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开标时间</w:t>
            </w:r>
            <w:r/>
          </w:p>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地点</w:t>
            </w:r>
            <w:r/>
          </w:p>
        </w:tc>
        <w:tc>
          <w:tcPr>
            <w:tcW w:w="6242"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时间</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2026年5月28日</w:t>
            </w:r>
            <w:r>
              <w:rPr>
                <w:rFonts w:hint="eastAsia" w:ascii="宋体" w:hAnsi="宋体"/>
                <w:color w:val="auto"/>
                <w:szCs w:val="21"/>
                <w:highlight w:val="none"/>
              </w:rPr>
              <w:t xml:space="preserve">09:30（</w:t>
            </w:r>
            <w:r>
              <w:rPr>
                <w:rFonts w:hint="eastAsia" w:ascii="宋体" w:hAnsi="宋体"/>
                <w:color w:val="auto"/>
                <w:szCs w:val="21"/>
                <w:highlight w:val="none"/>
                <w:lang w:val="zh-CN"/>
              </w:rPr>
              <w:t xml:space="preserve">北京时间</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开标地点：苏采云政府采购一体化平台开标大厅（网上不见面开标）</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评标地点：苏州市高新区邓尉路105号狮山科技馆8楼（投标人无需到场）（投标人无需到场）</w:t>
            </w:r>
            <w:r/>
          </w:p>
        </w:tc>
      </w:tr>
      <w:tr>
        <w:trPr>
          <w:jc w:val="center"/>
          <w:trHeight w:val="440"/>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11</w:t>
            </w:r>
            <w:r/>
          </w:p>
        </w:tc>
        <w:tc>
          <w:tcPr>
            <w:tcW w:w="1621" w:type="dxa"/>
            <w:vAlign w:val="center"/>
            <w:textDirection w:val="lrTb"/>
            <w:noWrap w:val="false"/>
          </w:tcPr>
          <w:p>
            <w:pPr>
              <w:jc w:val="cente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中标服务费</w:t>
            </w:r>
            <w:r/>
          </w:p>
        </w:tc>
        <w:tc>
          <w:tcPr>
            <w:tcW w:w="6242"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预算金额的100万（含）以下部分费率为1.5%； </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预算金额的100万以上~500万元（含）以下部分费率为1.1%；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00万以上~</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00万元（含）以下部分费率为</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开户银行：苏州工行道前支行</w:t>
            </w:r>
            <w:r/>
          </w:p>
        </w:tc>
      </w:tr>
      <w:tr>
        <w:trPr>
          <w:jc w:val="center"/>
          <w:trHeight w:val="939"/>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12</w:t>
            </w:r>
            <w:r/>
          </w:p>
        </w:tc>
        <w:tc>
          <w:tcPr>
            <w:tcW w:w="1621" w:type="dxa"/>
            <w:vAlign w:val="center"/>
            <w:textDirection w:val="lrTb"/>
            <w:noWrap w:val="false"/>
          </w:tcPr>
          <w:p>
            <w:pPr>
              <w:jc w:val="center"/>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导致废标因素</w:t>
            </w:r>
            <w:r/>
          </w:p>
        </w:tc>
        <w:tc>
          <w:tcPr>
            <w:tcW w:w="6242" w:type="dxa"/>
            <w:vAlign w:val="center"/>
            <w:textDirection w:val="lrTb"/>
            <w:noWrap w:val="false"/>
          </w:tcPr>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出现下列情形之一的，为废标：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（一）符合专业条件的供应商或者对采购文件作实质响应的供应商不足三家的；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（二）出现影响采购公正的违法、违规行为的；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（三）投标人的报价均超过了采购预算或者最高限价，采购人不能支付的； </w:t>
            </w:r>
            <w:r/>
          </w:p>
          <w:p>
            <w:pPr>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（四）因重大变故，采购任务取消的。</w:t>
            </w:r>
            <w:r/>
          </w:p>
        </w:tc>
      </w:tr>
      <w:tr>
        <w:trPr>
          <w:jc w:val="center"/>
          <w:trHeight w:val="349"/>
        </w:trPr>
        <w:tc>
          <w:tcPr>
            <w:tcW w:w="655" w:type="dxa"/>
            <w:vAlign w:val="center"/>
            <w:textDirection w:val="lrTb"/>
            <w:noWrap w:val="false"/>
          </w:tcPr>
          <w:p>
            <w:pPr>
              <w:jc w:val="center"/>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p>
        </w:tc>
        <w:tc>
          <w:tcPr>
            <w:tcW w:w="1621" w:type="dxa"/>
            <w:vAlign w:val="center"/>
            <w:textDirection w:val="lrTb"/>
            <w:noWrap w:val="false"/>
          </w:tcPr>
          <w:p>
            <w:pPr>
              <w:jc w:val="center"/>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导致无效标因素</w:t>
            </w:r>
            <w:r/>
          </w:p>
        </w:tc>
        <w:tc>
          <w:tcPr>
            <w:tcW w:w="6242" w:type="dxa"/>
            <w:vAlign w:val="center"/>
            <w:textDirection w:val="lrTb"/>
            <w:noWrap w:val="false"/>
          </w:tcPr>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电子投标文件属下列情况之一的，在资格性、符合性检查时按照无效投标处理：</w:t>
            </w:r>
            <w:r/>
          </w:p>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（一）电子投标文件未按采购文件要求签署、盖章的；</w:t>
            </w:r>
            <w:r/>
          </w:p>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（二）不具备采购文件中规定的资格要求的；</w:t>
            </w:r>
            <w:r/>
          </w:p>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（三）报价超过采购文件中规定的预算金额或者最高限价的；</w:t>
            </w:r>
            <w:r/>
          </w:p>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（四）</w:t>
            </w:r>
            <w:r>
              <w:rPr>
                <w:rFonts w:hint="eastAsia" w:ascii="宋体" w:hAnsi="宋体"/>
                <w:b/>
                <w:i/>
                <w:color w:val="auto"/>
                <w:sz w:val="24"/>
                <w:szCs w:val="24"/>
                <w:highlight w:val="none"/>
                <w:lang w:val="zh-CN"/>
              </w:rPr>
              <w:t xml:space="preserve">不同投标人的投标文件使用同一台电脑编制的；</w:t>
            </w:r>
            <w:r/>
          </w:p>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（五）电子投标文件含有采购人不能接受的附加条件的；</w:t>
            </w:r>
            <w:r/>
          </w:p>
          <w:p>
            <w:pPr>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（六）法律、法规和采购文件规定的其他无效情形。</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br w:type="page" w:clear="all"/>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pStyle w:val="939"/>
        <w:spacing w:after="312" w:line="480" w:lineRule="auto"/>
        <w:tabs>
          <w:tab w:val="right" w:pos="8302" w:leader="dot"/>
        </w:tabs>
        <w:rPr>
          <w:rFonts w:hint="eastAsia" w:hAnsi="宋体" w:eastAsia="黑体"/>
          <w:color w:val="auto"/>
          <w:sz w:val="36"/>
          <w:szCs w:val="24"/>
          <w:highlight w:val="none"/>
        </w:rPr>
      </w:pPr>
      <w:r>
        <w:rPr>
          <w:rFonts w:hint="eastAsia" w:hAnsi="宋体" w:eastAsia="黑体"/>
          <w:color w:val="auto"/>
          <w:sz w:val="36"/>
          <w:szCs w:val="24"/>
          <w:highlight w:val="none"/>
        </w:rPr>
        <w:t xml:space="preserve">第一章  投标邀请函</w:t>
      </w:r>
      <w:r/>
    </w:p>
    <w:p>
      <w:pPr>
        <w:pStyle w:val="939"/>
        <w:spacing w:after="312" w:line="480" w:lineRule="auto"/>
        <w:tabs>
          <w:tab w:val="right" w:pos="8302" w:leader="dot"/>
        </w:tabs>
        <w:rPr>
          <w:rFonts w:hint="eastAsia" w:hAnsi="宋体" w:eastAsia="黑体"/>
          <w:color w:val="auto"/>
          <w:sz w:val="36"/>
          <w:szCs w:val="24"/>
          <w:highlight w:val="none"/>
        </w:rPr>
      </w:pPr>
      <w:r>
        <w:rPr>
          <w:rFonts w:hint="eastAsia" w:hAnsi="宋体" w:eastAsia="黑体"/>
          <w:color w:val="auto"/>
          <w:sz w:val="36"/>
          <w:szCs w:val="24"/>
          <w:highlight w:val="none"/>
        </w:rPr>
        <w:t xml:space="preserve">第二章  投标人须知</w:t>
      </w:r>
      <w:r/>
    </w:p>
    <w:p>
      <w:pPr>
        <w:pStyle w:val="939"/>
        <w:spacing w:after="312" w:line="480" w:lineRule="auto"/>
        <w:tabs>
          <w:tab w:val="right" w:pos="8302" w:leader="dot"/>
        </w:tabs>
        <w:rPr>
          <w:rFonts w:hint="eastAsia" w:hAnsi="宋体" w:eastAsia="黑体"/>
          <w:color w:val="auto"/>
          <w:sz w:val="36"/>
          <w:szCs w:val="24"/>
          <w:highlight w:val="none"/>
        </w:rPr>
      </w:pPr>
      <w:r>
        <w:rPr>
          <w:rFonts w:hint="eastAsia" w:hAnsi="宋体" w:eastAsia="黑体"/>
          <w:color w:val="auto"/>
          <w:sz w:val="36"/>
          <w:szCs w:val="24"/>
          <w:highlight w:val="none"/>
        </w:rPr>
        <w:t xml:space="preserve">第三章  投标文件格式</w:t>
      </w:r>
      <w:r/>
    </w:p>
    <w:p>
      <w:pPr>
        <w:pStyle w:val="939"/>
        <w:spacing w:after="312" w:line="480" w:lineRule="auto"/>
        <w:tabs>
          <w:tab w:val="right" w:pos="8302" w:leader="dot"/>
        </w:tabs>
        <w:rPr>
          <w:rFonts w:hint="eastAsia" w:hAnsi="宋体" w:eastAsia="黑体"/>
          <w:color w:val="auto"/>
          <w:sz w:val="36"/>
          <w:szCs w:val="24"/>
          <w:highlight w:val="none"/>
        </w:rPr>
      </w:pPr>
      <w:r>
        <w:rPr>
          <w:rFonts w:hint="eastAsia" w:hAnsi="宋体" w:eastAsia="黑体"/>
          <w:color w:val="auto"/>
          <w:sz w:val="36"/>
          <w:szCs w:val="24"/>
          <w:highlight w:val="none"/>
        </w:rPr>
        <w:t xml:space="preserve">第四章  招标书</w:t>
      </w:r>
      <w:r/>
    </w:p>
    <w:p>
      <w:pPr>
        <w:pStyle w:val="939"/>
        <w:spacing w:after="312" w:line="480" w:lineRule="auto"/>
        <w:tabs>
          <w:tab w:val="right" w:pos="8302" w:leader="dot"/>
        </w:tabs>
        <w:rPr>
          <w:rFonts w:hint="eastAsia" w:hAnsi="宋体" w:eastAsia="黑体"/>
          <w:color w:val="auto"/>
          <w:sz w:val="36"/>
          <w:szCs w:val="24"/>
          <w:highlight w:val="none"/>
        </w:rPr>
      </w:pPr>
      <w:r>
        <w:rPr>
          <w:rFonts w:hint="eastAsia" w:hAnsi="宋体" w:eastAsia="黑体"/>
          <w:color w:val="auto"/>
          <w:sz w:val="36"/>
          <w:szCs w:val="24"/>
          <w:highlight w:val="none"/>
        </w:rPr>
        <w:t xml:space="preserve">第五章  合同文本</w:t>
      </w:r>
      <w:r/>
    </w:p>
    <w:p>
      <w:pPr>
        <w:pStyle w:val="939"/>
        <w:spacing w:after="312" w:line="480" w:lineRule="auto"/>
        <w:tabs>
          <w:tab w:val="right" w:pos="8302" w:leader="dot"/>
        </w:tabs>
        <w:rPr>
          <w:rFonts w:hint="eastAsia" w:hAnsi="宋体" w:eastAsia="黑体"/>
          <w:color w:val="auto"/>
          <w:sz w:val="36"/>
          <w:szCs w:val="24"/>
          <w:highlight w:val="none"/>
        </w:rPr>
      </w:pPr>
      <w:r>
        <w:rPr>
          <w:rFonts w:hint="eastAsia" w:hAnsi="宋体" w:eastAsia="黑体"/>
          <w:color w:val="auto"/>
          <w:sz w:val="36"/>
          <w:szCs w:val="24"/>
          <w:highlight w:val="none"/>
        </w:rPr>
        <w:t xml:space="preserve">第六章  评标办法及评分标准</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第一章   投标邀请函</w:t>
      </w:r>
      <w:r/>
    </w:p>
    <w:p>
      <w:pPr>
        <w:ind w:right="-159"/>
        <w:spacing w:line="400" w:lineRule="exact"/>
        <w:rPr>
          <w:color w:val="auto"/>
          <w:highlight w:val="none"/>
          <w:u w:val="single"/>
        </w:rPr>
      </w:pPr>
      <w:r>
        <w:rPr>
          <w:color w:val="auto"/>
          <w:highlight w:val="none"/>
          <w:u w:val="single"/>
        </w:rPr>
      </w:r>
      <w:r/>
    </w:p>
    <w:p>
      <w:pPr>
        <w:ind w:right="-159"/>
        <w:spacing w:line="400" w:lineRule="exact"/>
        <w:rPr>
          <w:color w:val="auto"/>
          <w:highlight w:val="none"/>
        </w:rPr>
      </w:pPr>
      <w:r>
        <w:rPr>
          <w:color w:val="auto"/>
          <w:highlight w:val="none"/>
          <w:u w:val="single"/>
        </w:rPr>
        <w:t xml:space="preserve">                    </w:t>
      </w:r>
      <w:r>
        <w:rPr>
          <w:rFonts w:hint="eastAsia"/>
          <w:color w:val="auto"/>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受苏州市吴中区尹山湖医院之委托，苏州市卫康招投标咨询服务有限公司作为招标代理机构，对其拟采购的以下货物进行国内公开招标。欢迎符合招标公告资格要求的供应商前来报名参加投标。</w:t>
      </w:r>
      <w:r/>
    </w:p>
    <w:p>
      <w:pPr>
        <w:ind w:right="-159"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JSZC-320506-SZWK-G2026-0087</w:t>
      </w:r>
      <w:r/>
    </w:p>
    <w:p>
      <w:pPr>
        <w:ind w:right="-159"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2、项目名称：苏州市吴中区尹山湖医院信息网络安全建设</w:t>
      </w:r>
      <w:r/>
    </w:p>
    <w:p>
      <w:pPr>
        <w:ind w:right="-159"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3、预算金额：肆佰柒拾柒万零捌佰陆拾捌元贰角伍分（￥4770868.25）</w:t>
      </w:r>
      <w:r/>
    </w:p>
    <w:p>
      <w:pPr>
        <w:ind w:right="-159" w:firstLine="63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最高限价：肆佰零柒万元（￥4070000.00）</w:t>
      </w:r>
      <w:r/>
    </w:p>
    <w:p>
      <w:pPr>
        <w:ind w:right="-159"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4、采购技术指标：详见采购文件</w:t>
      </w:r>
      <w:r/>
    </w:p>
    <w:p>
      <w:pPr>
        <w:ind w:right="-159"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zh-CN"/>
        </w:rPr>
        <w:t xml:space="preserve">自公告发布之日起</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个工作日</w:t>
      </w:r>
      <w:r/>
    </w:p>
    <w:p>
      <w:pPr>
        <w:ind w:right="-159"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2026年5月28日</w:t>
      </w:r>
      <w:r>
        <w:rPr>
          <w:rFonts w:hint="eastAsia" w:ascii="宋体" w:hAnsi="宋体"/>
          <w:color w:val="auto"/>
          <w:szCs w:val="21"/>
          <w:highlight w:val="none"/>
        </w:rPr>
        <w:t xml:space="preserve">09点30分</w:t>
      </w:r>
      <w:r/>
    </w:p>
    <w:p>
      <w:pPr>
        <w:ind w:right="-159"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2026年5月28日</w:t>
      </w:r>
      <w:r>
        <w:rPr>
          <w:rFonts w:hint="eastAsia" w:ascii="宋体" w:hAnsi="宋体"/>
          <w:color w:val="auto"/>
          <w:szCs w:val="21"/>
          <w:highlight w:val="none"/>
        </w:rPr>
        <w:t xml:space="preserve">09点30分</w:t>
      </w:r>
      <w:r/>
    </w:p>
    <w:p>
      <w:pPr>
        <w:ind w:right="-159"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bCs/>
          <w:color w:val="auto"/>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名称：苏州市吴中区尹山湖医院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地址：苏州市吴中区郭巷街道郭新东路75号</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联系人：戴子頔</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联系电话：0512-65979208 </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名</w:t>
      </w:r>
      <w:r>
        <w:rPr>
          <w:rFonts w:ascii="宋体" w:hAnsi="宋体" w:cs="宋体"/>
          <w:bCs/>
          <w:color w:val="auto"/>
          <w:szCs w:val="21"/>
          <w:highlight w:val="none"/>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前台联系方式：</w:t>
      </w:r>
      <w:r>
        <w:rPr>
          <w:rFonts w:ascii="宋体" w:hAnsi="宋体" w:cs="宋体"/>
          <w:bCs/>
          <w:color w:val="auto"/>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项目联系方式</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项目联系人：王仕倩、吕兆莉、吴帆</w:t>
      </w:r>
      <w:r/>
    </w:p>
    <w:p>
      <w:pPr>
        <w:ind w:right="-159"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电　　话：</w:t>
      </w:r>
      <w:r>
        <w:rPr>
          <w:rFonts w:ascii="宋体" w:hAnsi="宋体" w:cs="宋体"/>
          <w:bCs/>
          <w:color w:val="auto"/>
          <w:szCs w:val="21"/>
          <w:highlight w:val="none"/>
        </w:rPr>
        <w:t xml:space="preserve">0512-65237216</w:t>
      </w:r>
      <w:r/>
    </w:p>
    <w:p>
      <w:pPr>
        <w:ind w:right="-159"/>
        <w:jc w:val="right"/>
        <w:spacing w:line="400" w:lineRule="exact"/>
        <w:rPr>
          <w:rFonts w:hint="eastAsia" w:ascii="宋体" w:hAnsi="宋体"/>
          <w:color w:val="auto"/>
          <w:szCs w:val="21"/>
          <w:highlight w:val="none"/>
        </w:rPr>
      </w:pPr>
      <w:r>
        <w:rPr>
          <w:rFonts w:ascii="宋体" w:hAnsi="宋体"/>
          <w:color w:val="auto"/>
          <w:szCs w:val="21"/>
          <w:highlight w:val="none"/>
        </w:rPr>
        <w:t xml:space="preserve">苏州市卫康招投标咨询服务有限公司</w:t>
      </w:r>
      <w:r/>
    </w:p>
    <w:p>
      <w:pPr>
        <w:ind w:left="482"/>
        <w:jc w:val="center"/>
        <w:spacing w:line="400" w:lineRule="exact"/>
        <w:rPr>
          <w:rFonts w:hint="eastAsia" w:ascii="黑体" w:hAnsi="宋体" w:eastAsia="黑体"/>
          <w:b/>
          <w:bCs/>
          <w:color w:val="auto"/>
          <w:sz w:val="32"/>
          <w:szCs w:val="32"/>
          <w:highlight w:val="none"/>
        </w:rPr>
        <w:outlineLvl w:val="0"/>
      </w:pPr>
      <w:r>
        <w:rPr>
          <w:rFonts w:ascii="黑体" w:hAnsi="宋体" w:eastAsia="黑体"/>
          <w:b/>
          <w:bCs/>
          <w:color w:val="auto"/>
          <w:sz w:val="32"/>
          <w:szCs w:val="32"/>
          <w:highlight w:val="none"/>
        </w:rPr>
        <w:br w:type="page" w:clear="all"/>
      </w:r>
      <w:r>
        <w:rPr>
          <w:rFonts w:hint="eastAsia" w:ascii="黑体" w:hAnsi="宋体" w:eastAsia="黑体"/>
          <w:b/>
          <w:bCs/>
          <w:color w:val="auto"/>
          <w:sz w:val="32"/>
          <w:szCs w:val="32"/>
          <w:highlight w:val="none"/>
        </w:rPr>
        <w:t xml:space="preserve">第二章  投标人须知</w:t>
      </w:r>
      <w:r/>
    </w:p>
    <w:p>
      <w:pPr>
        <w:spacing w:line="400" w:lineRule="exact"/>
        <w:rPr>
          <w:b/>
          <w:bCs/>
          <w:color w:val="auto"/>
          <w:highlight w:val="none"/>
        </w:rPr>
      </w:pPr>
      <w:r>
        <w:rPr>
          <w:b/>
          <w:bCs/>
          <w:color w:val="auto"/>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一、说明和释义</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 说明</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1.3本采购文件的解释权属于苏州市卫康招投标咨询服务有限公司及采购人。</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2、词语释义</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2.1采购人（甲方）：合同中明确规定的实际购买货物和服务的法人或其他组织和自然人（采购人）。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2.2采购代理机构：具体组织实施采购活动的法人。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2.3投标人（供应商）：经认定有资格响应招标，参加投标竞争的法人或其他组织或自然人。</w:t>
      </w:r>
      <w:r/>
    </w:p>
    <w:p>
      <w:pPr>
        <w:ind w:firstLine="420"/>
        <w:spacing w:line="400" w:lineRule="exact"/>
        <w:rPr>
          <w:rFonts w:hint="eastAsia" w:ascii="宋体" w:hAnsi="宋体"/>
          <w:color w:val="auto"/>
          <w:szCs w:val="21"/>
          <w:highlight w:val="none"/>
          <w:lang w:val="zh-CN"/>
        </w:rPr>
      </w:pPr>
      <w:r>
        <w:rPr>
          <w:rFonts w:hint="eastAsia" w:ascii="宋体" w:hAnsi="宋体" w:cs="宋体"/>
          <w:color w:val="auto"/>
          <w:szCs w:val="21"/>
          <w:highlight w:val="none"/>
        </w:rPr>
        <w:t xml:space="preserve">潜在投标人（供应商）：以招标文件规定的方式获取本项目招标文件的法人、非法人组织或者自然人。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2.4响应：投标人根据采购代理机构或采购代理机构发布的采购文件，编制电子投标文件并按规定投标的行为。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2.5中标人（乙方）：合同中规定的向采购方提供货物和服务的法人或其他组织和自然人（中标人）。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2.6</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合同：</w:t>
      </w:r>
      <w:r>
        <w:rPr>
          <w:rFonts w:hint="eastAsia" w:ascii="宋体" w:hAnsi="宋体"/>
          <w:color w:val="auto"/>
          <w:szCs w:val="21"/>
          <w:highlight w:val="none"/>
        </w:rPr>
        <w:t xml:space="preserve">甲乙</w:t>
      </w:r>
      <w:r>
        <w:rPr>
          <w:rFonts w:hint="eastAsia" w:ascii="宋体" w:hAnsi="宋体"/>
          <w:color w:val="auto"/>
          <w:szCs w:val="21"/>
          <w:highlight w:val="none"/>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2.7 货物：系指乙方按采购文件规定，应向甲方提供的一切设备、备品、备件、工具、手册及其他有关技术资料和材料。</w:t>
      </w:r>
      <w:r/>
    </w:p>
    <w:p>
      <w:pPr>
        <w:ind w:firstLine="426"/>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9</w:t>
      </w:r>
      <w:r>
        <w:rPr>
          <w:rFonts w:ascii="宋体" w:hAnsi="宋体"/>
          <w:color w:val="auto"/>
          <w:szCs w:val="21"/>
          <w:highlight w:val="none"/>
        </w:rPr>
        <w:t xml:space="preserve"> </w:t>
      </w:r>
      <w:r>
        <w:rPr>
          <w:rFonts w:hint="eastAsia" w:ascii="宋体" w:hAnsi="宋体"/>
          <w:color w:val="auto"/>
          <w:szCs w:val="21"/>
          <w:highlight w:val="none"/>
          <w:lang w:val="zh-CN"/>
        </w:rPr>
        <w:t xml:space="preserve">知识产权：指专利权、商标权、著作权等无形财产专有权的统称。</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10</w:t>
      </w:r>
      <w:r>
        <w:rPr>
          <w:rFonts w:ascii="宋体" w:hAnsi="宋体"/>
          <w:color w:val="auto"/>
          <w:szCs w:val="21"/>
          <w:highlight w:val="none"/>
        </w:rPr>
        <w:t xml:space="preserve"> </w:t>
      </w:r>
      <w:r>
        <w:rPr>
          <w:rFonts w:hint="eastAsia" w:ascii="宋体" w:hAnsi="宋体"/>
          <w:color w:val="auto"/>
          <w:szCs w:val="21"/>
          <w:highlight w:val="none"/>
          <w:lang w:val="zh-CN"/>
        </w:rPr>
        <w:t xml:space="preserve">天：日历日（</w:t>
      </w:r>
      <w:r>
        <w:rPr>
          <w:rFonts w:hint="eastAsia" w:ascii="宋体" w:hAnsi="宋体"/>
          <w:color w:val="auto"/>
          <w:szCs w:val="21"/>
          <w:highlight w:val="none"/>
        </w:rPr>
        <w:t xml:space="preserve">除特别说明外，均指北京时间）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11 </w:t>
      </w:r>
      <w:r>
        <w:rPr>
          <w:rFonts w:hint="eastAsia" w:ascii="宋体" w:hAnsi="宋体"/>
          <w:color w:val="auto"/>
          <w:szCs w:val="21"/>
          <w:highlight w:val="none"/>
          <w:lang w:val="zh-CN"/>
        </w:rPr>
        <w:t xml:space="preserve">服务地点：合同中明确约定的</w:t>
      </w:r>
      <w:r>
        <w:rPr>
          <w:rFonts w:hint="eastAsia" w:ascii="宋体" w:hAnsi="宋体"/>
          <w:color w:val="auto"/>
          <w:szCs w:val="21"/>
          <w:highlight w:val="none"/>
        </w:rPr>
        <w:t xml:space="preserve">服务项目所在地。</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12 </w:t>
      </w:r>
      <w:r>
        <w:rPr>
          <w:rFonts w:hint="eastAsia" w:ascii="宋体" w:hAnsi="宋体"/>
          <w:color w:val="auto"/>
          <w:szCs w:val="21"/>
          <w:highlight w:val="none"/>
          <w:lang w:val="zh-CN"/>
        </w:rPr>
        <w:t xml:space="preserve">合同价款：根据合同规定，乙方在正确地履行合同义务后甲方应支付乙方的价款。</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2.1</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不可抗力：不能预见、不能避免并且不能克服的客观情况。</w:t>
      </w:r>
      <w:r/>
    </w:p>
    <w:p>
      <w:pPr>
        <w:ind w:firstLine="420"/>
        <w:spacing w:line="400" w:lineRule="exact"/>
        <w:rPr>
          <w:rFonts w:hint="eastAsia" w:ascii="宋体" w:hAnsi="宋体"/>
          <w:color w:val="auto"/>
          <w:szCs w:val="21"/>
          <w:highlight w:val="none"/>
          <w:lang w:val="zh-CN"/>
        </w:rPr>
      </w:pPr>
      <w:r>
        <w:rPr>
          <w:rFonts w:hint="eastAsia" w:ascii="宋体" w:hAnsi="宋体"/>
          <w:bCs/>
          <w:color w:val="auto"/>
          <w:szCs w:val="21"/>
          <w:highlight w:val="none"/>
        </w:rPr>
        <w:t xml:space="preserve">2.14实质响应：</w:t>
      </w:r>
      <w:r>
        <w:rPr>
          <w:rFonts w:hint="eastAsia" w:ascii="宋体" w:hAnsi="宋体"/>
          <w:color w:val="auto"/>
          <w:szCs w:val="21"/>
          <w:highlight w:val="none"/>
          <w:lang w:val="zh-CN"/>
        </w:rPr>
        <w:t xml:space="preserve">满足有关本次采购标的、数量、质量、价款或者报酬、履行期限、履行地点和方式、违约责任和解决争议方法等要求。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2.15书面形式：指书面文字、合同书、信件和传真等可以有形地表现所载内容的形式。</w:t>
      </w:r>
      <w:r/>
    </w:p>
    <w:p>
      <w:pPr>
        <w:ind w:firstLine="426"/>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2.17中小企业：</w:t>
      </w:r>
      <w:r>
        <w:rPr>
          <w:rFonts w:hint="eastAsia" w:ascii="宋体" w:hAnsi="宋体"/>
          <w:color w:val="auto"/>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2.18根据《关于贯彻执行绿色采购、促进残疾人就业和支持监狱企业发展有关政策的通知（苏财购〔2019〕10号）》的通知规定。</w:t>
      </w:r>
      <w:r/>
    </w:p>
    <w:p>
      <w:pPr>
        <w:ind w:firstLine="420"/>
        <w:spacing w:line="400" w:lineRule="exact"/>
        <w:rPr>
          <w:rFonts w:hint="eastAsia" w:ascii="宋体" w:hAnsi="宋体"/>
          <w:bCs/>
          <w:color w:val="auto"/>
          <w:szCs w:val="21"/>
          <w:highlight w:val="none"/>
        </w:rPr>
      </w:pPr>
      <w:r>
        <w:rPr>
          <w:rFonts w:hint="eastAsia" w:ascii="宋体" w:hAnsi="宋体"/>
          <w:color w:val="auto"/>
          <w:szCs w:val="21"/>
          <w:highlight w:val="none"/>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3、供应商应当具备条件：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 </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rPr>
        <w:t xml:space="preserve">4. </w:t>
      </w:r>
      <w:r>
        <w:rPr>
          <w:rFonts w:hint="eastAsia" w:ascii="宋体" w:hAnsi="宋体"/>
          <w:b/>
          <w:bCs/>
          <w:color w:val="auto"/>
          <w:szCs w:val="21"/>
          <w:highlight w:val="none"/>
          <w:lang w:val="zh-CN"/>
        </w:rPr>
        <w:t xml:space="preserve">投标人代表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5. 投标费用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6、其他要求：</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.3法人的分支机构不得参加投标（除银行、保险、石油石化、电力、电信等行业特殊情况外）。</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.4根据《关于贯彻执行绿色采购、促进残疾人就业和支持监狱企业发展有关政策的通知（苏财购〔2019〕10号）》的通知规定。</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.5本次采购的产品不属于《节能产品政府采购品目清单》范围内强制或优先采购的产品。本次采购的产品不属于《环境标志产品政府采购品目清单》范围内优先采购的产品。</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本项目不接受联合体投标。</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7、采购文件</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8、采购文件的询问与澄清</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8.1投标人在收到采购文件后，若有问题需要询问，应于收到采购文件后按网上报名相关流程提出，采购代理机构将予以解答。</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9、采购文件的修改</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10、质疑</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10.5接受质疑函的方式：当场送达或邮寄方式。</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10.7收件人：</w:t>
      </w:r>
      <w:r>
        <w:rPr>
          <w:rFonts w:hint="eastAsia" w:ascii="宋体" w:hAnsi="宋体"/>
          <w:color w:val="auto"/>
          <w:szCs w:val="21"/>
          <w:highlight w:val="none"/>
        </w:rPr>
        <w:t xml:space="preserve">季欣怡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10.9通讯地址：苏州市干将西路1296号深业姑苏中心17层</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四、电子投标文件说明</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11.2无论是否递交电子投标文件，投标人都应将采购文件及以后的所有通知、文件等视为保密文件。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12、电子投标文件计量单位和使用文字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12.1电子投标文件中所使用的计量单位，除采购文件中有特殊要求外，均应使用中华人民共和国法定计量单位。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hint="eastAsia" w:ascii="宋体" w:hAnsi="宋体"/>
          <w:b/>
          <w:color w:val="auto"/>
          <w:szCs w:val="21"/>
          <w:highlight w:val="none"/>
          <w:lang w:val="zh-CN"/>
        </w:rPr>
      </w:pPr>
      <w:r>
        <w:rPr>
          <w:rFonts w:hint="eastAsia" w:ascii="宋体" w:hAnsi="宋体"/>
          <w:b/>
          <w:bCs/>
          <w:color w:val="auto"/>
          <w:szCs w:val="21"/>
          <w:highlight w:val="none"/>
        </w:rPr>
        <w:t xml:space="preserve">13、</w:t>
      </w:r>
      <w:r>
        <w:rPr>
          <w:rFonts w:hint="eastAsia" w:ascii="宋体" w:hAnsi="宋体"/>
          <w:b/>
          <w:color w:val="auto"/>
          <w:szCs w:val="21"/>
          <w:highlight w:val="none"/>
          <w:lang w:val="zh-CN"/>
        </w:rPr>
        <w:t xml:space="preserve">电子投标文件的组成</w:t>
      </w:r>
      <w:r/>
    </w:p>
    <w:p>
      <w:pPr>
        <w:ind w:right="-161"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13.1封面</w:t>
      </w:r>
      <w:r/>
    </w:p>
    <w:p>
      <w:pPr>
        <w:ind w:right="-161" w:firstLine="422"/>
        <w:spacing w:line="400" w:lineRule="exact"/>
        <w:rPr>
          <w:rFonts w:hint="eastAsia" w:ascii="宋体" w:hAnsi="宋体" w:eastAsia="宋体"/>
          <w:b/>
          <w:bCs/>
          <w:color w:val="auto"/>
          <w:szCs w:val="21"/>
          <w:highlight w:val="none"/>
          <w:lang w:eastAsia="zh-CN"/>
        </w:rPr>
      </w:pPr>
      <w:r>
        <w:rPr>
          <w:rFonts w:ascii="宋体" w:hAnsi="宋体"/>
          <w:b/>
          <w:bCs/>
          <w:color w:val="auto"/>
          <w:szCs w:val="21"/>
          <w:highlight w:val="none"/>
        </w:rPr>
        <w:t xml:space="preserve">13.2开标一览表</w:t>
      </w:r>
      <w:r>
        <w:rPr>
          <w:rFonts w:hint="eastAsia" w:ascii="宋体" w:hAnsi="宋体"/>
          <w:b/>
          <w:bCs/>
          <w:color w:val="auto"/>
          <w:szCs w:val="21"/>
          <w:highlight w:val="none"/>
          <w:lang w:eastAsia="zh-CN"/>
        </w:rPr>
        <w:t xml:space="preserve">、</w:t>
      </w:r>
      <w:r>
        <w:rPr>
          <w:rFonts w:ascii="宋体" w:hAnsi="宋体" w:eastAsia="宋体"/>
          <w:b/>
          <w:bCs/>
          <w:color w:val="auto"/>
          <w:szCs w:val="21"/>
          <w:highlight w:val="none"/>
        </w:rPr>
        <w:t xml:space="preserve">投标报价明细表</w:t>
      </w:r>
      <w:r/>
    </w:p>
    <w:p>
      <w:pPr>
        <w:ind w:right="-161"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rPr>
        <w:t xml:space="preserve">3</w:t>
      </w:r>
      <w:r>
        <w:rPr>
          <w:rFonts w:ascii="宋体" w:hAnsi="宋体"/>
          <w:b/>
          <w:bCs/>
          <w:color w:val="auto"/>
          <w:szCs w:val="21"/>
          <w:highlight w:val="none"/>
        </w:rPr>
        <w:t xml:space="preserve">资格审查响应文件</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（1）投标函、关于资格条件的声明函（格式见第三章）；</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投标人</w:t>
      </w:r>
      <w:r>
        <w:rPr>
          <w:rFonts w:ascii="宋体" w:hAnsi="宋体"/>
          <w:color w:val="auto"/>
          <w:szCs w:val="21"/>
          <w:highlight w:val="none"/>
          <w:lang w:val="zh-CN"/>
        </w:rPr>
        <w:t xml:space="preserve">情况表（格式见第三章）；</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）合格供应商的资格条件</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.2良好的商业信誉和健全的财务会计制度证明的相关材料（包括但不限于最近一期经审计的</w:t>
      </w:r>
      <w:r>
        <w:rPr>
          <w:rFonts w:hint="eastAsia" w:ascii="宋体" w:hAnsi="宋体"/>
          <w:color w:val="auto"/>
          <w:szCs w:val="21"/>
          <w:highlight w:val="none"/>
        </w:rPr>
        <w:t xml:space="preserve">完整</w:t>
      </w:r>
      <w:r>
        <w:rPr>
          <w:rFonts w:ascii="宋体" w:hAnsi="宋体"/>
          <w:color w:val="auto"/>
          <w:szCs w:val="21"/>
          <w:highlight w:val="none"/>
          <w:lang w:val="zh-CN"/>
        </w:rPr>
        <w:t xml:space="preserve">财务报告复印件或银行出具的资信证明原件</w:t>
      </w:r>
      <w:r>
        <w:rPr>
          <w:rFonts w:hint="eastAsia" w:ascii="宋体" w:hAnsi="宋体"/>
          <w:color w:val="auto"/>
          <w:szCs w:val="21"/>
          <w:highlight w:val="none"/>
          <w:lang w:val="zh-CN"/>
        </w:rPr>
        <w:t xml:space="preserve">的扫描件</w:t>
      </w:r>
      <w:r>
        <w:rPr>
          <w:rFonts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.5参加政府采购活动前3年内在经营活动中没有重大违法记录的书面声明加盖公章；</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6投标（响应）保证承诺书。</w:t>
      </w:r>
      <w:r/>
    </w:p>
    <w:p>
      <w:pPr>
        <w:ind w:firstLine="439"/>
        <w:spacing w:line="400" w:lineRule="exact"/>
        <w:rPr>
          <w:rFonts w:hint="eastAsia"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rPr>
        <w:t xml:space="preserve">4符合性审核响应文件</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13.4.1投标产品技术对照表；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13.4.2商务条款偏离表；</w:t>
      </w:r>
      <w:r/>
    </w:p>
    <w:p>
      <w:pPr>
        <w:ind w:firstLine="422"/>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13.5综合评审响应文件</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13.5.1投标产品清单表；（格式见第三章）</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13.5.2产品技术对照表及产品、</w:t>
      </w:r>
      <w:r>
        <w:rPr>
          <w:rFonts w:hint="eastAsia" w:ascii="宋体" w:hAnsi="宋体" w:eastAsia="宋体" w:cs="Times New Roman"/>
          <w:color w:val="auto"/>
          <w:szCs w:val="21"/>
          <w:highlight w:val="none"/>
          <w:lang w:val="en-US" w:eastAsia="zh-CN"/>
        </w:rPr>
        <w:t xml:space="preserve">检测报告、截图、</w:t>
      </w:r>
      <w:r>
        <w:rPr>
          <w:rFonts w:hint="eastAsia" w:ascii="宋体" w:hAnsi="宋体" w:eastAsia="宋体" w:cs="Times New Roman"/>
          <w:color w:val="auto"/>
          <w:szCs w:val="21"/>
          <w:highlight w:val="none"/>
          <w:lang w:val="zh-CN"/>
        </w:rPr>
        <w:t xml:space="preserve">样本彩页</w:t>
      </w:r>
      <w:r>
        <w:rPr>
          <w:rFonts w:hint="eastAsia" w:ascii="宋体" w:hAnsi="宋体" w:eastAsia="宋体" w:cs="Times New Roman"/>
          <w:color w:val="auto"/>
          <w:szCs w:val="21"/>
          <w:highlight w:val="none"/>
          <w:lang w:val="en-US" w:eastAsia="zh-CN"/>
        </w:rPr>
        <w:t xml:space="preserve">等</w:t>
      </w:r>
      <w:r>
        <w:rPr>
          <w:rFonts w:hint="eastAsia" w:ascii="宋体" w:hAnsi="宋体" w:eastAsia="宋体" w:cs="Times New Roman"/>
          <w:color w:val="auto"/>
          <w:szCs w:val="21"/>
          <w:highlight w:val="none"/>
          <w:lang w:val="zh-CN"/>
        </w:rPr>
        <w:t xml:space="preserve">的技术参数佐证材料；</w:t>
      </w:r>
      <w:r/>
    </w:p>
    <w:p>
      <w:pPr>
        <w:ind w:firstLine="420"/>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zh-CN"/>
        </w:rPr>
        <w:t xml:space="preserve">13.5.3针对本项目的理解与分析</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en-US" w:eastAsia="zh-CN"/>
        </w:rPr>
        <w:t xml:space="preserve">技术方案、项目实施方案、信息安全保障方案；</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13.5.4投标产品的质量</w:t>
      </w:r>
      <w:r>
        <w:rPr>
          <w:rFonts w:hint="eastAsia" w:ascii="宋体" w:hAnsi="宋体" w:eastAsia="宋体" w:cs="Times New Roman"/>
          <w:color w:val="auto"/>
          <w:szCs w:val="21"/>
          <w:highlight w:val="none"/>
          <w:lang w:val="en-US" w:eastAsia="zh-CN"/>
        </w:rPr>
        <w:t xml:space="preserve">管理方案</w:t>
      </w:r>
      <w:r>
        <w:rPr>
          <w:rFonts w:hint="eastAsia" w:ascii="宋体" w:hAnsi="宋体" w:eastAsia="宋体" w:cs="Times New Roman"/>
          <w:color w:val="auto"/>
          <w:szCs w:val="21"/>
          <w:highlight w:val="none"/>
          <w:lang w:val="zh-CN"/>
        </w:rPr>
        <w:t xml:space="preserve">；</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13.5.5货物的技术服务、售后服务体系；</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13.5.6本次投标的详细说明（投标人视各自的情况自行编制）；</w:t>
      </w:r>
      <w:r/>
    </w:p>
    <w:p>
      <w:pPr>
        <w:ind w:firstLine="420"/>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13.5.7本次招标有关的及评分标准要求的其他证明材料。</w:t>
      </w:r>
      <w:r/>
    </w:p>
    <w:p>
      <w:pPr>
        <w:ind w:right="-161"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13.6企业报价折扣证明</w:t>
      </w:r>
      <w:r/>
    </w:p>
    <w:p>
      <w:pPr>
        <w:ind w:firstLine="420"/>
        <w:spacing w:line="400" w:lineRule="exact"/>
        <w:rPr>
          <w:rFonts w:hint="eastAsia" w:ascii="宋体" w:hAnsi="宋体"/>
          <w:color w:val="auto"/>
          <w:szCs w:val="21"/>
          <w:highlight w:val="none"/>
          <w:lang w:val="zh-CN"/>
        </w:rPr>
      </w:pPr>
      <w:r>
        <w:rPr>
          <w:rFonts w:hint="eastAsia" w:ascii="宋体" w:hAnsi="宋体" w:eastAsia="宋体" w:cs="Times New Roman"/>
          <w:color w:val="auto"/>
          <w:szCs w:val="21"/>
          <w:highlight w:val="none"/>
          <w:lang w:val="zh-CN"/>
        </w:rPr>
        <w:t xml:space="preserve">13.6</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zh-CN"/>
        </w:rPr>
        <w:t xml:space="preserve">本项目非专门面向中小企业采购，若投标人提供《中小企业声明函》或《残疾</w:t>
      </w:r>
      <w:r>
        <w:rPr>
          <w:rFonts w:hint="eastAsia" w:ascii="宋体" w:hAnsi="宋体"/>
          <w:color w:val="auto"/>
          <w:szCs w:val="21"/>
          <w:highlight w:val="none"/>
          <w:lang w:val="zh-CN"/>
        </w:rPr>
        <w:t xml:space="preserve">人福利性单位声明函》或由省级以上监狱管理局、戒毒管理局（含新疆生产建设兵团）出具的属于监狱企业的证明文件即享受报价折扣。</w:t>
      </w:r>
      <w:r/>
    </w:p>
    <w:p>
      <w:pPr>
        <w:ind w:firstLine="420"/>
        <w:spacing w:line="400" w:lineRule="exact"/>
        <w:rPr>
          <w:rFonts w:hint="eastAsia" w:ascii="宋体" w:hAnsi="宋体" w:eastAsia="宋体"/>
          <w:color w:val="auto"/>
          <w:szCs w:val="21"/>
          <w:highlight w:val="none"/>
          <w:lang w:val="zh-CN"/>
        </w:rPr>
      </w:pPr>
      <w:r>
        <w:rPr>
          <w:rFonts w:hint="eastAsia" w:ascii="宋体" w:hAnsi="宋体" w:eastAsia="宋体"/>
          <w:color w:val="auto"/>
          <w:szCs w:val="21"/>
          <w:highlight w:val="none"/>
          <w:lang w:val="en-US" w:eastAsia="zh-CN"/>
        </w:rPr>
        <w:t xml:space="preserve">13.6.2</w:t>
      </w:r>
      <w:r>
        <w:rPr>
          <w:rFonts w:hint="eastAsia" w:ascii="宋体" w:hAnsi="宋体" w:eastAsia="宋体"/>
          <w:color w:val="auto"/>
          <w:szCs w:val="21"/>
          <w:highlight w:val="none"/>
          <w:lang w:val="zh-CN"/>
        </w:rPr>
        <w:t xml:space="preserve">关于符合本国产品标准的声明函</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val="en-US" w:eastAsia="zh-CN"/>
        </w:rPr>
        <w:t xml:space="preserve">如符合）</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zh-CN"/>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lang w:val="zh-CN"/>
        </w:rPr>
        <w:t xml:space="preserve">至</w:t>
      </w:r>
      <w:r>
        <w:rPr>
          <w:rFonts w:ascii="宋体" w:hAnsi="宋体"/>
          <w:color w:val="auto"/>
          <w:szCs w:val="21"/>
          <w:highlight w:val="none"/>
          <w:lang w:val="zh-CN"/>
        </w:rPr>
        <w:t xml:space="preserve">13.</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款规定的内容共同组成。</w:t>
      </w:r>
      <w:r/>
    </w:p>
    <w:p>
      <w:pPr>
        <w:ind w:firstLine="422"/>
        <w:spacing w:line="400" w:lineRule="exact"/>
        <w:rPr>
          <w:b/>
          <w:color w:val="auto"/>
          <w:szCs w:val="21"/>
          <w:highlight w:val="none"/>
        </w:rPr>
      </w:pPr>
      <w:r>
        <w:rPr>
          <w:b/>
          <w:color w:val="auto"/>
          <w:szCs w:val="21"/>
          <w:highlight w:val="none"/>
          <w:lang w:val="zh-CN"/>
        </w:rPr>
        <w:t xml:space="preserve">14</w:t>
      </w:r>
      <w:r>
        <w:rPr>
          <w:rFonts w:hint="eastAsia"/>
          <w:b/>
          <w:color w:val="auto"/>
          <w:szCs w:val="21"/>
          <w:highlight w:val="none"/>
          <w:lang w:val="zh-CN"/>
        </w:rPr>
        <w:t xml:space="preserve">、电子投标文件编制要求</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14.2电子投标文件制作 </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14.3电子投标文件中的资料应按采购文件的要求加盖投标人的电子签章或公章。</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4未按照要求编制电子投标文件，未按照要求在电子投标文件上加盖电子签章的，均视为无效投标。</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投标报价（编制）要求的说明</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.4一项投标内容只允许一个报价，采购代理机构不接受任何有选择性的投标报价。</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.5投标文件报价中的单价和总价全部采用人民币表示，除非合同的特殊条款另有规定。</w:t>
      </w:r>
      <w:r/>
    </w:p>
    <w:p>
      <w:pPr>
        <w:ind w:firstLine="422"/>
        <w:spacing w:line="400" w:lineRule="exact"/>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.6最低的投标报价或最高的折扣比例是中标的重要条件，但不是中标的唯一条件。</w:t>
      </w:r>
      <w:r/>
    </w:p>
    <w:p>
      <w:pP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、电子投标文件的签署</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15.1投标人应按采购文件的规定，编制电子投标文件并上传系统。</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16</w:t>
      </w:r>
      <w:r>
        <w:rPr>
          <w:rFonts w:hint="eastAsia" w:ascii="宋体" w:hAnsi="宋体"/>
          <w:b/>
          <w:bCs/>
          <w:color w:val="auto"/>
          <w:szCs w:val="21"/>
          <w:highlight w:val="none"/>
          <w:lang w:val="zh-CN"/>
        </w:rPr>
        <w:t xml:space="preserve">、投标保证金</w:t>
      </w:r>
      <w:r/>
    </w:p>
    <w:p>
      <w:pPr>
        <w:ind w:firstLine="420"/>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无。</w:t>
      </w:r>
      <w:r/>
    </w:p>
    <w:p>
      <w:pPr>
        <w:spacing w:line="400" w:lineRule="exact"/>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、电子投标文件的有效期</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17.1</w:t>
      </w: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天内，投标书应保持有效。有效期短于这个规定期限的投标，将被拒绝。</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17.2</w:t>
      </w:r>
      <w:r>
        <w:rPr>
          <w:rFonts w:hint="eastAsia" w:ascii="宋体" w:hAnsi="宋体"/>
          <w:color w:val="auto"/>
          <w:szCs w:val="21"/>
          <w:highlight w:val="none"/>
          <w:lang w:val="zh-CN"/>
        </w:rPr>
        <w:t xml:space="preserve">在特殊情况下，采购代理机构可与投标人协商延长投标书的有效期。这种要求和答复都应以书面、传真的形式进行。</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同意延长有效期的投标人不能修改投标文件。</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五、电子投标文件的解密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、投标人必须使用数字证书（CA）登录苏采云系统开标大厅，到投标截止时间完成电子投标文件解密。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至投标截止时间，完成解密的投标人不足3家的，不得开标。</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23.6评审过程中出现下列情形之一的，评审委员会应当启动异常低价投标（响应）审查程序：</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23.6.1投标（响应）报价低于全部通过符合性审查供应商投标（响应）报价平均值50%的，即投标（响应）报价&lt;全部通过符合性审查供应商投标（响应）报价平均值×50%；</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23.6.2投标（响应）报价低于通过符合性审查的次低报价供应商投标（响应）报价50%的，即投标（响应）报价&lt;通过符合性审查的次低报价供应商投标（响应）报价×50%；</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23.6.3投标（响应）报价低于采购项目最高限价45%的，即投标（响应）报价&lt;采购项目最高限价×45%；</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23.6.4评审委员会基于专业判断，认为供应商报价过低，有可能影响产品质量或者不能诚信履约的其他情形。</w:t>
      </w:r>
      <w:r/>
    </w:p>
    <w:p>
      <w:pPr>
        <w:pStyle w:val="752"/>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auto"/>
          <w:sz w:val="21"/>
          <w:szCs w:val="21"/>
          <w:highlight w:val="none"/>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，其他同品牌投标人不作为中标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24.3.4签署评标报告并根据采购方委托从中确定中标人；</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按《中华人民共和国</w:t>
      </w:r>
      <w:r>
        <w:rPr>
          <w:rFonts w:hint="eastAsia" w:ascii="宋体" w:hAnsi="宋体"/>
          <w:color w:val="auto"/>
          <w:szCs w:val="21"/>
          <w:highlight w:val="none"/>
          <w:lang w:val="zh-CN"/>
        </w:rPr>
        <w:t xml:space="preserve">民法典</w:t>
      </w:r>
      <w:r>
        <w:rPr>
          <w:rFonts w:ascii="宋体" w:hAnsi="宋体"/>
          <w:color w:val="auto"/>
          <w:szCs w:val="21"/>
          <w:highlight w:val="none"/>
          <w:lang w:val="zh-CN"/>
        </w:rPr>
        <w:t xml:space="preserve">》及其他有关政府采购的法律法规的规定执行。</w:t>
      </w:r>
      <w:r/>
    </w:p>
    <w:p>
      <w:pPr>
        <w:ind w:firstLine="549"/>
        <w:jc w:val="center"/>
        <w:spacing w:line="360" w:lineRule="auto"/>
        <w:rPr>
          <w:rFonts w:hint="eastAsia" w:ascii="黑体" w:hAnsi="宋体" w:eastAsia="黑体"/>
          <w:b/>
          <w:bCs/>
          <w:color w:val="auto"/>
          <w:sz w:val="32"/>
          <w:szCs w:val="32"/>
          <w:highlight w:val="none"/>
        </w:rPr>
      </w:pPr>
      <w:r>
        <w:rPr>
          <w:rFonts w:ascii="宋体" w:hAnsi="宋体"/>
          <w:color w:val="auto"/>
          <w:szCs w:val="24"/>
          <w:highlight w:val="none"/>
        </w:rPr>
        <w:br w:type="page" w:clear="all"/>
      </w:r>
      <w:r>
        <w:rPr>
          <w:rFonts w:hint="eastAsia" w:ascii="黑体" w:hAnsi="宋体" w:eastAsia="黑体"/>
          <w:b/>
          <w:bCs/>
          <w:color w:val="auto"/>
          <w:sz w:val="32"/>
          <w:szCs w:val="32"/>
          <w:highlight w:val="none"/>
        </w:rPr>
        <w:t xml:space="preserve">第三章  投标文件格式</w:t>
      </w:r>
      <w:r/>
    </w:p>
    <w:p>
      <w:pPr>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pStyle w:val="942"/>
        <w:jc w:val="center"/>
        <w:spacing w:before="75" w:beforeAutospacing="0" w:after="75" w:afterAutospacing="0" w:line="435" w:lineRule="atLeast"/>
        <w:rPr>
          <w:rFonts w:ascii="Arial" w:hAnsi="Arial" w:eastAsia="Arial" w:cs="Arial"/>
          <w:color w:val="auto"/>
          <w:highlight w:val="none"/>
        </w:rPr>
      </w:pPr>
      <w:r>
        <w:rPr>
          <w:rStyle w:val="947"/>
          <w:rFonts w:hint="eastAsia" w:cs="宋体"/>
          <w:color w:val="auto"/>
          <w:highlight w:val="none"/>
        </w:rPr>
        <w:t xml:space="preserve">编制说明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color w:val="auto"/>
          <w:szCs w:val="21"/>
          <w:highlight w:val="none"/>
          <w:lang w:val="zh-CN"/>
        </w:rPr>
      </w:pPr>
      <w:r>
        <w:rPr>
          <w:rFonts w:hint="eastAsia" w:ascii="宋体" w:hAnsi="宋体" w:cs="宋体"/>
          <w:color w:val="auto"/>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auto"/>
          <w:szCs w:val="21"/>
          <w:highlight w:val="none"/>
          <w:lang w:val="zh-CN"/>
        </w:rPr>
        <w:t xml:space="preserve">，但补充和修改不得造成与本格式内容有实质性的违背。</w:t>
      </w:r>
      <w:r/>
    </w:p>
    <w:p>
      <w:pPr>
        <w:spacing w:line="360" w:lineRule="auto"/>
        <w:rPr>
          <w:bCs/>
          <w:color w:val="auto"/>
          <w:szCs w:val="21"/>
          <w:highlight w:val="none"/>
        </w:rPr>
      </w:pPr>
      <w:r>
        <w:rPr>
          <w:b/>
          <w:bCs/>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1</w:t>
      </w:r>
      <w:r>
        <w:rPr>
          <w:rFonts w:hint="eastAsia" w:hAnsi="宋体"/>
          <w:bCs/>
          <w:color w:val="auto"/>
          <w:szCs w:val="21"/>
          <w:highlight w:val="none"/>
        </w:rPr>
        <w:t xml:space="preserve">、投标函</w:t>
      </w:r>
      <w:r/>
    </w:p>
    <w:p>
      <w:pPr>
        <w:jc w:val="center"/>
        <w:spacing w:line="360" w:lineRule="auto"/>
        <w:rPr>
          <w:rFonts w:eastAsia="黑体"/>
          <w:b/>
          <w:color w:val="auto"/>
          <w:sz w:val="28"/>
          <w:szCs w:val="28"/>
          <w:highlight w:val="none"/>
        </w:rPr>
      </w:pPr>
      <w:r>
        <w:rPr>
          <w:rFonts w:hint="eastAsia" w:eastAsia="黑体"/>
          <w:b/>
          <w:color w:val="auto"/>
          <w:sz w:val="28"/>
          <w:szCs w:val="28"/>
          <w:highlight w:val="none"/>
          <w:lang w:val="zh-CN"/>
        </w:rPr>
        <w:t xml:space="preserve">投标函</w:t>
      </w:r>
      <w:r/>
    </w:p>
    <w:p>
      <w:pPr>
        <w:pStyle w:val="752"/>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苏州市卫康招投标咨询服务有限公司</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w:t>
      </w:r>
      <w:r/>
    </w:p>
    <w:p>
      <w:pPr>
        <w:pStyle w:val="752"/>
        <w:ind w:firstLine="420"/>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我方收到贵公司</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号招标文件，经仔细阅读和研究，我方决定参加投标。并向贵公司承诺：</w:t>
      </w:r>
      <w:r/>
    </w:p>
    <w:p>
      <w:pPr>
        <w:ind w:firstLine="420"/>
        <w:jc w:val="left"/>
        <w:spacing w:line="440" w:lineRule="exact"/>
        <w:widowControl/>
        <w:rPr>
          <w:rFonts w:hint="eastAsia" w:ascii="宋体" w:hAnsi="宋体"/>
          <w:color w:val="auto"/>
          <w:szCs w:val="21"/>
          <w:highlight w:val="none"/>
        </w:rPr>
      </w:pPr>
      <w:r>
        <w:rPr>
          <w:rFonts w:hint="eastAsia" w:ascii="宋体" w:hAnsi="宋体"/>
          <w:bCs/>
          <w:color w:val="auto"/>
          <w:szCs w:val="21"/>
          <w:highlight w:val="none"/>
        </w:rPr>
        <w:t xml:space="preserve">1、我方愿意按照采购文件的一切要求，提供本项目的所有内容，我方投标</w:t>
      </w:r>
      <w:r>
        <w:rPr>
          <w:rFonts w:hint="eastAsia" w:ascii="宋体" w:hAnsi="宋体"/>
          <w:color w:val="auto"/>
          <w:szCs w:val="21"/>
          <w:highlight w:val="none"/>
        </w:rPr>
        <w:t xml:space="preserve">的全部服务的报价包括完成本项工作所需的一切应有费用。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3、我方同意采购文件及更正文件中的规定。本投标书的有效期限为电子投标文件递交截止时间之日起90天。</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5、我方愿意遵守招标公告及采购文件中所列的收费标准。</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6、我方承诺该项投标在开标后的全过程中保持有效，不作任何更改和变动。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7、我方承诺在参加政府采购活动前三年内，在经营活动中没有重大违法记录。</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8、如果我方中标，我方愿意按采购文件规定支付中标服务费，如未按规定缴纳中标服务费，采购代理机构有权保留诉讼的权力；</w:t>
      </w:r>
      <w:r/>
    </w:p>
    <w:p>
      <w:pPr>
        <w:pStyle w:val="752"/>
        <w:ind w:firstLine="420"/>
        <w:spacing w:line="44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9</w:t>
      </w:r>
      <w:r>
        <w:rPr>
          <w:rFonts w:hint="eastAsia" w:hAnsi="宋体" w:eastAsia="宋体"/>
          <w:bCs/>
          <w:color w:val="auto"/>
          <w:sz w:val="21"/>
          <w:szCs w:val="21"/>
          <w:highlight w:val="none"/>
        </w:rPr>
        <w:t xml:space="preserve">、与本投标有关的通讯地址：</w:t>
      </w:r>
      <w:r/>
    </w:p>
    <w:p>
      <w:pPr>
        <w:pStyle w:val="752"/>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单</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位：</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联</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系</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人：</w:t>
      </w:r>
      <w:r>
        <w:rPr>
          <w:rFonts w:ascii="Times New Roman" w:hAnsi="Times New Roman" w:eastAsia="宋体"/>
          <w:color w:val="auto"/>
          <w:sz w:val="24"/>
          <w:highlight w:val="none"/>
          <w:u w:val="single"/>
        </w:rPr>
        <w:t xml:space="preserve">                   </w:t>
      </w:r>
      <w:r/>
    </w:p>
    <w:p>
      <w:pPr>
        <w:pStyle w:val="752"/>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地</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址：</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邮政编码：</w:t>
      </w:r>
      <w:r>
        <w:rPr>
          <w:rFonts w:ascii="Times New Roman" w:hAnsi="Times New Roman" w:eastAsia="宋体"/>
          <w:color w:val="auto"/>
          <w:sz w:val="24"/>
          <w:highlight w:val="none"/>
          <w:u w:val="single"/>
        </w:rPr>
        <w:t xml:space="preserve">                   </w:t>
      </w:r>
      <w:r/>
    </w:p>
    <w:p>
      <w:pPr>
        <w:pStyle w:val="752"/>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联系电话：</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传</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真：</w:t>
      </w:r>
      <w:r>
        <w:rPr>
          <w:rFonts w:ascii="Times New Roman" w:hAnsi="Times New Roman" w:eastAsia="宋体"/>
          <w:color w:val="auto"/>
          <w:sz w:val="24"/>
          <w:highlight w:val="none"/>
          <w:u w:val="single"/>
        </w:rPr>
        <w:t xml:space="preserve">                   </w:t>
      </w:r>
      <w:r/>
    </w:p>
    <w:p>
      <w:pPr>
        <w:pStyle w:val="752"/>
        <w:ind w:firstLine="425"/>
        <w:spacing w:line="440" w:lineRule="exact"/>
        <w:rPr>
          <w:rFonts w:hint="eastAsia" w:ascii="Times New Roman" w:hAnsi="宋体" w:eastAsia="宋体"/>
          <w:bCs/>
          <w:color w:val="auto"/>
          <w:sz w:val="21"/>
          <w:szCs w:val="21"/>
          <w:highlight w:val="none"/>
        </w:rPr>
      </w:pPr>
      <w:r>
        <w:rPr>
          <w:rFonts w:hint="eastAsia" w:ascii="Times New Roman" w:hAnsi="宋体" w:eastAsia="宋体"/>
          <w:bCs/>
          <w:color w:val="auto"/>
          <w:sz w:val="21"/>
          <w:szCs w:val="21"/>
          <w:highlight w:val="none"/>
        </w:rPr>
      </w:r>
      <w:r/>
    </w:p>
    <w:p>
      <w:pPr>
        <w:pStyle w:val="752"/>
        <w:ind w:firstLine="425"/>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投标人：（公章）</w:t>
      </w:r>
      <w:r/>
    </w:p>
    <w:p>
      <w:pPr>
        <w:ind w:firstLine="420"/>
        <w:spacing w:line="440" w:lineRule="exact"/>
        <w:rPr>
          <w:bCs/>
          <w:color w:val="auto"/>
          <w:szCs w:val="21"/>
          <w:highlight w:val="none"/>
        </w:rPr>
      </w:pPr>
      <w:r>
        <w:rPr>
          <w:rFonts w:hint="eastAsia" w:hAnsi="宋体"/>
          <w:bCs/>
          <w:color w:val="auto"/>
          <w:szCs w:val="21"/>
          <w:highlight w:val="none"/>
        </w:rPr>
        <w:t xml:space="preserve">单位法定代表人或代理人：（签名或签章）</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2</w:t>
      </w:r>
      <w:r>
        <w:rPr>
          <w:rFonts w:hint="eastAsia" w:hAnsi="宋体"/>
          <w:bCs/>
          <w:color w:val="auto"/>
          <w:szCs w:val="21"/>
          <w:highlight w:val="none"/>
        </w:rPr>
        <w:t xml:space="preserve">、法人授权委托书</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法人授权委托书</w:t>
      </w:r>
      <w:r/>
    </w:p>
    <w:p>
      <w:pPr>
        <w:pStyle w:val="925"/>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rPr>
          <w:bCs/>
          <w:color w:val="auto"/>
          <w:szCs w:val="21"/>
          <w:highlight w:val="none"/>
        </w:rPr>
      </w:pPr>
      <w:r>
        <w:rPr>
          <w:rFonts w:hint="eastAsia" w:hAnsi="宋体"/>
          <w:bCs/>
          <w:color w:val="auto"/>
          <w:szCs w:val="21"/>
          <w:highlight w:val="none"/>
        </w:rPr>
        <w:t xml:space="preserve">本授权委托书声明：</w:t>
      </w:r>
      <w:r>
        <w:rPr>
          <w:bCs/>
          <w:color w:val="auto"/>
          <w:szCs w:val="21"/>
          <w:highlight w:val="none"/>
        </w:rPr>
        <w:t xml:space="preserve">  </w:t>
      </w:r>
      <w:r>
        <w:rPr>
          <w:rFonts w:hint="eastAsia" w:hAnsi="宋体"/>
          <w:bCs/>
          <w:color w:val="auto"/>
          <w:szCs w:val="21"/>
          <w:highlight w:val="none"/>
        </w:rPr>
        <w:t xml:space="preserve">我</w:t>
      </w:r>
      <w:r>
        <w:rPr>
          <w:bCs/>
          <w:color w:val="auto"/>
          <w:szCs w:val="21"/>
          <w:highlight w:val="none"/>
          <w:u w:val="single"/>
        </w:rPr>
        <w:t xml:space="preserve">  X  X  X </w:t>
      </w:r>
      <w:r>
        <w:rPr>
          <w:rFonts w:hint="eastAsia" w:hAnsi="宋体"/>
          <w:bCs/>
          <w:color w:val="auto"/>
          <w:szCs w:val="21"/>
          <w:highlight w:val="none"/>
        </w:rPr>
        <w:t xml:space="preserve">（姓名）系</w:t>
      </w:r>
      <w:r>
        <w:rPr>
          <w:bCs/>
          <w:color w:val="auto"/>
          <w:szCs w:val="21"/>
          <w:highlight w:val="none"/>
          <w:u w:val="single"/>
        </w:rPr>
        <w:t xml:space="preserve">     X   X   X      </w:t>
      </w:r>
      <w:r>
        <w:rPr>
          <w:rFonts w:hint="eastAsia" w:hAnsi="宋体"/>
          <w:bCs/>
          <w:color w:val="auto"/>
          <w:szCs w:val="21"/>
          <w:highlight w:val="none"/>
        </w:rPr>
        <w:t xml:space="preserve">（投标人名称）的法定代表人，现授权委托</w:t>
      </w:r>
      <w:r>
        <w:rPr>
          <w:bCs/>
          <w:color w:val="auto"/>
          <w:szCs w:val="21"/>
          <w:highlight w:val="none"/>
          <w:u w:val="single"/>
        </w:rPr>
        <w:t xml:space="preserve">X  X  X </w:t>
      </w:r>
      <w:r>
        <w:rPr>
          <w:rFonts w:hint="eastAsia" w:hAnsi="宋体"/>
          <w:bCs/>
          <w:color w:val="auto"/>
          <w:szCs w:val="21"/>
          <w:highlight w:val="none"/>
        </w:rPr>
        <w:t xml:space="preserve">（姓名）为我公司代理人，以本公司的名义参加苏州市卫康招投标咨询服务有限公司组织实施的编号为</w:t>
      </w:r>
      <w:r>
        <w:rPr>
          <w:bCs/>
          <w:color w:val="auto"/>
          <w:szCs w:val="21"/>
          <w:highlight w:val="none"/>
          <w:u w:val="single"/>
        </w:rPr>
        <w:t xml:space="preserve">   X   X   X   </w:t>
      </w:r>
      <w:r>
        <w:rPr>
          <w:rFonts w:hint="eastAsia" w:hAnsi="宋体"/>
          <w:bCs/>
          <w:color w:val="auto"/>
          <w:szCs w:val="21"/>
          <w:highlight w:val="none"/>
        </w:rPr>
        <w:t xml:space="preserve">号公开招标的招投标活动。代理人在开标、评标、合同谈判过程中所签署的一切文件和处理与这有关的一切事务，我均予以承认。</w:t>
      </w:r>
      <w:r/>
    </w:p>
    <w:p>
      <w:pPr>
        <w:ind w:firstLine="420"/>
        <w:spacing w:line="360" w:lineRule="auto"/>
        <w:rPr>
          <w:bCs/>
          <w:color w:val="auto"/>
          <w:szCs w:val="21"/>
          <w:highlight w:val="none"/>
        </w:rPr>
      </w:pPr>
      <w:r>
        <w:rPr>
          <w:rFonts w:hint="eastAsia" w:hAnsi="宋体"/>
          <w:bCs/>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auto"/>
          <w:szCs w:val="21"/>
          <w:highlight w:val="none"/>
        </w:rPr>
      </w:pPr>
      <w:r>
        <w:rPr>
          <w:rFonts w:hint="eastAsia" w:hAnsi="宋体"/>
          <w:bCs/>
          <w:color w:val="auto"/>
          <w:szCs w:val="21"/>
          <w:highlight w:val="none"/>
        </w:rPr>
        <w:t xml:space="preserve">代理人无转委托权。特此委托。</w:t>
      </w:r>
      <w:r/>
    </w:p>
    <w:p>
      <w:pPr>
        <w:pStyle w:val="925"/>
        <w:spacing w:line="360" w:lineRule="auto"/>
        <w:rPr>
          <w:rFonts w:eastAsia="宋体"/>
          <w:color w:val="auto"/>
          <w:szCs w:val="24"/>
          <w:highlight w:val="none"/>
        </w:rPr>
      </w:pPr>
      <w:r>
        <w:rPr>
          <w:rFonts w:eastAsia="宋体"/>
          <w:color w:val="auto"/>
          <w:szCs w:val="24"/>
          <w:highlight w:val="none"/>
        </w:rPr>
      </w:r>
      <w:r/>
    </w:p>
    <w:p>
      <w:pPr>
        <w:pStyle w:val="925"/>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投标人：（公章）</w:t>
      </w:r>
      <w:r/>
    </w:p>
    <w:p>
      <w:pPr>
        <w:pStyle w:val="925"/>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法定代表人：（签名或签章）</w:t>
      </w:r>
      <w:r/>
    </w:p>
    <w:p>
      <w:pPr>
        <w:pStyle w:val="925"/>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代理人：（签名或签章）</w:t>
      </w:r>
      <w:r/>
    </w:p>
    <w:p>
      <w:pPr>
        <w:pStyle w:val="925"/>
        <w:spacing w:line="360" w:lineRule="auto"/>
        <w:rPr>
          <w:rFonts w:eastAsia="宋体"/>
          <w:bCs/>
          <w:color w:val="auto"/>
          <w:sz w:val="21"/>
          <w:szCs w:val="21"/>
          <w:highlight w:val="none"/>
        </w:rPr>
      </w:pPr>
      <w:r>
        <w:rPr>
          <w:rFonts w:eastAsia="宋体"/>
          <w:bCs/>
          <w:color w:val="auto"/>
          <w:sz w:val="21"/>
          <w:szCs w:val="21"/>
          <w:highlight w:val="none"/>
        </w:rPr>
      </w:r>
      <w:r/>
    </w:p>
    <w:p>
      <w:pPr>
        <w:pStyle w:val="925"/>
        <w:spacing w:line="360" w:lineRule="auto"/>
        <w:rPr>
          <w:rFonts w:eastAsia="宋体"/>
          <w:bCs/>
          <w:color w:val="auto"/>
          <w:sz w:val="21"/>
          <w:szCs w:val="21"/>
          <w:highlight w:val="none"/>
        </w:rPr>
      </w:pPr>
      <w:r>
        <w:rPr>
          <w:rFonts w:eastAsia="宋体"/>
          <w:bCs/>
          <w:color w:val="auto"/>
          <w:sz w:val="21"/>
          <w:szCs w:val="21"/>
          <w:highlight w:val="none"/>
        </w:rPr>
      </w:r>
      <w:r/>
    </w:p>
    <w:p>
      <w:pPr>
        <w:pStyle w:val="925"/>
        <w:jc w:val="right"/>
        <w:spacing w:line="360" w:lineRule="auto"/>
        <w:rPr>
          <w:rFonts w:eastAsia="宋体"/>
          <w:bCs/>
          <w:color w:val="auto"/>
          <w:sz w:val="21"/>
          <w:szCs w:val="21"/>
          <w:highlight w:val="none"/>
        </w:rPr>
      </w:pPr>
      <w:r>
        <w:rPr>
          <w:rFonts w:eastAsia="宋体"/>
          <w:bCs/>
          <w:color w:val="auto"/>
          <w:sz w:val="21"/>
          <w:szCs w:val="21"/>
          <w:highlight w:val="none"/>
        </w:rPr>
      </w:r>
      <w:r/>
    </w:p>
    <w:p>
      <w:pPr>
        <w:pStyle w:val="925"/>
        <w:jc w:val="center"/>
        <w:spacing w:line="360" w:lineRule="auto"/>
        <w:rPr>
          <w:rFonts w:eastAsia="宋体"/>
          <w:bCs/>
          <w:color w:val="auto"/>
          <w:sz w:val="21"/>
          <w:szCs w:val="21"/>
          <w:highlight w:val="none"/>
        </w:rPr>
      </w:pPr>
      <w:r>
        <w:rPr>
          <w:rFonts w:eastAsia="宋体"/>
          <w:bCs/>
          <w:color w:val="auto"/>
          <w:sz w:val="21"/>
          <w:szCs w:val="21"/>
          <w:highlight w:val="none"/>
        </w:rPr>
        <w:t xml:space="preserve">                                       </w:t>
      </w:r>
      <w:r>
        <w:rPr>
          <w:rFonts w:hint="eastAsia" w:hAnsi="宋体" w:eastAsia="宋体"/>
          <w:bCs/>
          <w:color w:val="auto"/>
          <w:sz w:val="21"/>
          <w:szCs w:val="21"/>
          <w:highlight w:val="none"/>
        </w:rPr>
        <w:t xml:space="preserve">年</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月</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3</w:t>
      </w:r>
      <w:r>
        <w:rPr>
          <w:rFonts w:hint="eastAsia" w:hAnsi="宋体"/>
          <w:bCs/>
          <w:color w:val="auto"/>
          <w:szCs w:val="21"/>
          <w:highlight w:val="none"/>
        </w:rPr>
        <w:t xml:space="preserve">、开标一览表</w:t>
      </w:r>
      <w:r/>
    </w:p>
    <w:p>
      <w:pPr>
        <w:jc w:val="center"/>
        <w:spacing w:line="360" w:lineRule="auto"/>
        <w:rPr>
          <w:rFonts w:eastAsia="黑体"/>
          <w:b/>
          <w:color w:val="auto"/>
          <w:sz w:val="32"/>
          <w:szCs w:val="32"/>
          <w:highlight w:val="none"/>
          <w:lang w:val="zh-CN"/>
        </w:rPr>
      </w:pPr>
      <w:r>
        <w:rPr>
          <w:rFonts w:hint="eastAsia" w:eastAsia="黑体"/>
          <w:b/>
          <w:color w:val="auto"/>
          <w:sz w:val="32"/>
          <w:szCs w:val="32"/>
          <w:highlight w:val="none"/>
          <w:lang w:val="zh-CN"/>
        </w:rPr>
        <w:t xml:space="preserve">           开标一览表</w:t>
      </w:r>
      <w:r>
        <w:rPr>
          <w:rFonts w:hint="eastAsia" w:ascii="宋体" w:hAnsi="宋体" w:cs="宋体"/>
          <w:bCs/>
          <w:color w:val="auto"/>
          <w:szCs w:val="21"/>
          <w:highlight w:val="none"/>
        </w:rPr>
        <w:t xml:space="preserve">（以电子投标制作工具中格式为准）</w:t>
      </w:r>
      <w:r/>
    </w:p>
    <w:p>
      <w:pPr>
        <w:ind w:firstLine="359"/>
        <w:spacing w:line="360" w:lineRule="auto"/>
        <w:rPr>
          <w:color w:val="auto"/>
          <w:highlight w:val="none"/>
          <w:lang w:val="zh-CN"/>
        </w:rPr>
      </w:pPr>
      <w:r>
        <w:rPr>
          <w:color w:val="auto"/>
          <w:highlight w:val="none"/>
          <w:lang w:val="zh-CN"/>
        </w:rPr>
      </w:r>
      <w:r/>
    </w:p>
    <w:p>
      <w:pPr>
        <w:ind w:firstLine="359"/>
        <w:spacing w:line="360" w:lineRule="auto"/>
        <w:rPr>
          <w:color w:val="auto"/>
          <w:highlight w:val="none"/>
          <w:lang w:val="zh-CN"/>
        </w:rPr>
      </w:pPr>
      <w:r>
        <w:rPr>
          <w:rFonts w:hint="eastAsia"/>
          <w:color w:val="auto"/>
          <w:highlight w:val="none"/>
          <w:lang w:val="zh-CN"/>
        </w:rPr>
        <w:t xml:space="preserve">项目编号：</w:t>
      </w:r>
      <w:r/>
    </w:p>
    <w:tbl>
      <w:tblPr>
        <w:tblStyle w:val="744"/>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color w:val="auto"/>
                <w:highlight w:val="none"/>
                <w:lang w:val="zh-CN"/>
              </w:rPr>
            </w:pPr>
            <w:r>
              <w:rPr>
                <w:rFonts w:hint="eastAsia"/>
                <w:color w:val="auto"/>
                <w:highlight w:val="none"/>
                <w:lang w:val="zh-CN"/>
              </w:rPr>
              <w:t xml:space="preserve">项目名称：</w:t>
            </w:r>
            <w:r>
              <w:rPr>
                <w:rFonts w:hint="eastAsia" w:ascii="宋体" w:hAnsi="宋体" w:cs="宋体"/>
                <w:bCs/>
                <w:color w:val="auto"/>
                <w:szCs w:val="21"/>
                <w:highlight w:val="none"/>
              </w:rPr>
              <w:t xml:space="preserve">苏州市吴中区尹山湖医院信息网络安全建设</w:t>
            </w:r>
            <w:r/>
          </w:p>
        </w:tc>
        <w:tc>
          <w:tcPr>
            <w:tcW w:w="4264" w:type="dxa"/>
            <w:vAlign w:val="center"/>
            <w:textDirection w:val="lrTb"/>
            <w:noWrap w:val="false"/>
          </w:tcPr>
          <w:p>
            <w:pPr>
              <w:jc w:val="center"/>
              <w:spacing w:before="120" w:line="360" w:lineRule="auto"/>
              <w:rPr>
                <w:color w:val="auto"/>
                <w:highlight w:val="none"/>
                <w:lang w:val="zh-CN"/>
              </w:rPr>
            </w:pPr>
            <w:r>
              <w:rPr>
                <w:rFonts w:hint="eastAsia"/>
                <w:color w:val="auto"/>
                <w:highlight w:val="none"/>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jc w:val="center"/>
              <w:spacing w:before="120" w:line="360" w:lineRule="auto"/>
              <w:rPr>
                <w:color w:val="auto"/>
                <w:highlight w:val="none"/>
                <w:lang w:val="zh-CN"/>
              </w:rPr>
            </w:pPr>
            <w:r>
              <w:rPr>
                <w:rFonts w:hint="eastAsia"/>
                <w:color w:val="auto"/>
                <w:highlight w:val="none"/>
                <w:lang w:val="zh-CN"/>
              </w:rPr>
              <w:t xml:space="preserve">金额小写：      （元人民币）</w:t>
            </w:r>
            <w:r/>
          </w:p>
        </w:tc>
      </w:tr>
      <w:tr>
        <w:trPr>
          <w:trHeight w:val="694"/>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ind w:firstLine="630"/>
              <w:spacing w:before="120" w:line="360" w:lineRule="auto"/>
              <w:rPr>
                <w:color w:val="auto"/>
                <w:highlight w:val="none"/>
                <w:lang w:val="zh-CN"/>
              </w:rPr>
            </w:pPr>
            <w:r>
              <w:rPr>
                <w:rFonts w:hint="eastAsia"/>
                <w:color w:val="auto"/>
                <w:highlight w:val="none"/>
                <w:lang w:val="zh-CN"/>
              </w:rPr>
              <w:t xml:space="preserve">金额大写：</w:t>
            </w:r>
            <w:r/>
          </w:p>
        </w:tc>
      </w:tr>
    </w:tbl>
    <w:p>
      <w:pPr>
        <w:ind w:firstLine="359"/>
        <w:spacing w:line="360" w:lineRule="auto"/>
        <w:rPr>
          <w:color w:val="auto"/>
          <w:highlight w:val="none"/>
          <w:lang w:val="zh-CN"/>
        </w:rPr>
      </w:pPr>
      <w:r>
        <w:rPr>
          <w:color w:val="auto"/>
          <w:highlight w:val="none"/>
          <w:lang w:val="zh-CN"/>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color w:val="auto"/>
          <w:highlight w:val="none"/>
        </w:rPr>
      </w:pPr>
      <w:r>
        <w:rPr>
          <w:color w:val="auto"/>
          <w:highlight w:val="none"/>
        </w:rPr>
      </w:r>
      <w:r/>
    </w:p>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spacing w:line="360" w:lineRule="auto"/>
        <w:rPr>
          <w:b/>
          <w:color w:val="auto"/>
          <w:highlight w:val="none"/>
        </w:rPr>
      </w:pPr>
      <w:r>
        <w:rPr>
          <w:b/>
          <w:color w:val="auto"/>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4</w:t>
      </w:r>
      <w:r>
        <w:rPr>
          <w:rFonts w:hint="eastAsia" w:hAnsi="宋体"/>
          <w:bCs/>
          <w:color w:val="auto"/>
          <w:szCs w:val="21"/>
          <w:highlight w:val="none"/>
        </w:rPr>
        <w:t xml:space="preserve">、投标分项报价表（报价分析）</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投标分项报价表</w:t>
      </w:r>
      <w:r/>
    </w:p>
    <w:p>
      <w:pPr>
        <w:jc w:val="center"/>
        <w:spacing w:line="360" w:lineRule="auto"/>
        <w:rPr>
          <w:color w:val="auto"/>
          <w:szCs w:val="21"/>
          <w:highlight w:val="none"/>
          <w:lang w:val="zh-CN"/>
        </w:rPr>
      </w:pPr>
      <w:r>
        <w:rPr>
          <w:rFonts w:hint="eastAsia"/>
          <w:color w:val="auto"/>
          <w:szCs w:val="21"/>
          <w:highlight w:val="none"/>
          <w:lang w:val="zh-CN"/>
        </w:rPr>
        <w:t xml:space="preserve">（格式）</w:t>
      </w:r>
      <w:r/>
    </w:p>
    <w:p>
      <w:pPr>
        <w:spacing w:line="360" w:lineRule="auto"/>
        <w:rPr>
          <w:color w:val="auto"/>
          <w:highlight w:val="none"/>
          <w:lang w:val="zh-CN"/>
        </w:rPr>
      </w:pPr>
      <w:r>
        <w:rPr>
          <w:rFonts w:hint="eastAsia"/>
          <w:color w:val="auto"/>
          <w:highlight w:val="none"/>
          <w:lang w:val="zh-CN"/>
        </w:rPr>
        <w:t xml:space="preserve">采购编号：</w:t>
      </w:r>
      <w:r>
        <w:rPr>
          <w:color w:val="auto"/>
          <w:highlight w:val="none"/>
          <w:lang w:val="zh-CN"/>
        </w:rPr>
        <w:t xml:space="preserve">    </w:t>
      </w:r>
      <w:r/>
    </w:p>
    <w:tbl>
      <w:tblPr>
        <w:tblStyle w:val="744"/>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9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品牌</w:t>
            </w:r>
            <w:r/>
          </w:p>
        </w:tc>
        <w:tc>
          <w:tcPr>
            <w:tcW w:w="107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98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W w:w="86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78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9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782" w:type="dxa"/>
            <w:vAlign w:val="center"/>
            <w:textDirection w:val="lrTb"/>
            <w:noWrap w:val="false"/>
          </w:tcPr>
          <w:p>
            <w:pPr>
              <w:ind w:firstLine="42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90" w:type="dxa"/>
            <w:vAlign w:val="center"/>
            <w:textDirection w:val="lrTb"/>
            <w:noWrap w:val="false"/>
          </w:tcPr>
          <w:p>
            <w:pPr>
              <w:ind w:firstLine="42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9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9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0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ffffff"/>
            <w:tcW w:w="82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86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gridSpan w:val="8"/>
            <w:tcW w:w="8568" w:type="dxa"/>
            <w:vAlign w:val="top"/>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本</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rPr>
              <w:t xml:space="preserve">中提供的符合本国产品标准的产品成本之和占该采购包提供的全部产品成本之和的比例为</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w:t>
            </w:r>
            <w:r/>
          </w:p>
        </w:tc>
      </w:tr>
    </w:tbl>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ind w:firstLine="359"/>
        <w:spacing w:line="360" w:lineRule="auto"/>
        <w:rPr>
          <w:color w:val="auto"/>
          <w:highlight w:val="none"/>
          <w:lang w:val="zh-CN"/>
        </w:rPr>
      </w:pPr>
      <w:r>
        <w:rPr>
          <w:color w:val="auto"/>
          <w:highlight w:val="none"/>
          <w:lang w:val="zh-CN"/>
        </w:rPr>
      </w:r>
      <w:r/>
    </w:p>
    <w:p>
      <w:pPr>
        <w:ind w:firstLine="359"/>
        <w:spacing w:line="360" w:lineRule="auto"/>
        <w:rPr>
          <w:color w:val="auto"/>
          <w:highlight w:val="none"/>
          <w:lang w:val="zh-CN"/>
        </w:rPr>
      </w:pPr>
      <w:r>
        <w:rPr>
          <w:color w:val="auto"/>
          <w:highlight w:val="none"/>
          <w:lang w:val="zh-CN"/>
        </w:rPr>
      </w:r>
      <w:r/>
    </w:p>
    <w:p>
      <w:pPr>
        <w:ind w:firstLine="21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1、该表</w:t>
      </w:r>
      <w:r>
        <w:rPr>
          <w:rFonts w:hint="eastAsia" w:ascii="宋体" w:hAnsi="宋体" w:eastAsia="宋体" w:cs="宋体"/>
          <w:color w:val="auto"/>
          <w:highlight w:val="none"/>
          <w:lang w:val="zh-CN"/>
        </w:rPr>
        <w:t xml:space="preserve">中“投标总报价”数额应当与“开标一览表”中“投标总报价”数额一致。</w:t>
      </w:r>
      <w:r/>
    </w:p>
    <w:p>
      <w:pPr>
        <w:ind w:firstLine="21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2、本项目</w:t>
      </w:r>
      <w:r>
        <w:rPr>
          <w:rFonts w:hint="eastAsia" w:ascii="宋体" w:hAnsi="宋体" w:eastAsia="宋体" w:cs="宋体"/>
          <w:color w:val="auto"/>
          <w:highlight w:val="none"/>
          <w:lang w:val="zh-CN"/>
        </w:rPr>
        <w:t xml:space="preserve">含有多种产品时，</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zh-CN"/>
        </w:rPr>
        <w:t xml:space="preserve">未填写</w:t>
      </w:r>
      <w:r>
        <w:rPr>
          <w:rFonts w:hint="eastAsia" w:ascii="宋体" w:hAnsi="宋体" w:eastAsia="宋体" w:cs="宋体"/>
          <w:color w:val="auto"/>
          <w:highlight w:val="none"/>
          <w:lang w:val="en-US" w:eastAsia="zh-CN"/>
        </w:rPr>
        <w:t xml:space="preserve">所</w:t>
      </w:r>
      <w:r>
        <w:rPr>
          <w:rFonts w:hint="eastAsia" w:ascii="宋体" w:hAnsi="宋体" w:eastAsia="宋体" w:cs="宋体"/>
          <w:color w:val="auto"/>
          <w:highlight w:val="none"/>
          <w:lang w:val="zh-CN"/>
        </w:rPr>
        <w:t xml:space="preserve">提供的符合本国产品标准的产品成本之和占该采购包提供的全部产品成本之和的比例数值的，或比例数值未达到80%的，将不享受本国产品价格评审优惠。</w:t>
      </w:r>
      <w:r/>
    </w:p>
    <w:p>
      <w:pPr>
        <w:ind w:firstLine="21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rPr>
        <w:t xml:space="preserve">投标人需认真填写本报价表，尤其注意规格型号的准确填写。</w:t>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5</w:t>
      </w:r>
      <w:r>
        <w:rPr>
          <w:rFonts w:hint="eastAsia" w:hAnsi="宋体"/>
          <w:bCs/>
          <w:color w:val="auto"/>
          <w:szCs w:val="21"/>
          <w:highlight w:val="none"/>
        </w:rPr>
        <w:t xml:space="preserve">、投标货物技术对照表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投标货物技术对照表</w:t>
      </w:r>
      <w:r/>
    </w:p>
    <w:p>
      <w:pPr>
        <w:spacing w:line="360" w:lineRule="auto"/>
        <w:rPr>
          <w:bCs/>
          <w:color w:val="auto"/>
          <w:szCs w:val="21"/>
          <w:highlight w:val="none"/>
        </w:rPr>
      </w:pPr>
      <w:r>
        <w:rPr>
          <w:rFonts w:hint="eastAsia" w:hAnsi="宋体"/>
          <w:bCs/>
          <w:color w:val="auto"/>
          <w:szCs w:val="21"/>
          <w:highlight w:val="none"/>
        </w:rPr>
        <w:t xml:space="preserve">采购编号：</w:t>
      </w:r>
      <w:r>
        <w:rPr>
          <w:rFonts w:hAnsi="宋体"/>
          <w:bCs/>
          <w:color w:val="auto"/>
          <w:szCs w:val="21"/>
          <w:highlight w:val="none"/>
        </w:rPr>
        <w:t xml:space="preserve">                                               </w:t>
      </w:r>
      <w:r/>
    </w:p>
    <w:tbl>
      <w:tblPr>
        <w:tblStyle w:val="744"/>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878"/>
        <w:gridCol w:w="1148"/>
        <w:gridCol w:w="1620"/>
        <w:gridCol w:w="1980"/>
        <w:gridCol w:w="1800"/>
      </w:tblGrid>
      <w:tr>
        <w:trPr>
          <w:trHeight w:val="872" w:hRule="exact"/>
        </w:trPr>
        <w:tc>
          <w:tcPr>
            <w:tcBorders>
              <w:bottom w:val="single" w:color="000000" w:sz="4" w:space="0"/>
              <w:right w:val="single" w:color="000000" w:sz="4" w:space="0"/>
            </w:tcBorders>
            <w:tcW w:w="78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Borders>
              <w:left w:val="single" w:color="000000" w:sz="4" w:space="0"/>
              <w:bottom w:val="single" w:color="000000" w:sz="4" w:space="0"/>
              <w:right w:val="single" w:color="000000" w:sz="4" w:space="0"/>
            </w:tcBorders>
            <w:tcW w:w="878"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设备名称</w:t>
            </w:r>
            <w:r/>
          </w:p>
          <w:p>
            <w:pPr>
              <w:jc w:val="center"/>
              <w:rPr>
                <w:bCs/>
                <w:color w:val="auto"/>
                <w:szCs w:val="21"/>
                <w:highlight w:val="none"/>
              </w:rPr>
            </w:pPr>
            <w:r>
              <w:rPr>
                <w:bCs/>
                <w:color w:val="auto"/>
                <w:szCs w:val="21"/>
                <w:highlight w:val="none"/>
              </w:rPr>
            </w:r>
            <w:r/>
          </w:p>
        </w:tc>
        <w:tc>
          <w:tcPr>
            <w:tcBorders>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hAnsi="宋体"/>
                <w:bCs/>
                <w:color w:val="auto"/>
                <w:szCs w:val="21"/>
                <w:highlight w:val="none"/>
              </w:rPr>
            </w:pPr>
            <w:r>
              <w:rPr>
                <w:rFonts w:hint="eastAsia" w:hAnsi="宋体"/>
                <w:bCs/>
                <w:color w:val="auto"/>
                <w:szCs w:val="21"/>
                <w:highlight w:val="none"/>
              </w:rPr>
              <w:t xml:space="preserve">品牌、型号（规格）</w:t>
            </w:r>
            <w:r/>
          </w:p>
        </w:tc>
        <w:tc>
          <w:tcPr>
            <w:tcBorders>
              <w:left w:val="single" w:color="000000" w:sz="4" w:space="0"/>
              <w:bottom w:val="single" w:color="000000" w:sz="4" w:space="0"/>
              <w:right w:val="single" w:color="000000" w:sz="4" w:space="0"/>
            </w:tcBorders>
            <w:tcW w:w="162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招标技术要求</w:t>
            </w:r>
            <w:r/>
          </w:p>
        </w:tc>
        <w:tc>
          <w:tcPr>
            <w:tcBorders>
              <w:left w:val="single" w:color="000000" w:sz="4" w:space="0"/>
              <w:bottom w:val="single" w:color="000000" w:sz="4" w:space="0"/>
              <w:right w:val="single" w:color="000000" w:sz="4" w:space="0"/>
            </w:tcBorders>
            <w:tcW w:w="198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投标产品技术指标</w:t>
            </w:r>
            <w:r/>
          </w:p>
        </w:tc>
        <w:tc>
          <w:tcPr>
            <w:tcBorders>
              <w:left w:val="single" w:color="000000" w:sz="4" w:space="0"/>
              <w:bottom w:val="single" w:color="000000" w:sz="4" w:space="0"/>
            </w:tcBorders>
            <w:tcW w:w="180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选择项（符合、正偏离或负偏离）</w:t>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Borders>
              <w:top w:val="single" w:color="000000" w:sz="4" w:space="0"/>
              <w:right w:val="single" w:color="000000" w:sz="4" w:space="0"/>
            </w:tcBorders>
            <w:tcW w:w="782"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87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1148"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162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right w:val="single" w:color="000000" w:sz="4" w:space="0"/>
            </w:tcBorders>
            <w:tcW w:w="1980" w:type="dxa"/>
            <w:vAlign w:val="center"/>
            <w:textDirection w:val="lrTb"/>
            <w:noWrap w:val="false"/>
          </w:tcPr>
          <w:p>
            <w:pPr>
              <w:jc w:val="center"/>
              <w:spacing w:line="480" w:lineRule="auto"/>
              <w:rPr>
                <w:color w:val="auto"/>
                <w:highlight w:val="none"/>
              </w:rPr>
            </w:pPr>
            <w:r>
              <w:rPr>
                <w:color w:val="auto"/>
                <w:highlight w:val="none"/>
              </w:rPr>
            </w:r>
            <w:r/>
          </w:p>
        </w:tc>
        <w:tc>
          <w:tcPr>
            <w:tcBorders>
              <w:top w:val="single" w:color="000000" w:sz="4" w:space="0"/>
              <w:left w:val="single" w:color="000000" w:sz="4" w:space="0"/>
            </w:tcBorders>
            <w:tcW w:w="1800" w:type="dxa"/>
            <w:vAlign w:val="center"/>
            <w:textDirection w:val="lrTb"/>
            <w:noWrap w:val="false"/>
          </w:tcPr>
          <w:p>
            <w:pPr>
              <w:jc w:val="center"/>
              <w:spacing w:line="480" w:lineRule="auto"/>
              <w:rPr>
                <w:color w:val="auto"/>
                <w:highlight w:val="none"/>
              </w:rPr>
            </w:pPr>
            <w:r>
              <w:rPr>
                <w:color w:val="auto"/>
                <w:highlight w:val="none"/>
              </w:rPr>
            </w:r>
            <w:r/>
          </w:p>
        </w:tc>
      </w:tr>
    </w:tbl>
    <w:p>
      <w:pPr>
        <w:spacing w:line="360" w:lineRule="auto"/>
        <w:rPr>
          <w:color w:val="auto"/>
          <w:highlight w:val="none"/>
          <w:lang w:val="zh-CN"/>
        </w:rPr>
      </w:pPr>
      <w:r>
        <w:rPr>
          <w:color w:val="auto"/>
          <w:highlight w:val="none"/>
          <w:lang w:val="zh-CN"/>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注：1、各投标人可参照上述格式自制《投标货物技术对照表》投标。</w:t>
      </w:r>
      <w:r/>
    </w:p>
    <w:p>
      <w:pPr>
        <w:ind w:firstLine="411"/>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spacing w:line="360" w:lineRule="auto"/>
        <w:rPr>
          <w:rFonts w:ascii="Times New Roman" w:hAnsi="Times New Roman"/>
          <w:bCs/>
          <w:color w:val="auto"/>
          <w:szCs w:val="21"/>
          <w:highlight w:val="none"/>
        </w:rPr>
        <w:outlineLvl w:val="0"/>
      </w:pPr>
      <w:r>
        <w:rPr>
          <w:color w:val="auto"/>
          <w:highlight w:val="none"/>
          <w:lang w:val="zh-CN"/>
        </w:rPr>
        <w:br w:type="page" w:clear="all"/>
      </w:r>
      <w:r>
        <w:rPr>
          <w:rFonts w:ascii="Times New Roman" w:hAnsi="宋体"/>
          <w:bCs/>
          <w:color w:val="auto"/>
          <w:szCs w:val="21"/>
          <w:highlight w:val="none"/>
        </w:rPr>
        <w:t xml:space="preserve">格式</w:t>
      </w:r>
      <w:r>
        <w:rPr>
          <w:rFonts w:ascii="Times New Roman" w:hAnsi="Times New Roman"/>
          <w:bCs/>
          <w:color w:val="auto"/>
          <w:szCs w:val="21"/>
          <w:highlight w:val="none"/>
        </w:rPr>
        <w:t xml:space="preserve">6</w:t>
      </w:r>
      <w:r>
        <w:rPr>
          <w:rFonts w:ascii="Times New Roman" w:hAnsi="宋体"/>
          <w:bCs/>
          <w:color w:val="auto"/>
          <w:szCs w:val="21"/>
          <w:highlight w:val="none"/>
        </w:rPr>
        <w:t xml:space="preserve">、设备</w:t>
      </w:r>
      <w:r>
        <w:rPr>
          <w:rFonts w:hint="eastAsia" w:ascii="Times New Roman" w:hAnsi="宋体"/>
          <w:bCs/>
          <w:color w:val="auto"/>
          <w:szCs w:val="21"/>
          <w:highlight w:val="none"/>
        </w:rPr>
        <w:t xml:space="preserve">（货物）</w:t>
      </w:r>
      <w:r>
        <w:rPr>
          <w:rFonts w:ascii="Times New Roman" w:hAnsi="宋体"/>
          <w:bCs/>
          <w:color w:val="auto"/>
          <w:szCs w:val="21"/>
          <w:highlight w:val="none"/>
        </w:rPr>
        <w:t xml:space="preserve">清单表</w:t>
      </w:r>
      <w:r/>
    </w:p>
    <w:p>
      <w:pPr>
        <w:ind w:firstLine="562"/>
        <w:jc w:val="center"/>
        <w:rPr>
          <w:rFonts w:ascii="Times New Roman" w:hAnsi="Times New Roman"/>
          <w:b/>
          <w:color w:val="auto"/>
          <w:sz w:val="28"/>
          <w:szCs w:val="28"/>
          <w:highlight w:val="none"/>
        </w:rPr>
        <w:outlineLvl w:val="0"/>
      </w:pPr>
      <w:r>
        <w:rPr>
          <w:rFonts w:hint="eastAsia" w:ascii="Times New Roman" w:hAnsi="宋体"/>
          <w:b/>
          <w:color w:val="auto"/>
          <w:sz w:val="28"/>
          <w:szCs w:val="28"/>
          <w:highlight w:val="none"/>
        </w:rPr>
        <w:t xml:space="preserve">设备（货物）</w:t>
      </w:r>
      <w:r>
        <w:rPr>
          <w:rFonts w:ascii="Times New Roman" w:hAnsi="宋体"/>
          <w:b/>
          <w:color w:val="auto"/>
          <w:sz w:val="28"/>
          <w:szCs w:val="28"/>
          <w:highlight w:val="none"/>
          <w:lang w:val="zh-CN"/>
        </w:rPr>
        <w:t xml:space="preserve">清单表</w:t>
      </w:r>
      <w:r/>
    </w:p>
    <w:p>
      <w:pPr>
        <w:jc w:val="center"/>
        <w:spacing w:before="240"/>
        <w:rPr>
          <w:rFonts w:ascii="Times New Roman" w:hAnsi="Times New Roman"/>
          <w:bCs/>
          <w:color w:val="auto"/>
          <w:szCs w:val="21"/>
          <w:highlight w:val="none"/>
        </w:rPr>
      </w:pPr>
      <w:r>
        <w:rPr>
          <w:rFonts w:ascii="Times New Roman" w:hAnsi="宋体"/>
          <w:bCs/>
          <w:color w:val="auto"/>
          <w:szCs w:val="21"/>
          <w:highlight w:val="none"/>
        </w:rPr>
        <w:t xml:space="preserve">（格式）</w:t>
      </w:r>
      <w:r/>
    </w:p>
    <w:p>
      <w:pP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采购编号：</w:t>
      </w: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序号</w:t>
            </w:r>
            <w:r/>
          </w:p>
        </w:tc>
        <w:tc>
          <w:tcPr>
            <w:tcW w:w="1059" w:type="dxa"/>
            <w:vAlign w:val="center"/>
            <w:textDirection w:val="lrTb"/>
            <w:noWrap w:val="false"/>
          </w:tcPr>
          <w:p>
            <w:pPr>
              <w:jc w:val="center"/>
              <w:spacing w:line="360" w:lineRule="auto"/>
              <w:rPr>
                <w:rFonts w:ascii="Times New Roman" w:hAnsi="Times New Roman"/>
                <w:bCs/>
                <w:color w:val="auto"/>
                <w:szCs w:val="21"/>
                <w:highlight w:val="none"/>
              </w:rPr>
            </w:pPr>
            <w:r>
              <w:rPr>
                <w:rFonts w:hint="eastAsia" w:ascii="Times New Roman" w:hAnsi="宋体"/>
                <w:bCs/>
                <w:color w:val="auto"/>
                <w:szCs w:val="21"/>
                <w:highlight w:val="none"/>
              </w:rPr>
              <w:t xml:space="preserve">设备</w:t>
            </w:r>
            <w:r>
              <w:rPr>
                <w:rFonts w:ascii="Times New Roman" w:hAnsi="宋体"/>
                <w:bCs/>
                <w:color w:val="auto"/>
                <w:szCs w:val="21"/>
                <w:highlight w:val="none"/>
              </w:rPr>
              <w:t xml:space="preserve">名称</w:t>
            </w:r>
            <w:r/>
          </w:p>
        </w:tc>
        <w:tc>
          <w:tcPr>
            <w:tcW w:w="162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生产厂家</w:t>
            </w:r>
            <w:r/>
          </w:p>
        </w:tc>
        <w:tc>
          <w:tcPr>
            <w:tcW w:w="1795"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品牌规格</w:t>
            </w:r>
            <w:r/>
          </w:p>
        </w:tc>
        <w:tc>
          <w:tcPr>
            <w:tcW w:w="988"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单位</w:t>
            </w:r>
            <w:r/>
          </w:p>
        </w:tc>
        <w:tc>
          <w:tcPr>
            <w:tcW w:w="90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数量</w:t>
            </w:r>
            <w:r/>
          </w:p>
        </w:tc>
        <w:tc>
          <w:tcPr>
            <w:tcW w:w="817"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备注</w:t>
            </w:r>
            <w:r/>
          </w:p>
        </w:tc>
      </w:tr>
      <w:tr>
        <w:trPr>
          <w:trHeight w:val="628" w:hRule="exact"/>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608" w:hRule="exact"/>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20"/>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34"/>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474" w:hRule="exact"/>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firstLine="420"/>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注：1、各投标人可参照上述格式自制《设备（货物）清单表》投标。</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2、各投标人必须附详细配置清单。</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3、包含随货物一并交付采购方的与货物有关的资料清单。</w:t>
      </w:r>
      <w:r/>
    </w:p>
    <w:p>
      <w:pPr>
        <w:jc w:val="left"/>
        <w:widowControl/>
        <w:rPr>
          <w:rFonts w:ascii="Arial" w:hAnsi="Arial" w:cs="Arial"/>
          <w:color w:val="auto"/>
          <w:szCs w:val="21"/>
          <w:highlight w:val="none"/>
        </w:rPr>
      </w:pPr>
      <w:r>
        <w:rPr>
          <w:rFonts w:hint="eastAsia" w:ascii="宋体" w:hAnsi="宋体" w:cs="宋体"/>
          <w:color w:val="auto"/>
          <w:szCs w:val="21"/>
          <w:highlight w:val="none"/>
        </w:rPr>
        <w:br w:type="page" w:clear="all"/>
      </w:r>
      <w:r>
        <w:rPr>
          <w:rFonts w:hint="eastAsia" w:ascii="Arial" w:hAnsi="Arial" w:cs="Arial"/>
          <w:color w:val="auto"/>
          <w:szCs w:val="21"/>
          <w:highlight w:val="none"/>
        </w:rPr>
        <w:t xml:space="preserve">格式7、主要配件和易损件价格清单表（如有）</w:t>
      </w:r>
      <w:r/>
    </w:p>
    <w:p>
      <w:pPr>
        <w:ind w:firstLine="420"/>
        <w:jc w:val="left"/>
        <w:spacing w:line="360" w:lineRule="auto"/>
        <w:widowControl/>
        <w:rPr>
          <w:rFonts w:ascii="Arial" w:hAnsi="Arial" w:cs="Arial"/>
          <w:color w:val="auto"/>
          <w:szCs w:val="21"/>
          <w:highlight w:val="none"/>
        </w:rPr>
      </w:pPr>
      <w:r>
        <w:rPr>
          <w:rFonts w:ascii="Arial" w:hAnsi="Arial" w:cs="Arial"/>
          <w:color w:val="auto"/>
          <w:szCs w:val="21"/>
          <w:highlight w:val="none"/>
        </w:rPr>
      </w:r>
      <w:r/>
    </w:p>
    <w:p>
      <w:pPr>
        <w:ind w:firstLine="560"/>
        <w:jc w:val="center"/>
        <w:spacing w:line="360" w:lineRule="auto"/>
        <w:widowControl/>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tbl>
      <w:tblPr>
        <w:tblStyle w:val="744"/>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624"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规格、型号</w:t>
            </w:r>
            <w:r/>
          </w:p>
        </w:tc>
        <w:tc>
          <w:tcPr>
            <w:tcW w:w="179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生产厂家</w:t>
            </w:r>
            <w:r/>
          </w:p>
        </w:tc>
        <w:tc>
          <w:tcPr>
            <w:tcW w:w="77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单位</w:t>
            </w:r>
            <w:r/>
          </w:p>
        </w:tc>
        <w:tc>
          <w:tcPr>
            <w:tcW w:w="1317"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单价（元）</w:t>
            </w:r>
            <w:r/>
          </w:p>
        </w:tc>
        <w:tc>
          <w:tcPr>
            <w:tcW w:w="788"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备注</w:t>
            </w:r>
            <w:r/>
          </w:p>
        </w:tc>
      </w:tr>
      <w:tr>
        <w:trPr>
          <w:jc w:val="center"/>
          <w:trHeight w:val="567" w:hRule="exact"/>
        </w:trPr>
        <w:tc>
          <w:tcPr>
            <w:tcW w:w="709" w:type="dxa"/>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24"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624"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624"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624"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624"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624"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ind w:firstLine="420"/>
        <w:jc w:val="left"/>
        <w:spacing w:line="360" w:lineRule="auto"/>
        <w:widowControl/>
        <w:rPr>
          <w:rFonts w:hint="eastAsia" w:ascii="Times New Roman" w:hAnsi="宋体"/>
          <w:bCs/>
          <w:color w:val="auto"/>
          <w:sz w:val="24"/>
          <w:szCs w:val="21"/>
          <w:highlight w:val="none"/>
        </w:rPr>
      </w:pPr>
      <w:r>
        <w:rPr>
          <w:rFonts w:hint="eastAsia" w:ascii="Times New Roman" w:hAnsi="宋体"/>
          <w:bCs/>
          <w:color w:val="auto"/>
          <w:sz w:val="24"/>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widowControl/>
        <w:rPr>
          <w:rFonts w:hint="eastAsia" w:ascii="Times New Roman" w:hAnsi="宋体"/>
          <w:bCs/>
          <w:color w:val="auto"/>
          <w:sz w:val="24"/>
          <w:szCs w:val="21"/>
          <w:highlight w:val="none"/>
        </w:rPr>
      </w:pPr>
      <w:r>
        <w:rPr>
          <w:rFonts w:hint="eastAsia" w:ascii="Times New Roman" w:hAnsi="宋体"/>
          <w:bCs/>
          <w:color w:val="auto"/>
          <w:sz w:val="24"/>
          <w:szCs w:val="21"/>
          <w:highlight w:val="none"/>
        </w:rPr>
      </w:r>
      <w:r/>
    </w:p>
    <w:p>
      <w:pPr>
        <w:ind w:firstLine="420"/>
        <w:jc w:val="left"/>
        <w:spacing w:line="360" w:lineRule="auto"/>
        <w:widowControl/>
        <w:rPr>
          <w:rFonts w:hint="eastAsia" w:ascii="Times New Roman" w:hAnsi="宋体"/>
          <w:bCs/>
          <w:color w:val="auto"/>
          <w:sz w:val="24"/>
          <w:szCs w:val="21"/>
          <w:highlight w:val="none"/>
        </w:rPr>
      </w:pPr>
      <w:r>
        <w:rPr>
          <w:rFonts w:hint="eastAsia" w:ascii="Times New Roman" w:hAnsi="宋体"/>
          <w:bCs/>
          <w:color w:val="auto"/>
          <w:sz w:val="24"/>
          <w:szCs w:val="21"/>
          <w:highlight w:val="none"/>
        </w:rPr>
      </w:r>
      <w:r/>
    </w:p>
    <w:p>
      <w:pPr>
        <w:ind w:firstLine="420"/>
        <w:jc w:val="left"/>
        <w:spacing w:line="360" w:lineRule="auto"/>
        <w:widowControl/>
        <w:rPr>
          <w:rFonts w:hint="eastAsia" w:ascii="Times New Roman" w:hAnsi="宋体"/>
          <w:bCs/>
          <w:color w:val="auto"/>
          <w:sz w:val="24"/>
          <w:szCs w:val="21"/>
          <w:highlight w:val="none"/>
        </w:rPr>
      </w:pPr>
      <w:r>
        <w:rPr>
          <w:rFonts w:hint="eastAsia" w:ascii="Times New Roman" w:hAnsi="宋体"/>
          <w:bCs/>
          <w:color w:val="auto"/>
          <w:sz w:val="24"/>
          <w:szCs w:val="21"/>
          <w:highlight w:val="none"/>
        </w:rPr>
      </w:r>
      <w:r/>
    </w:p>
    <w:p>
      <w:pPr>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注：1、可参照上述格式自制价格清单表。</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2、维保期满，如有配件、易损件不含在免费维保更换范围内，请在本表中详细列出，并在备注中注明更换时间或使用次数，若未列出，则视为全部包含免费维保范围。</w:t>
      </w:r>
      <w:r/>
    </w:p>
    <w:p>
      <w:pPr>
        <w:spacing w:line="360" w:lineRule="auto"/>
        <w:rPr>
          <w:bCs/>
          <w:color w:val="auto"/>
          <w:szCs w:val="21"/>
          <w:highlight w:val="none"/>
        </w:rPr>
        <w:outlineLvl w:val="0"/>
      </w:pPr>
      <w:r>
        <w:rPr>
          <w:rFonts w:hint="eastAsia" w:hAnsi="宋体"/>
          <w:bCs/>
          <w:color w:val="auto"/>
          <w:szCs w:val="21"/>
          <w:highlight w:val="none"/>
        </w:rPr>
        <w:t xml:space="preserve">格式8、商务条款偏离表</w:t>
      </w:r>
      <w:r/>
    </w:p>
    <w:p>
      <w:pPr>
        <w:rPr>
          <w:rFonts w:hint="eastAsia" w:eastAsia="黑体"/>
          <w:b/>
          <w:color w:val="auto"/>
          <w:sz w:val="28"/>
          <w:szCs w:val="28"/>
          <w:highlight w:val="none"/>
          <w:lang w:val="zh-CN"/>
        </w:rPr>
      </w:pPr>
      <w:r>
        <w:rPr>
          <w:rFonts w:hint="eastAsia" w:eastAsia="黑体"/>
          <w:b/>
          <w:color w:val="auto"/>
          <w:sz w:val="28"/>
          <w:szCs w:val="28"/>
          <w:highlight w:val="none"/>
          <w:lang w:val="zh-CN"/>
        </w:rPr>
        <w:br w:type="page" w:clear="all"/>
      </w:r>
      <w:r/>
    </w:p>
    <w:p>
      <w:pPr>
        <w:pStyle w:val="925"/>
        <w:ind w:left="480" w:firstLine="0"/>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商务条款偏离表</w:t>
      </w:r>
      <w:r/>
    </w:p>
    <w:p>
      <w:pPr>
        <w:pStyle w:val="925"/>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74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招标文件的商务条款</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int="eastAsia" w:hAnsi="宋体"/>
          <w:bCs/>
          <w:color w:val="auto"/>
          <w:szCs w:val="21"/>
          <w:highlight w:val="none"/>
        </w:rPr>
        <w:t xml:space="preserve">注：投标人的投标文件（除技术规格部分）与招标文件规定的有偏离的，应在此表中说明。未在上表中说明的，将被认为完全响应招标文件的规定。</w:t>
      </w:r>
      <w:r/>
    </w:p>
    <w:p>
      <w:pPr>
        <w:pStyle w:val="925"/>
        <w:ind w:firstLine="0"/>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格式9、售后服务承诺书</w:t>
      </w:r>
      <w:r/>
    </w:p>
    <w:p>
      <w:pPr>
        <w:spacing w:line="360" w:lineRule="auto"/>
        <w:rPr>
          <w:bCs/>
          <w:color w:val="auto"/>
          <w:szCs w:val="21"/>
          <w:highlight w:val="none"/>
        </w:rPr>
      </w:pPr>
      <w:r>
        <w:rPr>
          <w:bCs/>
          <w:color w:val="auto"/>
          <w:szCs w:val="21"/>
          <w:highlight w:val="none"/>
        </w:rPr>
      </w:r>
      <w:r/>
    </w:p>
    <w:p>
      <w:pPr>
        <w:jc w:val="center"/>
        <w:spacing w:line="360" w:lineRule="auto"/>
        <w:rPr>
          <w:b/>
          <w:bCs/>
          <w:color w:val="auto"/>
          <w:sz w:val="28"/>
          <w:szCs w:val="28"/>
          <w:highlight w:val="none"/>
        </w:rPr>
      </w:pPr>
      <w:r>
        <w:rPr>
          <w:rFonts w:hint="eastAsia" w:hAnsi="宋体"/>
          <w:b/>
          <w:bCs/>
          <w:color w:val="auto"/>
          <w:sz w:val="28"/>
          <w:szCs w:val="28"/>
          <w:highlight w:val="none"/>
        </w:rPr>
        <w:t xml:space="preserve">售后服务承诺书</w:t>
      </w:r>
      <w:r/>
    </w:p>
    <w:p>
      <w:pPr>
        <w:pStyle w:val="925"/>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744"/>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售后服务内容</w:t>
            </w:r>
            <w:r/>
          </w:p>
        </w:tc>
        <w:tc>
          <w:tcPr>
            <w:tcW w:w="205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期限（时间）</w:t>
            </w:r>
            <w:r/>
          </w:p>
        </w:tc>
        <w:tc>
          <w:tcPr>
            <w:tcW w:w="21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质保期</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服务响应</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解决问题</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tcW w:w="30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p>
        </w:tc>
        <w:tc>
          <w:tcPr>
            <w:tcW w:w="3060" w:type="dxa"/>
            <w:vAlign w:val="center"/>
            <w:textDirection w:val="lrTb"/>
            <w:noWrap w:val="false"/>
          </w:tcPr>
          <w:p>
            <w:pPr>
              <w:jc w:val="center"/>
              <w:spacing w:before="25" w:after="25"/>
              <w:rPr>
                <w:color w:val="auto"/>
                <w:highlight w:val="none"/>
                <w:lang w:val="zh-CN"/>
              </w:rPr>
            </w:pPr>
            <w:r>
              <w:rPr>
                <w:color w:val="auto"/>
                <w:highlight w:val="none"/>
                <w:lang w:val="zh-CN"/>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r>
        <w:trPr>
          <w:trHeight w:val="853"/>
        </w:trPr>
        <w:tc>
          <w:tcPr>
            <w:tcW w:w="828" w:type="dxa"/>
            <w:vAlign w:val="center"/>
            <w:textDirection w:val="lrTb"/>
            <w:noWrap w:val="false"/>
          </w:tcPr>
          <w:p>
            <w:pPr>
              <w:jc w:val="center"/>
              <w:spacing w:before="25" w:after="25"/>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p>
        </w:tc>
        <w:tc>
          <w:tcPr>
            <w:tcW w:w="3060" w:type="dxa"/>
            <w:vAlign w:val="center"/>
            <w:textDirection w:val="lrTb"/>
            <w:noWrap w:val="false"/>
          </w:tcPr>
          <w:p>
            <w:pPr>
              <w:jc w:val="center"/>
              <w:spacing w:before="25" w:after="25"/>
              <w:rPr>
                <w:color w:val="auto"/>
                <w:highlight w:val="none"/>
              </w:rPr>
            </w:pPr>
            <w:r>
              <w:rPr>
                <w:color w:val="auto"/>
                <w:highlight w:val="none"/>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bl>
    <w:p>
      <w:pPr>
        <w:ind w:firstLine="42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、针对服务内容有必须说明的事项，请在</w:t>
      </w:r>
      <w:r>
        <w:rPr>
          <w:rFonts w:ascii="宋体" w:hAnsi="宋体"/>
          <w:bCs/>
          <w:color w:val="auto"/>
          <w:szCs w:val="21"/>
          <w:highlight w:val="none"/>
        </w:rPr>
        <w:t xml:space="preserve">“</w:t>
      </w:r>
      <w:r>
        <w:rPr>
          <w:rFonts w:hint="eastAsia" w:ascii="宋体" w:hAnsi="宋体"/>
          <w:bCs/>
          <w:color w:val="auto"/>
          <w:szCs w:val="21"/>
          <w:highlight w:val="none"/>
        </w:rPr>
        <w:t xml:space="preserve">备注</w:t>
      </w:r>
      <w:r>
        <w:rPr>
          <w:rFonts w:ascii="宋体" w:hAnsi="宋体"/>
          <w:bCs/>
          <w:color w:val="auto"/>
          <w:szCs w:val="21"/>
          <w:highlight w:val="none"/>
        </w:rPr>
        <w:t xml:space="preserve">”</w:t>
      </w:r>
      <w:r>
        <w:rPr>
          <w:rFonts w:hint="eastAsia" w:ascii="宋体" w:hAnsi="宋体"/>
          <w:bCs/>
          <w:color w:val="auto"/>
          <w:szCs w:val="21"/>
          <w:highlight w:val="none"/>
        </w:rPr>
        <w:t xml:space="preserve">栏目内注明；</w:t>
      </w:r>
      <w:r/>
    </w:p>
    <w:p>
      <w:pPr>
        <w:ind w:firstLine="840"/>
        <w:spacing w:before="25" w:after="25" w:line="360" w:lineRule="auto"/>
        <w:rPr>
          <w:rFonts w:hint="eastAsia"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、如有其它售后服务内容，可自行参照填写。</w:t>
      </w:r>
      <w:r/>
    </w:p>
    <w:p>
      <w:pPr>
        <w:ind w:firstLine="420"/>
        <w:spacing w:before="25" w:after="25" w:line="360" w:lineRule="auto"/>
        <w:rPr>
          <w:bCs/>
          <w:color w:val="auto"/>
          <w:szCs w:val="21"/>
          <w:highlight w:val="none"/>
        </w:rPr>
      </w:pPr>
      <w:r>
        <w:rPr>
          <w:bCs/>
          <w:color w:val="auto"/>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before="25" w:after="25" w:line="360" w:lineRule="auto"/>
        <w:rPr>
          <w:bCs/>
          <w:color w:val="auto"/>
          <w:szCs w:val="21"/>
          <w:highlight w:val="none"/>
          <w:lang w:val="zh-CN"/>
        </w:rPr>
      </w:pPr>
      <w:r>
        <w:rPr>
          <w:color w:val="auto"/>
          <w:highlight w:val="none"/>
        </w:rPr>
        <w:br w:type="page" w:clear="all"/>
      </w:r>
      <w:r>
        <w:rPr>
          <w:rFonts w:hint="eastAsia"/>
          <w:color w:val="auto"/>
          <w:szCs w:val="21"/>
          <w:highlight w:val="none"/>
          <w:lang w:val="zh-CN"/>
        </w:rPr>
        <w:t xml:space="preserve">格式10、</w:t>
      </w:r>
      <w:r>
        <w:rPr>
          <w:rFonts w:hint="eastAsia"/>
          <w:bCs/>
          <w:color w:val="auto"/>
          <w:szCs w:val="21"/>
          <w:highlight w:val="none"/>
          <w:lang w:val="zh-CN"/>
        </w:rPr>
        <w:t xml:space="preserve">类似项目一览表</w:t>
      </w:r>
      <w:r/>
    </w:p>
    <w:p>
      <w:pPr>
        <w:jc w:val="center"/>
        <w:spacing w:line="360" w:lineRule="auto"/>
        <w:rPr>
          <w:rFonts w:hint="eastAsia" w:hAnsi="宋体"/>
          <w:b/>
          <w:bCs/>
          <w:color w:val="auto"/>
          <w:sz w:val="28"/>
          <w:szCs w:val="28"/>
          <w:highlight w:val="none"/>
        </w:rPr>
      </w:pPr>
      <w:r>
        <w:rPr>
          <w:rFonts w:hint="eastAsia" w:hAnsi="宋体"/>
          <w:b/>
          <w:bCs/>
          <w:color w:val="auto"/>
          <w:sz w:val="28"/>
          <w:szCs w:val="28"/>
          <w:highlight w:val="none"/>
        </w:rPr>
        <w:t xml:space="preserve">类似项目一览表</w:t>
      </w:r>
      <w:r/>
    </w:p>
    <w:p>
      <w:pPr>
        <w:pStyle w:val="925"/>
        <w:ind w:firstLine="0"/>
        <w:jc w:val="both"/>
        <w:spacing w:line="360" w:lineRule="auto"/>
        <w:rPr>
          <w:rFonts w:eastAsia="宋体"/>
          <w:bCs/>
          <w:color w:val="auto"/>
          <w:sz w:val="21"/>
          <w:szCs w:val="21"/>
          <w:highlight w:val="none"/>
        </w:rPr>
      </w:pPr>
      <w:r>
        <w:rPr>
          <w:rFonts w:hint="eastAsia" w:eastAsia="宋体"/>
          <w:color w:val="auto"/>
          <w:sz w:val="21"/>
          <w:szCs w:val="21"/>
          <w:highlight w:val="none"/>
          <w:lang w:val="zh-CN"/>
        </w:rPr>
        <w:t xml:space="preserve">采购编号：</w:t>
      </w:r>
      <w:r/>
    </w:p>
    <w:tbl>
      <w:tblPr>
        <w:tblStyle w:val="744"/>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项目名称</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采购人</w:t>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签订时间</w:t>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合同金额（万元）</w:t>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25"/>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25"/>
              <w:ind w:firstLine="0"/>
              <w:jc w:val="center"/>
              <w:rPr>
                <w:rFonts w:eastAsia="宋体"/>
                <w:bCs/>
                <w:color w:val="auto"/>
                <w:sz w:val="21"/>
                <w:szCs w:val="21"/>
                <w:highlight w:val="none"/>
              </w:rPr>
            </w:pPr>
            <w:r>
              <w:rPr>
                <w:rFonts w:eastAsia="宋体"/>
                <w:bCs/>
                <w:color w:val="auto"/>
                <w:sz w:val="21"/>
                <w:szCs w:val="21"/>
                <w:highlight w:val="none"/>
              </w:rPr>
            </w:r>
            <w:r/>
          </w:p>
        </w:tc>
      </w:tr>
    </w:tbl>
    <w:p>
      <w:pPr>
        <w:pStyle w:val="925"/>
        <w:ind w:firstLine="0"/>
        <w:jc w:val="both"/>
        <w:spacing w:line="360" w:lineRule="auto"/>
        <w:rPr>
          <w:rFonts w:eastAsia="宋体"/>
          <w:bCs/>
          <w:color w:val="auto"/>
          <w:szCs w:val="24"/>
          <w:highlight w:val="none"/>
        </w:rPr>
      </w:pPr>
      <w:r>
        <w:rPr>
          <w:rFonts w:eastAsia="宋体"/>
          <w:bCs/>
          <w:color w:val="auto"/>
          <w:szCs w:val="24"/>
          <w:highlight w:val="none"/>
        </w:rPr>
      </w:r>
      <w:r/>
    </w:p>
    <w:p>
      <w:pPr>
        <w:pStyle w:val="925"/>
        <w:ind w:firstLine="0"/>
        <w:jc w:val="both"/>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注：投标人应提供双方签订合同的复印件并加盖投标人公章（公章），否则将不作为评标的依据。</w:t>
      </w:r>
      <w:r/>
    </w:p>
    <w:p>
      <w:pPr>
        <w:pStyle w:val="925"/>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25"/>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格式11、资格证明文件</w:t>
      </w:r>
      <w:r/>
    </w:p>
    <w:p>
      <w:pPr>
        <w:spacing w:line="36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1</w:t>
      </w:r>
      <w:r>
        <w:rPr>
          <w:rFonts w:hint="eastAsia"/>
          <w:color w:val="auto"/>
          <w:szCs w:val="21"/>
          <w:highlight w:val="none"/>
          <w:lang w:val="zh-CN"/>
        </w:rPr>
        <w:t xml:space="preserve">）关于资格文件的声明函</w:t>
      </w:r>
      <w:r/>
    </w:p>
    <w:p>
      <w:pPr>
        <w:ind w:firstLine="425"/>
        <w:jc w:val="center"/>
        <w:spacing w:line="360" w:lineRule="auto"/>
        <w:rPr>
          <w:rFonts w:eastAsia="黑体"/>
          <w:b/>
          <w:color w:val="auto"/>
          <w:highlight w:val="none"/>
        </w:rPr>
      </w:pPr>
      <w:r>
        <w:rPr>
          <w:rFonts w:eastAsia="黑体"/>
          <w:b/>
          <w:color w:val="auto"/>
          <w:highlight w:val="none"/>
        </w:rPr>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关于资格文件的声明函</w:t>
      </w:r>
      <w:r/>
    </w:p>
    <w:p>
      <w:pPr>
        <w:ind w:firstLine="425"/>
        <w:jc w:val="cente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szCs w:val="21"/>
          <w:highlight w:val="none"/>
          <w:u w:val="single"/>
          <w:lang w:val="zh-CN"/>
        </w:rPr>
        <w:t xml:space="preserve">                                    </w:t>
      </w:r>
      <w:r>
        <w:rPr>
          <w:rFonts w:hint="eastAsia"/>
          <w:color w:val="auto"/>
          <w:szCs w:val="21"/>
          <w:highlight w:val="none"/>
          <w:lang w:val="zh-CN"/>
        </w:rPr>
        <w:t xml:space="preserve">：</w:t>
      </w:r>
      <w:r/>
    </w:p>
    <w:p>
      <w:pPr>
        <w:ind w:firstLine="420"/>
        <w:spacing w:line="360" w:lineRule="auto"/>
        <w:rPr>
          <w:color w:val="auto"/>
          <w:szCs w:val="21"/>
          <w:highlight w:val="none"/>
          <w:lang w:val="zh-CN"/>
        </w:rPr>
      </w:pPr>
      <w:r>
        <w:rPr>
          <w:rFonts w:hint="eastAsia"/>
          <w:color w:val="auto"/>
          <w:szCs w:val="21"/>
          <w:highlight w:val="none"/>
          <w:lang w:val="zh-CN"/>
        </w:rPr>
        <w:t xml:space="preserve">本公司愿就由贵公司组织实施的编号为</w:t>
      </w:r>
      <w:r>
        <w:rPr>
          <w:color w:val="auto"/>
          <w:szCs w:val="21"/>
          <w:highlight w:val="none"/>
          <w:lang w:val="zh-CN"/>
        </w:rPr>
        <w:t xml:space="preserve"> </w:t>
      </w:r>
      <w:r>
        <w:rPr>
          <w:color w:val="auto"/>
          <w:szCs w:val="21"/>
          <w:highlight w:val="none"/>
          <w:u w:val="single"/>
          <w:lang w:val="zh-CN"/>
        </w:rPr>
        <w:t xml:space="preserve">             </w:t>
      </w:r>
      <w:r>
        <w:rPr>
          <w:rFonts w:hint="eastAsia"/>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lang w:val="zh-CN"/>
        </w:rPr>
      </w:pPr>
      <w:r>
        <w:rPr>
          <w:rFonts w:hint="eastAsia"/>
          <w:color w:val="auto"/>
          <w:szCs w:val="21"/>
          <w:highlight w:val="none"/>
          <w:lang w:val="zh-CN"/>
        </w:rPr>
        <w:t xml:space="preserve">投标人（公章）：</w:t>
      </w:r>
      <w:r/>
    </w:p>
    <w:p>
      <w:pPr>
        <w:ind w:firstLine="210"/>
        <w:spacing w:line="360" w:lineRule="auto"/>
        <w:rPr>
          <w:color w:val="auto"/>
          <w:szCs w:val="21"/>
          <w:highlight w:val="none"/>
          <w:lang w:val="zh-CN"/>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lang w:val="zh-CN"/>
        </w:rPr>
      </w:pPr>
      <w:r>
        <w:rPr>
          <w:rFonts w:hint="eastAsia"/>
          <w:color w:val="auto"/>
          <w:szCs w:val="21"/>
          <w:highlight w:val="none"/>
          <w:lang w:val="zh-CN"/>
        </w:rPr>
        <w:t xml:space="preserve">日期：</w:t>
      </w:r>
      <w:r>
        <w:rPr>
          <w:color w:val="auto"/>
          <w:szCs w:val="21"/>
          <w:highlight w:val="none"/>
          <w:lang w:val="zh-CN"/>
        </w:rPr>
        <w:t xml:space="preserve">        </w:t>
      </w:r>
      <w:r>
        <w:rPr>
          <w:rFonts w:hint="eastAsia"/>
          <w:color w:val="auto"/>
          <w:szCs w:val="21"/>
          <w:highlight w:val="none"/>
          <w:lang w:val="zh-CN"/>
        </w:rPr>
        <w:t xml:space="preserve">年</w:t>
      </w:r>
      <w:r>
        <w:rPr>
          <w:color w:val="auto"/>
          <w:szCs w:val="21"/>
          <w:highlight w:val="none"/>
          <w:lang w:val="zh-CN"/>
        </w:rPr>
        <w:t xml:space="preserve">     </w:t>
      </w:r>
      <w:r>
        <w:rPr>
          <w:rFonts w:hint="eastAsia"/>
          <w:color w:val="auto"/>
          <w:szCs w:val="21"/>
          <w:highlight w:val="none"/>
          <w:lang w:val="zh-CN"/>
        </w:rPr>
        <w:t xml:space="preserve">月</w:t>
      </w:r>
      <w:r>
        <w:rPr>
          <w:color w:val="auto"/>
          <w:szCs w:val="21"/>
          <w:highlight w:val="none"/>
          <w:lang w:val="zh-CN"/>
        </w:rPr>
        <w:t xml:space="preserve">     </w:t>
      </w:r>
      <w:r>
        <w:rPr>
          <w:rFonts w:hint="eastAsia"/>
          <w:color w:val="auto"/>
          <w:szCs w:val="21"/>
          <w:highlight w:val="none"/>
          <w:lang w:val="zh-CN"/>
        </w:rPr>
        <w:t xml:space="preserve">日</w:t>
      </w:r>
      <w:r/>
    </w:p>
    <w:p>
      <w:pPr>
        <w:ind w:firstLine="1995"/>
        <w:spacing w:line="360" w:lineRule="auto"/>
        <w:rPr>
          <w:color w:val="auto"/>
          <w:highlight w:val="none"/>
          <w:lang w:val="zh-CN"/>
        </w:rPr>
      </w:pPr>
      <w:r>
        <w:rPr>
          <w:color w:val="auto"/>
          <w:highlight w:val="none"/>
          <w:lang w:val="zh-CN"/>
        </w:rPr>
      </w:r>
      <w:r/>
    </w:p>
    <w:p>
      <w:pPr>
        <w:spacing w:line="320" w:lineRule="exact"/>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w:t>
      </w:r>
      <w:r>
        <w:rPr>
          <w:color w:val="auto"/>
          <w:szCs w:val="21"/>
          <w:highlight w:val="none"/>
          <w:lang w:val="zh-CN"/>
        </w:rPr>
        <w:t xml:space="preserve">2</w:t>
      </w:r>
      <w:r>
        <w:rPr>
          <w:rFonts w:hint="eastAsia"/>
          <w:color w:val="auto"/>
          <w:szCs w:val="21"/>
          <w:highlight w:val="none"/>
          <w:lang w:val="zh-CN"/>
        </w:rPr>
        <w:t xml:space="preserve">）投标人情况表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投标人情况表</w:t>
      </w:r>
      <w:r/>
    </w:p>
    <w:p>
      <w:pPr>
        <w:spacing w:line="320" w:lineRule="exact"/>
        <w:rPr>
          <w:color w:val="auto"/>
          <w:szCs w:val="21"/>
          <w:highlight w:val="none"/>
          <w:lang w:val="zh-CN"/>
        </w:rPr>
      </w:pPr>
      <w:r>
        <w:rPr>
          <w:rFonts w:hint="eastAsia"/>
          <w:color w:val="auto"/>
          <w:szCs w:val="21"/>
          <w:highlight w:val="none"/>
          <w:lang w:val="zh-CN"/>
        </w:rPr>
        <w:t xml:space="preserve">采购编号：</w:t>
      </w:r>
      <w:r/>
    </w:p>
    <w:tbl>
      <w:tblPr>
        <w:tblStyle w:val="74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法定代表人</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成立日期</w:t>
            </w:r>
            <w:r/>
          </w:p>
        </w:tc>
        <w:tc>
          <w:tcPr>
            <w:gridSpan w:val="2"/>
            <w:tcW w:w="270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79"/>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企业地址</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注册资本</w:t>
            </w:r>
            <w:r/>
          </w:p>
        </w:tc>
        <w:tc>
          <w:tcPr>
            <w:gridSpan w:val="2"/>
            <w:tcW w:w="2700" w:type="dxa"/>
            <w:vAlign w:val="center"/>
            <w:textDirection w:val="lrTb"/>
            <w:noWrap w:val="false"/>
          </w:tcPr>
          <w:p>
            <w:pPr>
              <w:jc w:val="right"/>
              <w:spacing w:line="320" w:lineRule="exact"/>
              <w:rPr>
                <w:color w:val="auto"/>
                <w:szCs w:val="21"/>
                <w:highlight w:val="none"/>
              </w:rPr>
            </w:pPr>
            <w:r>
              <w:rPr>
                <w:rFonts w:hint="eastAsia"/>
                <w:color w:val="auto"/>
                <w:szCs w:val="21"/>
                <w:highlight w:val="none"/>
                <w:lang w:val="zh-CN"/>
              </w:rPr>
              <w:t xml:space="preserve">万元</w:t>
            </w:r>
            <w:r/>
          </w:p>
        </w:tc>
      </w:tr>
      <w:tr>
        <w:trPr>
          <w:trHeight w:val="70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经营范围</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8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职工人数</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gridSpan w:val="2"/>
            <w:tcW w:w="3316"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其中：有中高级以上职称的人数</w:t>
            </w:r>
            <w:r/>
          </w:p>
        </w:tc>
        <w:tc>
          <w:tcPr>
            <w:tcW w:w="644"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9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资产总计</w:t>
            </w:r>
            <w:r/>
          </w:p>
        </w:tc>
        <w:tc>
          <w:tcPr>
            <w:tcW w:w="163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净资产</w:t>
            </w:r>
            <w:r/>
          </w:p>
        </w:tc>
        <w:tc>
          <w:tcPr>
            <w:gridSpan w:val="2"/>
            <w:tcW w:w="270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万元</w:t>
            </w:r>
            <w:r/>
          </w:p>
        </w:tc>
      </w:tr>
      <w:tr>
        <w:trPr>
          <w:trHeight w:val="61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股东权益</w:t>
            </w:r>
            <w:r/>
          </w:p>
        </w:tc>
        <w:tc>
          <w:tcPr>
            <w:tcW w:w="163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销售收入</w:t>
            </w:r>
            <w:r/>
          </w:p>
        </w:tc>
        <w:tc>
          <w:tcPr>
            <w:gridSpan w:val="2"/>
            <w:tcW w:w="270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年       万元</w:t>
            </w:r>
            <w:r/>
          </w:p>
        </w:tc>
      </w:tr>
      <w:tr>
        <w:trPr>
          <w:trHeight w:val="72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实现利润</w:t>
            </w:r>
            <w:r/>
          </w:p>
        </w:tc>
        <w:tc>
          <w:tcPr>
            <w:tcW w:w="163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年  万元</w:t>
            </w:r>
            <w:r/>
          </w:p>
        </w:tc>
        <w:tc>
          <w:tcPr>
            <w:tcW w:w="126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270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71"/>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营业面积（含厂房面积）</w:t>
            </w:r>
            <w:r/>
          </w:p>
        </w:tc>
        <w:tc>
          <w:tcPr>
            <w:tcW w:w="163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      平方米</w:t>
            </w:r>
            <w:r/>
          </w:p>
        </w:tc>
        <w:tc>
          <w:tcPr>
            <w:tcW w:w="126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其中：</w:t>
            </w:r>
            <w:r/>
          </w:p>
        </w:tc>
        <w:tc>
          <w:tcPr>
            <w:gridSpan w:val="2"/>
            <w:tcW w:w="2700"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自有面积         平方米</w:t>
            </w:r>
            <w:r/>
          </w:p>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承租面积         平方米</w:t>
            </w:r>
            <w:r/>
          </w:p>
        </w:tc>
      </w:tr>
      <w:tr>
        <w:trPr>
          <w:trHeight w:val="1320"/>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lang w:val="zh-CN"/>
              </w:rPr>
            </w:pPr>
            <w:r>
              <w:rPr>
                <w:rFonts w:hint="eastAsia"/>
                <w:color w:val="auto"/>
                <w:szCs w:val="21"/>
                <w:highlight w:val="none"/>
                <w:lang w:val="zh-CN"/>
              </w:rPr>
              <w:t xml:space="preserve">单位简历及内设机构情况</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334"/>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rPr>
            </w:pPr>
            <w:r>
              <w:rPr>
                <w:rFonts w:hint="eastAsia"/>
                <w:color w:val="auto"/>
                <w:szCs w:val="21"/>
                <w:highlight w:val="none"/>
                <w:lang w:val="zh-CN"/>
              </w:rPr>
              <w:t xml:space="preserve">单位优势及特长</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188"/>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000"/>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获得技术认证的工程师及简介</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92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其他需要说明的情况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bl>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szCs w:val="21"/>
          <w:highlight w:val="none"/>
          <w:lang w:val="zh-CN"/>
        </w:rPr>
      </w:pPr>
      <w:r>
        <w:rPr>
          <w:rFonts w:hint="eastAsia"/>
          <w:color w:val="auto"/>
          <w:szCs w:val="21"/>
          <w:highlight w:val="none"/>
          <w:lang w:val="zh-CN"/>
        </w:rPr>
        <w:t xml:space="preserve">格式12、实施方案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实施方案</w:t>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rFonts w:hint="eastAsia"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、可包括需求分析、思路理念、技术方法、人员组织、进度安排、质量控制等，具体根据采购文件需求拟定。格式自拟。</w:t>
            </w:r>
            <w:r/>
          </w:p>
        </w:tc>
      </w:tr>
      <w:tr>
        <w:trPr>
          <w:trHeight w:val="9836"/>
        </w:trPr>
        <w:tc>
          <w:tcPr>
            <w:tcW w:w="8681" w:type="dxa"/>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Times New Roman" w:hAnsi="Times New Roman" w:eastAsia="等线"/>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rPr>
              <w:t xml:space="preserve">投标人</w:t>
            </w:r>
            <w:r>
              <w:rPr>
                <w:rFonts w:hint="eastAsia" w:ascii="宋体" w:hAnsi="宋体"/>
                <w:color w:val="auto"/>
                <w:sz w:val="24"/>
                <w:szCs w:val="21"/>
                <w:highlight w:val="none"/>
              </w:rPr>
              <w:t xml:space="preserve">（公章）：</w:t>
            </w:r>
            <w:r>
              <w:rPr>
                <w:rFonts w:ascii="Times New Roman" w:hAnsi="Times New Roman" w:eastAsia="等线"/>
                <w:color w:val="auto"/>
                <w:sz w:val="24"/>
                <w:szCs w:val="21"/>
                <w:highlight w:val="none"/>
                <w:u w:val="single"/>
              </w:rPr>
              <w:t xml:space="preserve">                 </w:t>
            </w:r>
            <w:r/>
          </w:p>
        </w:tc>
      </w:tr>
    </w:tbl>
    <w:p>
      <w:pPr>
        <w:jc w:val="left"/>
        <w:spacing w:line="360" w:lineRule="auto"/>
        <w:widowControl/>
        <w:rPr>
          <w:rFonts w:ascii="Times New Roman" w:hAnsi="Times New Roman" w:eastAsia="等线"/>
          <w:bCs/>
          <w:color w:val="auto"/>
          <w:szCs w:val="21"/>
          <w:highlight w:val="none"/>
          <w:lang w:val="zh-CN"/>
        </w:rPr>
      </w:pPr>
      <w:r>
        <w:rPr>
          <w:rFonts w:ascii="Times New Roman" w:hAnsi="Times New Roman" w:eastAsia="等线"/>
          <w:bCs/>
          <w:color w:val="auto"/>
          <w:szCs w:val="21"/>
          <w:highlight w:val="none"/>
          <w:lang w:val="zh-CN"/>
        </w:rPr>
      </w:r>
      <w:r/>
    </w:p>
    <w:p>
      <w:pPr>
        <w:spacing w:line="360" w:lineRule="auto"/>
        <w:rPr>
          <w:rFonts w:hint="eastAsia" w:ascii="宋体" w:hAnsi="宋体" w:eastAsia="等线"/>
          <w:color w:val="auto"/>
          <w:sz w:val="24"/>
          <w:highlight w:val="none"/>
        </w:rPr>
      </w:pPr>
      <w:r>
        <w:rPr>
          <w:rFonts w:hint="eastAsia" w:ascii="宋体" w:hAnsi="宋体" w:eastAsia="等线"/>
          <w:color w:val="auto"/>
          <w:sz w:val="24"/>
          <w:highlight w:val="none"/>
        </w:rPr>
      </w:r>
      <w:r/>
    </w:p>
    <w:p>
      <w:pPr>
        <w:spacing w:line="360" w:lineRule="auto"/>
        <w:rPr>
          <w:color w:val="auto"/>
          <w:szCs w:val="21"/>
          <w:highlight w:val="none"/>
          <w:lang w:val="zh-CN"/>
        </w:rPr>
      </w:pPr>
      <w:r>
        <w:rPr>
          <w:rFonts w:ascii="宋体" w:hAnsi="宋体" w:eastAsia="等线"/>
          <w:color w:val="auto"/>
          <w:sz w:val="24"/>
          <w:highlight w:val="none"/>
        </w:rPr>
        <w:br w:type="page" w:clear="all"/>
      </w:r>
      <w:r>
        <w:rPr>
          <w:rFonts w:hint="eastAsia"/>
          <w:color w:val="auto"/>
          <w:szCs w:val="21"/>
          <w:highlight w:val="none"/>
          <w:lang w:val="zh-CN"/>
        </w:rPr>
        <w:t xml:space="preserve">格式13、售后</w:t>
      </w:r>
      <w:r>
        <w:rPr>
          <w:color w:val="auto"/>
          <w:szCs w:val="21"/>
          <w:highlight w:val="none"/>
          <w:lang w:val="zh-CN"/>
        </w:rPr>
        <w:t xml:space="preserve">服务</w:t>
      </w:r>
      <w:r>
        <w:rPr>
          <w:rFonts w:hint="eastAsia"/>
          <w:color w:val="auto"/>
          <w:szCs w:val="21"/>
          <w:highlight w:val="none"/>
          <w:lang w:val="zh-CN"/>
        </w:rPr>
        <w:t xml:space="preserve">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售后服务方案</w:t>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rFonts w:hint="eastAsia"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、可包括售后服务响应时间，方式，服务人员，详细的售后服务方案等，具体根据采购文件需求拟定。格式自拟。</w:t>
            </w:r>
            <w:r/>
          </w:p>
        </w:tc>
      </w:tr>
      <w:tr>
        <w:trPr>
          <w:trHeight w:val="9836"/>
        </w:trPr>
        <w:tc>
          <w:tcPr>
            <w:tcW w:w="8681" w:type="dxa"/>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hint="eastAsia" w:ascii="宋体" w:hAnsi="宋体"/>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rPr>
              <w:t xml:space="preserve">投标人</w:t>
            </w:r>
            <w:r>
              <w:rPr>
                <w:rFonts w:hint="eastAsia" w:ascii="宋体" w:hAnsi="宋体"/>
                <w:bCs/>
                <w:color w:val="auto"/>
                <w:sz w:val="24"/>
                <w:szCs w:val="21"/>
                <w:highlight w:val="none"/>
              </w:rPr>
              <w:t xml:space="preserve">（公章）：</w:t>
            </w:r>
            <w:r>
              <w:rPr>
                <w:rFonts w:ascii="宋体" w:hAnsi="宋体"/>
                <w:color w:val="auto"/>
                <w:sz w:val="24"/>
                <w:szCs w:val="21"/>
                <w:highlight w:val="none"/>
                <w:u w:val="single"/>
              </w:rPr>
              <w:t xml:space="preserve">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lang w:val="zh-CN"/>
        </w:rPr>
      </w:pPr>
      <w:r>
        <w:rPr>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4、中小企业声明函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1、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2、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3、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4、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1、本项目为非专门面向中小企业采购项目，所属行业为工业，必须提供声明函并逐条列明所投产品相关企业信息。</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color w:val="auto"/>
          <w:szCs w:val="21"/>
          <w:highlight w:val="none"/>
          <w:lang w:val="zh-CN"/>
        </w:rPr>
      </w:pPr>
      <w:r>
        <w:rPr>
          <w:rFonts w:hint="eastAsia" w:ascii="宋体" w:hAnsi="宋体"/>
          <w:color w:val="auto"/>
          <w:szCs w:val="21"/>
          <w:highlight w:val="none"/>
        </w:rPr>
        <w:t xml:space="preserve">3、若投标人提供的“中小企业声明函”内容不实的，属于提供虚假材料谋取中标</w:t>
      </w:r>
      <w:r>
        <w:rPr>
          <w:rFonts w:hint="eastAsia" w:hAnsi="宋体" w:cs="宋体"/>
          <w:color w:val="auto"/>
          <w:szCs w:val="21"/>
          <w:highlight w:val="none"/>
          <w:lang w:val="zh-CN"/>
        </w:rPr>
        <w:t xml:space="preserve">，依照《中华人民共和国政府采购法》等国家有关规定追究相应责任。</w:t>
      </w:r>
      <w:r>
        <w:rPr>
          <w:rFonts w:hint="eastAsia" w:ascii="宋体" w:hAnsi="宋体"/>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5、残疾人福利性单位声明函</w:t>
      </w:r>
      <w:r/>
    </w:p>
    <w:p>
      <w:pPr>
        <w:jc w:val="center"/>
        <w:spacing w:line="580" w:lineRule="exact"/>
        <w:rPr>
          <w:rFonts w:hint="eastAsia" w:ascii="宋体" w:hAnsi="宋体" w:cs="宋体"/>
          <w:b/>
          <w:color w:val="auto"/>
          <w:spacing w:val="6"/>
          <w:highlight w:val="none"/>
        </w:rPr>
      </w:pPr>
      <w:r/>
      <w:bookmarkStart w:id="3" w:name="OLE_LINK14"/>
      <w:r/>
      <w:bookmarkStart w:id="4" w:name="OLE_LINK13"/>
      <w:r/>
      <w:r/>
    </w:p>
    <w:p>
      <w:pPr>
        <w:jc w:val="center"/>
        <w:spacing w:line="58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残疾人福利性单位声明函</w:t>
      </w:r>
      <w:bookmarkEnd w:id="3"/>
      <w:r/>
      <w:bookmarkEnd w:id="4"/>
      <w:r/>
      <w:r/>
    </w:p>
    <w:p>
      <w:pPr>
        <w:spacing w:line="580" w:lineRule="exact"/>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spacing w:line="580" w:lineRule="exact"/>
        <w:rPr>
          <w:color w:val="auto"/>
          <w:highlight w:val="none"/>
          <w:lang w:val="zh-CN"/>
        </w:rPr>
      </w:pPr>
      <w:r>
        <w:rPr>
          <w:color w:val="auto"/>
          <w:highlight w:val="none"/>
          <w:lang w:val="zh-CN"/>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6、投标保证承诺书</w:t>
      </w:r>
      <w:r/>
    </w:p>
    <w:p>
      <w:pPr>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投标保证承诺书</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1.自投标（响应）截止时间至本项目发布中标公告为止，撤销投标响应；</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3.中标后不按本采购文件规定向采购人提交履约保证金；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4.中标后不按本采购文件规定向贵方缴纳采购代理服务费。</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二、我单位知晓上述行为的法律后果，承认本承诺书作为贵方要求我单位履行违约赔偿义务的依据作用。</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spacing w:line="580" w:lineRule="exact"/>
        <w:rPr>
          <w:rFonts w:hint="eastAsia" w:ascii="宋体" w:hAnsi="宋体"/>
          <w:color w:val="auto"/>
          <w:szCs w:val="21"/>
          <w:highlight w:val="none"/>
        </w:rPr>
      </w:pPr>
      <w:r>
        <w:rPr>
          <w:rFonts w:hint="eastAsia" w:ascii="宋体" w:hAnsi="宋体"/>
          <w:color w:val="auto"/>
          <w:szCs w:val="21"/>
          <w:highlight w:val="none"/>
        </w:rPr>
        <w:t xml:space="preserve">投标人：（盖公章）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w:t>
      </w:r>
      <w:r/>
    </w:p>
    <w:p>
      <w:pPr>
        <w:rPr>
          <w:color w:val="auto"/>
          <w:highlight w:val="none"/>
        </w:rPr>
      </w:pPr>
      <w:r>
        <w:rPr>
          <w:color w:val="auto"/>
          <w:highlight w:val="none"/>
        </w:rPr>
      </w:r>
      <w:r/>
    </w:p>
    <w:p>
      <w:pPr>
        <w:spacing w:line="400" w:lineRule="exact"/>
        <w:rPr>
          <w:rFonts w:hint="eastAsia" w:eastAsia="宋体"/>
          <w:color w:val="auto"/>
          <w:szCs w:val="21"/>
          <w:highlight w:val="none"/>
          <w:lang w:val="zh-CN"/>
        </w:rPr>
      </w:pPr>
      <w:r>
        <w:rPr>
          <w:rFonts w:ascii="黑体" w:hAnsi="宋体" w:eastAsia="黑体"/>
          <w:b/>
          <w:bCs/>
          <w:color w:val="auto"/>
          <w:sz w:val="32"/>
          <w:szCs w:val="32"/>
          <w:highlight w:val="none"/>
        </w:rPr>
        <w:br w:type="page" w:clear="all"/>
      </w:r>
      <w:r>
        <w:rPr>
          <w:rFonts w:hint="eastAsia" w:eastAsia="宋体"/>
          <w:color w:val="auto"/>
          <w:szCs w:val="21"/>
          <w:highlight w:val="none"/>
          <w:lang w:val="en-US" w:eastAsia="zh-CN"/>
        </w:rPr>
        <w:t xml:space="preserve">格式17、</w:t>
      </w:r>
      <w:r>
        <w:rPr>
          <w:rFonts w:hint="eastAsia" w:eastAsia="宋体"/>
          <w:color w:val="auto"/>
          <w:szCs w:val="21"/>
          <w:highlight w:val="none"/>
          <w:lang w:val="zh-CN"/>
        </w:rPr>
        <w:t xml:space="preserve">关于符合本国产品标准的声明函</w:t>
      </w:r>
      <w:r/>
    </w:p>
    <w:p>
      <w:pPr>
        <w:spacing w:line="400" w:lineRule="exact"/>
        <w:rPr>
          <w:rFonts w:hint="eastAsia" w:eastAsia="宋体"/>
          <w:color w:val="auto"/>
          <w:szCs w:val="21"/>
          <w:highlight w:val="none"/>
          <w:lang w:val="en-US" w:eastAsia="zh-CN"/>
        </w:rPr>
      </w:pPr>
      <w:r>
        <w:rPr>
          <w:rFonts w:hint="eastAsia" w:eastAsia="宋体"/>
          <w:color w:val="auto"/>
          <w:szCs w:val="21"/>
          <w:highlight w:val="none"/>
          <w:lang w:val="en-US" w:eastAsia="zh-CN"/>
        </w:rPr>
      </w:r>
      <w:r/>
    </w:p>
    <w:p>
      <w:pPr>
        <w:jc w:val="center"/>
        <w:spacing w:line="360" w:lineRule="auto"/>
        <w:rPr>
          <w:rFonts w:hint="eastAsia" w:eastAsia="黑体"/>
          <w:b/>
          <w:color w:val="auto"/>
          <w:sz w:val="28"/>
          <w:szCs w:val="28"/>
          <w:highlight w:val="none"/>
          <w:lang w:val="en-US" w:eastAsia="zh-CN"/>
        </w:rPr>
      </w:pPr>
      <w:r>
        <w:rPr>
          <w:rFonts w:hint="eastAsia" w:eastAsia="黑体"/>
          <w:b/>
          <w:color w:val="auto"/>
          <w:sz w:val="28"/>
          <w:szCs w:val="28"/>
          <w:highlight w:val="none"/>
          <w:lang w:val="en-US" w:eastAsia="zh-CN"/>
        </w:rPr>
        <w:t xml:space="preserve">关于符合本国产品标准的声明函</w:t>
      </w:r>
      <w:r/>
    </w:p>
    <w:p>
      <w:pPr>
        <w:pStyle w:val="76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6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1.（产品名称1）</w:t>
      </w:r>
      <w:r>
        <w:rPr>
          <w:rFonts w:hint="eastAsia" w:ascii="宋体" w:hAnsi="宋体" w:eastAsia="宋体" w:cs="Times New Roman"/>
          <w:color w:val="auto"/>
          <w:sz w:val="24"/>
          <w:szCs w:val="24"/>
          <w:highlight w:val="none"/>
          <w:vertAlign w:val="superscript"/>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，生产厂为（厂名）</w:t>
      </w:r>
      <w:r>
        <w:rPr>
          <w:rFonts w:hint="eastAsia" w:ascii="宋体" w:hAnsi="宋体" w:eastAsia="宋体" w:cs="Times New Roman"/>
          <w:color w:val="auto"/>
          <w:sz w:val="24"/>
          <w:szCs w:val="24"/>
          <w:highlight w:val="none"/>
          <w:vertAlign w:val="superscript"/>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4"/>
          <w:szCs w:val="24"/>
          <w:highlight w:val="none"/>
          <w:vertAlign w:val="superscript"/>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。（产品名称1）的（关键组件）</w:t>
      </w:r>
      <w:r>
        <w:rPr>
          <w:rFonts w:hint="eastAsia" w:ascii="宋体" w:hAnsi="宋体" w:eastAsia="宋体" w:cs="Times New Roman"/>
          <w:color w:val="auto"/>
          <w:sz w:val="24"/>
          <w:szCs w:val="24"/>
          <w:highlight w:val="none"/>
          <w:vertAlign w:val="superscript"/>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在中国境内生产。（产品名称1）的（关键工序）</w:t>
      </w:r>
      <w:r>
        <w:rPr>
          <w:rFonts w:hint="eastAsia" w:ascii="宋体" w:hAnsi="宋体" w:eastAsia="宋体" w:cs="Times New Roman"/>
          <w:color w:val="auto"/>
          <w:sz w:val="24"/>
          <w:szCs w:val="24"/>
          <w:highlight w:val="none"/>
          <w:vertAlign w:val="superscript"/>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在中国境内完成。</w:t>
      </w:r>
      <w:r/>
    </w:p>
    <w:p>
      <w:pPr>
        <w:pStyle w:val="76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6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pStyle w:val="76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本公司（单位）对上述声明内容的真实性负责。如有虚假，愿承担相应法律责任。</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66"/>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公司（单位）名称（盖章）：　        </w:t>
      </w:r>
      <w:r/>
    </w:p>
    <w:p>
      <w:pPr>
        <w:pStyle w:val="766"/>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日期：　   年　  月　  日         </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6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left="482"/>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第四章  招标书</w:t>
      </w:r>
      <w:r/>
    </w:p>
    <w:p>
      <w:pPr>
        <w:ind w:firstLine="420"/>
        <w:spacing w:line="400" w:lineRule="exact"/>
        <w:rPr>
          <w:rFonts w:hint="eastAsia" w:hAnsi="宋体"/>
          <w:color w:val="auto"/>
          <w:szCs w:val="21"/>
          <w:highlight w:val="none"/>
        </w:rPr>
      </w:pPr>
      <w:r>
        <w:rPr>
          <w:rFonts w:hint="eastAsia" w:hAnsi="宋体"/>
          <w:color w:val="auto"/>
          <w:szCs w:val="21"/>
          <w:highlight w:val="none"/>
        </w:rPr>
      </w:r>
      <w:r/>
    </w:p>
    <w:p>
      <w:pPr>
        <w:ind w:firstLine="420"/>
        <w:spacing w:line="400" w:lineRule="exact"/>
        <w:rPr>
          <w:color w:val="auto"/>
          <w:szCs w:val="21"/>
          <w:highlight w:val="none"/>
        </w:rPr>
      </w:pPr>
      <w:r>
        <w:rPr>
          <w:rFonts w:hint="eastAsia" w:hAnsi="宋体"/>
          <w:color w:val="auto"/>
          <w:szCs w:val="21"/>
          <w:highlight w:val="none"/>
        </w:rPr>
        <w:t xml:space="preserve">受苏州市吴中区尹山湖医院之委托，苏州市卫康招投标咨询服务有限公司作为招标代理机构，对其拟采购的以下货物进行国内公开招标。欢迎符合招标公告资格要求的供应商前来报名参加投标。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一、</w:t>
      </w:r>
      <w:r>
        <w:rPr>
          <w:rFonts w:hint="eastAsia" w:ascii="宋体" w:hAnsi="宋体"/>
          <w:color w:val="auto"/>
          <w:szCs w:val="21"/>
          <w:highlight w:val="none"/>
        </w:rPr>
        <w:t xml:space="preserve">采购</w:t>
      </w:r>
      <w:r>
        <w:rPr>
          <w:rFonts w:ascii="宋体" w:hAnsi="宋体"/>
          <w:color w:val="auto"/>
          <w:szCs w:val="21"/>
          <w:highlight w:val="none"/>
        </w:rPr>
        <w:t xml:space="preserve">编号：</w:t>
      </w:r>
      <w:r>
        <w:rPr>
          <w:rFonts w:hint="eastAsia" w:ascii="宋体" w:hAnsi="宋体"/>
          <w:color w:val="auto"/>
          <w:szCs w:val="21"/>
          <w:highlight w:val="none"/>
          <w:lang w:eastAsia="zh-CN"/>
        </w:rPr>
        <w:t xml:space="preserve">JSZC-320506-SZWK-G2026-0087</w:t>
      </w:r>
      <w:r>
        <w:rPr>
          <w:rFonts w:ascii="宋体" w:hAnsi="宋体"/>
          <w:color w:val="auto"/>
          <w:szCs w:val="21"/>
          <w:highlight w:val="none"/>
        </w:rPr>
        <w:t xml:space="preserve">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二、采购方式：</w:t>
      </w:r>
      <w:r>
        <w:rPr>
          <w:rFonts w:hint="eastAsia" w:ascii="宋体" w:hAnsi="宋体"/>
          <w:color w:val="auto"/>
          <w:szCs w:val="21"/>
          <w:highlight w:val="none"/>
        </w:rPr>
        <w:t xml:space="preserve">公开招标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三、采购项目名称：</w:t>
      </w:r>
      <w:r>
        <w:rPr>
          <w:rFonts w:hint="eastAsia" w:ascii="宋体" w:hAnsi="宋体" w:cs="宋体"/>
          <w:color w:val="auto"/>
          <w:szCs w:val="21"/>
          <w:highlight w:val="none"/>
        </w:rPr>
        <w:t xml:space="preserve">苏州市吴中区尹山湖医院信息网络安全建设</w:t>
      </w:r>
      <w:r/>
    </w:p>
    <w:p>
      <w:pPr>
        <w:ind w:firstLine="420"/>
        <w:spacing w:line="400" w:lineRule="exact"/>
        <w:rPr>
          <w:rFonts w:hint="eastAsia" w:ascii="宋体" w:hAnsi="宋体"/>
          <w:color w:val="auto"/>
          <w:szCs w:val="21"/>
          <w:highlight w:val="none"/>
        </w:rPr>
      </w:pPr>
      <w:r/>
      <w:bookmarkStart w:id="5" w:name="_Toc457140875"/>
      <w:r>
        <w:rPr>
          <w:rFonts w:hint="eastAsia" w:ascii="宋体" w:hAnsi="宋体"/>
          <w:color w:val="auto"/>
          <w:szCs w:val="21"/>
          <w:highlight w:val="none"/>
        </w:rPr>
        <w:t xml:space="preserve">四、采购清单:</w:t>
      </w:r>
      <w:bookmarkEnd w:id="5"/>
      <w:r/>
      <w:r/>
    </w:p>
    <w:tbl>
      <w:tblPr>
        <w:tblStyle w:val="76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3083"/>
        <w:gridCol w:w="1985"/>
        <w:gridCol w:w="862"/>
        <w:gridCol w:w="862"/>
        <w:gridCol w:w="863"/>
      </w:tblGrid>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序号</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采购内容</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采购要求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数量</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单位</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备注</w:t>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防火墙</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入侵防御</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3</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安全隔离与信息交换系统</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4</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日志审计</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5</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准入</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6</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数据库审计</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7</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态势感知流量传感器</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8</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安全服务</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项</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tcW w:w="1809" w:type="pct"/>
            <w:vAlign w:val="center"/>
            <w:textDirection w:val="lrTb"/>
            <w:noWrap w:val="false"/>
          </w:tcPr>
          <w:p>
            <w:pPr>
              <w:jc w:val="center"/>
              <w:keepLines w:val="0"/>
              <w:keepNext w:val="0"/>
              <w:pageBreakBefore w:val="0"/>
              <w:spacing w:before="181"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防统方</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10</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灾备软件</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套</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11</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核心交换机</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12</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48口国产交换机</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22</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13</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千兆单模模块</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60</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块</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14</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万兆单模模块</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30</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块</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15</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数据交换交换机</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2</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台</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rFonts w:hint="eastAsia" w:eastAsia="宋体"/>
                <w:color w:val="auto"/>
                <w:szCs w:val="21"/>
                <w:highlight w:val="none"/>
                <w:lang w:val="en-US"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6</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弱电改造</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项</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r>
        <w:trPr>
          <w:jc w:val="center"/>
        </w:trPr>
        <w:tc>
          <w:tcPr>
            <w:tcW w:w="506" w:type="pct"/>
            <w:vAlign w:val="center"/>
            <w:textDirection w:val="lrTb"/>
            <w:noWrap w:val="false"/>
          </w:tcPr>
          <w:p>
            <w:pPr>
              <w:jc w:val="center"/>
              <w:keepLines w:val="0"/>
              <w:keepNext w:val="0"/>
              <w:pageBreakBefore w:val="0"/>
              <w:spacing w:before="181" w:line="360" w:lineRule="auto"/>
              <w:widowControl/>
              <w:rPr>
                <w:rFonts w:hint="eastAsia" w:eastAsia="宋体"/>
                <w:color w:val="auto"/>
                <w:szCs w:val="21"/>
                <w:highlight w:val="none"/>
                <w:lang w:val="en-US"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7</w:t>
            </w:r>
            <w:r/>
          </w:p>
        </w:tc>
        <w:tc>
          <w:tcPr>
            <w:tcW w:w="1809"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模块化机房</w:t>
            </w:r>
            <w:r/>
          </w:p>
        </w:tc>
        <w:tc>
          <w:tcPr>
            <w:tcW w:w="1165"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详见参数要求</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ascii="宋体" w:hAnsi="宋体" w:cs="宋体"/>
                <w:color w:val="auto"/>
                <w:szCs w:val="21"/>
                <w:highlight w:val="none"/>
                <w:lang w:bidi="ar"/>
              </w:rPr>
              <w:t xml:space="preserve">1</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rFonts w:hint="eastAsia"/>
                <w:color w:val="auto"/>
                <w:szCs w:val="21"/>
                <w:highlight w:val="none"/>
              </w:rPr>
              <w:t xml:space="preserve">套</w:t>
            </w:r>
            <w:r/>
          </w:p>
        </w:tc>
        <w:tc>
          <w:tcPr>
            <w:tcW w:w="506" w:type="pct"/>
            <w:vAlign w:val="center"/>
            <w:textDirection w:val="lrTb"/>
            <w:noWrap w:val="false"/>
          </w:tcPr>
          <w:p>
            <w:pPr>
              <w:jc w:val="center"/>
              <w:keepLines w:val="0"/>
              <w:keepNext w:val="0"/>
              <w:pageBreakBefore w:val="0"/>
              <w:spacing w:before="181" w:line="360" w:lineRule="auto"/>
              <w:widowControl/>
              <w:rPr>
                <w:color w:val="auto"/>
                <w:szCs w:val="21"/>
                <w:highlight w:val="none"/>
              </w:rPr>
            </w:pPr>
            <w:r>
              <w:rPr>
                <w:color w:val="auto"/>
                <w:szCs w:val="21"/>
                <w:highlight w:val="none"/>
              </w:rPr>
            </w:r>
            <w:r/>
          </w:p>
        </w:tc>
      </w:tr>
    </w:tbl>
    <w:p>
      <w:pPr>
        <w:ind w:firstLine="420"/>
        <w:spacing w:line="400" w:lineRule="exact"/>
        <w:rPr>
          <w:rFonts w:hint="eastAsia" w:hAnsi="宋体" w:eastAsia="宋体" w:cs="Times New Roman"/>
          <w:color w:val="auto"/>
          <w:szCs w:val="21"/>
          <w:highlight w:val="none"/>
        </w:rPr>
      </w:pPr>
      <w:r>
        <w:rPr>
          <w:rFonts w:hint="eastAsia" w:hAnsi="宋体" w:eastAsia="宋体" w:cs="Times New Roman"/>
          <w:color w:val="auto"/>
          <w:szCs w:val="21"/>
          <w:highlight w:val="none"/>
        </w:rPr>
        <w:t xml:space="preserve">五、技术参数</w:t>
      </w:r>
      <w:r>
        <w:rPr>
          <w:rFonts w:hint="eastAsia" w:hAnsi="宋体" w:eastAsia="宋体" w:cs="Times New Roman"/>
          <w:color w:val="auto"/>
          <w:szCs w:val="21"/>
          <w:highlight w:val="none"/>
          <w:lang w:val="en-US" w:eastAsia="zh-CN"/>
        </w:rPr>
        <w:t xml:space="preserve">要求</w:t>
      </w:r>
      <w:r>
        <w:rPr>
          <w:rFonts w:hint="eastAsia" w:hAnsi="宋体" w:eastAsia="宋体" w:cs="Times New Roman"/>
          <w:color w:val="auto"/>
          <w:szCs w:val="21"/>
          <w:highlight w:val="none"/>
        </w:rPr>
        <w:t xml:space="preserve">及质保期限：</w:t>
      </w:r>
      <w:r/>
    </w:p>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1.防火墙</w:t>
      </w:r>
      <w:r/>
    </w:p>
    <w:tbl>
      <w:tblPr>
        <w:tblStyle w:val="768"/>
        <w:tblW w:w="49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0"/>
        <w:gridCol w:w="6707"/>
      </w:tblGrid>
      <w:tr>
        <w:trPr>
          <w:trHeight w:val="403"/>
        </w:trPr>
        <w:tc>
          <w:tcPr>
            <w:tcW w:w="1025" w:type="pct"/>
            <w:vAlign w:val="center"/>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t xml:space="preserve">指标项</w:t>
            </w:r>
            <w:r/>
          </w:p>
        </w:tc>
        <w:tc>
          <w:tcPr>
            <w:tcW w:w="3974" w:type="pct"/>
            <w:vAlign w:val="center"/>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t xml:space="preserve">指标要求</w:t>
            </w:r>
            <w:r/>
          </w:p>
        </w:tc>
      </w:tr>
      <w:tr>
        <w:trPr>
          <w:trHeight w:val="626"/>
        </w:trPr>
        <w:tc>
          <w:tcPr>
            <w:tcW w:w="1025"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规格参数</w:t>
            </w:r>
            <w:r/>
          </w:p>
        </w:tc>
        <w:tc>
          <w:tcPr>
            <w:tcW w:w="3974" w:type="pct"/>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产品软硬件必须满足国产化要求；标准机架设备≥1U;网络层吞吐量≥12G，并发连接≥350万，每秒新建连接数9万；标准1U机箱，冗余电源；板载不低于8个千兆电口，不低于4个千兆光口，不低于2个扩展插槽，1个Console口，2个USB接口，无液晶屏；</w:t>
            </w:r>
            <w:r/>
          </w:p>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防火墙系统软件；含16个IPsecVPN标配并发隧道数；含16个SSLVPN标配并发用户数</w:t>
            </w:r>
            <w:r/>
          </w:p>
        </w:tc>
      </w:tr>
      <w:tr>
        <w:trPr/>
        <w:tc>
          <w:tcPr>
            <w:tcW w:w="1025" w:type="pct"/>
            <w:vAlign w:val="center"/>
            <w:vMerge w:val="restart"/>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网络协议</w:t>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所投产品支持VTEP（VxLan Tunnel EndPoint）模式接入VxLAN网络，并可作为VXLAN二层、三层网关实现VxLan网络与传统以太网的相同子网内、跨子网间互联互通；支持通过绑定VLAN、VNI（VXLAN Network Identifier）、远程VTEP，手动管理VxLan网络；支持MAC、VNI、VTEP静态绑定</w:t>
            </w:r>
            <w:r/>
          </w:p>
        </w:tc>
      </w:tr>
      <w:tr>
        <w:trPr>
          <w:trHeight w:val="957"/>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Cs w:val="21"/>
                <w:highlight w:val="none"/>
              </w:rPr>
              <w:t xml:space="preserve">★</w:t>
            </w:r>
            <w:r>
              <w:rPr>
                <w:rFonts w:hint="eastAsia" w:ascii="宋体" w:hAnsi="宋体" w:cs="宋体"/>
                <w:color w:val="auto"/>
                <w:sz w:val="21"/>
                <w:highlight w:val="none"/>
              </w:rPr>
              <w:t xml:space="preserve">所投产品支持MPLS流量透传；支持针对MPLS流量的安全审查，包括漏洞防护、反病毒、间谍软件防护、内容过滤、URL过滤、基于终端状态访问控制等安全防护功能； </w:t>
            </w:r>
            <w:r/>
          </w:p>
        </w:tc>
      </w:tr>
      <w:tr>
        <w:trPr/>
        <w:tc>
          <w:tcPr>
            <w:tcW w:w="1025" w:type="pct"/>
            <w:vAlign w:val="center"/>
            <w:vMerge w:val="restart"/>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t xml:space="preserve">病毒防护</w:t>
            </w:r>
            <w:r/>
          </w:p>
        </w:tc>
        <w:tc>
          <w:tcPr>
            <w:tcW w:w="3974"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所投产品配置病毒防护功能，能够对HTTP/FTP/POP3/SMTP/IMAP/SMB六种协议进行病毒查杀；本地病毒库规模大于3000万</w:t>
            </w:r>
            <w:r/>
          </w:p>
        </w:tc>
      </w:tr>
      <w:tr>
        <w:trPr>
          <w:trHeight w:val="412"/>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所投产品必须支持对最多6级的压缩文件进行解压查杀</w:t>
            </w:r>
            <w:r/>
          </w:p>
        </w:tc>
      </w:tr>
      <w:tr>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所投产品必须支持基于MD5的自定义病毒签名；支持设置例外特征，对特定的病毒特征不进行查杀</w:t>
            </w:r>
            <w:r/>
          </w:p>
        </w:tc>
      </w:tr>
      <w:tr>
        <w:trPr/>
        <w:tc>
          <w:tcPr>
            <w:tcW w:w="1025" w:type="pct"/>
            <w:vAlign w:val="center"/>
            <w:vMerge w:val="restart"/>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t xml:space="preserve">入侵防御</w:t>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必须配置漏洞防护功能，同时将漏洞防护特征库分类，至少包括缓冲区溢出、跨站脚本、拒绝服务、恶意扫描、SQL注入、WEB攻击等六种分类；漏洞防护支持日志、阻断、放行、重置等执行动作,可批量设置针对某一分类或全部攻击签名的执行动作；支持基于FTP、HTTP、IMAP、OTHER_APP、POP3、SMB、SMTP等应用协议的漏洞防护。</w:t>
            </w:r>
            <w:r/>
          </w:p>
        </w:tc>
      </w:tr>
      <w:tr>
        <w:trPr>
          <w:trHeight w:val="634"/>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所投产品必须支持在设备漏洞防护特征库直接查阅攻击的名称、CVEID、CNNVDID、CWEID、严重性、影响的平台、类型、描述、解决方案建议等详细信息； </w:t>
            </w:r>
            <w:r/>
          </w:p>
        </w:tc>
      </w:tr>
      <w:tr>
        <w:trPr>
          <w:trHeight w:val="1154"/>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的漏洞防护特征库包含高危漏洞攻击特征，至少包括“永恒之蓝”、“震网三代”、“暗云3”、“Struts”、“Struts2”、“Xshell后门代码”以及对应的攻击的名称、CVEID、CNNVDID、CWEID、严重性、影响的平台、类型、描述、解决方案建议等详细信息； </w:t>
            </w:r>
            <w:r/>
          </w:p>
        </w:tc>
      </w:tr>
      <w:tr>
        <w:trPr>
          <w:trHeight w:val="870"/>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所投产品必须支持自定义TCP、UDP、HTTP协议的漏洞特征，漏洞特征可通过多个字段以文本或正则表达式的形式进行有序和无序匹配，并可自定义漏洞的源、目的端口范围；同时可标识自定义漏洞的CVE编号或CNNVD编号</w:t>
            </w:r>
            <w:r/>
          </w:p>
        </w:tc>
      </w:tr>
      <w:tr>
        <w:trPr/>
        <w:tc>
          <w:tcPr>
            <w:tcW w:w="1025"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SSL 解密</w:t>
            </w:r>
            <w:r/>
          </w:p>
        </w:tc>
        <w:tc>
          <w:tcPr>
            <w:tcW w:w="3974" w:type="pc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所投产品支持IPv4和IPv6流量的HTTPS、POP3S、SMTPS、IMAPS协议进行解密，支持配置基于源安全域、目的安全域、源地址、目的地址、SSL协议服务的解密策略，动作可以设置解密或不解密，并可基于安全域、IPv4和IPv6地址进行例外设置，同时支持将解密后流量镜像到其他设备进行分析统计</w:t>
            </w:r>
            <w:r/>
          </w:p>
        </w:tc>
      </w:tr>
      <w:tr>
        <w:trPr>
          <w:trHeight w:val="659"/>
        </w:trPr>
        <w:tc>
          <w:tcPr>
            <w:tcW w:w="1025" w:type="pct"/>
            <w:vAlign w:val="center"/>
            <w:vMerge w:val="restart"/>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t xml:space="preserve">网络异常感知</w:t>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所投产品必须支持本方案中配置的威胁感知设备协同，实现主机状态检测及告警；</w:t>
            </w:r>
            <w:r/>
          </w:p>
        </w:tc>
      </w:tr>
      <w:tr>
        <w:trPr>
          <w:trHeight w:val="845"/>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所投产品支持基于主机或威胁情报视图，统计网络中存在安全风险的主机数量以及对应的风险等级，至少可查看遭遇风险的时间、威胁类别、情报来源、威胁简介、失陷主机IP、用户名、资产等信息</w:t>
            </w:r>
            <w:r/>
          </w:p>
        </w:tc>
      </w:tr>
      <w:tr>
        <w:trPr>
          <w:trHeight w:val="621"/>
        </w:trPr>
        <w:tc>
          <w:tcPr>
            <w:tcW w:w="1025" w:type="pct"/>
            <w:vAlign w:val="center"/>
            <w:vMerge w:val="restart"/>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t xml:space="preserve">运维管理</w:t>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所投产品必须支持双系统备份，且在系统切换中可实现配置的自动迁移；可记录不同时间点的历史配置文件。</w:t>
            </w:r>
            <w:r/>
          </w:p>
        </w:tc>
      </w:tr>
      <w:tr>
        <w:trPr/>
        <w:tc>
          <w:tcPr>
            <w:tcW w:w="1025" w:type="pct"/>
            <w:vAlign w:val="center"/>
            <w:vMerge w:val="continue"/>
            <w:textDirection w:val="lrTb"/>
            <w:noWrap w:val="false"/>
          </w:tcPr>
          <w:p>
            <w:pPr>
              <w:pStyle w:val="1029"/>
              <w:jc w:val="center"/>
              <w:widowControl/>
              <w:rPr>
                <w:rFonts w:hint="eastAsia" w:ascii="宋体" w:hAnsi="宋体" w:cs="宋体"/>
                <w:color w:val="auto"/>
                <w:sz w:val="21"/>
                <w:highlight w:val="none"/>
              </w:rPr>
            </w:pPr>
            <w:r>
              <w:rPr>
                <w:rFonts w:hint="eastAsia" w:ascii="宋体" w:hAnsi="宋体" w:cs="宋体"/>
                <w:color w:val="auto"/>
                <w:sz w:val="21"/>
                <w:highlight w:val="none"/>
              </w:rPr>
            </w:r>
            <w:r/>
          </w:p>
        </w:tc>
        <w:tc>
          <w:tcPr>
            <w:tcW w:w="3974" w:type="pct"/>
            <w:vAlign w:val="center"/>
            <w:textDirection w:val="lrTb"/>
            <w:noWrap w:val="false"/>
          </w:tcPr>
          <w:p>
            <w:pPr>
              <w:pStyle w:val="1029"/>
              <w:widowControl/>
              <w:rPr>
                <w:rFonts w:hint="eastAsia" w:ascii="宋体" w:hAnsi="宋体" w:cs="宋体"/>
                <w:color w:val="auto"/>
                <w:sz w:val="21"/>
                <w:highlight w:val="none"/>
              </w:rPr>
            </w:pPr>
            <w:r>
              <w:rPr>
                <w:rFonts w:hint="eastAsia" w:ascii="宋体" w:hAnsi="宋体" w:cs="宋体"/>
                <w:color w:val="auto"/>
                <w:sz w:val="21"/>
                <w:highlight w:val="none"/>
              </w:rPr>
              <w:t xml:space="preserve">所投产品必须支持业务接口下Netflow功能，能够通过Netflow实现对网络进行监控，对接口流量进行抓包，并在可将Netflow抓包文件数据外发</w:t>
            </w:r>
            <w:r/>
          </w:p>
        </w:tc>
      </w:tr>
      <w:tr>
        <w:trPr>
          <w:trHeight w:val="509"/>
        </w:trPr>
        <w:tc>
          <w:tcPr>
            <w:tcW w:w="1025"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W w:w="3974"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2.入侵防御</w:t>
      </w:r>
      <w:r/>
    </w:p>
    <w:tbl>
      <w:tblPr>
        <w:tblStyle w:val="768"/>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1750"/>
        <w:gridCol w:w="6732"/>
      </w:tblGrid>
      <w:tr>
        <w:trPr/>
        <w:tc>
          <w:tcPr>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tcW w:w="67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c>
          <w:tcPr>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硬件要求</w:t>
            </w:r>
            <w:r/>
          </w:p>
        </w:tc>
        <w:tc>
          <w:tcPr>
            <w:shd w:val="clear" w:color="auto" w:fill="ffffff"/>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产品软硬件必须满足国产化要求；标准机架设备≥1U;必须标配千兆电口不低于4个，千兆光口不低于4个，接口扩展槽不低于2个</w:t>
            </w:r>
            <w:r/>
          </w:p>
        </w:tc>
      </w:tr>
      <w:tr>
        <w:trPr/>
        <w:tc>
          <w:tcPr>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性能要求</w:t>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在开启IPS和杀毒的情况下，最大吞吐量不低于12Gbps，并发连接数不低于400万</w:t>
            </w:r>
            <w:r/>
          </w:p>
        </w:tc>
      </w:tr>
      <w:tr>
        <w:trPr/>
        <w:tc>
          <w:tcPr>
            <w:tcW w:w="175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入侵防御功能</w:t>
            </w:r>
            <w:r/>
          </w:p>
        </w:tc>
        <w:tc>
          <w:tcPr>
            <w:tcW w:w="6732" w:type="dxa"/>
            <w:vAlign w:val="center"/>
            <w:textDirection w:val="lrTb"/>
            <w:noWrap w:val="false"/>
          </w:tcPr>
          <w:p>
            <w:pPr>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★规则应支持双向检测功能，根据双向流量检测攻击，输出检测结果包含正在利用、攻击成功，应支持HTTP请求/响应缓存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系统应支持虚拟IPS功能，不同的用户可以方便定制满足自身要求的检测模版，至少支持400个用户。</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自定义事件升级内容。针对新增加的事件特征，针对不同级别的事件，用户可以选择是否自动升级到自定义策略中。升级界面中至少包含高中低三种级别事件的升级启用选项。并支持可自动修改动作为通过，满足业务高连续要求下的事件监测要求。</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内置未知恶意代码检测引擎，能检测流经的http、ftp、邮件协议中包含的office文档、图片文档及压缩文档中的未知恶意文件,报警信息应包括源目的IP、协议类型、文件基本信息、检测方法、危险等级及文件的应用的详细信息（如邮件的发件人、收件人、标题等），方便跟踪恶意文件，需说明此引擎和防病毒引擎的区别、实现原理和效果。</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系统应具备网络准入控制能力，通过和终端管理系统联动，拒绝不安全主机连入网络，说明网络准入控制原理和实现效果。</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★支持SQL注入防护和XSS攻击防护，检测点至少支持URL、Cookie、Reference、Form、User-Agent、X-Forwarded-For，内置AI检测模型，利用机器学习技术对SQL注入报文进行分析，检测和识别SQL注入行为。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威胁情报且类型不少于50类，至少覆盖安卓恶意程序、APT攻击、远控木马、僵尸网络、僵尸主机、挖矿、DDOS攻击、欺诈、赌博、物联网/IOT攻击网络、物联网/IOT失陷主机、恶意网站、钓鱼、勒索软件、web攻击主机、网络蠕虫等。</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HTTP协议自适应解码、URL解码、base64解码、XML解码、Unicode解码、十六进制转换、CHR解码、UTF-7解码，支持解析7层以上混合编解码能力，可实现对多层编码攻击的检测，支持格式文本解析JSON解析、html解析、multipart解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系统应支持多种防web扫描能力，包括爬虫、CGI和漏洞扫描等，并支持设置至少4个不同级别的扫描容忍度/扫描敏感度。</w:t>
            </w:r>
            <w:r/>
          </w:p>
        </w:tc>
      </w:tr>
      <w:tr>
        <w:trPr/>
        <w:tc>
          <w:tcPr>
            <w:tcW w:w="175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防病毒功能</w:t>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系统应HTTP、FTP、SMTP、POP3、IMAP协议的病毒检测和过滤功能；</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系统应支持双病毒引擎，具备更强的防病毒能力。</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系统应对文件感染型病毒、蠕虫病毒、脚本病毒、宏病毒、木马、恶意软件等的过滤，病毒库数量不少于30万。</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系统针对HTTP协议和邮件协议，提供信息替换功能，用以通知用户病毒被阻断，管理员可以自行设置替换信息。</w:t>
            </w:r>
            <w:r/>
          </w:p>
        </w:tc>
      </w:tr>
      <w:tr>
        <w:trPr/>
        <w:tc>
          <w:tcPr>
            <w:tcW w:w="175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内容防护</w:t>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系统应支持邮件内容过滤功能，有效防止恶意邮件及信息外泄。可根据邮件SMTP命令、发件人、主题、附件、IP及邮件大小进行过滤。</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系统应支持敏感信息防护功能，识别信息和文件中的关键字、身份证、手机号码、固定电话号码、银行卡、IP地址等敏感信息，并支持文件指纹识别功能。</w:t>
            </w:r>
            <w:r/>
          </w:p>
        </w:tc>
      </w:tr>
      <w:tr>
        <w:trPr/>
        <w:tc>
          <w:tcPr>
            <w:tcW w:w="175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管理功能</w:t>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系统应支持在线管理员数目限制和管理员唯一性检查功能，提高系统管理的安全性。</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需支持动态口令卡或Ukey方式的双因子认证，增强配置管理的安全性。</w:t>
            </w:r>
            <w:r/>
          </w:p>
        </w:tc>
      </w:tr>
      <w:tr>
        <w:trPr/>
        <w:tc>
          <w:tcPr>
            <w:shd w:val="clear" w:color="auto" w:fill="ffffff"/>
            <w:tcW w:w="175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系统应支持本地日志及SYSLOG日志发送，支持向至少3个syslog服务器发送日志。</w:t>
            </w:r>
            <w:r/>
          </w:p>
        </w:tc>
      </w:tr>
      <w:tr>
        <w:trPr/>
        <w:tc>
          <w:tcPr>
            <w:shd w:val="clear" w:color="auto" w:fill="ffffff"/>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防雷击</w:t>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产品应具备防雷击，必须具备国家无线电监测中心检测中心浪涌（冲击）抗扰度测试检测报告，检测设备名称应包含入侵防御字样。</w:t>
            </w:r>
            <w:r/>
          </w:p>
        </w:tc>
      </w:tr>
      <w:tr>
        <w:trPr/>
        <w:tc>
          <w:tcPr>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功能授权</w:t>
            </w:r>
            <w:r/>
          </w:p>
        </w:tc>
        <w:tc>
          <w:tcPr>
            <w:tcW w:w="673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本次包含五年IPS特征升级服务；五年病毒模块使用许可及病毒库升级授权</w:t>
            </w:r>
            <w:r/>
          </w:p>
        </w:tc>
      </w:tr>
      <w:tr>
        <w:trPr/>
        <w:tc>
          <w:tcPr>
            <w:shd w:val="clear" w:color="auto" w:fill="ffffff"/>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W w:w="673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3.安全隔离与信息交换系统</w:t>
      </w:r>
      <w:r/>
    </w:p>
    <w:tbl>
      <w:tblPr>
        <w:tblStyle w:val="744"/>
        <w:tblW w:w="84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1695"/>
        <w:gridCol w:w="6737"/>
      </w:tblGrid>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指标项</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规格要求</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硬件规格</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color w:val="auto"/>
                <w:szCs w:val="21"/>
                <w:highlight w:val="none"/>
              </w:rPr>
              <w:t xml:space="preserve">产品软硬件必须满足国产化要求；标准机架设备≥2U;</w:t>
            </w:r>
            <w:r>
              <w:rPr>
                <w:rFonts w:hint="eastAsia" w:ascii="宋体" w:hAnsi="宋体" w:cs="宋体"/>
                <w:bCs/>
                <w:color w:val="auto"/>
                <w:szCs w:val="21"/>
                <w:highlight w:val="none"/>
              </w:rPr>
              <w:t xml:space="preserve">设备提供液晶面板实时显示设备工作状态及配置信息</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接口要求</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内网接口：设备标配不低于4个千兆电口，1个管理口，1个HA接口，2个Combo口,1个接口扩展槽位</w:t>
            </w:r>
            <w:r/>
          </w:p>
        </w:tc>
      </w:tr>
      <w:tr>
        <w:trPr>
          <w:trHeight w:val="52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外网接口：设备标配不低于4个千兆电口，1个管理口，1个HA接口，2个Combo口,1个接口扩展槽位</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吞吐量不低于800Mbps；并发不低于20万；延时小于1ms。</w:t>
            </w:r>
            <w:r/>
          </w:p>
        </w:tc>
      </w:tr>
      <w:tr>
        <w:trPr>
          <w:trHeight w:val="81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系统架构</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采用“2+1”系统架构，即由两个主机系统和一个隔离交换专用硬件组成；隔离交换矩阵基于专用芯片实现，保证数据在搬移的时间内，内、外网隔离卡与内、外网系统为断开状态。</w:t>
            </w:r>
            <w:r/>
          </w:p>
        </w:tc>
      </w:tr>
      <w:tr>
        <w:trPr>
          <w:trHeight w:val="81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系统要求</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cs="宋体"/>
                <w:bCs/>
                <w:color w:val="auto"/>
                <w:szCs w:val="21"/>
                <w:highlight w:val="none"/>
              </w:rPr>
              <w:t xml:space="preserve">内、外网主机分别具备三系统，即系统A、系统B和备份系统。支持在WEB界面上配置启动顺序，在A系统发生故障时，可以切换到B系统；支持将当前运行系统备份；</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IPv6环境支持</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支持纯IPv6网络环境，能够在纯IPv6网络环境下正常工作。</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强制访问控制</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支持客户端认证方式。</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支持基于动态令牌的双因子认证方式。</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可对用户的客户端版本和进程进行检查，进行准入控制。</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文件交换</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支持文件传输长度及MD5校验，并支持校验失败自动重传；</w:t>
            </w:r>
            <w:r/>
          </w:p>
        </w:tc>
      </w:tr>
      <w:tr>
        <w:trPr>
          <w:trHeight w:val="31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支持断点续传；支持增量传输、发送后删除、改名传输等发送策略；</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支持病毒检测；支持NFS、SMBFS、SAMBA等文件系统；文件服务器可以是Windows、Linux/Unix等系统平台；</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jc w:val="left"/>
              <w:widowControl/>
              <w:rPr>
                <w:rFonts w:hint="eastAsia" w:ascii="宋体" w:hAnsi="宋体" w:cs="宋体"/>
                <w:bCs/>
                <w:color w:val="auto"/>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cs="宋体"/>
                <w:bCs/>
                <w:color w:val="auto"/>
                <w:szCs w:val="21"/>
                <w:highlight w:val="none"/>
              </w:rPr>
              <w:t xml:space="preserve">支持文件格式特征过滤；并能提供具备图形化界面的文件类型判断工具以帮助用户识别不常见文件类型；</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重名策略，接收端客户端支持对重名文件的控制策略，提供“覆盖”、“丢弃”、“重命名”等重名策略。</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可根据异常条件进行报警，如MD5校验失败、堆内存占用过高等条件；支持邮件报警方式；</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文件同步</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支持NFS、SMBFS等文件系统；文件服务器可以是Windows、Linux/Unix等系统平台。</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支持文件传输方向可控，实现单向或双向传输。</w:t>
            </w:r>
            <w:r/>
          </w:p>
        </w:tc>
      </w:tr>
      <w:tr>
        <w:trPr>
          <w:trHeight w:val="52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支持文件格式特征过滤；并能提供文件类型判断工具以帮助用户识别不常见文件类型。</w:t>
            </w:r>
            <w:r/>
          </w:p>
        </w:tc>
      </w:tr>
      <w:tr>
        <w:trPr>
          <w:trHeight w:val="55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重名策略，接收端客户端支持对重名文件的控制策略，提供“覆盖”、“丢弃”、“重命名”等重名策略。</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文件网盘</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支持对外开启WEB服务，供用户登录进行文件上传/下载操作</w:t>
            </w:r>
            <w:r/>
          </w:p>
        </w:tc>
      </w:tr>
      <w:tr>
        <w:trPr>
          <w:trHeight w:val="585"/>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数据库同步</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支持Oracle、SQL Server、Sybase、Db2、MySQL等主流数据库；数据库同步客户端支持Windows、Linux等主流平台；</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支持达梦、人大金仓、Gbase、神通数据库、博阳等主流国产数据库；</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支持同种数据库间（同构）和不同种数据库间（异构）的同步；</w:t>
            </w:r>
            <w:r/>
          </w:p>
        </w:tc>
      </w:tr>
      <w:tr>
        <w:trPr>
          <w:trHeight w:val="52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支持数据容错处理，当数据同步失败时，用户可以查询、恢复、删除未能正常传输的数据。</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支持添加客户端与网闸间证书方式的身份认证；</w:t>
            </w:r>
            <w:r/>
          </w:p>
        </w:tc>
      </w:tr>
      <w:tr>
        <w:trPr>
          <w:trHeight w:val="555"/>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FTP访问</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实现安全的FTP访问，支持对访问用户、访问协议命令、上传下载文件类型等访问过滤控制；</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支持访问时段策略；时间可以设置为一次性或者周循环方式；</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支持HTTP请求头部大小限制</w:t>
            </w:r>
            <w:r/>
          </w:p>
        </w:tc>
      </w:tr>
      <w:tr>
        <w:trPr>
          <w:trHeight w:val="30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支持用户身份认证。</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视频传输</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支持视频服务器认证，有效保证非法视频服务器不能接入用户的内部网络。</w:t>
            </w:r>
            <w:r/>
          </w:p>
        </w:tc>
      </w:tr>
      <w:tr>
        <w:trPr>
          <w:trHeight w:val="5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支持视频功能类型过滤，包括实时点播、历史回放、录像下载、云台控制、回放控制、录像检索、设备查询等；</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支持视频格式过滤，包括G.711、G.729、H.264、H.263、MP4、PS等；</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业务状态监控功能，实时提供业务是否可用、连接会话、流量统计等信息。</w:t>
            </w:r>
            <w:r/>
          </w:p>
        </w:tc>
      </w:tr>
      <w:tr>
        <w:trPr>
          <w:trHeight w:val="525"/>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安全功能</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cs="宋体"/>
                <w:bCs/>
                <w:color w:val="auto"/>
                <w:szCs w:val="21"/>
                <w:highlight w:val="none"/>
              </w:rPr>
              <w:t xml:space="preserve">能够抵御各种DOS/DDOS攻击，能够识别和防御SYN Flood、ICMP Flood等</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具备病毒检测功能</w:t>
            </w:r>
            <w:r/>
          </w:p>
        </w:tc>
      </w:tr>
      <w:tr>
        <w:trPr>
          <w:trHeight w:val="52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cs="宋体"/>
                <w:bCs/>
                <w:color w:val="auto"/>
                <w:szCs w:val="21"/>
                <w:highlight w:val="none"/>
              </w:rPr>
              <w:t xml:space="preserve">能够为授权管理员和授权管理员控制的安全功能数据设定敏感标记，可根据强制访问控制模型得出响应的规则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trHeight w:val="255"/>
        </w:trPr>
        <w:tc>
          <w:tcPr>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支持HTTPS的Web方式管理，实现了远程管理信息加密传输；</w:t>
            </w:r>
            <w:r/>
          </w:p>
        </w:tc>
      </w:tr>
      <w:tr>
        <w:trPr>
          <w:trHeight w:val="52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内/外网主机系统分别具有独立管理接口，而不是采用低安全的管理方式，如通过业务口管理或通过内网唯一管理接口完成全部管理等；</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支持病毒检测专用模块</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支持配置文件以加密的方式导出。</w:t>
            </w:r>
            <w:r/>
          </w:p>
        </w:tc>
      </w:tr>
      <w:tr>
        <w:trPr>
          <w:trHeight w:val="285"/>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抗浪涌</w:t>
            </w:r>
            <w:r/>
          </w:p>
        </w:tc>
        <w:tc>
          <w:tcPr>
            <w:tcBorders>
              <w:top w:val="single" w:color="000000" w:sz="4" w:space="0"/>
              <w:left w:val="single" w:color="000000" w:sz="4" w:space="0"/>
              <w:bottom w:val="single" w:color="000000" w:sz="4" w:space="0"/>
              <w:right w:val="single" w:color="000000" w:sz="4" w:space="0"/>
            </w:tcBorders>
            <w:tcW w:w="6737" w:type="dxa"/>
            <w:textDirection w:val="lrTb"/>
            <w:noWrap w:val="false"/>
          </w:tcPr>
          <w:p>
            <w:pPr>
              <w:widowControl/>
              <w:rPr>
                <w:rFonts w:hint="eastAsia" w:ascii="宋体" w:hAnsi="宋体" w:cs="宋体"/>
                <w:bCs/>
                <w:color w:val="auto"/>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cs="宋体"/>
                <w:bCs/>
                <w:color w:val="auto"/>
                <w:szCs w:val="21"/>
                <w:highlight w:val="none"/>
              </w:rPr>
              <w:t xml:space="preserve">为保证稳定性，产品应具备浪涌（冲击）抗扰度4级的能力，电源端口受到浪涌干扰时，数据口传送数据正确，帧丢失率0%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trHeight w:val="90"/>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Borders>
              <w:top w:val="single" w:color="000000" w:sz="4" w:space="0"/>
              <w:left w:val="single" w:color="000000" w:sz="4" w:space="0"/>
              <w:bottom w:val="single" w:color="000000" w:sz="4" w:space="0"/>
              <w:right w:val="single" w:color="000000" w:sz="4" w:space="0"/>
            </w:tcBorders>
            <w:tcW w:w="6737"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4.日志审计</w:t>
      </w:r>
      <w:r/>
    </w:p>
    <w:tbl>
      <w:tblPr>
        <w:tblStyle w:val="744"/>
        <w:tblW w:w="50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6825"/>
      </w:tblGrid>
      <w:tr>
        <w:trPr>
          <w:jc w:val="center"/>
          <w:tblHeader/>
        </w:trPr>
        <w:tc>
          <w:tcPr>
            <w:tcW w:w="1026" w:type="pct"/>
            <w:vAlign w:val="center"/>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指标项</w:t>
            </w:r>
            <w:r/>
          </w:p>
        </w:tc>
        <w:tc>
          <w:tcPr>
            <w:tcW w:w="3973" w:type="pct"/>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指标要求</w:t>
            </w:r>
            <w:r/>
          </w:p>
        </w:tc>
      </w:tr>
      <w:tr>
        <w:trPr>
          <w:jc w:val="center"/>
          <w:trHeight w:val="403"/>
        </w:trPr>
        <w:tc>
          <w:tcPr>
            <w:tcW w:w="1026" w:type="pct"/>
            <w:vAlign w:val="center"/>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硬件参数</w:t>
            </w:r>
            <w:r/>
          </w:p>
        </w:tc>
        <w:tc>
          <w:tcPr>
            <w:tcW w:w="3973" w:type="pct"/>
            <w:textDirection w:val="lrTb"/>
            <w:noWrap w:val="false"/>
          </w:tcPr>
          <w:p>
            <w:pPr>
              <w:spacing w:before="78" w:after="78"/>
              <w:rPr>
                <w:rFonts w:hint="eastAsia" w:ascii="宋体" w:hAnsi="宋体" w:cs="宋体"/>
                <w:bCs/>
                <w:color w:val="auto"/>
                <w:szCs w:val="21"/>
                <w:highlight w:val="none"/>
              </w:rPr>
            </w:pPr>
            <w:r>
              <w:rPr>
                <w:rFonts w:hint="eastAsia" w:ascii="宋体" w:hAnsi="宋体" w:cs="宋体"/>
                <w:color w:val="auto"/>
                <w:szCs w:val="21"/>
                <w:highlight w:val="none"/>
              </w:rPr>
              <w:t xml:space="preserve">产品软硬件必须满足国产化要求；标准机架设备≥2U;</w:t>
            </w:r>
            <w:r>
              <w:rPr>
                <w:rFonts w:hint="eastAsia" w:ascii="宋体" w:hAnsi="宋体" w:cs="宋体"/>
                <w:bCs/>
                <w:color w:val="auto"/>
                <w:szCs w:val="21"/>
                <w:highlight w:val="none"/>
              </w:rPr>
              <w:t xml:space="preserve">，采用专用安全操作系统；设备标配不低于6个千兆电口，4个千兆光口，2个接口扩展板卡，设备存储容量不低于4T</w:t>
            </w:r>
            <w:r/>
          </w:p>
        </w:tc>
      </w:tr>
      <w:tr>
        <w:trPr>
          <w:jc w:val="center"/>
          <w:trHeight w:val="403"/>
        </w:trPr>
        <w:tc>
          <w:tcPr>
            <w:tcW w:w="1026" w:type="pct"/>
            <w:vAlign w:val="center"/>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产品性能</w:t>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日志处理性能不低于8000EPS</w:t>
            </w:r>
            <w:r/>
          </w:p>
        </w:tc>
      </w:tr>
      <w:tr>
        <w:trPr>
          <w:jc w:val="center"/>
          <w:trHeight w:val="648"/>
        </w:trPr>
        <w:tc>
          <w:tcPr>
            <w:tcW w:w="1026" w:type="pct"/>
            <w:vAlign w:val="center"/>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管理范围</w:t>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能对网络设备、安全设备和系统、主机操作系统、数据库以及各种应用系统的日志、事件、告警等安全信息进行全面的审计。</w:t>
            </w:r>
            <w:r/>
          </w:p>
        </w:tc>
      </w:tr>
      <w:tr>
        <w:trPr>
          <w:jc w:val="center"/>
          <w:trHeight w:val="621"/>
        </w:trPr>
        <w:tc>
          <w:tcPr>
            <w:tcW w:w="1026" w:type="pct"/>
            <w:vAlign w:val="center"/>
            <w:vMerge w:val="restart"/>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支持采集方式</w:t>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★支持SNMP、Syslog、ODBC/JDBC、文件/文件夹、WMI、FTP、SFTP、SMB、NetBIOS、OPSEC等多种方式完成日志收集功能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jc w:val="center"/>
          <w:trHeight w:val="693"/>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针对文本格式的日志采集，支持本地文件、Windows共享和FTP、SFTP获取四种采集方式。</w:t>
            </w:r>
            <w:r/>
          </w:p>
        </w:tc>
      </w:tr>
      <w:tr>
        <w:trPr>
          <w:jc w:val="center"/>
          <w:trHeight w:val="693"/>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bookmarkStart w:id="6" w:name="_Hlk95464185"/>
            <w:r>
              <w:rPr>
                <w:rFonts w:hint="eastAsia" w:ascii="宋体" w:hAnsi="宋体" w:cs="宋体"/>
                <w:bCs/>
                <w:color w:val="auto"/>
                <w:szCs w:val="21"/>
                <w:highlight w:val="none"/>
              </w:rPr>
              <w:t xml:space="preserve">支持与Kafka、Hadoop、ES、MangoDB、SAP HANA内存数据库大数据存储组件对接进行日志数据传输采集</w:t>
            </w:r>
            <w:bookmarkEnd w:id="6"/>
            <w:r/>
            <w:r/>
          </w:p>
        </w:tc>
      </w:tr>
      <w:tr>
        <w:trPr>
          <w:jc w:val="center"/>
          <w:trHeight w:val="403"/>
        </w:trPr>
        <w:tc>
          <w:tcPr>
            <w:tcW w:w="1026" w:type="pct"/>
            <w:vAlign w:val="center"/>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拓扑可视化</w:t>
            </w:r>
            <w:r/>
          </w:p>
        </w:tc>
        <w:tc>
          <w:tcPr>
            <w:tcW w:w="3973" w:type="pct"/>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系统提供基于资产的拓扑视图，可以按拓扑模式显示资产拓扑节点</w:t>
            </w:r>
            <w:r/>
          </w:p>
        </w:tc>
      </w:tr>
      <w:tr>
        <w:trPr>
          <w:jc w:val="center"/>
          <w:trHeight w:val="403"/>
        </w:trPr>
        <w:tc>
          <w:tcPr>
            <w:tcW w:w="1026" w:type="pct"/>
            <w:vAlign w:val="center"/>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地图定位</w:t>
            </w:r>
            <w:r/>
          </w:p>
        </w:tc>
        <w:tc>
          <w:tcPr>
            <w:tcW w:w="3973" w:type="pct"/>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★支持对日志提供在线/离线地图定位、支持源IP与目的IP分布走向的视网膜图展示、支持事件拓扑分析用于描述整个事件的访问关系及过程、支持多维分析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tc>
      </w:tr>
      <w:tr>
        <w:trPr>
          <w:jc w:val="center"/>
          <w:trHeight w:val="494"/>
        </w:trPr>
        <w:tc>
          <w:tcPr>
            <w:tcW w:w="1026" w:type="pct"/>
            <w:vAlign w:val="center"/>
            <w:vMerge w:val="restart"/>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日志范式化</w:t>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系统必须具备日志范式化功能，实现对异构日志格式的统一化；</w:t>
            </w:r>
            <w:r/>
          </w:p>
        </w:tc>
      </w:tr>
      <w:tr>
        <w:trPr>
          <w:jc w:val="center"/>
          <w:trHeight w:val="520"/>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范式化字段至少应包括事件接收时间、事件产生时间、事件持续时间、用户名称、源地址、源MAC地址、源端口、操作、目的地址、目的MAC地址、目的端口、事件名称、事件摘要、等级、原始等级、原始类型、网络协议、网络应用协议、设备地址、设备名称、设备类型等；</w:t>
            </w:r>
            <w:r/>
          </w:p>
        </w:tc>
      </w:tr>
      <w:tr>
        <w:trPr>
          <w:jc w:val="center"/>
          <w:trHeight w:val="495"/>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对日志设备类型、日志类型、日志级别等可进行重定义。</w:t>
            </w:r>
            <w:r/>
          </w:p>
        </w:tc>
      </w:tr>
      <w:tr>
        <w:trPr>
          <w:jc w:val="center"/>
          <w:trHeight w:val="367"/>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支持全智能范式化解析模式，支持解析字段的编辑和调整，如修改字段名称</w:t>
            </w:r>
            <w:r/>
          </w:p>
        </w:tc>
      </w:tr>
      <w:tr>
        <w:trPr>
          <w:jc w:val="center"/>
          <w:trHeight w:val="520"/>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在范式化的时候能够对日志进行分类，分类需按照安全事件的类型，而不是日志的设备类型，并提供日志分类的类型清单。</w:t>
            </w:r>
            <w:r/>
          </w:p>
        </w:tc>
      </w:tr>
      <w:tr>
        <w:trPr>
          <w:jc w:val="center"/>
          <w:trHeight w:val="350"/>
        </w:trPr>
        <w:tc>
          <w:tcPr>
            <w:tcW w:w="1026" w:type="pct"/>
            <w:vAlign w:val="center"/>
            <w:vMerge w:val="restart"/>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日志传输和存储转发</w:t>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日志可加密压缩传输，保证数据的完整性和机密性；</w:t>
            </w:r>
            <w:r/>
          </w:p>
        </w:tc>
      </w:tr>
      <w:tr>
        <w:trPr>
          <w:jc w:val="center"/>
          <w:trHeight w:val="362"/>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可根据转发条件，将采集范式化后的数据转发到其他的目标地址；</w:t>
            </w:r>
            <w:r/>
          </w:p>
        </w:tc>
      </w:tr>
      <w:tr>
        <w:trPr>
          <w:jc w:val="center"/>
          <w:trHeight w:val="375"/>
        </w:trPr>
        <w:tc>
          <w:tcPr>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支持加密压缩方式转发，定时转发。</w:t>
            </w:r>
            <w:r/>
          </w:p>
        </w:tc>
      </w:tr>
      <w:tr>
        <w:trPr>
          <w:jc w:val="center"/>
          <w:trHeight w:val="400"/>
        </w:trPr>
        <w:tc>
          <w:tcPr>
            <w:tcW w:w="1026"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日志查询</w:t>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系统允许管理员以查询场景的形式查看不同类型的日志信息；</w:t>
            </w:r>
            <w:r/>
          </w:p>
        </w:tc>
      </w:tr>
      <w:tr>
        <w:trPr>
          <w:jc w:val="center"/>
          <w:trHeight w:val="374"/>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用户可自定义查询场景，每个查询场景都要以查询策略的形式进行存储；</w:t>
            </w:r>
            <w:r/>
          </w:p>
        </w:tc>
      </w:tr>
      <w:tr>
        <w:trPr>
          <w:jc w:val="center"/>
          <w:trHeight w:val="424"/>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自定义事件查询策略，基于事件分类的查询条件不少于10大项50小项。</w:t>
            </w:r>
            <w:r/>
          </w:p>
        </w:tc>
      </w:tr>
      <w:tr>
        <w:trPr>
          <w:jc w:val="center"/>
          <w:trHeight w:val="412"/>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查询场景可保存，并可重复使用；</w:t>
            </w:r>
            <w:r/>
          </w:p>
        </w:tc>
      </w:tr>
      <w:tr>
        <w:trPr>
          <w:jc w:val="center"/>
          <w:trHeight w:val="455"/>
        </w:trPr>
        <w:tc>
          <w:tcPr>
            <w:tcW w:w="1026"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日志关联分析</w:t>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系统具有日志关联分析的能力，能够对不同的日志进行相关性分析，发掘潜在的信息；</w:t>
            </w:r>
            <w:r/>
          </w:p>
        </w:tc>
      </w:tr>
      <w:tr>
        <w:trPr>
          <w:jc w:val="center"/>
          <w:trHeight w:val="383"/>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系统提供基于图形化方式的规则编辑器；</w:t>
            </w:r>
            <w:r/>
          </w:p>
        </w:tc>
      </w:tr>
      <w:tr>
        <w:trPr>
          <w:jc w:val="center"/>
          <w:trHeight w:val="455"/>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在编辑规则条件的时候，可以针对事件属性引用规则、应用资产属性、引用资源；</w:t>
            </w:r>
            <w:r/>
          </w:p>
        </w:tc>
      </w:tr>
      <w:tr>
        <w:trPr>
          <w:jc w:val="center"/>
          <w:trHeight w:val="455"/>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支持基于规则的关联分析引擎，能够提供逻辑关联、统计关联的关联分析能力；关联规则支持规则嵌套和引用，支持多规则联合</w:t>
            </w:r>
            <w:r/>
          </w:p>
        </w:tc>
      </w:tr>
      <w:tr>
        <w:trPr>
          <w:jc w:val="center"/>
          <w:trHeight w:val="455"/>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可实现统计计数关联，能够设定一段时间内的事件发生次数的阈值，还能指定重复事件的属性特征；</w:t>
            </w:r>
            <w:r/>
          </w:p>
        </w:tc>
      </w:tr>
      <w:tr>
        <w:trPr>
          <w:jc w:val="center"/>
          <w:trHeight w:val="348"/>
        </w:trPr>
        <w:tc>
          <w:tcPr>
            <w:tcW w:w="1026"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历史关联</w:t>
            </w:r>
            <w:r/>
          </w:p>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系统具备历史日志关联分析的能力</w:t>
            </w:r>
            <w:r/>
          </w:p>
        </w:tc>
      </w:tr>
      <w:tr>
        <w:trPr>
          <w:jc w:val="center"/>
          <w:trHeight w:val="346"/>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能够对指定时间范围内的不同的历史日志进行相关性分析，发掘潜在的信息</w:t>
            </w:r>
            <w:r/>
          </w:p>
        </w:tc>
      </w:tr>
      <w:tr>
        <w:trPr>
          <w:jc w:val="center"/>
          <w:trHeight w:val="403"/>
        </w:trPr>
        <w:tc>
          <w:tcPr>
            <w:tcW w:w="1026"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观察列表</w:t>
            </w:r>
            <w:r/>
          </w:p>
        </w:tc>
        <w:tc>
          <w:tcPr>
            <w:tcW w:w="3973" w:type="pct"/>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根据关联分析的结果将可疑或者需要关注的信息加入观察列表，并可以对观察列表中的信息进行关联，也可以被任何规则引用；</w:t>
            </w:r>
            <w:r/>
          </w:p>
        </w:tc>
      </w:tr>
      <w:tr>
        <w:trPr>
          <w:jc w:val="center"/>
          <w:trHeight w:val="403"/>
        </w:trPr>
        <w:tc>
          <w:tcPr>
            <w:tcW w:w="1026"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威胁情报采集</w:t>
            </w:r>
            <w:r/>
          </w:p>
        </w:tc>
        <w:tc>
          <w:tcPr>
            <w:tcW w:w="3973" w:type="pct"/>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日志采集时支持对日志编码方式进行自定义选择，包括UTF-8、UTF-16、GBK／GB2312、IOS-8859-1等。</w:t>
            </w:r>
            <w:r/>
          </w:p>
        </w:tc>
      </w:tr>
      <w:tr>
        <w:trPr>
          <w:jc w:val="center"/>
          <w:trHeight w:val="403"/>
        </w:trPr>
        <w:tc>
          <w:tcPr>
            <w:tcW w:w="1026"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日志告警</w:t>
            </w:r>
            <w:r/>
          </w:p>
        </w:tc>
        <w:tc>
          <w:tcPr>
            <w:tcW w:w="3973" w:type="pct"/>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告警动作支持发出警示音</w:t>
            </w:r>
            <w:r/>
          </w:p>
        </w:tc>
      </w:tr>
      <w:tr>
        <w:trPr>
          <w:jc w:val="center"/>
          <w:trHeight w:val="403"/>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支持配置多种告警方式和告警动作，包括弹出提示框、播放警示音、发送邮件、发送微信消息、发送飞书消息、发送钉钉消息等；</w:t>
            </w:r>
            <w:r/>
          </w:p>
        </w:tc>
      </w:tr>
      <w:tr>
        <w:trPr>
          <w:jc w:val="center"/>
          <w:trHeight w:val="389"/>
        </w:trPr>
        <w:tc>
          <w:tcPr>
            <w:tcW w:w="1026" w:type="pct"/>
            <w:vAlign w:val="center"/>
            <w:vMerge w:val="restart"/>
            <w:textDirection w:val="lrTb"/>
            <w:noWrap w:val="false"/>
          </w:tcPr>
          <w:p>
            <w:pPr>
              <w:jc w:val="center"/>
              <w:rPr>
                <w:rFonts w:hint="eastAsia" w:ascii="宋体" w:hAnsi="宋体" w:cs="宋体"/>
                <w:bCs/>
                <w:color w:val="auto"/>
                <w:szCs w:val="21"/>
                <w:highlight w:val="none"/>
              </w:rPr>
            </w:pPr>
            <w:r/>
            <w:bookmarkStart w:id="7" w:name="_Toc212442884"/>
            <w:r>
              <w:rPr>
                <w:rFonts w:hint="eastAsia" w:ascii="宋体" w:hAnsi="宋体" w:cs="宋体"/>
                <w:bCs/>
                <w:color w:val="auto"/>
                <w:szCs w:val="21"/>
                <w:highlight w:val="none"/>
              </w:rPr>
              <w:t xml:space="preserve">日志报表</w:t>
            </w:r>
            <w:bookmarkEnd w:id="7"/>
            <w:r/>
            <w:r/>
          </w:p>
        </w:tc>
        <w:tc>
          <w:tcPr>
            <w:tcW w:w="3973" w:type="pct"/>
            <w:vAlign w:val="center"/>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内置等级保护、PCI合规、SOX合规和ISO27001等合规类报表报告</w:t>
            </w:r>
            <w:r/>
          </w:p>
        </w:tc>
      </w:tr>
      <w:tr>
        <w:trPr>
          <w:jc w:val="center"/>
          <w:trHeight w:val="439"/>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支持按照天、月度、季度、年度等时间周期生成报表；</w:t>
            </w:r>
            <w:r/>
          </w:p>
        </w:tc>
      </w:tr>
      <w:tr>
        <w:trPr>
          <w:jc w:val="center"/>
          <w:trHeight w:val="402"/>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支持在报表中以柱状图、曲线图、饼状图方式统计安全报警情况；</w:t>
            </w:r>
            <w:r/>
          </w:p>
        </w:tc>
      </w:tr>
      <w:tr>
        <w:trPr>
          <w:jc w:val="center"/>
          <w:trHeight w:val="415"/>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系统内置报表编辑器，可以自定义报表。</w:t>
            </w:r>
            <w:r/>
          </w:p>
        </w:tc>
      </w:tr>
      <w:tr>
        <w:trPr>
          <w:jc w:val="center"/>
          <w:trHeight w:val="312"/>
        </w:trPr>
        <w:tc>
          <w:tcPr>
            <w:tcW w:w="1026"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3973" w:type="pct"/>
            <w:vAlign w:val="center"/>
            <w:textDirection w:val="lrTb"/>
            <w:noWrap w:val="false"/>
          </w:tcPr>
          <w:p>
            <w:pP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支持报表调度，即报表可设置首次生成时间和间隔生成时间，生成后可指定直接发送到接收人邮箱。</w:t>
            </w:r>
            <w:r/>
          </w:p>
        </w:tc>
      </w:tr>
      <w:tr>
        <w:trPr>
          <w:jc w:val="center"/>
          <w:trHeight w:val="403"/>
        </w:trPr>
        <w:tc>
          <w:tcPr>
            <w:tcW w:w="1026" w:type="pct"/>
            <w:vAlign w:val="center"/>
            <w:vMerge w:val="restart"/>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系统管理</w:t>
            </w:r>
            <w:r/>
          </w:p>
        </w:tc>
        <w:tc>
          <w:tcPr>
            <w:tcW w:w="3973" w:type="pct"/>
            <w:vAlign w:val="center"/>
            <w:textDirection w:val="lrTb"/>
            <w:noWrap w:val="false"/>
          </w:tcPr>
          <w:p>
            <w:pPr>
              <w:pStyle w:val="748"/>
              <w:rPr>
                <w:rFonts w:hint="eastAsia" w:ascii="宋体" w:hAnsi="宋体" w:cs="宋体"/>
                <w:bCs/>
                <w:color w:val="auto"/>
                <w:szCs w:val="21"/>
                <w:highlight w:val="none"/>
              </w:rPr>
            </w:pPr>
            <w:r>
              <w:rPr>
                <w:rFonts w:hint="eastAsia" w:ascii="宋体" w:hAnsi="宋体" w:cs="宋体"/>
                <w:bCs/>
                <w:color w:val="auto"/>
                <w:szCs w:val="21"/>
                <w:highlight w:val="none"/>
              </w:rPr>
              <w:t xml:space="preserve">可对系统自身的CPU、内存、数据库空间大小等进行监控</w:t>
            </w:r>
            <w:r/>
          </w:p>
        </w:tc>
      </w:tr>
      <w:tr>
        <w:trPr>
          <w:jc w:val="center"/>
          <w:trHeight w:val="325"/>
        </w:trPr>
        <w:tc>
          <w:tcPr>
            <w:tcBorders>
              <w:bottom w:val="single" w:color="auto" w:sz="4" w:space="0"/>
            </w:tcBorders>
            <w:tcW w:w="1026" w:type="pct"/>
            <w:vAlign w:val="center"/>
            <w:vMerge w:val="continue"/>
            <w:textDirection w:val="lrTb"/>
            <w:noWrap w:val="false"/>
          </w:tcPr>
          <w:p>
            <w:pPr>
              <w:jc w:val="center"/>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bottom w:val="single" w:color="auto" w:sz="4" w:space="0"/>
            </w:tcBorders>
            <w:tcW w:w="3973" w:type="pct"/>
            <w:vAlign w:val="center"/>
            <w:textDirection w:val="lrTb"/>
            <w:noWrap w:val="false"/>
          </w:tcPr>
          <w:p>
            <w:pPr>
              <w:jc w:val="left"/>
              <w:spacing w:before="78" w:after="78"/>
              <w:rPr>
                <w:rFonts w:hint="eastAsia" w:ascii="宋体" w:hAnsi="宋体" w:cs="宋体"/>
                <w:bCs/>
                <w:color w:val="auto"/>
                <w:szCs w:val="21"/>
                <w:highlight w:val="none"/>
              </w:rPr>
            </w:pPr>
            <w:r>
              <w:rPr>
                <w:rFonts w:hint="eastAsia" w:ascii="宋体" w:hAnsi="宋体" w:cs="宋体"/>
                <w:bCs/>
                <w:color w:val="auto"/>
                <w:szCs w:val="21"/>
                <w:highlight w:val="none"/>
              </w:rPr>
              <w:t xml:space="preserve">可以对自身运行的CPU、内存和磁盘空间等的使用率设置告警阈值；</w:t>
            </w:r>
            <w:r/>
          </w:p>
        </w:tc>
      </w:tr>
      <w:tr>
        <w:trPr>
          <w:jc w:val="center"/>
          <w:trHeight w:val="331"/>
        </w:trPr>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质保</w:t>
            </w:r>
            <w:r>
              <w:rPr>
                <w:rFonts w:hint="eastAsia" w:ascii="宋体" w:hAnsi="宋体" w:cs="宋体"/>
                <w:bCs/>
                <w:color w:val="auto"/>
                <w:szCs w:val="21"/>
                <w:highlight w:val="none"/>
                <w:lang w:val="en-US" w:eastAsia="zh-CN"/>
              </w:rPr>
              <w:t xml:space="preserve">期限</w:t>
            </w:r>
            <w:r/>
          </w:p>
        </w:tc>
        <w:tc>
          <w:tcPr>
            <w:tcBorders>
              <w:top w:val="single" w:color="auto" w:sz="4" w:space="0"/>
              <w:left w:val="single" w:color="auto" w:sz="4" w:space="0"/>
              <w:bottom w:val="single" w:color="auto" w:sz="4" w:space="0"/>
              <w:right w:val="single" w:color="auto" w:sz="4" w:space="0"/>
            </w:tcBorders>
            <w:tcW w:w="3973" w:type="pct"/>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包含30个点审计授权，五年硬件</w:t>
            </w:r>
            <w:r>
              <w:rPr>
                <w:rFonts w:hint="eastAsia" w:ascii="宋体" w:hAnsi="宋体" w:cs="宋体"/>
                <w:bCs/>
                <w:color w:val="auto"/>
                <w:szCs w:val="21"/>
                <w:highlight w:val="none"/>
                <w:lang w:val="en-US" w:eastAsia="zh-CN" w:bidi="ar"/>
              </w:rPr>
              <w:t xml:space="preserve">免费</w:t>
            </w:r>
            <w:r>
              <w:rPr>
                <w:rFonts w:hint="eastAsia" w:ascii="宋体" w:hAnsi="宋体" w:cs="宋体"/>
                <w:bCs/>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5.准入</w:t>
      </w:r>
      <w:r/>
    </w:p>
    <w:tbl>
      <w:tblPr>
        <w:tblStyle w:val="744"/>
        <w:tblW w:w="506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773"/>
        <w:gridCol w:w="6860"/>
      </w:tblGrid>
      <w:tr>
        <w:trPr>
          <w:jc w:val="center"/>
          <w:trHeight w:val="516"/>
        </w:trPr>
        <w:tc>
          <w:tcPr>
            <w:shd w:val="clear" w:color="auto" w:fill="ffffff"/>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指标项</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指标要求</w:t>
            </w:r>
            <w:r/>
          </w:p>
        </w:tc>
      </w:tr>
      <w:tr>
        <w:trPr>
          <w:jc w:val="center"/>
          <w:trHeight w:val="280"/>
        </w:trPr>
        <w:tc>
          <w:tcPr>
            <w:shd w:val="clear" w:color="auto" w:fill="ffffff"/>
            <w:tcBorders>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color w:val="auto"/>
                <w:szCs w:val="21"/>
                <w:highlight w:val="none"/>
              </w:rPr>
              <w:t xml:space="preserve">产品软硬件必须满足国产化要求；标准机架设备≥2U;</w:t>
            </w:r>
            <w:r>
              <w:rPr>
                <w:rFonts w:hint="eastAsia" w:ascii="宋体" w:hAnsi="宋体" w:cs="宋体"/>
                <w:bCs/>
                <w:color w:val="auto"/>
                <w:szCs w:val="21"/>
                <w:highlight w:val="none"/>
              </w:rPr>
              <w:t xml:space="preserve">，双电源，标配千兆电口不低于4个, 千兆光口不低于4个，接口扩展槽不低于2个； </w:t>
            </w:r>
            <w:r/>
          </w:p>
        </w:tc>
      </w:tr>
      <w:tr>
        <w:trPr>
          <w:jc w:val="center"/>
          <w:trHeight w:val="578"/>
        </w:trPr>
        <w:tc>
          <w:tcPr>
            <w:shd w:val="clear" w:color="auto" w:fill="ffffff"/>
            <w:tcBorders>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性能参数</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支持终端数量不低于500个</w:t>
            </w:r>
            <w:r/>
          </w:p>
        </w:tc>
      </w:tr>
      <w:tr>
        <w:trPr>
          <w:jc w:val="center"/>
          <w:trHeight w:val="687"/>
        </w:trPr>
        <w:tc>
          <w:tcPr>
            <w:shd w:val="clear" w:color="auto" w:fill="ffffff"/>
            <w:tcBorders>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多操作系统要求</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pStyle w:val="782"/>
              <w:ind w:left="0"/>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产品支持三系统引导，即系统A、系统B和备份系统，可在管理员界面直接配置启动顺序，支持两个操作系统，管理员可自由选择当前启动系统，每个系统拥有独立的配置文件，且配置文件分别支持加密导入导出</w:t>
            </w:r>
            <w:r/>
          </w:p>
        </w:tc>
      </w:tr>
      <w:tr>
        <w:trPr>
          <w:jc w:val="center"/>
          <w:trHeight w:val="386"/>
        </w:trPr>
        <w:tc>
          <w:tcPr>
            <w:shd w:val="clear" w:color="auto" w:fill="ffffff"/>
            <w:tcBorders>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客户端部署</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准入设备应提供客户端的准入模式和无客户端准入模式，可供自定义部署和管理</w:t>
            </w:r>
            <w:r/>
          </w:p>
        </w:tc>
      </w:tr>
      <w:tr>
        <w:trPr>
          <w:jc w:val="center"/>
          <w:trHeight w:val="90"/>
        </w:trPr>
        <w:tc>
          <w:tcPr>
            <w:shd w:val="clear" w:color="auto" w:fill="ffffff"/>
            <w:tcBorders>
              <w:top w:val="single" w:color="auto" w:sz="4" w:space="0"/>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准入技术</w:t>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多种准入控制技术（802.1X、EVG、DHCP、ARP、SNMP、端口镜像、策略路由、透明网桥、视频协议准入、portal协议认证等十余种），并且支持至少四种以上准入技术的复用，如802.1x、DHCP、端口镜像、策略路由混合部署</w:t>
            </w:r>
            <w:r/>
          </w:p>
        </w:tc>
      </w:tr>
      <w:tr>
        <w:trPr>
          <w:jc w:val="center"/>
          <w:trHeight w:val="936"/>
        </w:trPr>
        <w:tc>
          <w:tcPr>
            <w:shd w:val="clear" w:color="auto" w:fill="ffffff"/>
            <w:tcBorders>
              <w:top w:val="single" w:color="auto" w:sz="4" w:space="0"/>
              <w:left w:val="single" w:color="auto" w:sz="4" w:space="0"/>
              <w:right w:val="single" w:color="auto" w:sz="4" w:space="0"/>
            </w:tcBorders>
            <w:tcW w:w="1027"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资源管理</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要求可以自动关联接入设备的IP地址、MAC地址、主机名、使用人、接入端口、所属VLAN；</w:t>
            </w:r>
            <w:r/>
          </w:p>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要求可以自动收集终端设备，包括：终端、手机、平板、交换机，并根据设备类型自动分类；</w:t>
            </w:r>
            <w:r/>
          </w:p>
        </w:tc>
      </w:tr>
      <w:tr>
        <w:trPr>
          <w:jc w:val="center"/>
          <w:trHeight w:val="492"/>
        </w:trPr>
        <w:tc>
          <w:tcPr>
            <w:shd w:val="clear" w:color="auto" w:fill="ffffff"/>
            <w:tcBorders>
              <w:left w:val="single" w:color="auto" w:sz="4" w:space="0"/>
              <w:bottom w:val="single" w:color="auto" w:sz="4" w:space="0"/>
              <w:right w:val="single" w:color="auto" w:sz="4" w:space="0"/>
            </w:tcBorders>
            <w:tcW w:w="1027"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能够通过SNMP、SSH、TELNET等方式自动、批量添加网络设备；</w:t>
            </w:r>
            <w:r/>
          </w:p>
        </w:tc>
      </w:tr>
      <w:tr>
        <w:trPr>
          <w:jc w:val="center"/>
          <w:trHeight w:val="986"/>
        </w:trPr>
        <w:tc>
          <w:tcPr>
            <w:shd w:val="clear" w:color="auto" w:fill="ffffff"/>
            <w:tcBorders>
              <w:top w:val="single" w:color="auto" w:sz="4" w:space="0"/>
              <w:left w:val="single" w:color="auto" w:sz="4" w:space="0"/>
              <w:right w:val="single" w:color="auto" w:sz="4" w:space="0"/>
            </w:tcBorders>
            <w:tcW w:w="1027"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网络拓扑管理</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准入设备支持交换机到终端计算机的网络拓扑管理功能，能够自动绘制出网络拓扑图。</w:t>
            </w:r>
            <w:r/>
          </w:p>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支持手工绘制、支持图像导出、支持拓扑图的放大缩小、支持拓扑图的全屏查看（适应屏幕）</w:t>
            </w:r>
            <w:r/>
          </w:p>
        </w:tc>
      </w:tr>
      <w:tr>
        <w:trPr>
          <w:jc w:val="center"/>
          <w:trHeight w:val="431"/>
        </w:trPr>
        <w:tc>
          <w:tcPr>
            <w:shd w:val="clear" w:color="auto" w:fill="ffffff"/>
            <w:tcBorders>
              <w:left w:val="single" w:color="auto" w:sz="4" w:space="0"/>
              <w:right w:val="single" w:color="auto" w:sz="4" w:space="0"/>
            </w:tcBorders>
            <w:tcW w:w="1027"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支持以交换机图表的方式显示用户、IP、MAC在交换机端口上的定位图；</w:t>
            </w:r>
            <w:r/>
          </w:p>
        </w:tc>
      </w:tr>
      <w:tr>
        <w:trPr>
          <w:jc w:val="center"/>
          <w:trHeight w:val="410"/>
        </w:trPr>
        <w:tc>
          <w:tcPr>
            <w:shd w:val="clear" w:color="auto" w:fill="ffffff"/>
            <w:tcBorders>
              <w:left w:val="single" w:color="auto" w:sz="4" w:space="0"/>
              <w:bottom w:val="single" w:color="auto" w:sz="4" w:space="0"/>
              <w:right w:val="single" w:color="auto" w:sz="4" w:space="0"/>
            </w:tcBorders>
            <w:tcW w:w="1027"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支持可网管型交换机面板图形化展现各接口状态（单终端、多终端、关闭状态、Trunk口）</w:t>
            </w:r>
            <w:r/>
          </w:p>
        </w:tc>
      </w:tr>
      <w:tr>
        <w:trPr>
          <w:jc w:val="center"/>
          <w:trHeight w:val="702"/>
        </w:trPr>
        <w:tc>
          <w:tcPr>
            <w:shd w:val="clear" w:color="auto" w:fill="ffffff"/>
            <w:tcBorders>
              <w:left w:val="single" w:color="auto" w:sz="4" w:space="0"/>
              <w:right w:val="single" w:color="auto" w:sz="4" w:space="0"/>
            </w:tcBorders>
            <w:tcW w:w="1027"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Hub管理</w:t>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能够发现内网私接的Hub、傻瓜交换机等非网管设备，当多台计算机通过Hub接入网络时，能够及时产生告警通知管理员；</w:t>
            </w:r>
            <w:r/>
          </w:p>
        </w:tc>
      </w:tr>
      <w:tr>
        <w:trPr>
          <w:jc w:val="center"/>
          <w:trHeight w:val="552"/>
        </w:trPr>
        <w:tc>
          <w:tcPr>
            <w:shd w:val="clear" w:color="auto" w:fill="ffffff"/>
            <w:tcBorders>
              <w:left w:val="single" w:color="auto" w:sz="4" w:space="0"/>
              <w:right w:val="single" w:color="auto" w:sz="4" w:space="0"/>
            </w:tcBorders>
            <w:tcW w:w="1027"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支持Hub下多个终端需分别认证才能入网。</w:t>
            </w:r>
            <w:r/>
          </w:p>
        </w:tc>
      </w:tr>
      <w:tr>
        <w:trPr>
          <w:jc w:val="center"/>
          <w:trHeight w:val="341"/>
        </w:trPr>
        <w:tc>
          <w:tcPr>
            <w:shd w:val="clear" w:color="auto" w:fill="ffffff"/>
            <w:tcBorders>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NAT设备管理</w:t>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支持NAT设备发现、告警、阻断，并可以针对NAT设备下接终端进行准入控制。</w:t>
            </w:r>
            <w:r/>
          </w:p>
        </w:tc>
      </w:tr>
      <w:tr>
        <w:trPr>
          <w:jc w:val="center"/>
          <w:trHeight w:val="664"/>
        </w:trPr>
        <w:tc>
          <w:tcPr>
            <w:shd w:val="clear" w:color="auto" w:fill="ffffff"/>
            <w:tcBorders>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证书认证</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pStyle w:val="782"/>
              <w:ind w:left="0"/>
              <w:rPr>
                <w:rFonts w:hint="eastAsia" w:ascii="宋体" w:hAnsi="宋体" w:cs="宋体"/>
                <w:bCs/>
                <w:color w:val="auto"/>
                <w:szCs w:val="21"/>
                <w:highlight w:val="none"/>
              </w:rPr>
            </w:pPr>
            <w:r>
              <w:rPr>
                <w:rFonts w:hint="eastAsia" w:ascii="宋体" w:hAnsi="宋体" w:cs="宋体"/>
                <w:bCs/>
                <w:color w:val="auto"/>
                <w:szCs w:val="21"/>
                <w:highlight w:val="none"/>
              </w:rPr>
              <w:t xml:space="preserve">支持数字证书认证方式，必须支持证书的本地管理和发放，实现证书签发、管理和操作。</w:t>
            </w:r>
            <w:r/>
          </w:p>
        </w:tc>
      </w:tr>
      <w:tr>
        <w:trPr>
          <w:jc w:val="center"/>
          <w:trHeight w:val="702"/>
        </w:trPr>
        <w:tc>
          <w:tcPr>
            <w:shd w:val="clear" w:color="auto" w:fill="ffffff"/>
            <w:tcBorders>
              <w:left w:val="single" w:color="auto" w:sz="4" w:space="0"/>
              <w:right w:val="single" w:color="auto" w:sz="4" w:space="0"/>
            </w:tcBorders>
            <w:tcW w:w="1027" w:type="pct"/>
            <w:vAlign w:val="center"/>
            <w:vMerge w:val="restart"/>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终端资产管理</w:t>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能够对全网计算机上软/硬资产进行统计，可以按照部门、名称提供精确查询以及软/硬件资产报表的导出。</w:t>
            </w:r>
            <w:r/>
          </w:p>
        </w:tc>
      </w:tr>
      <w:tr>
        <w:trPr>
          <w:jc w:val="center"/>
          <w:trHeight w:val="702"/>
        </w:trPr>
        <w:tc>
          <w:tcPr>
            <w:shd w:val="clear" w:color="auto" w:fill="ffffff"/>
            <w:tcBorders>
              <w:left w:val="single" w:color="auto" w:sz="4" w:space="0"/>
              <w:right w:val="single" w:color="auto" w:sz="4" w:space="0"/>
            </w:tcBorders>
            <w:tcW w:w="1027"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能够对终端硬件初始记录、最新记录和变动记录形成报表，并且能够查询变动的历史。</w:t>
            </w:r>
            <w:r/>
          </w:p>
        </w:tc>
      </w:tr>
      <w:tr>
        <w:trPr>
          <w:jc w:val="center"/>
          <w:trHeight w:val="702"/>
        </w:trPr>
        <w:tc>
          <w:tcPr>
            <w:shd w:val="clear" w:color="auto" w:fill="ffffff"/>
            <w:tcBorders>
              <w:left w:val="single" w:color="auto" w:sz="4" w:space="0"/>
              <w:right w:val="single" w:color="auto" w:sz="4" w:space="0"/>
            </w:tcBorders>
            <w:tcW w:w="1027" w:type="pct"/>
            <w:vAlign w:val="center"/>
            <w:vMerge w:val="continue"/>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内联网计算机与因特网未授权连接监测，在与因特网隔离的支持TCP/IP协议的内联网中设置的内网服务器,用于发送欺骗的探测网络数据到内联网内的目标计算机;连接在因特网上的外网服务器,用于接收目标计算机对探测网络数据的应答,根据是否收到应答来判断被监测的目标计算机是否接入因特网或与因特网断开</w:t>
            </w:r>
            <w:r/>
          </w:p>
        </w:tc>
      </w:tr>
      <w:tr>
        <w:trPr>
          <w:jc w:val="center"/>
          <w:trHeight w:val="346"/>
        </w:trPr>
        <w:tc>
          <w:tcPr>
            <w:shd w:val="clear" w:color="auto" w:fill="ffffff"/>
            <w:tcBorders>
              <w:top w:val="single" w:color="auto" w:sz="4" w:space="0"/>
              <w:left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攻击检测</w:t>
            </w:r>
            <w:r/>
          </w:p>
        </w:tc>
        <w:tc>
          <w:tcPr>
            <w:shd w:val="clear" w:color="auto" w:fill="ffffff"/>
            <w:tcBorders>
              <w:top w:val="single" w:color="auto" w:sz="4" w:space="0"/>
              <w:left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支持对网络攻击行为，如Smurf入侵、LAND攻击、WINNUK攻击等，支持对攻击行为的发现和告警</w:t>
            </w:r>
            <w:r/>
          </w:p>
        </w:tc>
      </w:tr>
      <w:tr>
        <w:trPr>
          <w:jc w:val="center"/>
          <w:trHeight w:val="996"/>
        </w:trPr>
        <w:tc>
          <w:tcPr>
            <w:shd w:val="clear" w:color="auto" w:fill="ffffff"/>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安全管理报表</w:t>
            </w:r>
            <w:r/>
          </w:p>
        </w:tc>
        <w:tc>
          <w:tcPr>
            <w:shd w:val="clear" w:color="auto" w:fill="ffffff"/>
            <w:tcBorders>
              <w:top w:val="single" w:color="auto" w:sz="4" w:space="0"/>
              <w:left w:val="single" w:color="auto" w:sz="4" w:space="0"/>
              <w:bottom w:val="single" w:color="auto" w:sz="4" w:space="0"/>
              <w:right w:val="single" w:color="auto" w:sz="4" w:space="0"/>
            </w:tcBorders>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能够展示违规检查项、违规次数统计、违规项数统计、操作系统安全检查、检查项统计、身份认证统计、安全检查趋势等展示信息；</w:t>
            </w:r>
            <w:r/>
          </w:p>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准入设备后台提供每日入网报告、每周入网报告、每月入网报告。</w:t>
            </w:r>
            <w:r/>
          </w:p>
        </w:tc>
      </w:tr>
      <w:tr>
        <w:trPr>
          <w:jc w:val="center"/>
          <w:trHeight w:val="401"/>
        </w:trPr>
        <w:tc>
          <w:tcPr>
            <w:tcW w:w="1027"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功能授权</w:t>
            </w:r>
            <w:r/>
          </w:p>
        </w:tc>
        <w:tc>
          <w:tcPr>
            <w:tcW w:w="3972" w:type="pct"/>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本次包含500个准入授权</w:t>
            </w:r>
            <w:r/>
          </w:p>
        </w:tc>
      </w:tr>
      <w:tr>
        <w:trPr>
          <w:jc w:val="center"/>
          <w:trHeight w:val="444"/>
        </w:trPr>
        <w:tc>
          <w:tcPr>
            <w:tcW w:w="1773"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W w:w="6860"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6.数据库审计</w:t>
      </w:r>
      <w:r/>
    </w:p>
    <w:tbl>
      <w:tblPr>
        <w:tblStyle w:val="768"/>
        <w:tblW w:w="8663"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1775"/>
        <w:gridCol w:w="6888"/>
      </w:tblGrid>
      <w:tr>
        <w:trPr>
          <w:trHeight w:val="107"/>
        </w:trPr>
        <w:tc>
          <w:tcPr>
            <w:tcW w:w="1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tcW w:w="68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822"/>
        </w:trPr>
        <w:tc>
          <w:tcPr>
            <w:tcW w:w="1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硬件要求</w:t>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产品软硬件必须满足国产化要求；标准机架设备≥2U;，必须标配千兆电口不低于6个，千兆光口不低于4个，接口扩展插槽不低于3个，内置存储容量不低于4T</w:t>
            </w:r>
            <w:r/>
          </w:p>
        </w:tc>
      </w:tr>
      <w:tr>
        <w:trPr>
          <w:trHeight w:val="210"/>
        </w:trPr>
        <w:tc>
          <w:tcPr>
            <w:tcW w:w="1775"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性能要求</w:t>
            </w:r>
            <w:r/>
          </w:p>
        </w:tc>
        <w:tc>
          <w:tcPr>
            <w:tcW w:w="6888" w:type="dxa"/>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可审计流量不低于500Mbps、每秒入库速度不低于15000条/秒</w:t>
            </w:r>
            <w:r/>
          </w:p>
        </w:tc>
      </w:tr>
      <w:tr>
        <w:trPr>
          <w:trHeight w:val="661"/>
        </w:trPr>
        <w:tc>
          <w:tcPr>
            <w:tcW w:w="1775" w:type="dxa"/>
            <w:vAlign w:val="center"/>
            <w:vMerge w:val="restart"/>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部署和管理</w:t>
            </w:r>
            <w:r/>
          </w:p>
        </w:tc>
        <w:tc>
          <w:tcPr>
            <w:tcW w:w="6888" w:type="dxa"/>
            <w:vAlign w:val="center"/>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支持旁路部署方式，无须在被审计系统上安装软件，对原有网络不造成影响，审计产品的故障不影响被审计系统的正常运行</w:t>
            </w:r>
            <w:r/>
          </w:p>
        </w:tc>
      </w:tr>
      <w:tr>
        <w:trPr>
          <w:trHeight w:val="370"/>
        </w:trPr>
        <w:tc>
          <w:tcPr>
            <w:tcW w:w="1775" w:type="dxa"/>
            <w:vAlign w:val="center"/>
            <w:vMerge w:val="continue"/>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支持混合模式部署，可在线和旁路方式同时使用</w:t>
            </w:r>
            <w:r/>
          </w:p>
        </w:tc>
      </w:tr>
      <w:tr>
        <w:trPr>
          <w:trHeight w:val="672"/>
        </w:trPr>
        <w:tc>
          <w:tcPr>
            <w:tcW w:w="1775" w:type="dxa"/>
            <w:vAlign w:val="center"/>
            <w:vMerge w:val="continue"/>
            <w:textDirection w:val="lrTb"/>
            <w:noWrap w:val="false"/>
          </w:tcPr>
          <w:p>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支持对部署在vmware、KVM、Xen等虚拟化环境中的数据库进行审计，审计系统可虚拟化部署</w:t>
            </w:r>
            <w:r/>
          </w:p>
        </w:tc>
      </w:tr>
      <w:tr>
        <w:trPr>
          <w:trHeight w:val="437"/>
        </w:trPr>
        <w:tc>
          <w:tcPr>
            <w:tcW w:w="1775" w:type="dxa"/>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支持采用agent进行导流，解决云上流量或无法进行交换机镜像时的审计问题</w:t>
            </w:r>
            <w:r/>
          </w:p>
        </w:tc>
      </w:tr>
      <w:tr>
        <w:trPr>
          <w:trHeight w:val="480"/>
        </w:trPr>
        <w:tc>
          <w:tcPr>
            <w:tcW w:w="1775" w:type="dxa"/>
            <w:vAlign w:val="center"/>
            <w:vMerge w:val="restart"/>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数据库审计</w:t>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支持Oracle、SQL-Server、DB2、Informix、Sybase、MySQL、PostgreSQL、Teradata、Cache数据库审计。</w:t>
            </w:r>
            <w:r/>
          </w:p>
        </w:tc>
      </w:tr>
      <w:tr>
        <w:trPr>
          <w:trHeight w:val="445"/>
        </w:trPr>
        <w:tc>
          <w:tcPr>
            <w:tcW w:w="1775" w:type="dxa"/>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支持对winsql等c/s架构访问cache数据库的行为进行审计</w:t>
            </w:r>
            <w:r/>
          </w:p>
        </w:tc>
      </w:tr>
      <w:tr>
        <w:trPr>
          <w:trHeight w:val="373"/>
        </w:trPr>
        <w:tc>
          <w:tcPr>
            <w:tcW w:w="1775" w:type="dxa"/>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支持Hbase、hive、ES的审计。</w:t>
            </w:r>
            <w:r/>
          </w:p>
        </w:tc>
      </w:tr>
      <w:tr>
        <w:trPr>
          <w:trHeight w:val="677"/>
        </w:trPr>
        <w:tc>
          <w:tcPr>
            <w:tcW w:w="1775" w:type="dxa"/>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支持对针对数据库的XSS攻击、SQL注入、漏洞攻击、口令攻击、缓冲区溢出等攻击行为进行审计。</w:t>
            </w:r>
            <w:r/>
          </w:p>
        </w:tc>
      </w:tr>
      <w:tr>
        <w:trPr>
          <w:trHeight w:val="480"/>
        </w:trPr>
        <w:tc>
          <w:tcPr>
            <w:tcW w:w="1775" w:type="dxa"/>
            <w:vAlign w:val="center"/>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客户端驱动类型定位器、jdbc驱动环境协议解析器、行为特征关键字库、odbc驱动环境行为特征匹配及审计信息定位器、审计装置，解决传统审计产品中对于Oracle数据库操作行为的审计仅仅依赖协议解析带来的不准确性或仅仅依赖特征匹配带来的系统性能问题。</w:t>
            </w:r>
            <w:r/>
          </w:p>
        </w:tc>
      </w:tr>
      <w:tr>
        <w:trPr>
          <w:trHeight w:val="544"/>
        </w:trPr>
        <w:tc>
          <w:tcPr>
            <w:tcW w:w="1775" w:type="dxa"/>
            <w:vAlign w:val="center"/>
            <w:vMerge w:val="restart"/>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智能发现与敏感数据分类分级</w:t>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数据库审计支持用户环境中的数据库和资源账号、表名的自动发现，方便用户使用。</w:t>
            </w:r>
            <w:r/>
          </w:p>
        </w:tc>
      </w:tr>
      <w:tr>
        <w:trPr>
          <w:trHeight w:val="473"/>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数据库审计支持用户数据库中敏感信息的自动发现，方便形成针对性的审计规则</w:t>
            </w:r>
            <w:r/>
          </w:p>
        </w:tc>
      </w:tr>
      <w:tr>
        <w:trPr>
          <w:trHeight w:val="735"/>
        </w:trPr>
        <w:tc>
          <w:tcPr>
            <w:tcW w:w="177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日志查询</w:t>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用户操作轨迹图展示，轨迹图维度可根据资源账号、源ip、客户端程序名、命令、表名、错误码等按需定义，可根据昨天、最近七天、最近30天以及自定义时间进行轨迹显示，可显示下一节点数量，可在某一维度中进行筛选</w:t>
            </w:r>
            <w:r/>
          </w:p>
        </w:tc>
      </w:tr>
      <w:tr>
        <w:trPr>
          <w:trHeight w:val="595"/>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支持按时间、级别、源\目的IP、源\目的MAC、协议名、源\目的端口为条件进行查询</w:t>
            </w:r>
            <w:r/>
          </w:p>
        </w:tc>
      </w:tr>
      <w:tr>
        <w:trPr>
          <w:trHeight w:val="494"/>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支持将查询条件保存为固定模板，方便后续查询时使用，支持模板管理，可对已有查询模板进行查询和删除</w:t>
            </w:r>
            <w:r/>
          </w:p>
        </w:tc>
      </w:tr>
      <w:tr>
        <w:trPr>
          <w:trHeight w:val="735"/>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支持敏感信息掩码，用户可以针对姓名/用户名、身份证号、手机号、银行卡号、住址以及自定义信息进行敏感信息掩码配置，防止敏感信息在审计系统中进行泄露。</w:t>
            </w:r>
            <w:r/>
          </w:p>
        </w:tc>
      </w:tr>
      <w:tr>
        <w:trPr>
          <w:trHeight w:val="502"/>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支持疑似暴力破解、疑似撞库攻击、场景的操作异常分析；行为周期与阀值可按需定义；</w:t>
            </w:r>
            <w:r/>
          </w:p>
        </w:tc>
      </w:tr>
      <w:tr>
        <w:trPr>
          <w:trHeight w:val="465"/>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可支持根据sql命令中的关键字进行查询，查询事件为sql命令中包含该关键字的所有符合条件的操作记录。</w:t>
            </w:r>
            <w:r/>
          </w:p>
        </w:tc>
      </w:tr>
      <w:tr>
        <w:trPr>
          <w:trHeight w:val="540"/>
        </w:trPr>
        <w:tc>
          <w:tcPr>
            <w:tcW w:w="1775" w:type="dxa"/>
            <w:vMerge w:val="continue"/>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支持自定义报表模板，包括数据集、图表设计、数据设计等，数据设计可根据不同数据集提供不同的分析维度和指标供用户进行选择。</w:t>
            </w:r>
            <w:r/>
          </w:p>
        </w:tc>
      </w:tr>
      <w:tr>
        <w:trPr>
          <w:trHeight w:val="727"/>
        </w:trPr>
        <w:tc>
          <w:tcPr>
            <w:tcW w:w="1775" w:type="dxa"/>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支持API自学习业务操作特征，并生成业务URL树，针对关注的业务系统可细粒度配置审计规则</w:t>
            </w:r>
            <w:r/>
          </w:p>
        </w:tc>
      </w:tr>
      <w:tr>
        <w:trPr>
          <w:trHeight w:val="523"/>
        </w:trPr>
        <w:tc>
          <w:tcPr>
            <w:tcW w:w="1775"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功能授权</w:t>
            </w:r>
            <w:r/>
          </w:p>
        </w:tc>
        <w:tc>
          <w:tcPr>
            <w:tcW w:w="6888"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本次包含13个被审计DB服务数授权</w:t>
            </w:r>
            <w:r/>
          </w:p>
        </w:tc>
      </w:tr>
      <w:tr>
        <w:trPr>
          <w:trHeight w:val="412"/>
        </w:trPr>
        <w:tc>
          <w:tcPr>
            <w:tcW w:w="1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W w:w="6888"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7.态势感知流量传感器</w:t>
      </w:r>
      <w:r/>
    </w:p>
    <w:tbl>
      <w:tblPr>
        <w:tblStyle w:val="744"/>
        <w:tblW w:w="5096" w:type="pct"/>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5"/>
        <w:gridCol w:w="6911"/>
      </w:tblGrid>
      <w:tr>
        <w:trPr>
          <w:trHeight w:val="443"/>
        </w:trPr>
        <w:tc>
          <w:tcPr>
            <w:tcW w:w="1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91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7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硬件参数</w:t>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产品软硬件必须满足国产化要求；标准机架设备≥2U;，提供不低于6个GE电口，不低于4个GE光口，不低于1块4TB SATA 企业级硬盘，冗余电源。提供基础系统软件一套，包括网页漏洞利用检测、webshell上传检测、网络攻击检测、威胁情报检测功能，提供离线pcap包导入检测、基础旁路阻断和基础SSL解密功能。含五年威胁情报与检测引擎规则升级授权，自授权导入之日起开始计算。含五年产品标准维保服务，自发货之日起开始计算。</w:t>
            </w:r>
            <w:r/>
          </w:p>
        </w:tc>
      </w:tr>
      <w:tr>
        <w:trPr>
          <w:trHeight w:val="69"/>
        </w:trPr>
        <w:tc>
          <w:tcPr>
            <w:tcW w:w="17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国产化要求</w:t>
            </w:r>
            <w:r/>
          </w:p>
        </w:tc>
        <w:tc>
          <w:tcPr>
            <w:shd w:val="clear" w:color="000000" w:fill="ffffff"/>
            <w:tcW w:w="691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满足国产化CPU和操作系统适配，兼容华为鲲鹏920，银河麒麟V10操作系统。 </w:t>
            </w:r>
            <w:r/>
          </w:p>
        </w:tc>
      </w:tr>
      <w:tr>
        <w:trPr>
          <w:trHeight w:val="491"/>
        </w:trPr>
        <w:tc>
          <w:tcPr>
            <w:tcW w:w="177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部署方式</w:t>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旁路部署，通过流量镜像或数据分光的方式旁路部署在网络中；</w:t>
            </w:r>
            <w:r/>
          </w:p>
        </w:tc>
      </w:tr>
      <w:tr>
        <w:trPr>
          <w:trHeight w:val="69"/>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可支持IPv4网络和IPv6网络两种部署场景，可对两种网络流量均进行分析还原；</w:t>
            </w:r>
            <w:r/>
          </w:p>
        </w:tc>
      </w:tr>
      <w:tr>
        <w:trPr>
          <w:trHeight w:val="69"/>
        </w:trPr>
        <w:tc>
          <w:tcPr>
            <w:tcW w:w="177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策略配置</w:t>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支持基于流量实时IOC匹配功能，设备具备主流的IOC，情报总量370+万条</w:t>
            </w:r>
            <w:r/>
          </w:p>
        </w:tc>
      </w:tr>
      <w:tr>
        <w:trPr>
          <w:trHeight w:val="69"/>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支持对告警进行加白，加白参数包括受害IP、攻击IP、威胁情报、规则、XFF、URL、威胁名称</w:t>
            </w:r>
            <w:r/>
          </w:p>
        </w:tc>
      </w:tr>
      <w:tr>
        <w:trPr>
          <w:trHeight w:val="842"/>
        </w:trPr>
        <w:tc>
          <w:tcPr>
            <w:tcW w:w="177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流量采集识别</w:t>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支持记录TCP，UDP，HTTP协议流量日志中的负载信息：TCP,UDP的上下行负载支持可配，不低于10KB。HTTP协议的请求头，请求体，响应头，响应体支持长度可配，不低于8KB。</w:t>
            </w:r>
            <w:r/>
          </w:p>
        </w:tc>
      </w:tr>
      <w:tr>
        <w:trPr>
          <w:trHeight w:val="842"/>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支持常见协议识别并还原网络流量，用于取证分析、威胁发现，支持：http、dns、smtp、pop3、imap、webmail、DB2、Oracle、MySQL、sql server、Sybase、SMB、FTP、SNMP、telnet、nfs等</w:t>
            </w:r>
            <w:r/>
          </w:p>
        </w:tc>
      </w:tr>
      <w:tr>
        <w:trPr>
          <w:trHeight w:val="800"/>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支持对流量中出现文件传输行为进行发现和还原，并记录文件MD5发送至分析设备，如可执行文件（EXE、DLL、OCX、SYS、COM、apk等）、压缩格式文件（RAR、ZIP、GZ、7Z等）、文档类型文件（word、excel、pdf、rtf、ppt等）</w:t>
            </w:r>
            <w:r/>
          </w:p>
        </w:tc>
      </w:tr>
      <w:tr>
        <w:trPr>
          <w:trHeight w:val="644"/>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支持常见数据库协议的识别或还原：DB2、Oracle、SQL Server、Sybase、MySQL、MongoDB、PostgreSQL等协议；</w:t>
            </w:r>
            <w:r/>
          </w:p>
        </w:tc>
      </w:tr>
      <w:tr>
        <w:trPr>
          <w:trHeight w:val="842"/>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新增规则，在规则列表进行标签标记展示，新增规则产生的告警在告警详情进行标签标记展示。</w:t>
            </w:r>
            <w:r/>
          </w:p>
        </w:tc>
      </w:tr>
      <w:tr>
        <w:trPr>
          <w:trHeight w:val="288"/>
        </w:trPr>
        <w:tc>
          <w:tcPr>
            <w:tcW w:w="1775"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流量威胁检测</w:t>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★支持检测模式的标准模式、精简模式、自定义模式的切换；支持手动配置各类检测引擎、机器学习模型的开关。</w:t>
            </w:r>
            <w:r/>
          </w:p>
        </w:tc>
      </w:tr>
      <w:tr>
        <w:trPr>
          <w:trHeight w:val="288"/>
        </w:trPr>
        <w:tc>
          <w:tcPr>
            <w:tcW w:w="177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支持检测针对WEB应用的攻击，如SQL注入、XSS、系统配置等注入型攻击；</w:t>
            </w:r>
            <w:r/>
          </w:p>
        </w:tc>
      </w:tr>
      <w:tr>
        <w:trPr>
          <w:trHeight w:val="480"/>
        </w:trPr>
        <w:tc>
          <w:tcPr>
            <w:tcW w:w="177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支持跨站请求伪造CSRF攻击检测；</w:t>
            </w:r>
            <w:r/>
          </w:p>
        </w:tc>
      </w:tr>
      <w:tr>
        <w:trPr>
          <w:trHeight w:val="576"/>
        </w:trPr>
        <w:tc>
          <w:tcPr>
            <w:tcW w:w="177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支持基于webshell函数的攻击检测，如文件包含漏洞、任意文件写入、任意目录读取、任意文件包含、preg_replace代码执行等</w:t>
            </w:r>
            <w:r/>
          </w:p>
        </w:tc>
      </w:tr>
      <w:tr>
        <w:trPr>
          <w:trHeight w:val="576"/>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支持多种攻击检测，能更全面的从流量中发现威胁，如：协议异常、网络欺骗、黑市攻击、代码执行等</w:t>
            </w:r>
            <w:r/>
          </w:p>
        </w:tc>
      </w:tr>
      <w:tr>
        <w:trPr>
          <w:trHeight w:val="576"/>
        </w:trPr>
        <w:tc>
          <w:tcPr>
            <w:tcW w:w="177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912"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支持根据正则/机器学习来判断告警详情是否包含身份证号、用户名、密码等敏感信息，敏感信息加密展示。</w:t>
            </w:r>
            <w:r/>
          </w:p>
        </w:tc>
      </w:tr>
      <w:tr>
        <w:trPr>
          <w:trHeight w:val="576"/>
        </w:trPr>
        <w:tc>
          <w:tcPr>
            <w:tcW w:w="1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91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8.安全服务</w:t>
      </w:r>
      <w:r/>
    </w:p>
    <w:tbl>
      <w:tblPr>
        <w:tblStyle w:val="744"/>
        <w:tblW w:w="5096" w:type="pct"/>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8"/>
        <w:gridCol w:w="6898"/>
      </w:tblGrid>
      <w:tr>
        <w:trPr>
          <w:trHeight w:val="505"/>
        </w:trPr>
        <w:tc>
          <w:tcPr>
            <w:tcW w:w="17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89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78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shd w:val="clear" w:color="000000" w:fill="ffffff"/>
            <w:tcW w:w="6899"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1、安全体系规划服务：安全体系规划服务是在尹山湖人民医院安全现状和需求的基础上，明确信息安全建设目标，建立符合尹山湖人民医院的信息安全保障体系，制定尹山湖人民医院安全建设实施路线图。</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2、安全检测：对运维范围的网络设备、服务器操作系统的安全策略和安全配置和日志进行检查，从中获得相关的信息、发现系统面临的威胁以及存在的安全性</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3、安全评估：每季度对运维范围内的整体网络系统进行全面、统一的系统性的安全风险评估，识别和控制网络中的关键资产及可能会产生的安全风险，并对所发现的问题提供优化、改进建议</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4、安全加固：根据安全评估及漏洞扫描中发现的问题，对网络设备、安全设备等安全漏洞进行修补，更新防火墙、入侵防御、防病毒网关 、上网行为管理、WAF等安全设备上的访问规则，加强安全配置、安全加固处理）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5、全流量监控和安全分析服务：</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（1）数据采集：采集全院网络流量</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数据分析：提供综合态势、网站安全态势、攻击威胁态势、漏洞态势、处置态势等不同维度态势的展示；支持网络安全综合态势分析，包括当前风险级别、漏洞分布、攻击事件总量、攻击分布和目标对象、通报处置进展等。</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（3）攻击威胁态势：对来自多种来源的攻击事件进行分类统计；以图形化方式展示攻击的详细信息，包括攻击关系、攻击的时间分布、攻击的数据内容，实时显示最新网络攻击信息</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4）漏洞态势：对来自多种来源的攻击事件进行分类统计，按攻击类型、危害等级、被攻击对象、域名、IP地址、时间等进行网站攻击事件的筛选，以图形化方式展示攻击的详细信息，包括攻击关系、攻击的时间分布、攻击的数据内容</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6、安全报告：</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1）季度提供告警分析报告与优化建议</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2）协助用户提供数据中心方案咨询和规划服务。</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7、增值服务：</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根据等保要求，服务方提供漏洞扫描2次/年</w:t>
            </w:r>
            <w:r/>
          </w:p>
        </w:tc>
      </w:tr>
      <w:tr>
        <w:trPr>
          <w:trHeight w:val="690"/>
        </w:trPr>
        <w:tc>
          <w:tcPr>
            <w:tcW w:w="178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服务期限</w:t>
            </w:r>
            <w:r/>
          </w:p>
        </w:tc>
        <w:tc>
          <w:tcPr>
            <w:shd w:val="clear" w:color="000000" w:fill="ffffff"/>
            <w:tcW w:w="6899"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五年安全</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服务</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9.防统方</w:t>
      </w:r>
      <w:r/>
    </w:p>
    <w:tbl>
      <w:tblPr>
        <w:tblStyle w:val="744"/>
        <w:tblW w:w="50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6813"/>
      </w:tblGrid>
      <w:tr>
        <w:trPr>
          <w:jc w:val="center"/>
          <w:trHeight w:val="481"/>
        </w:trPr>
        <w:tc>
          <w:tcPr>
            <w:tcW w:w="1022"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tcW w:w="397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技术要求</w:t>
            </w:r>
            <w:r/>
          </w:p>
        </w:tc>
      </w:tr>
      <w:tr>
        <w:trPr>
          <w:jc w:val="center"/>
          <w:trHeight w:val="1218"/>
        </w:trPr>
        <w:tc>
          <w:tcPr>
            <w:tcW w:w="102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硬件规格</w:t>
            </w:r>
            <w:r/>
          </w:p>
        </w:tc>
        <w:tc>
          <w:tcPr>
            <w:tcW w:w="3977" w:type="pct"/>
            <w:vAlign w:val="center"/>
            <w:textDirection w:val="lrTb"/>
            <w:noWrap w:val="false"/>
          </w:tcPr>
          <w:p>
            <w:pPr>
              <w:pStyle w:val="782"/>
              <w:ind w:left="0"/>
              <w:rPr>
                <w:rFonts w:hint="eastAsia" w:ascii="宋体" w:hAnsi="宋体" w:cs="宋体"/>
                <w:color w:val="auto"/>
                <w:szCs w:val="21"/>
                <w:highlight w:val="none"/>
              </w:rPr>
            </w:pPr>
            <w:r>
              <w:rPr>
                <w:rFonts w:hint="eastAsia" w:ascii="宋体" w:hAnsi="宋体" w:cs="宋体"/>
                <w:color w:val="auto"/>
                <w:szCs w:val="21"/>
                <w:highlight w:val="none"/>
              </w:rPr>
              <w:t xml:space="preserve">产品软硬件必须满足国产化要求；标准机架设备≥2U，内存不低于32G:硬盘不低于2T*1，网口不低于2个千兆电口，不低于4个万兆光口；                                           </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2.性能规格：SQL审计处理能力（速率）峰值不低于15000SQL/S；硬件5年质保和5年软件升级服务</w:t>
            </w:r>
            <w:r/>
          </w:p>
        </w:tc>
      </w:tr>
      <w:tr>
        <w:trPr>
          <w:jc w:val="center"/>
          <w:trHeight w:val="865"/>
        </w:trPr>
        <w:tc>
          <w:tcPr>
            <w:tcW w:w="1022" w:type="pct"/>
            <w:vAlign w:val="center"/>
            <w:vMerge w:val="restart"/>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部署与管理</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支持旁路部署方式，无需改造既有网络、无需在服务器上安装插件、对服务器零干扰、不影响服务器性能、无需服务器账号信息、无需重启服务器，从而确保业务连续不中断。</w:t>
            </w:r>
            <w:r/>
          </w:p>
        </w:tc>
      </w:tr>
      <w:tr>
        <w:trPr>
          <w:jc w:val="center"/>
          <w:trHeight w:val="1478"/>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支持在目标数据库安装Agent引流，解决云环境、虚拟化环境等内部流量无法镜像场景下的数据库审计。支持通过Agent对流量进行过滤，端口、IP地址等关键内容均能按需定义，进而有效减少网络负载。在运行过程中，</w:t>
            </w:r>
            <w:r>
              <w:rPr>
                <w:rFonts w:hint="eastAsia" w:ascii="宋体" w:hAnsi="宋体" w:cs="宋体"/>
                <w:color w:val="auto"/>
                <w:szCs w:val="21"/>
                <w:highlight w:val="none"/>
              </w:rPr>
              <w:t xml:space="preserve">Agent的CPU占用率维持在3%以下，内存占用量小于100M，程序文件大小不超过5M。</w:t>
            </w:r>
            <w:r/>
          </w:p>
        </w:tc>
      </w:tr>
      <w:tr>
        <w:trPr>
          <w:jc w:val="center"/>
          <w:trHeight w:val="1217"/>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防统方集中管理功能，中心节点可集中查看各子节点的审计日志、报表，支持策略下发到子节点；支持灵活的防统方系统节点设置，能够按需将系统设定为单机模式、中心节点模式、子节点模式；其中子节点支持设置要上传的风险数据类型，中心节点仅查看对应的相关数据。</w:t>
            </w:r>
            <w:r/>
          </w:p>
        </w:tc>
      </w:tr>
      <w:tr>
        <w:trPr>
          <w:jc w:val="center"/>
          <w:trHeight w:val="288"/>
        </w:trPr>
        <w:tc>
          <w:tcPr>
            <w:tcW w:w="102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审计功能</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支持Oracle、SQL Server、Mysql、DB2、PostgreSQL、Sybase、Hive、MongoDB、Informix、DM、Kingbase、LibrA、GaussDB、GBase、Highgo（瀚高）、Oscar（神通）等数据库的审计，且支持多种不同的数据库同时审计。</w:t>
            </w:r>
            <w:r/>
          </w:p>
        </w:tc>
      </w:tr>
      <w:tr>
        <w:trPr>
          <w:jc w:val="center"/>
          <w:trHeight w:val="1455"/>
        </w:trPr>
        <w:tc>
          <w:tcPr>
            <w:tcW w:w="1022" w:type="pct"/>
            <w:vAlign w:val="center"/>
            <w:vMerge w:val="restart"/>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全面支持后关系型数据库Caché的集成工具Terminal、Portal、Studio、Sqlmanager、MedTrak工具的审计，其中Portal能审计到Sql语句、查询Global有返回结果，Sqlmanager支持提取SQL ID实现审计， Terminal能审计到SQL语句和返回结果，并支持本地审计，基于C/S的MedTrak工具能审计到操作报表的具体返回结果</w:t>
            </w:r>
            <w:r>
              <w:rPr>
                <w:rFonts w:hint="eastAsia" w:ascii="宋体" w:hAnsi="宋体" w:cs="宋体"/>
                <w:color w:val="auto"/>
                <w:szCs w:val="21"/>
                <w:highlight w:val="none"/>
              </w:rPr>
              <w:t xml:space="preserve">。</w:t>
            </w:r>
            <w:r/>
          </w:p>
        </w:tc>
      </w:tr>
      <w:tr>
        <w:trPr>
          <w:jc w:val="center"/>
          <w:trHeight w:val="887"/>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全面支持后关系型数据库IRIS的集成工具审计，Portal 加密审计能审计到SQL语句、查询Global有返回结果；Terminal能审计到SQL语句和返回结果；Studio可以审计到操作语句。</w:t>
            </w:r>
            <w:r/>
          </w:p>
        </w:tc>
      </w:tr>
      <w:tr>
        <w:trPr>
          <w:jc w:val="center"/>
          <w:trHeight w:val="661"/>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支持主流业务协议操作的审计，如：Samba、NFS、Portal、Http、Https、pop3、ssh</w:t>
            </w:r>
            <w:r>
              <w:rPr>
                <w:rFonts w:hint="eastAsia" w:ascii="宋体" w:hAnsi="宋体" w:cs="宋体"/>
                <w:color w:val="auto"/>
                <w:szCs w:val="21"/>
                <w:highlight w:val="none"/>
              </w:rPr>
              <w:t xml:space="preserve">、SMTP、Telnet、FTP协议审计。</w:t>
            </w:r>
            <w:r/>
          </w:p>
        </w:tc>
      </w:tr>
      <w:tr>
        <w:trPr>
          <w:jc w:val="center"/>
          <w:trHeight w:val="1716"/>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系统应支持多层过滤功能，支持网络流量驱动级IP过滤，根据过滤的条件（如源地址IP/目的地址IP）定义规则，对网络流量进行扫描，对无需审计的信息从网络层进行过滤；根据系统语句（SQL语句）和白名单（条件为IP/MAC/应用账户/数据库账户/审计对象/操作语句）定义规则进行应用层过滤，将客户关注的信息进行保留，避免无用信息的堆砌造成磁盘空间的浪费和性能的耗损。</w:t>
            </w:r>
            <w:r/>
          </w:p>
        </w:tc>
      </w:tr>
      <w:tr>
        <w:trPr>
          <w:jc w:val="center"/>
          <w:trHeight w:val="899"/>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在无需重启被审计数据库的情况下，支持对</w:t>
            </w:r>
            <w:r>
              <w:rPr>
                <w:rFonts w:hint="eastAsia" w:ascii="宋体" w:hAnsi="宋体" w:cs="宋体"/>
                <w:color w:val="auto"/>
                <w:szCs w:val="21"/>
                <w:highlight w:val="none"/>
                <w:shd w:val="clear" w:color="auto" w:fill="ffffff"/>
              </w:rPr>
              <w:t xml:space="preserve">SQL Server</w:t>
            </w:r>
            <w:r>
              <w:rPr>
                <w:rFonts w:hint="eastAsia" w:ascii="宋体" w:hAnsi="宋体" w:cs="宋体"/>
                <w:color w:val="auto"/>
                <w:szCs w:val="21"/>
                <w:highlight w:val="none"/>
              </w:rPr>
              <w:t xml:space="preserve">加密协议的审计，可正常审计到数据库账号、操作系统用户名、操作系统主机名等身份信息。</w:t>
            </w:r>
            <w:r/>
          </w:p>
        </w:tc>
      </w:tr>
      <w:tr>
        <w:trPr>
          <w:jc w:val="center"/>
          <w:trHeight w:val="288"/>
        </w:trPr>
        <w:tc>
          <w:tcPr>
            <w:tcW w:w="102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审计策略</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20种以上元素的审计，可支持数据库操作命令、语句长度、语句执行回应、语句执行时间、返回内容、返回行数、数据库名、数据库账户、服务器端口、客户端操作系统主机名、客户端操作系统用户名、客户端MAC、客户端IP、客户端端口、客户端进程名、会话ID、关键字、时间等。</w:t>
            </w:r>
            <w:r/>
          </w:p>
        </w:tc>
      </w:tr>
      <w:tr>
        <w:trPr>
          <w:jc w:val="center"/>
          <w:trHeight w:val="922"/>
        </w:trPr>
        <w:tc>
          <w:tcPr>
            <w:tcW w:w="1022" w:type="pct"/>
            <w:vAlign w:val="center"/>
            <w:vMerge w:val="restart"/>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审计查询</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基于大数据全文检索技术，检索效率高达亿条数据秒级响应，快速定位相关的审计内容。支持按时间、审计对象、风险级别、IP地址、命中的风险规则名称、操作类型、关键字等不少于30种维度进行检索查询。</w:t>
            </w:r>
            <w:r/>
          </w:p>
        </w:tc>
      </w:tr>
      <w:tr>
        <w:trPr>
          <w:jc w:val="center"/>
          <w:trHeight w:val="661"/>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支持对可疑监控对象的操作语句进行会话级的事件回放，回放时间可达前后60分钟，方便风险及违规操作的追溯。</w:t>
            </w:r>
            <w:r/>
          </w:p>
        </w:tc>
      </w:tr>
      <w:tr>
        <w:trPr>
          <w:jc w:val="center"/>
          <w:trHeight w:val="288"/>
        </w:trPr>
        <w:tc>
          <w:tcPr>
            <w:tcW w:w="102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防统方功能</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杭创、健讯、金蝶/金医慧通、用友、重庆中联、天健、厦门智业、科进、天网、方正众邦、东华、金仕达、东软、启天医星、力锦、成电医星、北大医信、和仁、信通网易、久远银海、万达、互惠、医惠、创业慧康、易联众、创星、行心、康博嘉、九明珠、弘扬、鑫亿、九阵、惠侨、慧扬、嘉和美康、众阳、金唐、南京德朗诺、尚荣、坐标、联众、新八达、新星、长信、新益华、军卫一号、海泰、启天医星、振邦、同步远方his中间件防统方。</w:t>
            </w:r>
            <w:r/>
          </w:p>
        </w:tc>
      </w:tr>
      <w:tr>
        <w:trPr>
          <w:jc w:val="center"/>
          <w:trHeight w:val="288"/>
        </w:trPr>
        <w:tc>
          <w:tcPr>
            <w:tcW w:w="1022" w:type="pct"/>
            <w:vAlign w:val="center"/>
            <w:vMerge w:val="restart"/>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统方分析及监控</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支持统方确认，点击查看某条审计记录，能够进行统方确认，更新其处置状态，并纳入统方报表进行行为趋势分析，同时支持生成统方报告，并存档以留存记录，供后续事件追溯使用。</w:t>
            </w:r>
            <w:r/>
          </w:p>
        </w:tc>
      </w:tr>
      <w:tr>
        <w:trPr>
          <w:jc w:val="center"/>
          <w:trHeight w:val="288"/>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支持对疑似统方行为的进行人工处置，支持对同类型、同规则的行为进行批量处置或一键处置。</w:t>
            </w:r>
            <w:r/>
          </w:p>
        </w:tc>
      </w:tr>
      <w:tr>
        <w:trPr>
          <w:jc w:val="center"/>
          <w:trHeight w:val="288"/>
        </w:trPr>
        <w:tc>
          <w:tcPr>
            <w:tcW w:w="102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抗菌药物试剂及耗材分析</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支持特定时间区间内抗菌药，药剂及耗材的种类，型号，规格，用量，价值的排名统计，并生成报表。</w:t>
            </w:r>
            <w:r/>
          </w:p>
        </w:tc>
      </w:tr>
      <w:tr>
        <w:trPr>
          <w:jc w:val="center"/>
          <w:trHeight w:val="288"/>
        </w:trPr>
        <w:tc>
          <w:tcPr>
            <w:tcW w:w="1022"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态势感知</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具备自动构建数据库操作行为基线的能力，可自动识别超出行为基线之外的陌生IP、陌生工具访问行为，并进行告警。</w:t>
            </w:r>
            <w:r/>
          </w:p>
        </w:tc>
      </w:tr>
      <w:tr>
        <w:trPr>
          <w:jc w:val="center"/>
          <w:trHeight w:val="288"/>
        </w:trPr>
        <w:tc>
          <w:tcPr>
            <w:tcW w:w="1022" w:type="pct"/>
            <w:vAlign w:val="center"/>
            <w:vMerge w:val="restart"/>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统计及报表</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内置用户访问情况、IP访问情况、风险统计情况、统方事件报表，并支持自定义报表，支持Word、PDF、Excel格式导出报表。</w:t>
            </w:r>
            <w:r/>
          </w:p>
        </w:tc>
      </w:tr>
      <w:tr>
        <w:trPr>
          <w:jc w:val="center"/>
          <w:trHeight w:val="288"/>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支持立即、按周、按月生成报表，生成的报表支持通过邮件自动发送。</w:t>
            </w:r>
            <w:r/>
          </w:p>
        </w:tc>
      </w:tr>
      <w:tr>
        <w:trPr>
          <w:jc w:val="center"/>
          <w:trHeight w:val="288"/>
        </w:trPr>
        <w:tc>
          <w:tcPr>
            <w:tcW w:w="1022" w:type="pct"/>
            <w:vAlign w:val="center"/>
            <w:vMerge w:val="restart"/>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审计配置管理</w:t>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翻译功能：支持在审计时自动将审计结果翻译成自然语言，支持系统定义和用户自定义翻译，便于审计人员方便、简单的获得并了解数据库审计的结果。</w:t>
            </w:r>
            <w:r/>
          </w:p>
        </w:tc>
      </w:tr>
      <w:tr>
        <w:trPr>
          <w:jc w:val="center"/>
          <w:trHeight w:val="514"/>
        </w:trPr>
        <w:tc>
          <w:tcPr>
            <w:tcW w:w="1022" w:type="pct"/>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3977"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支持工号提取配置，可按关键字、绑定变量、返回结果以及关联符等设置工号提取规则。</w:t>
            </w:r>
            <w:r/>
          </w:p>
        </w:tc>
      </w:tr>
      <w:tr>
        <w:trPr>
          <w:jc w:val="center"/>
          <w:trHeight w:val="563"/>
        </w:trPr>
        <w:tc>
          <w:tcPr>
            <w:tcW w:w="17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W w:w="6813"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10.灾备软件</w:t>
      </w:r>
      <w:r/>
    </w:p>
    <w:tbl>
      <w:tblPr>
        <w:tblStyle w:val="744"/>
        <w:tblW w:w="50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7"/>
        <w:gridCol w:w="6820"/>
      </w:tblGrid>
      <w:tr>
        <w:trPr>
          <w:jc w:val="center"/>
          <w:trHeight w:val="566"/>
        </w:trPr>
        <w:tc>
          <w:tcPr>
            <w:tcW w:w="102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tcW w:w="397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技术要求</w:t>
            </w:r>
            <w:r/>
          </w:p>
        </w:tc>
      </w:tr>
      <w:tr>
        <w:trPr>
          <w:jc w:val="center"/>
          <w:trHeight w:val="288"/>
        </w:trPr>
        <w:tc>
          <w:tcPr>
            <w:tcW w:w="10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软件功能</w:t>
            </w:r>
            <w:r/>
          </w:p>
        </w:tc>
        <w:tc>
          <w:tcPr>
            <w:tcW w:w="3975"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1.提供对任意品牌技术的X86服务器的灾备保护功能，提供对Windows/Linux操作系统的灾备保护功能，满足对32/64位系统平台及应用支持，具体如下：Windows Sever 2003以上版本；WindowsXP/7/8/10；Redhat /Centos/Oracle Linux 5.x及其之后；Suse 10 sp1~sp4/11sp1~sp4/12 sp1~sp4；Ubuntu12 -~Ubuntu16；Debian8 ~ Debian9；中标麒麟 5.x 6.x。</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2.提供对Oracle Rac、SAP HANA、Cache等数据库的灾备保护；提供对其他运行在Windows Sever 2003及以上或Linux2.6.18及以上操作系统上的任意数据库的灾备保护；包括但不限于SQL Server、Oracle、Sybase、Exchange Server、Lotus Domino、DB2、MySQL、AD、MONGODB、达梦等数据库支持；</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3.提供30TB块存储(本地硬盘/存储柜/San存储/isCSI存储)容量授权；</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系统应急接管容灾功能授权（4个）；</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NAS备份/恢复模块功能授权（无限制）；</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对象存储备份功能授权（无限制）；</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数据库备份功能授权（无限制）；</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备份数据归档功能授权（无限制）；</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文件备份功能授权（无限制）；</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三员分立（无限制）</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4.提供基于磁盘数据块复制技术的整机一体化备份功能，可对物理机、虚拟机、云主机提供统一的灾备保护。整机保护内容包括主机的操作系统、应用系统、数据库、文件等，备份前无需了解主机业务系统类型、部署方法、业务系统间的数据交互机制、数据结构/逻辑关系和数据库的品牌/版本。</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5.支持对Oracle、SQL sever、MySQL等主流数据库的在线保护，支持恢复到异机、Oralce单机与Oralce RAC支持双向恢复。具备完整备份、增量备份、差异备份等多种备份类型，支持备份数据压缩去重，节省存储空间资源，降低存储成本；</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6.支持 Unix、Windows、Linux 文件系统备份，可在同一文件备份作业中采用多通道并发备份，提高备份和恢复的速度。</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7.提供对Openstack、H3C CAS、Sangfor HCI、InCloud Rail、Kvm、Vmware、Hyper-V虚拟化平台主机的定时灾备保护功能，支持应用程序一致性的映像级虚拟机备份和复制，无需在虚拟机中安装任何客户端代理。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8.支持通过CIFS文件共享或网络共享在WEB浏览器中进行验证，管理员可在2分钟内确认被验证数据是否达到预期，是否完整、一致；</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★9.支持数据和业务的即时验证，无需准备第三方挂载环境，无需恢复数据，直接将备份副本拉起为运行在灾备系统上的验证虚拟机，即时验证备份数据的完整性、一致性和业务应用的可用性。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10.源主机和异构目标机（X86物理机、虚拟机和云主机）灾难重建时自动完成适配驱动兼容适配，无需人工干预即可完成异构主机间灾难重建，支持在灾备系统的Web控制台上为目标机做各种必要的配置（差异硬件驱动配置、系统IP/路由配置和脚本配置），实现任意品牌/技术的X86服务器、虚拟机和云主机之间的异构自动化灾难重建。</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11.支持整机全场景恢复，无需部署配置操作系统、应用和数据库等系统环境，实现全场景带业务逻辑的整机灾难重建，无需人工手动安装驱动、更改注册表信息、应用配置信息等，极大降低灾难重建恢复难度和效率；</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12.备份系统的专用嵌入式操作系统维护后台采用动态口令机制，动态口令由设备管理员和原厂口令组成，原厂口令随着设备管理员的改密码操作而变化，确保系统后台密码都是唯一的，减少被攻破的可能性 13.网络可配置“网卡自动关闭/定时开启策略”，还可将除备份数据传输端口外的SSH、网络访问等网络端口全部关闭，杜绝除传输备份数据流之外一切网络访问的可能，降低灾备系统被攻击的概率；</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14.支持以图形或WEB方式进行批量操作管理，包括在管理范围内设备的状态和性能信息、各种数据保护参数、各种备份作业的设置信息、各种备份/恢复作业的执行状态统计信息、各种备份业务数据的相关信息等。</w:t>
            </w:r>
            <w:r/>
          </w:p>
        </w:tc>
      </w:tr>
      <w:tr>
        <w:trPr>
          <w:jc w:val="center"/>
          <w:trHeight w:val="588"/>
        </w:trPr>
        <w:tc>
          <w:tcPr>
            <w:tcW w:w="1024"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服务</w:t>
            </w:r>
            <w:r>
              <w:rPr>
                <w:rFonts w:hint="eastAsia" w:ascii="宋体" w:hAnsi="宋体" w:cs="宋体"/>
                <w:color w:val="auto"/>
                <w:szCs w:val="21"/>
                <w:highlight w:val="none"/>
                <w:lang w:val="en-US" w:eastAsia="zh-CN"/>
              </w:rPr>
              <w:t xml:space="preserve">期限</w:t>
            </w:r>
            <w:r/>
          </w:p>
        </w:tc>
        <w:tc>
          <w:tcPr>
            <w:tcW w:w="3975" w:type="pct"/>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五年软件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更新服务</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11.核心交换机</w:t>
      </w:r>
      <w:r/>
    </w:p>
    <w:tbl>
      <w:tblPr>
        <w:tblStyle w:val="744"/>
        <w:tblW w:w="5075" w:type="pct"/>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0"/>
        <w:gridCol w:w="6850"/>
      </w:tblGrid>
      <w:tr>
        <w:trPr>
          <w:trHeight w:val="690"/>
        </w:trPr>
        <w:tc>
          <w:tcPr>
            <w:tcW w:w="18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8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8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基础参数</w:t>
            </w:r>
            <w:r/>
          </w:p>
        </w:tc>
        <w:tc>
          <w:tcPr>
            <w:shd w:val="clear" w:color="000000" w:fill="ffffff"/>
            <w:tcW w:w="6850"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1、CPU、交换芯片等关键器件满足国产化需求；</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2、交换容量≥102.4Tbps，包转发率≥76800Mpps。以官网最小值为准；</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3、主控引擎≥2，整机业务板槽位数≥6，交换网槽位≥2；</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3、支持主控板、风扇、电源冗余，主控板主备切换无丢包；</w:t>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bidi="ar"/>
              </w:rPr>
              <w:t xml:space="preserve">★4、为满足安全需求，设备支持支持FW防火墙和IPS防火墙业务卡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5、MAC表项 ≥1M，IPv4 FIB ≥3M，ARP表项 ≥256K，ND表项 ≥256K，ACL≥122K，IPv6 FIB ≥1M</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★6、支持一虚多技术通过该功能可以实现创建、删除、单板划入、单板划出交换机的特性，最大支持9个虚拟交换机。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具有CMA认证的第三方检测机构出具的</w:t>
            </w:r>
            <w:r>
              <w:rPr>
                <w:rFonts w:hint="eastAsia" w:ascii="宋体" w:hAnsi="宋体" w:cs="宋体"/>
                <w:color w:val="auto"/>
                <w:szCs w:val="21"/>
                <w:highlight w:val="none"/>
                <w:lang w:val="en-US" w:eastAsia="zh-CN"/>
              </w:rPr>
              <w:t xml:space="preserve">完整检测报告</w:t>
            </w:r>
            <w:r>
              <w:rPr>
                <w:rFonts w:hint="eastAsia" w:ascii="宋体" w:hAnsi="宋体" w:cs="宋体"/>
                <w:color w:val="auto"/>
                <w:szCs w:val="21"/>
                <w:highlight w:val="none"/>
              </w:rPr>
              <w:t xml:space="preserve">及检测结果截图页</w:t>
            </w:r>
            <w:r>
              <w:rPr>
                <w:rFonts w:hint="eastAsia" w:ascii="宋体" w:hAnsi="宋体" w:cs="宋体"/>
                <w:color w:val="auto"/>
                <w:szCs w:val="21"/>
                <w:highlight w:val="none"/>
                <w:lang w:val="en-US" w:eastAsia="zh-CN"/>
              </w:rPr>
              <w:t xml:space="preserve">并加盖投标人公章）</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7、每端口支持8个优先级队列，支持SP、WRR、SP+WRR、WFQ队列调度算法</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8、支持标准和扩展ACL</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9、支持硬件BFD，支持BFD 3ms最小探测间隔。</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10、支持ERPS环网技术</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11、支持TAP能力，可支持TAP 同源同宿功能，报文截断功能，源端口标识功能，支持 TAP 基于端口的 M:N 模型功能，M:N 模型下最大 M 口规格为 575, N口规格为575；</w:t>
            </w:r>
            <w:r/>
          </w:p>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12、实配：≥2块主控，≥2块1400w冗余电源，≥4个万兆以太网光接口，≥20个千兆以太网光接口，≥24个千兆以太网电接口，≥1根SFP+电缆3m；</w:t>
            </w:r>
            <w:r/>
          </w:p>
        </w:tc>
      </w:tr>
      <w:tr>
        <w:trPr>
          <w:trHeight w:val="640"/>
        </w:trPr>
        <w:tc>
          <w:tcPr>
            <w:tcW w:w="18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850"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12.48口国产交换机</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6817"/>
      </w:tblGrid>
      <w:tr>
        <w:trPr>
          <w:trHeight w:val="480"/>
        </w:trPr>
        <w:tc>
          <w:tcPr>
            <w:tcW w:w="1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393"/>
        </w:trPr>
        <w:tc>
          <w:tcPr>
            <w:tcW w:w="1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基础参数</w:t>
            </w:r>
            <w:r/>
          </w:p>
        </w:tc>
        <w:tc>
          <w:tcPr>
            <w:shd w:val="clear" w:color="000000" w:fill="ffffff"/>
            <w:tcW w:w="6817"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1、CPU、交换芯片等关键器件满足国产化需求；</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2、交换容量≥672Gbps，转发性能≥166Mpps。以官网最小值为准；</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3、固化≥48个10/100/1000BASE-T电口,≥2个1G/2.5G BASE-X SFP端口，≥2个1G/10G BASE-X SFP Plus端口；</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4、IPv4 FIB ≥12K，IPv6 FIB ≥ 6K，ARP表项≥12K，MAC表项 ≥32K；</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5、支持802.1Q（VLAN），数目不小于4k；支持802.1ad（QinQ）；</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6、支持IP分片和重组；</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7、支持静态路由，RIP，RIPng,OSPF,等价路由,VRRP/VRRPv3；</w:t>
            </w:r>
            <w:r/>
          </w:p>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8、支持RED、WRED、尾丢弃等拥塞避免机制；</w:t>
            </w:r>
            <w:r/>
          </w:p>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9、支持CPU保护；</w:t>
            </w:r>
            <w:r/>
          </w:p>
        </w:tc>
      </w:tr>
      <w:tr>
        <w:trPr>
          <w:trHeight w:val="690"/>
        </w:trPr>
        <w:tc>
          <w:tcPr>
            <w:tcW w:w="1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817"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13.千兆单模模块</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6817"/>
      </w:tblGrid>
      <w:tr>
        <w:trPr>
          <w:trHeight w:val="690"/>
        </w:trPr>
        <w:tc>
          <w:tcPr>
            <w:tcW w:w="1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基础参数</w:t>
            </w:r>
            <w:r/>
          </w:p>
        </w:tc>
        <w:tc>
          <w:tcPr>
            <w:shd w:val="clear" w:color="000000" w:fill="ffffff"/>
            <w:tcW w:w="681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千兆单模光模块-(1310nm,10km,LC) </w:t>
            </w:r>
            <w:r/>
          </w:p>
        </w:tc>
      </w:tr>
      <w:tr>
        <w:trPr>
          <w:trHeight w:val="690"/>
        </w:trPr>
        <w:tc>
          <w:tcPr>
            <w:tcW w:w="1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817"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14.万兆单模模块</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8"/>
        <w:gridCol w:w="6804"/>
      </w:tblGrid>
      <w:tr>
        <w:trPr>
          <w:trHeight w:val="480"/>
        </w:trPr>
        <w:tc>
          <w:tcPr>
            <w:tcW w:w="171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8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71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基础参数</w:t>
            </w:r>
            <w:r/>
          </w:p>
        </w:tc>
        <w:tc>
          <w:tcPr>
            <w:shd w:val="clear" w:color="000000" w:fill="ffffff"/>
            <w:tcW w:w="68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万兆单模光模块(1310nm,10km,LC)</w:t>
            </w:r>
            <w:r/>
          </w:p>
        </w:tc>
      </w:tr>
      <w:tr>
        <w:trPr>
          <w:trHeight w:val="690"/>
        </w:trPr>
        <w:tc>
          <w:tcPr>
            <w:tcW w:w="171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804"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15.数据中心交换机</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6754"/>
      </w:tblGrid>
      <w:tr>
        <w:trPr>
          <w:trHeight w:val="542"/>
        </w:trPr>
        <w:tc>
          <w:tcPr>
            <w:tcW w:w="176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75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76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基础参数</w:t>
            </w:r>
            <w:r/>
          </w:p>
        </w:tc>
        <w:tc>
          <w:tcPr>
            <w:shd w:val="clear" w:color="000000" w:fill="ffffff"/>
            <w:tcW w:w="6754"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1、CPU、交换芯片等关键器件满足国产化需求；</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2、交换容量≥ 4.8Tbps，转发性能≥1620Mpps。以官网最小值为准；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3、固化≥24个SFP+端口，≥8个QSFP28端口；</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4、MAC表项 ≥ 719000，IPv4 FIB ≥780000，IPv6 FIB ≥262000，ARP表项≥185000；</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5、支持802.1Q（VLAN），数目不小于4k；支持802.1ad（QinQ）；</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6、支持IPv4静态路由、RIP、OSPF、ISISv4及加密、BGP及加密；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7、支持SRv6 功能；</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8、支持 TAP 基于同源同宿功能；</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9、支持 TAP 基于报文截断功能；</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10、支持CPU 保护功能；</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11、支持TCB监控队列丢包的技术.当队列发生丢包时，系统将收集丢包时间、丢包原因、被丢弃报文的原始数据等信息，可通过gRPC方式上报网管，方便网络管理员及时知晓设备上发生的丢包事件。</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12、支持VXLAN集中式网关三层互通；</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13、实配≥2块冗余电源，≥5块风扇模块，≥1根40G QSFP+ 3m电缆，≥8块SFP+ 万兆模块；</w:t>
            </w:r>
            <w:r/>
          </w:p>
        </w:tc>
      </w:tr>
      <w:tr>
        <w:trPr>
          <w:trHeight w:val="690"/>
        </w:trPr>
        <w:tc>
          <w:tcPr>
            <w:tcW w:w="176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754" w:type="dxa"/>
            <w:vAlign w:val="center"/>
            <w:textDirection w:val="lrTb"/>
            <w:noWrap w:val="false"/>
          </w:tcPr>
          <w:p>
            <w:pPr>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.弱电改造</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0"/>
        <w:gridCol w:w="6692"/>
      </w:tblGrid>
      <w:tr>
        <w:trPr>
          <w:trHeight w:val="690"/>
        </w:trPr>
        <w:tc>
          <w:tcPr>
            <w:tcW w:w="18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69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8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基础参数</w:t>
            </w:r>
            <w:r/>
          </w:p>
        </w:tc>
        <w:tc>
          <w:tcPr>
            <w:shd w:val="clear" w:color="000000" w:fill="ffffff"/>
            <w:tcW w:w="6692" w:type="dxa"/>
            <w:vAlign w:val="center"/>
            <w:textDirection w:val="lrTb"/>
            <w:noWrap w:val="false"/>
          </w:tcPr>
          <w:p>
            <w:pPr>
              <w:pStyle w:val="782"/>
              <w:ind w:left="0"/>
              <w:rPr>
                <w:rFonts w:hint="eastAsia" w:ascii="宋体" w:hAnsi="宋体" w:cs="宋体"/>
                <w:color w:val="auto"/>
                <w:szCs w:val="21"/>
                <w:highlight w:val="none"/>
              </w:rPr>
            </w:pPr>
            <w:r>
              <w:rPr>
                <w:rFonts w:hint="eastAsia" w:ascii="宋体" w:hAnsi="宋体" w:cs="宋体"/>
                <w:color w:val="auto"/>
                <w:szCs w:val="21"/>
                <w:highlight w:val="none"/>
              </w:rPr>
              <w:t xml:space="preserve">接入层至终端改造：针对门诊所有线缆老化和损坏、配电间杂乱问题，要标识、固定、测试等环节；接入层到桌面端线路替换；</w:t>
            </w:r>
            <w:r/>
          </w:p>
          <w:p>
            <w:pPr>
              <w:pStyle w:val="782"/>
              <w:ind w:left="0"/>
              <w:rPr>
                <w:rFonts w:hint="eastAsia" w:ascii="宋体" w:hAnsi="宋体" w:cs="宋体"/>
                <w:color w:val="auto"/>
                <w:szCs w:val="21"/>
                <w:highlight w:val="none"/>
              </w:rPr>
            </w:pPr>
            <w:r>
              <w:rPr>
                <w:rFonts w:hint="eastAsia" w:ascii="宋体" w:hAnsi="宋体" w:cs="宋体"/>
                <w:color w:val="auto"/>
                <w:szCs w:val="21"/>
                <w:highlight w:val="none"/>
              </w:rPr>
              <w:t xml:space="preserve">接入层至汇聚层、汇聚层至核心层：接入层至汇聚层升级至千兆光纤网络；汇聚层至核心层升级至万兆光纤网络；涉及光纤全部重新部署</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90"/>
        </w:trPr>
        <w:tc>
          <w:tcPr>
            <w:tcW w:w="183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shd w:val="clear" w:color="000000" w:fill="ffffff"/>
            <w:tcW w:w="669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pStyle w:val="735"/>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.模块化机房</w:t>
      </w:r>
      <w:r/>
    </w:p>
    <w:tbl>
      <w:tblPr>
        <w:tblStyle w:val="7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3"/>
        <w:gridCol w:w="6729"/>
      </w:tblGrid>
      <w:tr>
        <w:trPr>
          <w:trHeight w:val="690"/>
        </w:trPr>
        <w:tc>
          <w:tcPr>
            <w:tcW w:w="17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指标项</w:t>
            </w:r>
            <w:r/>
          </w:p>
        </w:tc>
        <w:tc>
          <w:tcPr>
            <w:shd w:val="clear" w:color="000000" w:fill="ffffff"/>
            <w:tcW w:w="67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规格要求</w:t>
            </w:r>
            <w:r/>
          </w:p>
        </w:tc>
      </w:tr>
      <w:tr>
        <w:trPr>
          <w:trHeight w:val="690"/>
        </w:trPr>
        <w:tc>
          <w:tcPr>
            <w:tcW w:w="17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基础架构</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1.外形尺寸：服务器机柜规格（W*D*H）：600mm*1200mm*2000mm（±5%），颜色：黑色 RAL9005，安装空间：42U。</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2.机柜涂覆层应表面光洁、色泽均匀、无流挂、无露底；金属件无毛刺、无锈蚀。机柜门板、侧板平整，无扭曲、无变形、也不明显抖动；门板开孔均匀。</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3.机柜由主框架、顶板、底板、前后门、侧横梁、内立柱和固定层板组成。其中主框架、顶底板、侧横梁、内立柱的材料厚度不小于2.0mm，前后门的材料厚度不小于1.5mm，侧板的材料厚度不小于1.2mm。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4.机柜顶部与底部预留多处线缆管理通道，底部走线孔可按需调整；满足多种走线方案：上进上出线，下进下出线，上进下出线，下进上出线；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 承载能力：机柜静态承载能力不小于3000kg，</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 抗震：机柜带载不低于650kg测试通过8、9级烈度结构抗地震考提供权威第三方检测报告。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7.门和侧板为可拆卸结构，门的开合转动灵活、锁定可靠、施工安装和维护方便。前门单开网孔门开孔区面积比≥80％。网孔开孔率≥73％，后门双开，后门开孔区面积比≥70％，网孔开孔率≥74％。</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8.机柜在带载不低于1500kg测试通过动载DL4振动冲击试验</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9.机柜耐电压强度：要求机柜内各带电回路以及两个非电气连接的带电回路之间，应能承受2500V，50HZ正弦试验电压1min，并不出现击穿或者飞弧现象，漏电流不超过0.9mA</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10.机柜附件：每个机柜含后门左右各1条宽度不小于85mm垂直理线板、1套接地组件和19英寸安装接地铜排（3*15mm²）、4个运输脚轮。</w:t>
            </w:r>
            <w:r/>
          </w:p>
        </w:tc>
      </w:tr>
      <w:tr>
        <w:trPr>
          <w:trHeight w:val="690"/>
        </w:trPr>
        <w:tc>
          <w:tcPr>
            <w:tcW w:w="17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配电</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1.每个机柜标配2条PDU，为设备A/B路供电使用。两条PDU应为同一规格，互为备份。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2.机柜PDU输出接口具有GB标准类型，10A的插座不少于16个，16A的插座不少于4个。</w:t>
            </w:r>
            <w:r/>
          </w:p>
        </w:tc>
      </w:tr>
      <w:tr>
        <w:trPr>
          <w:trHeight w:val="690"/>
        </w:trPr>
        <w:tc>
          <w:tcPr>
            <w:tcW w:w="179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机柜托盘安装到机柜上，托盘配重不低于395kg，静置24h。卸荷后，目测托盘是否无损坏或永久变形</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机柜L型支架安装在机柜中，配置重物不低于</w:t>
            </w:r>
            <w:r>
              <w:rPr>
                <w:rStyle w:val="1030"/>
                <w:color w:val="auto"/>
                <w:sz w:val="21"/>
                <w:szCs w:val="21"/>
                <w:highlight w:val="none"/>
                <w:lang w:bidi="ar"/>
              </w:rPr>
              <w:t xml:space="preserve">145kg，静置0.5h。卸荷后，目测支架未出现损坏或永久变形现象。</w:t>
            </w:r>
            <w:r/>
          </w:p>
        </w:tc>
      </w:tr>
      <w:tr>
        <w:trPr>
          <w:trHeight w:val="690"/>
        </w:trPr>
        <w:tc>
          <w:tcPr>
            <w:tcW w:w="179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通道系统及配件</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含通道天窗、顶部线槽、通道门楣、机柜顶部以及底部密封挡板等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1.控制天窗上可安装摄像头、温湿度传感器、烟雾传感器、通道照明红外传感及预留消防喷头深入孔等；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通道上部天窗为活动天窗，开启后悬停位置要求确保冷通道的净高不少于2000mm，开启角度不小于80度，并且可根据要求调节开启角度，同时不影响日常维护工作和维护人员安全。通道系统应兼具功能性、透光性及美观性，固定型天窗和翻转型天窗透光材质应使用钢化玻璃，厚度不小于5mm，天窗玻璃面积占比应保证不小于90%，请提供天窗实物照片。要求钢化玻璃透光率应不小于89%。</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线槽每台机柜配置1套，上走线，由两块侧板、一块托板、一块分隔板卡接组成。中间的分隔板用以分隔AB路强电或分隔光缆和网线，根据线缆数量的不同，可以前后挪动隔板调整位置。采用高强度A级优质碳素冷轧钢板，侧板及托板厚度不小于</w:t>
            </w:r>
            <w:r>
              <w:rPr>
                <w:rStyle w:val="1030"/>
                <w:color w:val="auto"/>
                <w:sz w:val="21"/>
                <w:szCs w:val="21"/>
                <w:highlight w:val="none"/>
                <w:lang w:bidi="ar"/>
              </w:rPr>
              <w:t xml:space="preserve">1.2mm；模块应具备强弱电走线装置，应支持模块化设计、去工程化安装特性，并能以机柜为单位进行扩展，走线槽应能满足跨立柱、跨机柜列及跨模块安装要求。走线槽具有信号线和电源线隔离设计，隔离信号线和电源线的走线。</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为客观的反映采购产品实际节能水平，衡量数据中心能效，提供第三方PUE测试证书，测试值为北京区域全年平均PUE，而非基于某个项目、时间点的单点PUE指标，年PUE指标＜1.25。</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 </w:t>
            </w:r>
            <w:r>
              <w:rPr>
                <w:rStyle w:val="1030"/>
                <w:color w:val="auto"/>
                <w:sz w:val="21"/>
                <w:szCs w:val="21"/>
                <w:highlight w:val="none"/>
                <w:lang w:bidi="ar"/>
              </w:rPr>
              <w:t xml:space="preserve">端门采用手动旋转门，支持ID/IC门禁读卡器,支持消防联动,保证通道内部设备的安全性。</w:t>
            </w:r>
            <w:r>
              <w:rPr>
                <w:rStyle w:val="1030"/>
                <w:color w:val="auto"/>
                <w:sz w:val="21"/>
                <w:szCs w:val="21"/>
                <w:highlight w:val="none"/>
                <w:lang w:bidi="ar"/>
              </w:rPr>
              <w:br/>
            </w:r>
            <w:r>
              <w:rPr>
                <w:rStyle w:val="1030"/>
                <w:color w:val="auto"/>
                <w:sz w:val="21"/>
                <w:szCs w:val="21"/>
                <w:highlight w:val="none"/>
                <w:lang w:bidi="ar"/>
              </w:rPr>
              <w:t xml:space="preserve">2. 钢化玻璃厚度不低于12mm；钢化玻璃具备3C认证。</w:t>
            </w:r>
            <w:r>
              <w:rPr>
                <w:rStyle w:val="1030"/>
                <w:color w:val="auto"/>
                <w:sz w:val="21"/>
                <w:szCs w:val="21"/>
                <w:highlight w:val="none"/>
                <w:lang w:bidi="ar"/>
              </w:rPr>
              <w:br/>
            </w:r>
            <w:r>
              <w:rPr>
                <w:rStyle w:val="1030"/>
                <w:color w:val="auto"/>
                <w:sz w:val="21"/>
                <w:szCs w:val="21"/>
                <w:highlight w:val="none"/>
                <w:lang w:bidi="ar"/>
              </w:rPr>
              <w:t xml:space="preserve">3. 微模块通道两端应设置门禁系统，运维人员须通过识别身份方可进入微模块内部进行相应操作。模块级门禁系统由门禁机、门禁控制器、出门按钮、磁力锁、紧急按钮组成。</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门禁控制一体机，含10张IC卡，可通过刷卡、指纹、密码等身份认证。</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模块机房要求氛围灯布置在两端侧板、两端门框以及通道内部应有明确的状态指示灯，需保证至少有4种颜色，且具备四种颜色指示灯灯光与告警指示联动功能，在微模块产生告警后可与灯光进行联动。能够与一级告警、二级告警、三级告警、正常状态进行联动。 </w:t>
            </w:r>
            <w:r/>
          </w:p>
        </w:tc>
      </w:tr>
      <w:tr>
        <w:trPr>
          <w:trHeight w:val="690"/>
        </w:trPr>
        <w:tc>
          <w:tcPr>
            <w:tcW w:w="17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照明</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1.冷微模块通道内照明应采用LED灯管，单色白光，天窗横装，保证通道照明照度值不小于550 LX，满足GB50174《电子信息系统机房设计规范》中对机房照明的要求。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2.照明采用控制智能化，人来灯亮，人走灯延时灭，当红外未检测到人员进入时，氛围灯按照报警等级控制氛围灯变色。人员进入时白灯；正常时显示蓝色；一般告警时黄色：严重告警时紫色；紧急告警时红色。</w:t>
            </w:r>
            <w:r/>
          </w:p>
        </w:tc>
      </w:tr>
      <w:tr>
        <w:trPr>
          <w:trHeight w:val="690"/>
        </w:trPr>
        <w:tc>
          <w:tcPr>
            <w:tcW w:w="179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配电系统</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机架式配电单元：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1路市电总输入125A/3P,</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UPS输入开关：2*80A/3P,(兼容N或1+1并机冗余,不支持两台扩容型并机)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UPS维修旁路：1*80A/4P+锁(系统外置维修旁路)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UPS输出开关：2*80A/3P,(兼容N或1+1并机冗余,不支持两台扩容型并机)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市电负载：2路输出至空调32A/3P+2路40A/1P机架式空调开关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市电负载：11路输出至PDU40A/1P（市电为九主用两备用）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UPS负载：11路输出至PDU40A/1P（U电为九主用两备用）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防雷开关：32A/3P*1,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含C级防雷,含电量仪</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20KVA机架式UPS</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三进三出</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输入电压3x380VAC(3相+N+PE)</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铅酸蓄电池：</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1)使用环境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a)放电温度：-40℃~+50℃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b)充电温度：-20℃~+40℃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c)存储温度：-20℃~+40℃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2)类型：12V免维护阀控式密封铅酸蓄电池</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3)蓄电池外观不得有形、漏液、裂纹及污迹，标志要清晰。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4)蓄电池的正、负极端子应有明显标志，且便于连接。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5)气密性:蓄电池应能承受 50kPa的正压或负压而不破裂、不开胶，压力释放后壳体无残余变形。</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壁挂式电池开关箱,含蓄电池组直流开关1*100A/3P,连接铜排,相间隔板,绝缘挡板,500*250*600mm</w:t>
            </w:r>
            <w:r/>
          </w:p>
        </w:tc>
      </w:tr>
      <w:tr>
        <w:trPr>
          <w:trHeight w:val="690"/>
        </w:trPr>
        <w:tc>
          <w:tcPr>
            <w:tcW w:w="179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循环系统</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制冷量≥25KW，风量≥5100 m3/h，恒温恒湿，水平送风，尺寸（宽*深*高）：300*1</w:t>
            </w:r>
            <w:r>
              <w:rPr>
                <w:rStyle w:val="1030"/>
                <w:rFonts w:ascii="宋体" w:hAnsi="宋体" w:eastAsia="宋体" w:cs="宋体"/>
                <w:color w:val="auto"/>
                <w:sz w:val="21"/>
                <w:szCs w:val="21"/>
                <w:highlight w:val="none"/>
                <w:lang w:bidi="ar"/>
              </w:rPr>
              <w:t xml:space="preserve">200*2000mm（±5%）；</w:t>
            </w:r>
            <w:r>
              <w:rPr>
                <w:rStyle w:val="1030"/>
                <w:color w:val="auto"/>
                <w:sz w:val="21"/>
                <w:szCs w:val="21"/>
                <w:highlight w:val="none"/>
                <w:lang w:bidi="ar"/>
              </w:rPr>
              <w:br/>
            </w:r>
            <w:r>
              <w:rPr>
                <w:rStyle w:val="1030"/>
                <w:color w:val="auto"/>
                <w:sz w:val="21"/>
                <w:szCs w:val="21"/>
                <w:highlight w:val="none"/>
                <w:lang w:bidi="ar"/>
              </w:rPr>
              <w:t xml:space="preserve">2.</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机组标配PTC电加热，加热量≥1kW,标配湿膜加湿，加湿量≥1.5kg/h；</w:t>
            </w:r>
            <w:r>
              <w:rPr>
                <w:rStyle w:val="1030"/>
                <w:color w:val="auto"/>
                <w:sz w:val="21"/>
                <w:szCs w:val="21"/>
                <w:highlight w:val="none"/>
                <w:lang w:bidi="ar"/>
              </w:rPr>
              <w:br/>
            </w:r>
            <w:r>
              <w:rPr>
                <w:rStyle w:val="1030"/>
                <w:color w:val="auto"/>
                <w:sz w:val="21"/>
                <w:szCs w:val="21"/>
                <w:highlight w:val="none"/>
                <w:lang w:bidi="ar"/>
              </w:rPr>
              <w:t xml:space="preserve">3.</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采用全变频，冷量输出可实现10%～100%连续调节； </w:t>
            </w:r>
            <w:r>
              <w:rPr>
                <w:rStyle w:val="1030"/>
                <w:color w:val="auto"/>
                <w:sz w:val="21"/>
                <w:szCs w:val="21"/>
                <w:highlight w:val="none"/>
                <w:lang w:bidi="ar"/>
              </w:rPr>
              <w:br/>
            </w:r>
            <w:r>
              <w:rPr>
                <w:rStyle w:val="1030"/>
                <w:color w:val="auto"/>
                <w:sz w:val="21"/>
                <w:szCs w:val="21"/>
                <w:highlight w:val="none"/>
                <w:lang w:bidi="ar"/>
              </w:rPr>
              <w:t xml:space="preserve">4.</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风机N+1冗余配置，任意风机故障，仍可确保全风量运行；</w:t>
            </w:r>
            <w:r>
              <w:rPr>
                <w:rStyle w:val="1030"/>
                <w:color w:val="auto"/>
                <w:sz w:val="21"/>
                <w:szCs w:val="21"/>
                <w:highlight w:val="none"/>
                <w:lang w:bidi="ar"/>
              </w:rPr>
              <w:br/>
            </w:r>
            <w:r>
              <w:rPr>
                <w:rStyle w:val="1030"/>
                <w:color w:val="auto"/>
                <w:sz w:val="21"/>
                <w:szCs w:val="21"/>
                <w:highlight w:val="none"/>
                <w:lang w:bidi="ar"/>
              </w:rPr>
              <w:t xml:space="preserve">5.</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机组标配6KV防雷，防止雷击或电网浪涌对设备造成损坏；标配排水泵，同时支持上排水和自然排水；标配电源检测板，具备过流、过压、欠压、缺相、过热、短路等保护功能；</w:t>
            </w:r>
            <w:r>
              <w:rPr>
                <w:rStyle w:val="1030"/>
                <w:color w:val="auto"/>
                <w:sz w:val="21"/>
                <w:szCs w:val="21"/>
                <w:highlight w:val="none"/>
                <w:lang w:bidi="ar"/>
              </w:rPr>
              <w:br/>
            </w:r>
            <w:r>
              <w:rPr>
                <w:rStyle w:val="1030"/>
                <w:color w:val="auto"/>
                <w:sz w:val="21"/>
                <w:szCs w:val="21"/>
                <w:highlight w:val="none"/>
                <w:lang w:bidi="ar"/>
              </w:rPr>
              <w:t xml:space="preserve">6.</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机组标配≥7寸真彩触摸屏，支持彩色图形化界面和触摸式操作，控制系统模块化设计，功能扩展灵活，支持现场升级；</w:t>
            </w:r>
            <w:r>
              <w:rPr>
                <w:rStyle w:val="1030"/>
                <w:color w:val="auto"/>
                <w:sz w:val="21"/>
                <w:szCs w:val="21"/>
                <w:highlight w:val="none"/>
                <w:lang w:bidi="ar"/>
              </w:rPr>
              <w:br/>
            </w:r>
            <w:r>
              <w:rPr>
                <w:rStyle w:val="1030"/>
                <w:color w:val="auto"/>
                <w:sz w:val="21"/>
                <w:szCs w:val="21"/>
                <w:highlight w:val="none"/>
                <w:lang w:bidi="ar"/>
              </w:rPr>
              <w:t xml:space="preserve">7.</w:t>
            </w:r>
            <w:r>
              <w:rPr>
                <w:rStyle w:val="1031"/>
                <w:rFonts w:hint="eastAsia" w:ascii="宋体" w:hAnsi="宋体" w:cs="宋体"/>
                <w:color w:val="auto"/>
                <w:sz w:val="21"/>
                <w:szCs w:val="21"/>
                <w:highlight w:val="none"/>
                <w:lang w:bidi="ar"/>
              </w:rPr>
              <w:t xml:space="preserve"> </w:t>
            </w:r>
            <w:r>
              <w:rPr>
                <w:rStyle w:val="1030"/>
                <w:color w:val="auto"/>
                <w:sz w:val="21"/>
                <w:szCs w:val="21"/>
                <w:highlight w:val="none"/>
                <w:lang w:bidi="ar"/>
              </w:rPr>
              <w:t xml:space="preserve">支持最大32台机组群控，实现轮值备用、同向自主、平均分配、按需分配的群控模式。</w:t>
            </w:r>
            <w:r/>
          </w:p>
        </w:tc>
      </w:tr>
      <w:tr>
        <w:trPr>
          <w:trHeight w:val="690"/>
        </w:trPr>
        <w:tc>
          <w:tcPr>
            <w:tcW w:w="1793"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智能管理系统及采集设备</w:t>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监控触摸屏为≥23.6英寸本地电容触摸屏,分辨率≥1920*1080,带操作系统</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动环监控主机：适用于双排通道监控主机-1U机架式安装</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ARM架构、16*485，12V/500mA，1-6口RS232复用；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12*DI，12V/100mA；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4*DO，12V/500mA；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2*LAN，2USB；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 组，DC12V/2A，2芯接线端子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双电源输入AC220V，DC240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安装尺寸：1U机架</w:t>
            </w:r>
            <w:r>
              <w:rPr>
                <w:rFonts w:hint="eastAsia" w:ascii="宋体" w:hAnsi="宋体" w:cs="宋体"/>
                <w:color w:val="auto"/>
                <w:szCs w:val="21"/>
                <w:highlight w:val="none"/>
                <w:lang w:eastAsia="zh-CN" w:bidi="ar"/>
              </w:rPr>
              <w:t xml:space="preserve">；</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微动环监控平台系统软件：B/S架构、提供首页门户、实时监控、报表管理、权限管理、报警管理、数据管理、时间组管理、系统管理等功能</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短信告警模块：1个串口DB9（RS232/RS485/TTL）支持短信、电话告警服务接入,SIM：1.8/3V，支持移动、联通、电信网络</w:t>
            </w:r>
            <w:r/>
          </w:p>
        </w:tc>
      </w:tr>
      <w:tr>
        <w:trPr>
          <w:trHeight w:val="69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告警云盒：2路RS-485(兼容RS-232)、1路Type、2个网络接口，2路D1、DC9</w:t>
            </w:r>
            <w:r/>
          </w:p>
        </w:tc>
      </w:tr>
      <w:tr>
        <w:trPr>
          <w:trHeight w:val="48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适用于双排通道，温湿度传感器,RS485</w:t>
            </w:r>
            <w:r/>
          </w:p>
        </w:tc>
      </w:tr>
      <w:tr>
        <w:trPr>
          <w:trHeight w:val="468"/>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双排通道通道专用光电烟感探测器</w:t>
            </w:r>
            <w:r/>
          </w:p>
        </w:tc>
      </w:tr>
      <w:tr>
        <w:trPr>
          <w:trHeight w:val="505"/>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双排通道通道专用红外传感器,感应范围3-5米,延时可调,开关量输出</w:t>
            </w:r>
            <w:r/>
          </w:p>
        </w:tc>
      </w:tr>
      <w:tr>
        <w:trPr>
          <w:trHeight w:val="53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双排通道专用电子蜂鸣器</w:t>
            </w:r>
            <w:r/>
          </w:p>
        </w:tc>
      </w:tr>
      <w:tr>
        <w:trPr>
          <w:trHeight w:val="530"/>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不定位式水浸控制器</w:t>
            </w:r>
            <w:r/>
          </w:p>
        </w:tc>
      </w:tr>
      <w:tr>
        <w:trPr>
          <w:trHeight w:val="492"/>
        </w:trPr>
        <w:tc>
          <w:tcPr>
            <w:tcW w:w="1793"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000000" w:fill="ffffff"/>
            <w:tcW w:w="672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不定位漏水感应绳-线长10米,包含引出线/终止端/固定胶贴夹</w:t>
            </w:r>
            <w:r/>
          </w:p>
        </w:tc>
      </w:tr>
      <w:tr>
        <w:trPr>
          <w:trHeight w:val="690"/>
        </w:trPr>
        <w:tc>
          <w:tcPr>
            <w:tcW w:w="17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质保</w:t>
            </w:r>
            <w:r>
              <w:rPr>
                <w:rFonts w:hint="eastAsia" w:ascii="宋体" w:hAnsi="宋体" w:cs="宋体"/>
                <w:color w:val="auto"/>
                <w:szCs w:val="21"/>
                <w:highlight w:val="none"/>
                <w:lang w:val="en-US" w:eastAsia="zh-CN"/>
              </w:rPr>
              <w:t xml:space="preserve">期限</w:t>
            </w:r>
            <w:r/>
          </w:p>
        </w:tc>
        <w:tc>
          <w:tcPr>
            <w:tcW w:w="6729"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bidi="ar"/>
              </w:rPr>
              <w:t xml:space="preserve">五年硬件</w:t>
            </w:r>
            <w:r>
              <w:rPr>
                <w:rFonts w:hint="eastAsia" w:ascii="宋体" w:hAnsi="宋体" w:cs="宋体"/>
                <w:color w:val="auto"/>
                <w:szCs w:val="21"/>
                <w:highlight w:val="none"/>
                <w:lang w:val="en-US" w:eastAsia="zh-CN" w:bidi="ar"/>
              </w:rPr>
              <w:t xml:space="preserve">免费</w:t>
            </w:r>
            <w:r>
              <w:rPr>
                <w:rFonts w:hint="eastAsia" w:ascii="宋体" w:hAnsi="宋体" w:cs="宋体"/>
                <w:color w:val="auto"/>
                <w:szCs w:val="21"/>
                <w:highlight w:val="none"/>
                <w:lang w:bidi="ar"/>
              </w:rPr>
              <w:t xml:space="preserve">质保</w:t>
            </w:r>
            <w:r/>
          </w:p>
        </w:tc>
      </w:tr>
    </w:tbl>
    <w:p>
      <w:pPr>
        <w:rPr>
          <w:color w:val="auto"/>
          <w:highlight w:val="none"/>
        </w:rPr>
      </w:pPr>
      <w:r>
        <w:rPr>
          <w:color w:val="auto"/>
          <w:highlight w:val="none"/>
        </w:rPr>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（四）实施要求：</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1、实施团队人员要求</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（1）项目经理1名，充分理解项目整体规划和目标，具备项目管理、规划与管理、信息安全等方面的能力，能够统筹推进项目实施交付，协调解决实施交付过程中遇到的问题；</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（2）技术负责人1名，充分理解技术架构，具备信息安全、服务管理等方面的能力，能够统筹解决项目实际交付过程中的技术问题，确保实现各系统功能目标；</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（3）项目组成员，充分理解项目的要求，具备项目管理等方面的能力，能够统筹项目交付过程的风险管理、信息安全管理，确保项目整体安全。</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2、培训要求</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中标人负责对使用、管理人员进行技术培训，保证使用方培训后具有独立使用和维护系统的能力。培训服务涉及的相关费用供应商须在响应报价时一并包含。</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3、技术服务要求</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（1）为该项目顺利交付和建设质量，要求投标单位质量管理、环境管理、技术服务管理等方面的能力，在项目实施过程中强化管理，提升交付质量。</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（2）为保证系统平台信息安全和稳定运行，要求投标单位具备信息安全管理方面的能力，在项目实施过程中制定相关措施，并在项目实施及质保期内予以落实，保证整体系统平台持续安全运行。</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（五）其他要求：</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投标人需根据项目实际情况，结合本项目</w:t>
      </w:r>
      <w:r>
        <w:rPr>
          <w:rFonts w:hint="eastAsia" w:ascii="宋体" w:hAnsi="宋体" w:cs="宋体"/>
          <w:color w:val="auto"/>
          <w:szCs w:val="21"/>
          <w:highlight w:val="none"/>
        </w:rPr>
        <w:t xml:space="preserve">特点，提供数据中心整体架构规划方案，包含但不限于数据中心架构、超融合架构、存储双活架构、容灾设计、运维平台方案；基于对本项目的理解，结合招标文件需求，提供网络安全建设方案，包含但不限于基础安全架构、数据安全、服务器与终端安全、安全管理运维、智能流量调度（服务链）方案；结合类似项目经验及本项目的特点，提供实施组织方案，包括但不限于实施团队、进度控制、设备供货、系统定制、安装调试、验收收尾等；结合类似项目经验及本项目的特点，服务保障方案，包括但不限于售后服务、培训服务、质量管理、安全管理、风险管理、应急管理等。</w:t>
      </w:r>
      <w:r/>
    </w:p>
    <w:p>
      <w:pPr>
        <w:rPr>
          <w:color w:val="auto"/>
          <w:highlight w:val="none"/>
        </w:rPr>
      </w:pPr>
      <w:r>
        <w:rPr>
          <w:color w:val="auto"/>
          <w:highlight w:val="none"/>
        </w:rPr>
      </w:r>
      <w:r/>
    </w:p>
    <w:p>
      <w:pPr>
        <w:pStyle w:val="762"/>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六、送货及安装调试要求</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1、合同生效后30个日历天内完成送货安装及调试。</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2、货物到达采购单位后，在采购单位技术人员在场的情况下开箱清点所有货物。</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3、响应人应遵守现场的一切规章制度，中标人应在安装前，提供详细的安装方案、项目人员配置及质量保证计划。</w:t>
      </w:r>
      <w:r/>
    </w:p>
    <w:p>
      <w:pPr>
        <w:pStyle w:val="762"/>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4、中标人负责保管、看护进场的货物及配件直至采购单位确认收货为止。</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七、售后服务要求</w:t>
      </w:r>
      <w:r/>
    </w:p>
    <w:p>
      <w:pPr>
        <w:pStyle w:val="762"/>
        <w:ind w:firstLine="42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1、全部硬件设备免费质保期不低于5年，自全部设备验收合格且交付使用之日起开始</w:t>
      </w:r>
      <w:r>
        <w:rPr>
          <w:rFonts w:hint="eastAsia" w:ascii="宋体" w:hAnsi="宋体" w:eastAsia="宋体" w:cs="宋体"/>
          <w:color w:val="auto"/>
          <w:sz w:val="21"/>
          <w:szCs w:val="21"/>
          <w:highlight w:val="none"/>
          <w:lang w:val="en-US" w:eastAsia="zh-CN" w:bidi="ar-SA"/>
        </w:rPr>
        <w:t xml:space="preserve">计算。质保期自项目整体验收合格之日起计算，质保期内，所涉及产品质量原因导致的产品维修、更换零部件、人工上门服务和产品（耗材、易损件除外）的全部费用以由中标人承担。</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3、投标人提供专业的安装、售后服务团队。</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4、接到故障电话后能保证，需提供7×24小时响应服务，确保2小时内响应，3小时内到达现场，24小时内提供解决方案。</w:t>
      </w:r>
      <w:r/>
    </w:p>
    <w:p>
      <w:pPr>
        <w:ind w:firstLine="424"/>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p>
    <w:p>
      <w:pPr>
        <w:ind w:firstLine="424"/>
        <w:jc w:val="left"/>
        <w:spacing w:line="40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培训要求</w:t>
      </w:r>
      <w:r>
        <w:rPr>
          <w:rFonts w:hint="eastAsia" w:ascii="宋体" w:hAnsi="宋体" w:eastAsia="宋体" w:cs="宋体"/>
          <w:color w:val="auto"/>
          <w:szCs w:val="21"/>
          <w:highlight w:val="none"/>
          <w:lang w:eastAsia="zh-CN"/>
        </w:rPr>
        <w:t xml:space="preserve">：</w:t>
      </w:r>
      <w:r/>
    </w:p>
    <w:p>
      <w:pPr>
        <w:ind w:firstLine="424"/>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（1）投标人提供完整的用户培训方案。</w:t>
      </w:r>
      <w:r/>
    </w:p>
    <w:p>
      <w:pPr>
        <w:ind w:firstLine="424"/>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（2）培训内容包括系统原理、运营管理和故障检测等综合内容，以实际操作培训为主，确保培训人员对设备系统有全面的认识；能熟练地使用这些知识和技巧安全规范地操作、维护网络系统。</w:t>
      </w:r>
      <w:r/>
    </w:p>
    <w:p>
      <w:pPr>
        <w:ind w:firstLine="424"/>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（3）除上述培训外，中标人还需负责在现场组织对系统的安装、调试和运行进行技术示范和业务指导。</w:t>
      </w:r>
      <w:r/>
    </w:p>
    <w:p>
      <w:pPr>
        <w:ind w:firstLine="424"/>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（4）中标人选派具有一定资质和实践经验，且受过专门训练的专业技术人员负责各分项工程的技术培训工作。</w:t>
      </w:r>
      <w:r/>
    </w:p>
    <w:p>
      <w:pPr>
        <w:pStyle w:val="745"/>
        <w:rPr>
          <w:rFonts w:hint="eastAsia"/>
          <w:color w:val="auto"/>
          <w:highlight w:val="none"/>
        </w:rPr>
      </w:pPr>
      <w:r>
        <w:rPr>
          <w:rFonts w:hint="eastAsia"/>
          <w:color w:val="auto"/>
          <w:highlight w:val="none"/>
        </w:rPr>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八、产品质量要求：</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w:t>
      </w:r>
      <w:r>
        <w:rPr>
          <w:rFonts w:hint="eastAsia" w:ascii="宋体" w:hAnsi="宋体" w:cs="宋体"/>
          <w:bCs/>
          <w:color w:val="auto"/>
          <w:szCs w:val="21"/>
          <w:highlight w:val="none"/>
        </w:rPr>
        <w:t xml:space="preserve">人</w:t>
      </w:r>
      <w:r>
        <w:rPr>
          <w:rFonts w:ascii="宋体" w:hAnsi="宋体" w:cs="宋体"/>
          <w:bCs/>
          <w:color w:val="auto"/>
          <w:szCs w:val="21"/>
          <w:highlight w:val="none"/>
        </w:rPr>
        <w:t xml:space="preserve">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rPr>
          <w:rFonts w:hint="eastAsia" w:ascii="宋体" w:hAnsi="宋体" w:cs="宋体"/>
          <w:color w:val="auto"/>
          <w:szCs w:val="21"/>
          <w:highlight w:val="none"/>
        </w:rPr>
        <w:t xml:space="preserve"> </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九、验收要求及标准：</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验收：产品运抵采购方指定地点后，采购方对所供货物就数量、外观、材质、工艺等基本检测项目进行验收，若有产品损坏、丢失或出现其他不符合招标要求的情况，中标供应商应根据采购方的要求免费补充、更换；设备安装调试完毕后，采购方组织质量性能验收，若发现中标供应商提供的设备及其安装有质量、性能方面的问题采购方有权拒收或要求中标供应商更换、维修直至验收合格。</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按《江苏省政府采购履约验收管理办法》（苏财规〔2024〕7号）的通知的要求，提供验收通知单、验收书，详见合同附件。</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如双方对验收结果有分歧，则以技术质量监督部门的检验结果为准，检验费用由有过失的一方支付。</w:t>
      </w:r>
      <w:r/>
    </w:p>
    <w:p>
      <w:pPr>
        <w:ind w:firstLine="420"/>
        <w:jc w:val="left"/>
        <w:spacing w:line="38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jc w:val="left"/>
        <w:spacing w:line="400" w:lineRule="exact"/>
        <w:widowControl/>
        <w:rPr>
          <w:rFonts w:hint="eastAsia" w:ascii="宋体" w:hAnsi="宋体" w:cs="宋体"/>
          <w:b/>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十、综合说明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1、技术指标符号说明：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采购技术</w:t>
      </w:r>
      <w:r>
        <w:rPr>
          <w:rFonts w:hint="eastAsia" w:ascii="宋体" w:hAnsi="宋体"/>
          <w:color w:val="auto"/>
          <w:szCs w:val="21"/>
          <w:highlight w:val="none"/>
        </w:rPr>
        <w:t xml:space="preserve">参数”要求中</w:t>
      </w:r>
      <w:bookmarkStart w:id="8" w:name="OLE_LINK122"/>
      <w:r/>
      <w:bookmarkStart w:id="9" w:name="OLE_LINK123"/>
      <w:r>
        <w:rPr>
          <w:rFonts w:hint="eastAsia" w:ascii="宋体" w:hAnsi="宋体"/>
          <w:color w:val="auto"/>
          <w:szCs w:val="21"/>
          <w:highlight w:val="none"/>
        </w:rPr>
        <w:t xml:space="preserve">“★”</w:t>
      </w:r>
      <w:bookmarkEnd w:id="8"/>
      <w:r/>
      <w:bookmarkEnd w:id="9"/>
      <w:r>
        <w:rPr>
          <w:rFonts w:hint="eastAsia" w:ascii="宋体" w:hAnsi="宋体"/>
          <w:color w:val="auto"/>
          <w:szCs w:val="21"/>
          <w:highlight w:val="none"/>
        </w:rPr>
        <w:t xml:space="preserve">技术指标为重要技术参数，如有不符或未提供佐证材料的评标委员会可视为未对此技术参数进行响应。</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投标人应根据要求提供指定的证明材料作为佐证；如参数中未要求提供指定材料的，需在投标文件中提供以下任意一项证明材料作为佐证：A.具有检测资质的检测机构出具的检测报告页面必须有CMA认证标志的</w:t>
      </w:r>
      <w:r>
        <w:rPr>
          <w:rFonts w:hint="eastAsia" w:ascii="宋体" w:hAnsi="宋体"/>
          <w:color w:val="auto"/>
          <w:szCs w:val="21"/>
          <w:highlight w:val="none"/>
          <w:lang w:val="en-US" w:eastAsia="zh-CN"/>
        </w:rPr>
        <w:t xml:space="preserve">完整</w:t>
      </w:r>
      <w:r>
        <w:rPr>
          <w:rFonts w:hint="eastAsia" w:ascii="宋体" w:hAnsi="宋体"/>
          <w:color w:val="auto"/>
          <w:szCs w:val="21"/>
          <w:highlight w:val="none"/>
        </w:rPr>
        <w:t xml:space="preserve">检测报告</w:t>
      </w:r>
      <w:r>
        <w:rPr>
          <w:rFonts w:hint="eastAsia" w:ascii="宋体" w:hAnsi="宋体" w:cs="宋体"/>
          <w:color w:val="auto"/>
          <w:szCs w:val="21"/>
          <w:highlight w:val="none"/>
        </w:rPr>
        <w:t xml:space="preserve">及检测结果截图页</w:t>
      </w:r>
      <w:r>
        <w:rPr>
          <w:rFonts w:hint="eastAsia" w:ascii="宋体" w:hAnsi="宋体"/>
          <w:color w:val="auto"/>
          <w:szCs w:val="21"/>
          <w:highlight w:val="none"/>
        </w:rPr>
        <w:t xml:space="preserve">复印件</w:t>
      </w:r>
      <w:r>
        <w:rPr>
          <w:rFonts w:hint="eastAsia" w:ascii="宋体" w:hAnsi="宋体"/>
          <w:color w:val="auto"/>
          <w:szCs w:val="21"/>
          <w:highlight w:val="none"/>
          <w:lang w:val="en-US" w:eastAsia="zh-CN"/>
        </w:rPr>
        <w:t xml:space="preserve">并加盖投标人公章</w:t>
      </w:r>
      <w:r>
        <w:rPr>
          <w:rFonts w:hint="eastAsia" w:ascii="宋体" w:hAnsi="宋体"/>
          <w:color w:val="auto"/>
          <w:szCs w:val="21"/>
          <w:highlight w:val="none"/>
        </w:rPr>
        <w:t xml:space="preserve">；B.官网截图或功能截图证明；C.所投产品彩页；若“★”技术指标未提供佐证材料供评标委员会评判的，评标委员会可视为未对此技术参数进行响应。</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性能说明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5、投标报价说明</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5.1投标总报价</w:t>
      </w:r>
      <w:r>
        <w:rPr>
          <w:rFonts w:hint="eastAsia" w:ascii="宋体" w:hAnsi="宋体"/>
          <w:color w:val="auto"/>
          <w:szCs w:val="21"/>
          <w:highlight w:val="none"/>
          <w:lang w:val="zh-CN"/>
        </w:rPr>
        <w:t xml:space="preserve">包括全部产品供货（包括全套产品、辅配件、随设备应提交的资料等）、包装、运输、人工、装卸、保险、技术培训、原厂质保期服务、院方所需的软件平台接口费用以及上述未提及但有关于本次招标设备的供货、安装、调试，直至验收合格交付及质保期间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5.2供应商应对采购文件中全部内容进行报价，只投其中部分内容者，其标书将被拒绝。</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7、交货期限：合同签订之日起30天内送至指定地点并安装调试完成。（具体以采购方通知为准）</w:t>
      </w:r>
      <w:r>
        <w:rPr>
          <w:rFonts w:hint="eastAsia" w:ascii="宋体" w:hAnsi="宋体" w:cs="宋体"/>
          <w:bCs/>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交货地点：苏州市吴中区尹山湖医院（采购方指定地点）；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8、付款方式：在采购合同签订生效后</w:t>
      </w: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向</w:t>
      </w:r>
      <w:r>
        <w:rPr>
          <w:rFonts w:hint="eastAsia" w:ascii="宋体" w:hAnsi="宋体"/>
          <w:color w:val="auto"/>
          <w:highlight w:val="none"/>
          <w:lang w:val="en-US" w:eastAsia="zh-CN"/>
        </w:rPr>
        <w:t xml:space="preserve">中标人</w:t>
      </w:r>
      <w:r>
        <w:rPr>
          <w:rFonts w:hint="eastAsia" w:ascii="宋体" w:hAnsi="宋体"/>
          <w:color w:val="auto"/>
          <w:highlight w:val="none"/>
          <w:lang w:val="zh-CN"/>
        </w:rPr>
        <w:t xml:space="preserve">支付合同总价的30%作为预付款；</w:t>
      </w:r>
      <w:r>
        <w:rPr>
          <w:rFonts w:hint="eastAsia" w:ascii="宋体" w:hAnsi="宋体"/>
          <w:color w:val="auto"/>
          <w:szCs w:val="21"/>
          <w:highlight w:val="none"/>
        </w:rPr>
        <w:t xml:space="preserve">待全部货物到达</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方指定地点</w:t>
      </w:r>
      <w:r>
        <w:rPr>
          <w:rFonts w:hint="eastAsia" w:ascii="宋体" w:hAnsi="宋体"/>
          <w:color w:val="auto"/>
          <w:highlight w:val="none"/>
          <w:lang w:val="zh-CN"/>
        </w:rPr>
        <w:t xml:space="preserve">，经</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验收合格后，</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向</w:t>
      </w:r>
      <w:r>
        <w:rPr>
          <w:rFonts w:hint="eastAsia" w:ascii="宋体" w:hAnsi="宋体"/>
          <w:color w:val="auto"/>
          <w:highlight w:val="none"/>
          <w:lang w:val="en-US" w:eastAsia="zh-CN"/>
        </w:rPr>
        <w:t xml:space="preserve">中标人</w:t>
      </w:r>
      <w:r>
        <w:rPr>
          <w:rFonts w:hint="eastAsia" w:ascii="宋体" w:hAnsi="宋体"/>
          <w:color w:val="auto"/>
          <w:highlight w:val="none"/>
          <w:lang w:val="zh-CN"/>
        </w:rPr>
        <w:t xml:space="preserve">支付至合同总价的</w:t>
      </w:r>
      <w:r>
        <w:rPr>
          <w:rFonts w:hint="eastAsia" w:ascii="宋体" w:hAnsi="宋体"/>
          <w:color w:val="auto"/>
          <w:highlight w:val="none"/>
          <w:lang w:val="en-US" w:eastAsia="zh-CN"/>
        </w:rPr>
        <w:t xml:space="preserve">9</w:t>
      </w:r>
      <w:r>
        <w:rPr>
          <w:rFonts w:hint="eastAsia" w:ascii="宋体" w:hAnsi="宋体"/>
          <w:color w:val="auto"/>
          <w:highlight w:val="none"/>
          <w:lang w:val="zh-CN"/>
        </w:rPr>
        <w:t xml:space="preserve">0%；</w:t>
      </w:r>
      <w:r>
        <w:rPr>
          <w:rFonts w:hint="eastAsia" w:ascii="宋体" w:hAnsi="宋体"/>
          <w:color w:val="auto"/>
          <w:highlight w:val="none"/>
          <w:lang w:val="en-US" w:eastAsia="zh-CN"/>
        </w:rPr>
        <w:t xml:space="preserve">验收合格满一年后采购方向中标人结</w:t>
      </w:r>
      <w:r>
        <w:rPr>
          <w:rFonts w:hint="eastAsia" w:ascii="宋体" w:hAnsi="宋体"/>
          <w:color w:val="auto"/>
          <w:highlight w:val="none"/>
          <w:lang w:val="zh-CN"/>
        </w:rPr>
        <w:t xml:space="preserve">清余款</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9、凡涉及招标文件的补充说明和修改，均以中国政府采购网、江苏政府采购网、苏州政府采购网上发布的公告为准。</w:t>
      </w:r>
      <w:r/>
    </w:p>
    <w:p>
      <w:pPr>
        <w:ind w:firstLine="420"/>
        <w:spacing w:line="380" w:lineRule="exact"/>
        <w:rPr>
          <w:b/>
          <w:bCs/>
          <w:color w:val="auto"/>
          <w:szCs w:val="21"/>
          <w:highlight w:val="none"/>
        </w:rPr>
      </w:pPr>
      <w:r>
        <w:rPr>
          <w:rFonts w:hint="eastAsia"/>
          <w:b/>
          <w:bCs/>
          <w:color w:val="auto"/>
          <w:szCs w:val="21"/>
          <w:highlight w:val="none"/>
        </w:rPr>
        <w:t xml:space="preserve">十</w:t>
      </w:r>
      <w:r>
        <w:rPr>
          <w:rFonts w:hint="eastAsia"/>
          <w:b/>
          <w:bCs/>
          <w:color w:val="auto"/>
          <w:szCs w:val="21"/>
          <w:highlight w:val="none"/>
          <w:lang w:val="en-US" w:eastAsia="zh-CN"/>
        </w:rPr>
        <w:t xml:space="preserve">一</w:t>
      </w:r>
      <w:r>
        <w:rPr>
          <w:rFonts w:hint="eastAsia"/>
          <w:b/>
          <w:bCs/>
          <w:color w:val="auto"/>
          <w:szCs w:val="21"/>
          <w:highlight w:val="none"/>
        </w:rPr>
        <w:t xml:space="preserve">、政策执行</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（3）残疾人福利性单位（若为专门面向中小企业采购的项目或者采购包，不再执行价格评审优惠的扶持政策）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（4）监狱企业（若为专门面向中小企业采购的项目或者采购包，不再执行价格评审优惠的扶持政策）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（5）绿色采购</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、政府采购中实施本国产品标准及相关政策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本项目对采购本国产品给予政策支持，具体内容见招标文件“第</w:t>
      </w:r>
      <w:r>
        <w:rPr>
          <w:rFonts w:hint="eastAsia" w:ascii="宋体" w:hAnsi="宋体" w:eastAsia="宋体"/>
          <w:color w:val="auto"/>
          <w:szCs w:val="21"/>
          <w:highlight w:val="none"/>
          <w:lang w:val="en-US" w:eastAsia="zh-CN"/>
        </w:rPr>
        <w:t xml:space="preserve">七</w:t>
      </w:r>
      <w:r>
        <w:rPr>
          <w:rFonts w:hint="eastAsia" w:ascii="宋体" w:hAnsi="宋体" w:eastAsia="宋体"/>
          <w:color w:val="auto"/>
          <w:szCs w:val="21"/>
          <w:highlight w:val="none"/>
        </w:rPr>
        <w:t xml:space="preserve">章 评标方法</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评</w:t>
      </w:r>
      <w:r>
        <w:rPr>
          <w:rFonts w:hint="eastAsia" w:ascii="宋体" w:hAnsi="宋体" w:eastAsia="宋体"/>
          <w:color w:val="auto"/>
          <w:szCs w:val="21"/>
          <w:highlight w:val="none"/>
          <w:lang w:val="en-US" w:eastAsia="zh-CN"/>
        </w:rPr>
        <w:t xml:space="preserve">分</w:t>
      </w:r>
      <w:r>
        <w:rPr>
          <w:rFonts w:hint="eastAsia" w:ascii="宋体" w:hAnsi="宋体" w:eastAsia="宋体"/>
          <w:color w:val="auto"/>
          <w:szCs w:val="21"/>
          <w:highlight w:val="none"/>
        </w:rPr>
        <w:t xml:space="preserve">标准”。</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5"/>
        <w:rPr>
          <w:rFonts w:hint="eastAsia"/>
          <w:color w:val="auto"/>
          <w:highlight w:val="none"/>
        </w:rPr>
      </w:pPr>
      <w:r>
        <w:rPr>
          <w:rFonts w:hint="eastAsia"/>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939"/>
        <w:jc w:val="center"/>
        <w:spacing w:after="312" w:line="480" w:lineRule="auto"/>
        <w:tabs>
          <w:tab w:val="right" w:pos="8302" w:leader="dot"/>
        </w:tabs>
        <w:rPr>
          <w:rStyle w:val="947"/>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r>
      <w:r/>
    </w:p>
    <w:p>
      <w:pPr>
        <w:pStyle w:val="939"/>
        <w:jc w:val="center"/>
        <w:spacing w:after="312" w:line="480" w:lineRule="auto"/>
        <w:tabs>
          <w:tab w:val="right" w:pos="8302" w:leader="dot"/>
        </w:tabs>
        <w:rPr>
          <w:rStyle w:val="947"/>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r>
      <w:r/>
    </w:p>
    <w:p>
      <w:pPr>
        <w:pStyle w:val="939"/>
        <w:jc w:val="center"/>
        <w:spacing w:after="312" w:line="480" w:lineRule="auto"/>
        <w:tabs>
          <w:tab w:val="right" w:pos="8302" w:leader="dot"/>
        </w:tabs>
        <w:rPr>
          <w:rStyle w:val="947"/>
          <w:rFonts w:hint="eastAsia" w:ascii="黑体" w:hAnsi="黑体" w:eastAsia="黑体" w:cs="宋体"/>
          <w:color w:val="auto"/>
          <w:sz w:val="32"/>
          <w:szCs w:val="32"/>
          <w:highlight w:val="none"/>
        </w:rPr>
        <w:outlineLvl w:val="0"/>
      </w:pPr>
      <w:r/>
      <w:bookmarkStart w:id="10" w:name="_Hlk157702686"/>
      <w:r/>
      <w:r/>
    </w:p>
    <w:p>
      <w:pPr>
        <w:pStyle w:val="939"/>
        <w:jc w:val="center"/>
        <w:spacing w:after="312" w:line="480" w:lineRule="auto"/>
        <w:tabs>
          <w:tab w:val="right" w:pos="8302" w:leader="dot"/>
        </w:tabs>
        <w:rPr>
          <w:rStyle w:val="947"/>
          <w:rFonts w:hint="eastAsia" w:ascii="黑体" w:hAnsi="黑体" w:eastAsia="黑体" w:cs="宋体"/>
          <w:color w:val="auto"/>
          <w:sz w:val="32"/>
          <w:szCs w:val="32"/>
          <w:highlight w:val="none"/>
        </w:rPr>
        <w:outlineLvl w:val="0"/>
      </w:pPr>
      <w:r>
        <w:rPr>
          <w:rFonts w:hint="eastAsia" w:ascii="黑体" w:hAnsi="黑体" w:eastAsia="黑体" w:cs="宋体"/>
          <w:color w:val="auto"/>
          <w:sz w:val="32"/>
          <w:szCs w:val="32"/>
          <w:highlight w:val="none"/>
        </w:rPr>
      </w:r>
      <w:r/>
    </w:p>
    <w:p>
      <w:pPr>
        <w:rPr>
          <w:rStyle w:val="947"/>
          <w:rFonts w:hint="eastAsia" w:ascii="黑体" w:hAnsi="黑体" w:eastAsia="黑体" w:cs="宋体"/>
          <w:color w:val="auto"/>
          <w:sz w:val="32"/>
          <w:szCs w:val="32"/>
          <w:highlight w:val="none"/>
        </w:rPr>
      </w:pPr>
      <w:r>
        <w:rPr>
          <w:rStyle w:val="947"/>
          <w:rFonts w:hint="eastAsia" w:ascii="黑体" w:hAnsi="黑体" w:eastAsia="黑体" w:cs="宋体"/>
          <w:color w:val="auto"/>
          <w:sz w:val="32"/>
          <w:szCs w:val="32"/>
          <w:highlight w:val="none"/>
        </w:rPr>
        <w:br w:type="page" w:clear="all"/>
      </w:r>
      <w:r/>
    </w:p>
    <w:p>
      <w:pPr>
        <w:pStyle w:val="939"/>
        <w:jc w:val="center"/>
        <w:spacing w:after="312" w:line="480" w:lineRule="auto"/>
        <w:tabs>
          <w:tab w:val="right" w:pos="8302" w:leader="dot"/>
        </w:tabs>
        <w:rPr>
          <w:rStyle w:val="947"/>
          <w:rFonts w:hint="eastAsia" w:ascii="黑体" w:hAnsi="黑体" w:eastAsia="黑体" w:cs="宋体"/>
          <w:color w:val="auto"/>
          <w:sz w:val="32"/>
          <w:szCs w:val="32"/>
          <w:highlight w:val="none"/>
        </w:rPr>
        <w:outlineLvl w:val="0"/>
      </w:pPr>
      <w:r>
        <w:rPr>
          <w:rStyle w:val="947"/>
          <w:rFonts w:hint="eastAsia" w:ascii="黑体" w:hAnsi="黑体" w:eastAsia="黑体" w:cs="宋体"/>
          <w:color w:val="auto"/>
          <w:sz w:val="32"/>
          <w:szCs w:val="32"/>
          <w:highlight w:val="none"/>
        </w:rPr>
        <w:t xml:space="preserve">第五章  合同文本</w:t>
      </w:r>
      <w:bookmarkEnd w:id="10"/>
      <w:r/>
      <w:r/>
    </w:p>
    <w:p>
      <w:pPr>
        <w:ind w:firstLine="422"/>
        <w:spacing w:line="400" w:lineRule="exact"/>
        <w:widowControl/>
        <w:rPr>
          <w:rFonts w:hint="eastAsia" w:ascii="宋体" w:hAnsi="宋体"/>
          <w:b/>
          <w:color w:val="auto"/>
          <w:szCs w:val="21"/>
          <w:highlight w:val="none"/>
        </w:rPr>
      </w:pPr>
      <w:r>
        <w:rPr>
          <w:rFonts w:hint="eastAsia" w:ascii="宋体" w:hAnsi="宋体"/>
          <w:b/>
          <w:color w:val="auto"/>
          <w:szCs w:val="21"/>
          <w:highlight w:val="none"/>
          <w:lang w:val="zh-CN"/>
        </w:rPr>
        <w:t xml:space="preserve">一、合同文件</w:t>
      </w:r>
      <w:r/>
    </w:p>
    <w:p>
      <w:pPr>
        <w:ind w:firstLine="422"/>
        <w:spacing w:line="400" w:lineRule="exact"/>
        <w:widowControl/>
        <w:rPr>
          <w:rFonts w:hint="eastAsia" w:ascii="宋体" w:hAnsi="宋体"/>
          <w:b/>
          <w:color w:val="auto"/>
          <w:szCs w:val="21"/>
          <w:highlight w:val="none"/>
        </w:rPr>
      </w:pPr>
      <w:r>
        <w:rPr>
          <w:rFonts w:hint="eastAsia" w:ascii="宋体" w:hAnsi="宋体"/>
          <w:b/>
          <w:color w:val="auto"/>
          <w:szCs w:val="21"/>
          <w:highlight w:val="none"/>
        </w:rPr>
        <w:t xml:space="preserve">1. </w:t>
      </w:r>
      <w:r>
        <w:rPr>
          <w:rFonts w:hint="eastAsia" w:ascii="宋体" w:hAnsi="宋体"/>
          <w:b/>
          <w:color w:val="auto"/>
          <w:szCs w:val="21"/>
          <w:highlight w:val="none"/>
          <w:lang w:val="zh-CN"/>
        </w:rPr>
        <w:t xml:space="preserve">合同文件适用法律</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1.1适用于合同文件的法律是中华人民共和国现行法律、法规及甲方所在地的地方性法规。</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 合同文件组成和解释顺序</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2.1合同文件的组成和解释顺序如下：</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2.1.1 合同的特殊性条款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2.1.2 合同的一般性条款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2.1.3 洽商、变更等明确双方权利义务的纪要、协议</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2.1.4 中标通知书、投标书和采购文件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2.1.5 标准、规范和其它有关技术资料、技术要求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2.2 合同的特殊性条款的效力优于合同的一般性条款的效力</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3. 合同文件使用文字</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3.1 合同文件使用中文书写、解释和说明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二、标的物的一般条款</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4.  完整物权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5.  质量保证</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5.3  除合同特殊条款规定外，合同条款中标的物的质量保证期均自标的物通过最终验收之日起计算，且质量保证期不低于_________年。</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6.  包装</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7.  伴随服务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  乙方除应履行按期按量交付合格标的物的义务之外，还应提供下列服务。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7.1.1  标的物的现场安装、启动、调试、监督；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7.1.2  提供标的物组装和一般维修所必须的工具；</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7.1.3 在合同规定的期限内对所提供标的物实行运行监督、维修服务的前提条件是该服务并不能免除乙方在质量保证期内所承担的义务；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7.1.4  对甲方技术人员的技术指导或培训。</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7.2  除合同另有规定之外，伴随服务的费用均已含在合同价款中，甲方不再另行进行支付。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三、标的物的交付、检验和验收</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8.  标的物的交付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8.1 标的物的所有权自标的物交付时转移。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8.2 乙方应当按照约定的期限和约定的地点交付标的物。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8.3 乙方应当按照约定或者交易习惯向甲方交付提取标的物单证以外的有关单证和资料。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9.  检验和验收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9.3 验收期限自标的物交付之日起三十天内。特殊情况需延长的，双方应在合同的特殊条款中约定。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9.4 如双方对验收结果有分歧，则以苏州市技术质量监督局的检验结果为准，检验费用由有过失的一方支付。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四、对标的物提出异议的时间和办法</w:t>
      </w:r>
      <w:r/>
    </w:p>
    <w:p>
      <w:pPr>
        <w:ind w:firstLine="422"/>
        <w:spacing w:line="400" w:lineRule="exact"/>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10.  对标的物提出异议的时间和办法 </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10.3乙方应在收到甲方书面异议后七天内负责处理问题，否则将视为默认甲方提出的异议和处理意见。</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五、合同价款和支付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11.  </w:t>
      </w:r>
      <w:r>
        <w:rPr>
          <w:rFonts w:hint="eastAsia" w:ascii="宋体" w:hAnsi="宋体"/>
          <w:b/>
          <w:bCs/>
          <w:color w:val="auto"/>
          <w:szCs w:val="21"/>
          <w:highlight w:val="none"/>
          <w:lang w:val="zh-CN"/>
        </w:rPr>
        <w:t xml:space="preserve">合同价款和支付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11.1本合同的结算货币为人民币，单位元。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11.2乙方应按照双方签订的合同规定交货并在合同特殊条款规定的期限内持下列单据结算货款。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11.2.1合格的销售发票；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11.2.2甲方签收后的送货回单和验收合格证明。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11.3 甲方应按合同特殊条款规定的期限和方式付款。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六、违约责任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12.  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合同一方不履行合同义务或者履行合同义务不符合约定的，应当承担继续履行、采取补救措施或者赔偿损失等违约责任。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13.  甲方违约责任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13.1 在合同生效后，甲方要求退货的，应向乙方偿付合同总价款5%的违约金，违约金不足以补偿损失的，乙方有权要求甲方补足。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13.2 甲方逾期付款的应按照逾期付款金额的每天万分之四支付逾期付款违约金。</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13.3 甲方违反合同规定，拒绝接收乙方交付的合格标的物，应当承担乙方由此造成的损失。</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14.  乙方违约责任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15.不可抗力</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15.1 因不可抗力不能履行合同的，根据不可抗力的影响，部分或者全部免除责任。但合同一方迟延履行后发生不可抗力的，不能免除责任。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15.2 合同一方因不可抗力不能履行合同的，应当及时通知对方，以减轻可能给对方造成的损失，并应当在合理期限内提供证明。</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七、索赔</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16. 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16.1甲方有权根据当地产品质量检验机构或其它有权部门出具的检验证书向乙方提出索赔。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16.2.2 根据标的物的低劣程度、损坏程度以及甲方遭受损失的数额，经双方协商确定降低标的物的价格。</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16.4  甲方提出索赔的书面材料应报政府采购监督管理部门备案。同时乙方同意的索赔方案也应报政府采购监督管理部门备案。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八、合同的解除和转让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17. 合同的解除</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17.1</w:t>
      </w:r>
      <w:r>
        <w:rPr>
          <w:rFonts w:hint="eastAsia" w:ascii="宋体" w:hAnsi="宋体"/>
          <w:color w:val="auto"/>
          <w:szCs w:val="21"/>
          <w:highlight w:val="none"/>
          <w:lang w:val="zh-CN"/>
        </w:rPr>
        <w:t xml:space="preserve">有下列情形之一</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合同一方可以解除合同</w:t>
      </w:r>
      <w:r>
        <w:rPr>
          <w:rFonts w:hint="eastAsia" w:ascii="宋体" w:hAnsi="宋体"/>
          <w:color w:val="auto"/>
          <w:szCs w:val="21"/>
          <w:highlight w:val="none"/>
        </w:rPr>
        <w:t xml:space="preserve">：</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17.1.1 因不可抗力致使不能实现合同目的，未受不可抗力影响的一方有权解除合同；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17.1.2 因合同一方违约导致合同不能履行，另一方有权解除合同；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17.2 有权解除合同的一方，应当在违约事实或不可抗力发生之后三十天内书面通知对方以主张解除合同，合同在书面通知到达对方时解除。</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18. 合同的转让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合同的部分和全部都不得转让。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九、合同的生效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19. </w:t>
      </w:r>
      <w:r>
        <w:rPr>
          <w:rFonts w:hint="eastAsia" w:ascii="宋体" w:hAnsi="宋体"/>
          <w:b/>
          <w:bCs/>
          <w:color w:val="auto"/>
          <w:szCs w:val="21"/>
          <w:highlight w:val="none"/>
          <w:lang w:val="zh-CN"/>
        </w:rPr>
        <w:t xml:space="preserve">合同的生效</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本合同在双方签名盖章后即生效。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十、争议解决</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20. 争议解决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 甲乙双方因合同发生争议，应在采购代理机构的主持下进行调解，协商不成，任何一方可以向甲方所在地人民法院起诉。</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21. 合同份数。</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本合同一式</w:t>
      </w:r>
      <w:r>
        <w:rPr>
          <w:rFonts w:hint="eastAsia" w:ascii="宋体" w:hAnsi="宋体"/>
          <w:color w:val="auto"/>
          <w:szCs w:val="21"/>
          <w:highlight w:val="none"/>
        </w:rPr>
        <w:t xml:space="preserve">伍</w:t>
      </w:r>
      <w:r>
        <w:rPr>
          <w:rFonts w:hint="eastAsia" w:ascii="宋体" w:hAnsi="宋体"/>
          <w:color w:val="auto"/>
          <w:szCs w:val="21"/>
          <w:highlight w:val="none"/>
          <w:lang w:val="zh-CN"/>
        </w:rPr>
        <w:t xml:space="preserve">份，甲方执</w:t>
      </w:r>
      <w:r>
        <w:rPr>
          <w:rFonts w:hint="eastAsia" w:ascii="宋体" w:hAnsi="宋体"/>
          <w:color w:val="auto"/>
          <w:szCs w:val="21"/>
          <w:highlight w:val="none"/>
        </w:rPr>
        <w:t xml:space="preserve">贰</w:t>
      </w:r>
      <w:r>
        <w:rPr>
          <w:rFonts w:hint="eastAsia" w:ascii="宋体" w:hAnsi="宋体"/>
          <w:color w:val="auto"/>
          <w:szCs w:val="21"/>
          <w:highlight w:val="none"/>
          <w:lang w:val="zh-CN"/>
        </w:rPr>
        <w:t xml:space="preserve">份，乙方执</w:t>
      </w:r>
      <w:r>
        <w:rPr>
          <w:rFonts w:hint="eastAsia" w:ascii="宋体" w:hAnsi="宋体"/>
          <w:color w:val="auto"/>
          <w:szCs w:val="21"/>
          <w:highlight w:val="none"/>
        </w:rPr>
        <w:t xml:space="preserve">贰</w:t>
      </w:r>
      <w:r>
        <w:rPr>
          <w:rFonts w:hint="eastAsia" w:ascii="宋体" w:hAnsi="宋体"/>
          <w:color w:val="auto"/>
          <w:szCs w:val="21"/>
          <w:highlight w:val="none"/>
          <w:lang w:val="zh-CN"/>
        </w:rPr>
        <w:t xml:space="preserve">份，采购代理机构一份。</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22. 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本合同未尽事宜应按《中华人民共和国政府采购法》及其他有关政府采购的法律法规的规定执行。</w:t>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ind w:left="482"/>
        <w:jc w:val="center"/>
        <w:spacing w:line="420" w:lineRule="exact"/>
        <w:rPr>
          <w:rFonts w:hint="eastAsia" w:ascii="宋体" w:hAnsi="宋体" w:eastAsia="等线"/>
          <w:b/>
          <w:bCs/>
          <w:color w:val="auto"/>
          <w:sz w:val="32"/>
          <w:szCs w:val="32"/>
          <w:highlight w:val="none"/>
        </w:rPr>
        <w:outlineLvl w:val="0"/>
      </w:pPr>
      <w:r>
        <w:rPr>
          <w:rFonts w:ascii="宋体" w:hAnsi="宋体" w:eastAsia="等线"/>
          <w:b/>
          <w:bCs/>
          <w:color w:val="auto"/>
          <w:sz w:val="32"/>
          <w:szCs w:val="32"/>
          <w:highlight w:val="none"/>
        </w:rPr>
        <w:br w:type="page" w:clear="all"/>
      </w:r>
      <w:r>
        <w:rPr>
          <w:rFonts w:hint="eastAsia" w:ascii="宋体" w:hAnsi="宋体" w:eastAsia="等线"/>
          <w:b/>
          <w:bCs/>
          <w:color w:val="auto"/>
          <w:sz w:val="32"/>
          <w:szCs w:val="32"/>
          <w:highlight w:val="none"/>
        </w:rPr>
        <w:t xml:space="preserve">合同特殊条款</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 购 方（甲方）：</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lang w:val="zh-CN"/>
        </w:rPr>
        <w:t xml:space="preserve">中标人（乙方</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u w:val="single"/>
          <w:lang w:val="zh-CN"/>
        </w:rPr>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根据政府采购编号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采购文件及乙方中标的投标文件和中标通知书，甲乙双方就此次中标的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事宜，签订本合同书。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、乙方负责完成甲方的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，详见《标的物清单》。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、下列文件为本合同不可分割部分：</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2.1采购文件；</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2.2乙方中标的投标书；</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2.3乙方在招投标过程中所作的其他承诺、声明、书面澄清等；</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2.4中标通知书。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二、价格与支付：</w:t>
      </w:r>
      <w:r/>
    </w:p>
    <w:p>
      <w:pPr>
        <w:ind w:firstLine="420"/>
        <w:spacing w:line="400" w:lineRule="exact"/>
        <w:rPr>
          <w:rFonts w:hint="eastAsia" w:ascii="宋体" w:hAnsi="宋体"/>
          <w:color w:val="auto"/>
          <w:szCs w:val="21"/>
          <w:highlight w:val="none"/>
        </w:rPr>
      </w:pPr>
      <w:r>
        <w:rPr>
          <w:rFonts w:hint="eastAsia" w:ascii="宋体" w:hAnsi="宋体"/>
          <w:color w:val="auto"/>
          <w:highlight w:val="none"/>
          <w:lang w:val="zh-CN"/>
        </w:rPr>
        <w:t xml:space="preserve">1、合同价格按此次中标价格执行，合同总金额为人民币</w:t>
      </w:r>
      <w:r>
        <w:rPr>
          <w:rFonts w:hint="eastAsia" w:ascii="宋体" w:hAnsi="宋体"/>
          <w:color w:val="auto"/>
          <w:highlight w:val="none"/>
          <w:u w:val="single"/>
          <w:lang w:val="zh-CN"/>
        </w:rPr>
        <w:t xml:space="preserve">         </w:t>
      </w:r>
      <w:r>
        <w:rPr>
          <w:rFonts w:hint="eastAsia" w:ascii="宋体" w:hAnsi="宋体"/>
          <w:color w:val="auto"/>
          <w:highlight w:val="none"/>
          <w:lang w:val="zh-CN"/>
        </w:rPr>
        <w:t xml:space="preserve">元，</w:t>
      </w:r>
      <w:r>
        <w:rPr>
          <w:rFonts w:hint="eastAsia" w:ascii="宋体" w:hAnsi="宋体"/>
          <w:color w:val="auto"/>
          <w:szCs w:val="21"/>
          <w:highlight w:val="none"/>
        </w:rPr>
        <w:t xml:space="preserve">投标总报价</w:t>
      </w:r>
      <w:r>
        <w:rPr>
          <w:rFonts w:hint="eastAsia" w:ascii="宋体" w:hAnsi="宋体"/>
          <w:color w:val="auto"/>
          <w:szCs w:val="21"/>
          <w:highlight w:val="none"/>
          <w:lang w:val="zh-CN"/>
        </w:rPr>
        <w:t xml:space="preserve">包括全部产品供货（包括全套产品、辅配件、随设备应提交的资料等）、包装、运输、人工、装卸、保险、技术培训、原厂质保期服务、院方所需的软件平台接口费用以及上述未提及但有关于本次招标设备的供货、安装、调试，直至验收合格交付及质保期间服务</w:t>
      </w:r>
      <w:r>
        <w:rPr>
          <w:rFonts w:hint="eastAsia" w:ascii="宋体" w:hAnsi="宋体"/>
          <w:color w:val="auto"/>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2、付款方式：</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在采购合同签订生效后，</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向</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val="zh-CN"/>
        </w:rPr>
        <w:t xml:space="preserve">支付合同总价的30%作为预付款；待全部货物到达甲方指定地点，经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验收合格后，</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向</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val="zh-CN"/>
        </w:rPr>
        <w:t xml:space="preserve">支付至合同总价的</w:t>
      </w:r>
      <w:r>
        <w:rPr>
          <w:rFonts w:hint="eastAsia" w:ascii="宋体" w:hAnsi="宋体"/>
          <w:color w:val="auto"/>
          <w:szCs w:val="21"/>
          <w:highlight w:val="none"/>
          <w:lang w:val="en-US" w:eastAsia="zh-CN"/>
        </w:rPr>
        <w:t xml:space="preserve">9</w:t>
      </w:r>
      <w:r>
        <w:rPr>
          <w:rFonts w:hint="eastAsia" w:ascii="宋体" w:hAnsi="宋体"/>
          <w:color w:val="auto"/>
          <w:szCs w:val="21"/>
          <w:highlight w:val="none"/>
          <w:lang w:val="zh-CN"/>
        </w:rPr>
        <w:t xml:space="preserve">0%；</w:t>
      </w:r>
      <w:r>
        <w:rPr>
          <w:rFonts w:hint="eastAsia" w:ascii="宋体" w:hAnsi="宋体"/>
          <w:color w:val="auto"/>
          <w:szCs w:val="21"/>
          <w:highlight w:val="none"/>
          <w:lang w:val="en-US" w:eastAsia="zh-CN"/>
        </w:rPr>
        <w:t xml:space="preserve">验收合格满一年后甲方向乙方结</w:t>
      </w:r>
      <w:r>
        <w:rPr>
          <w:rFonts w:hint="eastAsia" w:ascii="宋体" w:hAnsi="宋体"/>
          <w:color w:val="auto"/>
          <w:szCs w:val="21"/>
          <w:highlight w:val="none"/>
          <w:lang w:val="zh-CN"/>
        </w:rPr>
        <w:t xml:space="preserve">清余款</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3、付款方式：银行汇票或转账。</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、乙方账户信息</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银行账号：</w:t>
      </w:r>
      <w:r/>
    </w:p>
    <w:p>
      <w:pPr>
        <w:ind w:firstLine="420"/>
        <w:spacing w:line="400" w:lineRule="exact"/>
        <w:rPr>
          <w:rFonts w:hint="eastAsia" w:ascii="宋体" w:hAnsi="宋体"/>
          <w:color w:val="auto"/>
          <w:szCs w:val="21"/>
          <w:highlight w:val="none"/>
          <w:lang w:val="zh-CN"/>
        </w:rPr>
      </w:pPr>
      <w:r/>
      <w:bookmarkStart w:id="11" w:name="_Toc484509823"/>
      <w:r/>
      <w:bookmarkStart w:id="12" w:name="_Toc484510001"/>
      <w:r>
        <w:rPr>
          <w:rFonts w:hint="eastAsia" w:ascii="宋体" w:hAnsi="宋体"/>
          <w:color w:val="auto"/>
          <w:szCs w:val="21"/>
          <w:highlight w:val="none"/>
          <w:lang w:val="zh-CN"/>
        </w:rPr>
        <w:t xml:space="preserve">三、</w:t>
      </w:r>
      <w:bookmarkEnd w:id="11"/>
      <w:r/>
      <w:bookmarkEnd w:id="12"/>
      <w:r>
        <w:rPr>
          <w:rFonts w:hint="eastAsia" w:ascii="宋体" w:hAnsi="宋体"/>
          <w:color w:val="auto"/>
          <w:szCs w:val="21"/>
          <w:highlight w:val="none"/>
          <w:lang w:val="zh-CN"/>
        </w:rPr>
        <w:t xml:space="preserve">付款依据：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（1）合格发票。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（2）由甲乙双方及招标代理机构签章的《政府采购合同履行验收报告》</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（3）其他（如有）。</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四、交货条件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1、设备交付方式：乙方将设备送至甲方指定的地点并负责供货、安装、调试。</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交货</w:t>
      </w:r>
      <w:r>
        <w:rPr>
          <w:rFonts w:hint="eastAsia" w:ascii="宋体" w:hAnsi="宋体"/>
          <w:color w:val="auto"/>
          <w:szCs w:val="21"/>
          <w:highlight w:val="none"/>
        </w:rPr>
        <w:t xml:space="preserve">地点：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4、乙方发货到甲方指定地点时应先用函、电通告甲方。</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5、产品的外观、包装、运输应按国家规定或部颁标准执行，如因乙方包装不当以及其他原因造成损坏或丢失，应由乙方负责修复或补缺。</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6、产品交货时，包装完整无破损，还必须提供以下材料：</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A、设备装箱清单（如为进口部件，还须提供该部件的进口报关清单，同时须为近期进口物品）</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B、质检合格文件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C、原产地证明文件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D、中文标注</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E、使用维修保养中文说明书</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F、其他必备材料和必备工具、货物等</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G、保修单</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H、相关设备原厂质保证明单。（如有）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3、设备的验收包括：数量、外观、质量、性能、质保单、包装和乙方承诺</w:t>
      </w:r>
      <w:r>
        <w:rPr>
          <w:rFonts w:hint="eastAsia" w:ascii="宋体" w:hAnsi="宋体"/>
          <w:color w:val="auto"/>
          <w:szCs w:val="21"/>
          <w:highlight w:val="none"/>
          <w:lang w:val="zh-CN"/>
        </w:rPr>
        <w:t xml:space="preserve">的其他指标</w:t>
      </w:r>
      <w:r>
        <w:rPr>
          <w:rFonts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4、验收标准：根据标书要求及有关规定并按国家最新行业标准进行验收通过；</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5、乙方交付验收时应先用书面方式通告甲方；</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1、质保期为</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2、交货地点：</w:t>
      </w:r>
      <w:r>
        <w:rPr>
          <w:rFonts w:hint="eastAsia" w:ascii="宋体" w:hAnsi="宋体"/>
          <w:color w:val="auto"/>
          <w:szCs w:val="21"/>
          <w:highlight w:val="none"/>
        </w:rPr>
        <w:t xml:space="preserve">甲方指定地点并通过甲方验收</w:t>
      </w:r>
      <w:r>
        <w:rPr>
          <w:rFonts w:ascii="宋体" w:hAnsi="宋体"/>
          <w:color w:val="auto"/>
          <w:szCs w:val="21"/>
          <w:highlight w:val="none"/>
        </w:rPr>
        <w:t xml:space="preserve">。</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3、附货物一并交付甲方的资料。</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六、违约责任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按一般条款规定执行。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七、索赔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（一）甲方有权根据当地产品质量检验机构或其它有权部门出具的检验证书向乙方提出索赔。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（二）在本合同规定的检验期和质量保证期内，如果乙方对甲方提出的索赔或差异有责任，则乙方应按甲方同意的下列一种或多种方式解决索赔事宜：</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1、乙方退货，并按合同规定的货币将货款退还给甲方，并承担由此发生的一切损失和费用，包括利息、银行手续费、运费、保险费、检验费、仓储费、装卸费以及为保护退回标的物所需的其他必要费用。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2、根据标的物的低劣程度、损坏程度以及甲方遭受损失的数额，经双方协商确定降低标的物的价格。</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八、争议的解决</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双方约定，在履行合同过程中产生争议时：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（一）请双方在协商基础上进行调解。 </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（二）在协商基础上进行调解无效时，向甲方所在地人民法院提起诉讼。</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九、知识产权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十、合同生效及其它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firstLine="420"/>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4、合同履行过程中出现危害国家利益和社会公共利益问题的，采购人有权变更、中止或者终止、解除合同。</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5、本合同一式伍份，甲方贰份、乙方贰份及招标代理机构各执一份。</w:t>
      </w:r>
      <w:r/>
    </w:p>
    <w:p>
      <w:pPr>
        <w:ind w:firstLine="425"/>
        <w:spacing w:line="400" w:lineRule="exact"/>
        <w:rPr>
          <w:rFonts w:hint="eastAsia" w:ascii="等线" w:hAnsi="等线" w:eastAsia="等线"/>
          <w:color w:val="auto"/>
          <w:szCs w:val="21"/>
          <w:highlight w:val="none"/>
        </w:rPr>
      </w:pPr>
      <w:r>
        <w:rPr>
          <w:rFonts w:hint="eastAsia" w:ascii="等线" w:hAnsi="等线" w:eastAsia="等线"/>
          <w:color w:val="auto"/>
          <w:szCs w:val="21"/>
          <w:highlight w:val="none"/>
        </w:rPr>
      </w:r>
      <w:r/>
    </w:p>
    <w:p>
      <w:pPr>
        <w:jc w:val="center"/>
        <w:rPr>
          <w:rFonts w:eastAsia="黑体"/>
          <w:b/>
          <w:bCs/>
          <w:color w:val="auto"/>
          <w:sz w:val="32"/>
          <w:szCs w:val="32"/>
          <w:highlight w:val="none"/>
        </w:rPr>
        <w:outlineLvl w:val="0"/>
      </w:pPr>
      <w:r>
        <w:rPr>
          <w:rFonts w:ascii="等线" w:hAnsi="等线" w:eastAsia="等线"/>
          <w:color w:val="auto"/>
          <w:szCs w:val="21"/>
          <w:highlight w:val="none"/>
        </w:rPr>
        <w:br w:type="page" w:clear="all"/>
      </w:r>
      <w:bookmarkStart w:id="13" w:name="_Hlk157702724"/>
      <w:r>
        <w:rPr>
          <w:rFonts w:hint="eastAsia" w:eastAsia="黑体"/>
          <w:b/>
          <w:bCs/>
          <w:color w:val="auto"/>
          <w:sz w:val="32"/>
          <w:szCs w:val="32"/>
          <w:highlight w:val="none"/>
        </w:rPr>
        <w:t xml:space="preserve">第六章</w:t>
      </w:r>
      <w:r>
        <w:rPr>
          <w:rFonts w:eastAsia="黑体"/>
          <w:b/>
          <w:bCs/>
          <w:color w:val="auto"/>
          <w:sz w:val="32"/>
          <w:szCs w:val="32"/>
          <w:highlight w:val="none"/>
        </w:rPr>
        <w:t xml:space="preserve"> </w:t>
      </w:r>
      <w:r>
        <w:rPr>
          <w:rFonts w:hint="eastAsia" w:eastAsia="黑体"/>
          <w:b/>
          <w:bCs/>
          <w:color w:val="auto"/>
          <w:sz w:val="32"/>
          <w:szCs w:val="32"/>
          <w:highlight w:val="none"/>
        </w:rPr>
        <w:t xml:space="preserve">评标方法、评分标准</w:t>
      </w:r>
      <w:r/>
    </w:p>
    <w:p>
      <w:pPr>
        <w:jc w:val="center"/>
        <w:rPr>
          <w:rFonts w:eastAsia="黑体"/>
          <w:b/>
          <w:bCs/>
          <w:color w:val="auto"/>
          <w:sz w:val="32"/>
          <w:szCs w:val="32"/>
          <w:highlight w:val="none"/>
        </w:rPr>
        <w:outlineLvl w:val="0"/>
      </w:pPr>
      <w:r>
        <w:rPr>
          <w:rFonts w:eastAsia="黑体"/>
          <w:b/>
          <w:bCs/>
          <w:color w:val="auto"/>
          <w:sz w:val="32"/>
          <w:szCs w:val="32"/>
          <w:highlight w:val="none"/>
        </w:rPr>
      </w:r>
      <w:r/>
    </w:p>
    <w:p>
      <w:pPr>
        <w:pStyle w:val="752"/>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一、评标办法：</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auto"/>
          <w:sz w:val="21"/>
          <w:szCs w:val="21"/>
          <w:highlight w:val="none"/>
        </w:rPr>
        <w:t xml:space="preserve">。评审因素及各比重如下：价格分值占总分值的比重为30%（权重），技术与质量及其它占70%（权重）。（保留小数点后2位）</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752"/>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3、</w:t>
      </w:r>
      <w:r>
        <w:rPr>
          <w:rFonts w:hAnsi="宋体" w:eastAsia="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auto"/>
          <w:sz w:val="21"/>
          <w:szCs w:val="21"/>
          <w:highlight w:val="none"/>
        </w:rPr>
        <w:t xml:space="preserve">由报价较低的</w:t>
      </w:r>
      <w:r>
        <w:rPr>
          <w:rFonts w:hAnsi="宋体" w:eastAsia="宋体"/>
          <w:b/>
          <w:color w:val="auto"/>
          <w:sz w:val="21"/>
          <w:szCs w:val="21"/>
          <w:highlight w:val="none"/>
        </w:rPr>
        <w:t xml:space="preserve">投标人获得中标人推荐资格，</w:t>
      </w:r>
      <w:r>
        <w:rPr>
          <w:rFonts w:hint="eastAsia" w:hAnsi="宋体" w:eastAsia="宋体"/>
          <w:b/>
          <w:color w:val="auto"/>
          <w:sz w:val="21"/>
          <w:szCs w:val="21"/>
          <w:highlight w:val="none"/>
        </w:rPr>
        <w:t xml:space="preserve">如报价也相同，则</w:t>
      </w:r>
      <w:r>
        <w:rPr>
          <w:rFonts w:hAnsi="宋体" w:eastAsia="宋体"/>
          <w:b/>
          <w:color w:val="auto"/>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auto"/>
          <w:sz w:val="21"/>
          <w:szCs w:val="21"/>
          <w:highlight w:val="none"/>
        </w:rPr>
        <w:t xml:space="preserve">（标注）</w:t>
      </w:r>
      <w:r>
        <w:rPr>
          <w:rFonts w:hAnsi="宋体" w:eastAsia="宋体"/>
          <w:b/>
          <w:color w:val="auto"/>
          <w:sz w:val="21"/>
          <w:szCs w:val="21"/>
          <w:highlight w:val="none"/>
        </w:rPr>
        <w:t xml:space="preserve">品牌相同的，按</w:t>
      </w:r>
      <w:r>
        <w:rPr>
          <w:rFonts w:hint="eastAsia" w:hAnsi="宋体" w:eastAsia="宋体"/>
          <w:b/>
          <w:color w:val="auto"/>
          <w:sz w:val="21"/>
          <w:szCs w:val="21"/>
          <w:highlight w:val="none"/>
        </w:rPr>
        <w:t xml:space="preserve">上述</w:t>
      </w:r>
      <w:r>
        <w:rPr>
          <w:rFonts w:hAnsi="宋体" w:eastAsia="宋体"/>
          <w:b/>
          <w:color w:val="auto"/>
          <w:sz w:val="21"/>
          <w:szCs w:val="21"/>
          <w:highlight w:val="none"/>
        </w:rPr>
        <w:t xml:space="preserve">规定处理</w:t>
      </w:r>
      <w:r>
        <w:rPr>
          <w:rFonts w:hint="eastAsia" w:hAnsi="宋体" w:eastAsia="宋体"/>
          <w:b/>
          <w:color w:val="auto"/>
          <w:sz w:val="21"/>
          <w:szCs w:val="21"/>
          <w:highlight w:val="none"/>
        </w:rPr>
        <w:t xml:space="preserve">。</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2"/>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5、评审过程中出现下列情形之一的，评审委员会应当启动异常低价投标审查程序：</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5.1投标（响应）报价低于全部通过符合性审查供应商投标（响应）报价平均值50%的，即投标（响应）报价&lt;全部通过符合性审查供应商投标（响应）报价平均值×50%；</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5.2投标（响应）报价低于通过符合性审查的次低报价供应商投标（响应）报价50%的，即投标（响应）报价&lt;通过符合性审查的次低报价供应商投标（响应）报价×50%；</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5.3投标（响应）报价低于采购项目最高限价45%的，即投标（响应）报价&lt;采购项目最高限价×45%；</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5.4评审委员会基于专业判断，认为供应商报价过低，有可能影响产品质量或者不能诚信履约的其他情形。</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评审委员会启动异常</w:t>
      </w:r>
      <w:r>
        <w:rPr>
          <w:rFonts w:hint="eastAsia" w:ascii="宋体" w:hAnsi="宋体" w:eastAsia="宋体" w:cs="Times New Roman"/>
          <w:color w:val="auto"/>
          <w:sz w:val="21"/>
          <w:szCs w:val="21"/>
          <w:highlight w:val="none"/>
        </w:rPr>
        <w:t xml:space="preserve">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6、采购单位已书面授权评标委员会直接确定中标供应商。</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52"/>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二、政府采购政策执行办法：</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1、本次采购的评标方法采用综合评分法，总分值为100分。</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2、针对小微型企业的评审加分：</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）在本次货物采购项目中，货物由小微企业制造，即货物由小微企业生产且使用该小微企业商号或者注册商标的，可享受价格评审优惠。</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）投标人提供的货物既有中小企业制造货物，也有大型企业制造货物的，不享受优惠政策。</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eastAsia="zh-CN"/>
        </w:rPr>
        <w:t xml:space="preserve">）残疾人企业和监狱企业视同小微企业，享受价格评审优惠政策。</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eastAsia="zh-CN"/>
        </w:rPr>
        <w:t xml:space="preserve">）残疾人企业和监狱企业属于小型、微型企业的，不重复享受价格评审优惠政策。</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采购本国产品的支持政策</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）供应商需按照招标文件的要求提供《关于符合本国产品标准的声明函》（以下简称《声明函》），如不提供将不享受本国产品价格评审优惠。</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52"/>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如投标人提供虚假材料，将按“政府采购法”相关规定处理并由政府监管部门给予严肃处理。</w:t>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5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三</w:t>
      </w:r>
      <w:r>
        <w:rPr>
          <w:rFonts w:hAnsi="宋体" w:eastAsia="宋体"/>
          <w:color w:val="auto"/>
          <w:sz w:val="21"/>
          <w:szCs w:val="21"/>
          <w:highlight w:val="none"/>
        </w:rPr>
        <w:t xml:space="preserve">、评分标准：</w:t>
      </w:r>
      <w:r/>
    </w:p>
    <w:p>
      <w:pPr>
        <w:pStyle w:val="1021"/>
        <w:spacing w:line="400" w:lineRule="exact"/>
        <w:rPr>
          <w:rFonts w:hint="eastAsia"/>
          <w:color w:val="auto"/>
          <w:highlight w:val="none"/>
        </w:rPr>
      </w:pPr>
      <w:r>
        <w:rPr>
          <w:rFonts w:hint="eastAsia"/>
          <w:color w:val="auto"/>
          <w:highlight w:val="none"/>
        </w:rPr>
        <w:t xml:space="preserve">本次采购的评标方法采用综合评分法，总分值为100分。</w:t>
      </w:r>
      <w:r/>
    </w:p>
    <w:p>
      <w:pPr>
        <w:pStyle w:val="1021"/>
        <w:ind w:firstLine="422"/>
        <w:spacing w:line="400" w:lineRule="exact"/>
        <w:rPr>
          <w:rFonts w:hint="eastAsia"/>
          <w:b/>
          <w:bCs/>
          <w:color w:val="auto"/>
          <w:highlight w:val="none"/>
        </w:rPr>
      </w:pPr>
      <w:r>
        <w:rPr>
          <w:rFonts w:hint="eastAsia"/>
          <w:b/>
          <w:bCs/>
          <w:color w:val="auto"/>
          <w:highlight w:val="none"/>
        </w:rPr>
        <w:t xml:space="preserve">（一）价格：（30分）</w:t>
      </w:r>
      <w:r/>
    </w:p>
    <w:p>
      <w:pPr>
        <w:pStyle w:val="1021"/>
        <w:spacing w:line="400" w:lineRule="exact"/>
        <w:rPr>
          <w:rFonts w:hint="eastAsia"/>
          <w:color w:val="auto"/>
          <w:highlight w:val="none"/>
        </w:rPr>
      </w:pPr>
      <w:r>
        <w:rPr>
          <w:rFonts w:hint="eastAsia" w:cs="宋体"/>
          <w:color w:val="auto"/>
          <w:highlight w:val="none"/>
        </w:rPr>
        <w:t xml:space="preserve">投标报价以进入评标程序、</w:t>
      </w:r>
      <w:r>
        <w:rPr>
          <w:rFonts w:hint="eastAsia"/>
          <w:color w:val="auto"/>
          <w:highlight w:val="none"/>
        </w:rPr>
        <w:t xml:space="preserve">实质性响应采购文件要求且报价最低的投标报价为评标基准价（须未超过采购预算或最高限价（如有），其价格分为满分30分。其他投标人的价格分统一按照下列公式计算：</w:t>
      </w:r>
      <w:r/>
    </w:p>
    <w:p>
      <w:pPr>
        <w:pStyle w:val="1021"/>
        <w:spacing w:line="400" w:lineRule="exact"/>
        <w:rPr>
          <w:rFonts w:hint="eastAsia"/>
          <w:color w:val="auto"/>
          <w:highlight w:val="none"/>
        </w:rPr>
      </w:pPr>
      <w:r>
        <w:rPr>
          <w:rFonts w:hint="eastAsia"/>
          <w:color w:val="auto"/>
          <w:highlight w:val="none"/>
        </w:rPr>
        <w:t xml:space="preserve">投标报价得分=（评标基准价/投标报价）X价格权值X100（价格权值为30%）</w:t>
      </w:r>
      <w:r/>
    </w:p>
    <w:p>
      <w:pPr>
        <w:pStyle w:val="1021"/>
        <w:spacing w:line="400" w:lineRule="exact"/>
        <w:rPr>
          <w:rFonts w:hint="default" w:eastAsia="宋体"/>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二）技术及综合实力（70分）</w:t>
      </w:r>
      <w:bookmarkEnd w:id="13"/>
      <w:r/>
      <w:r/>
    </w:p>
    <w:tbl>
      <w:tblPr>
        <w:tblStyle w:val="744"/>
        <w:tblpPr w:horzAnchor="text" w:tblpXSpec="left"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767"/>
        <w:gridCol w:w="6673"/>
        <w:gridCol w:w="427"/>
      </w:tblGrid>
      <w:tr>
        <w:trPr>
          <w:trHeight w:val="997"/>
        </w:trPr>
        <w:tc>
          <w:tcPr>
            <w:tcW w:w="0" w:type="auto"/>
            <w:vAlign w:val="center"/>
            <w:vMerge w:val="restart"/>
            <w:textDirection w:val="lrTb"/>
            <w:noWrap w:val="false"/>
          </w:tcPr>
          <w:p>
            <w:pPr>
              <w:rPr>
                <w:rFonts w:hint="eastAsia" w:ascii="宋体" w:hAnsi="宋体" w:cs="Tahoma"/>
                <w:b/>
                <w:bCs/>
                <w:color w:val="auto"/>
                <w:szCs w:val="21"/>
                <w:highlight w:val="none"/>
              </w:rPr>
            </w:pPr>
            <w:r>
              <w:rPr>
                <w:rFonts w:hint="eastAsia" w:ascii="宋体" w:hAnsi="宋体" w:cs="Tahoma"/>
                <w:b/>
                <w:color w:val="auto"/>
                <w:szCs w:val="21"/>
                <w:highlight w:val="none"/>
              </w:rPr>
              <w:t xml:space="preserve">技术及商务部分</w:t>
            </w:r>
            <w:r/>
          </w:p>
        </w:tc>
        <w:tc>
          <w:tcPr>
            <w:tcW w:w="0" w:type="auto"/>
            <w:vAlign w:val="center"/>
            <w:textDirection w:val="lrTb"/>
            <w:noWrap w:val="false"/>
          </w:tcPr>
          <w:p>
            <w:pPr>
              <w:jc w:val="center"/>
              <w:widowControl/>
              <w:rPr>
                <w:rFonts w:hint="eastAsia" w:ascii="宋体" w:hAnsi="宋体" w:cs="Tahoma"/>
                <w:color w:val="auto"/>
                <w:szCs w:val="21"/>
                <w:highlight w:val="none"/>
              </w:rPr>
            </w:pPr>
            <w:r>
              <w:rPr>
                <w:rFonts w:hint="eastAsia" w:ascii="宋体" w:hAnsi="宋体" w:cs="宋体"/>
                <w:color w:val="auto"/>
                <w:szCs w:val="21"/>
                <w:highlight w:val="none"/>
              </w:rPr>
              <w:t xml:space="preserve">★</w:t>
            </w:r>
            <w:r>
              <w:rPr>
                <w:rFonts w:hint="eastAsia" w:ascii="宋体" w:hAnsi="宋体" w:cs="Tahoma"/>
                <w:color w:val="auto"/>
                <w:szCs w:val="21"/>
                <w:highlight w:val="none"/>
              </w:rPr>
              <w:t xml:space="preserve">产品技术参数</w:t>
            </w:r>
            <w:r/>
          </w:p>
        </w:tc>
        <w:tc>
          <w:tcPr>
            <w:tcW w:w="0" w:type="auto"/>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投标人提供所投产品技术参数偏离表，对带★参数（共16项）进行评审，按要求提供证明材料的，每有一项符合技术参数要求的得1分，最高得16分。</w:t>
            </w:r>
            <w:r/>
          </w:p>
          <w:p>
            <w:pPr>
              <w:rPr>
                <w:rFonts w:hint="eastAsia" w:ascii="宋体" w:hAnsi="宋体" w:cs="Tahoma"/>
                <w:color w:val="auto"/>
                <w:szCs w:val="21"/>
                <w:highlight w:val="none"/>
              </w:rPr>
            </w:pPr>
            <w:r>
              <w:rPr>
                <w:rFonts w:hint="eastAsia" w:ascii="宋体" w:hAnsi="宋体" w:cs="宋体"/>
                <w:color w:val="auto"/>
                <w:szCs w:val="21"/>
                <w:highlight w:val="none"/>
                <w:lang w:bidi="ar"/>
              </w:rPr>
              <w:t xml:space="preserve">（注：投标人应根据要求提供指定的证明材料作为佐证；如参数中未要求提供指定材料的，需在投标文件中提供以下任意一项证明材料作为佐证：A.具有检测资质的检测机构出具的检测报告页面必须有CMA认证标志的</w:t>
            </w:r>
            <w:r>
              <w:rPr>
                <w:rFonts w:hint="eastAsia" w:ascii="宋体" w:hAnsi="宋体" w:cs="宋体"/>
                <w:color w:val="auto"/>
                <w:szCs w:val="21"/>
                <w:highlight w:val="none"/>
                <w:lang w:val="en-US" w:eastAsia="zh-CN" w:bidi="ar"/>
              </w:rPr>
              <w:t xml:space="preserve">完整</w:t>
            </w:r>
            <w:r>
              <w:rPr>
                <w:rFonts w:hint="eastAsia" w:ascii="宋体" w:hAnsi="宋体" w:cs="宋体"/>
                <w:color w:val="auto"/>
                <w:szCs w:val="21"/>
                <w:highlight w:val="none"/>
                <w:lang w:bidi="ar"/>
              </w:rPr>
              <w:t xml:space="preserve">检测报告及检测结果截图页复印件</w:t>
            </w:r>
            <w:r>
              <w:rPr>
                <w:rFonts w:hint="eastAsia" w:ascii="宋体" w:hAnsi="宋体" w:cs="宋体"/>
                <w:color w:val="auto"/>
                <w:szCs w:val="21"/>
                <w:highlight w:val="none"/>
                <w:lang w:val="en-US" w:eastAsia="zh-CN" w:bidi="ar"/>
              </w:rPr>
              <w:t xml:space="preserve">并加盖投标人公章</w:t>
            </w:r>
            <w:r>
              <w:rPr>
                <w:rFonts w:hint="eastAsia" w:ascii="宋体" w:hAnsi="宋体" w:cs="宋体"/>
                <w:color w:val="auto"/>
                <w:szCs w:val="21"/>
                <w:highlight w:val="none"/>
                <w:lang w:bidi="ar"/>
              </w:rPr>
              <w:t xml:space="preserve">；B.官网截图或功能截图证明；C.所投产品彩页；若“★”技术指标未提供佐证材料供评标委员会评判的，评标委员会可视为未对此技术参数进行响应）</w:t>
            </w:r>
            <w:r/>
          </w:p>
        </w:tc>
        <w:tc>
          <w:tcPr>
            <w:tcW w:w="0" w:type="auto"/>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r>
      <w:tr>
        <w:trPr>
          <w:trHeight w:val="471"/>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项目理解分析</w:t>
            </w:r>
            <w:r/>
          </w:p>
        </w:tc>
        <w:tc>
          <w:tcPr>
            <w:tcW w:w="0" w:type="auto"/>
            <w:vAlign w:val="center"/>
            <w:textDirection w:val="lrTb"/>
            <w:noWrap w:val="false"/>
          </w:tcPr>
          <w:p>
            <w:pPr>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投标人提供针对本项目在信创领域的理解与分析，包括以下内筒：1.建设背景；2.业务现状；3.适配需求；</w:t>
            </w:r>
            <w:r/>
          </w:p>
          <w:p>
            <w:pPr>
              <w:rPr>
                <w:rFonts w:hint="eastAsia" w:ascii="宋体" w:hAnsi="宋体" w:cs="宋体"/>
                <w:color w:val="auto"/>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分；内容基本合理、具有一定的可行性、具有一定的操作性、与项目实际基本贴合的得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分；每项叙述内容完全脱离采购需求或未作完整叙述的不得分。本项最高得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0" w:type="auto"/>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lang w:bidi="ar"/>
              </w:rPr>
              <w:t xml:space="preserve">6</w:t>
            </w:r>
            <w:r/>
          </w:p>
        </w:tc>
      </w:tr>
      <w:tr>
        <w:trPr>
          <w:trHeight w:val="1403"/>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项目技术方案</w:t>
            </w:r>
            <w:r/>
          </w:p>
        </w:tc>
        <w:tc>
          <w:tcPr>
            <w:tcW w:w="0" w:type="auto"/>
            <w:vAlign w:val="center"/>
            <w:textDirection w:val="lrTb"/>
            <w:noWrap w:val="false"/>
          </w:tcPr>
          <w:p>
            <w:pPr>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投标人提供针对本项目的项目技术方案，包括以下内容1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部署方案；2.授权管理方案；3</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软件适配方案；</w:t>
            </w:r>
            <w:r/>
          </w:p>
          <w:p>
            <w:pPr>
              <w:rPr>
                <w:rFonts w:hint="eastAsia" w:ascii="宋体" w:hAnsi="宋体" w:cs="宋体"/>
                <w:color w:val="auto"/>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分；内容基本合理、具有一定的可行性、具有一定的操作性、与项目实际基本贴合的得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分；每项叙述内容完全脱离采购需求或未作完整叙述的不得分。本项最高得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0" w:type="auto"/>
            <w:vAlign w:val="center"/>
            <w:textDirection w:val="lrTb"/>
            <w:noWrap w:val="false"/>
          </w:tcPr>
          <w:p>
            <w:pPr>
              <w:jc w:val="center"/>
              <w:rPr>
                <w:rFonts w:hint="eastAsia" w:ascii="宋体" w:hAnsi="宋体" w:cs="宋体"/>
                <w:color w:val="auto"/>
                <w:szCs w:val="21"/>
                <w:highlight w:val="none"/>
                <w:lang w:bidi="ar"/>
              </w:rPr>
            </w:pPr>
            <w:r>
              <w:rPr>
                <w:rFonts w:ascii="宋体" w:hAnsi="宋体" w:cs="宋体"/>
                <w:color w:val="auto"/>
                <w:szCs w:val="21"/>
                <w:highlight w:val="none"/>
                <w:lang w:bidi="ar"/>
              </w:rPr>
              <w:t xml:space="preserve">6</w:t>
            </w:r>
            <w:r/>
          </w:p>
        </w:tc>
      </w:tr>
      <w:tr>
        <w:trPr>
          <w:trHeight w:val="1273"/>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olor w:val="auto"/>
                <w:szCs w:val="21"/>
                <w:highlight w:val="none"/>
              </w:rPr>
            </w:pPr>
            <w:r>
              <w:rPr>
                <w:rFonts w:hint="eastAsia" w:ascii="宋体" w:hAnsi="宋体" w:cs="宋体"/>
                <w:color w:val="auto"/>
                <w:szCs w:val="21"/>
                <w:highlight w:val="none"/>
                <w:lang w:bidi="ar"/>
              </w:rPr>
              <w:t xml:space="preserve">项目信息安全保障方案</w:t>
            </w:r>
            <w:r/>
          </w:p>
        </w:tc>
        <w:tc>
          <w:tcPr>
            <w:tcW w:w="0" w:type="auto"/>
            <w:vAlign w:val="center"/>
            <w:textDirection w:val="lrTb"/>
            <w:noWrap w:val="false"/>
          </w:tcPr>
          <w:p>
            <w:pPr>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投标人提供针对本项目的信息安全保障方案，</w:t>
            </w:r>
            <w:r>
              <w:rPr>
                <w:rFonts w:hint="eastAsia" w:ascii="宋体" w:hAnsi="宋体" w:cs="宋体"/>
                <w:color w:val="auto"/>
                <w:sz w:val="22"/>
                <w:highlight w:val="none"/>
                <w:lang w:bidi="ar"/>
              </w:rPr>
              <w:t xml:space="preserve">方案应具备多种安全防护措施功能，</w:t>
            </w:r>
            <w:r>
              <w:rPr>
                <w:rFonts w:hint="eastAsia" w:ascii="宋体" w:hAnsi="宋体" w:cs="宋体"/>
                <w:color w:val="auto"/>
                <w:szCs w:val="21"/>
                <w:highlight w:val="none"/>
                <w:lang w:bidi="ar"/>
              </w:rPr>
              <w:t xml:space="preserve">包括以下内容：1.系统安全；2.数据安全；3.运维安全；</w:t>
            </w:r>
            <w:r/>
          </w:p>
          <w:p>
            <w:pPr>
              <w:rPr>
                <w:rFonts w:hint="eastAsia" w:ascii="宋体" w:hAnsi="宋体"/>
                <w:bCs/>
                <w:color w:val="auto"/>
                <w:szCs w:val="21"/>
                <w:highlight w:val="none"/>
              </w:rPr>
            </w:pPr>
            <w:r>
              <w:rPr>
                <w:rFonts w:hint="eastAsia" w:ascii="宋体" w:hAnsi="宋体"/>
                <w:color w:val="auto"/>
                <w:sz w:val="21"/>
                <w:szCs w:val="21"/>
                <w:highlight w:val="none"/>
              </w:rPr>
              <w:t xml:space="preserve">上述每项应逐条叙述，内容全面合理、可行性强操作性强、贴合项目实际的得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分；内容基本合理、具有一定的可行性、具有一定的操作性、与项目实际基本贴合的得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分；每项叙述内容完全脱离采购需求或未作完整叙述的不得分。本项最高得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0" w:type="auto"/>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lang w:bidi="ar"/>
              </w:rPr>
              <w:t xml:space="preserve">6</w:t>
            </w:r>
            <w:r/>
          </w:p>
        </w:tc>
      </w:tr>
      <w:tr>
        <w:trPr>
          <w:trHeight w:val="1828"/>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项目实施方案</w:t>
            </w:r>
            <w:r/>
          </w:p>
        </w:tc>
        <w:tc>
          <w:tcPr>
            <w:tcW w:w="0" w:type="auto"/>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投标人根据采购需求中的合同履行期限，提供本项目的实施方案，包括一下内容：1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进度计划及进度控制方案；2</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质量保证方案、突发事件处置方案；3</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项目验收方案；</w:t>
            </w:r>
            <w:r/>
          </w:p>
          <w:p>
            <w:pPr>
              <w:jc w:val="left"/>
              <w:widowControl/>
              <w:rPr>
                <w:rFonts w:hint="eastAsia" w:ascii="宋体" w:hAnsi="宋体" w:cs="宋体"/>
                <w:color w:val="auto"/>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分；内容基本合理、具有一定的可行性、具有一定的操作性、与项目实际基本贴合的得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分；每项叙述内容完全脱离采购需求或未作完整叙述的不得分。本项最高得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0" w:type="auto"/>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126"/>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培训方案</w:t>
            </w:r>
            <w:r/>
          </w:p>
        </w:tc>
        <w:tc>
          <w:tcPr>
            <w:tcW w:w="0" w:type="auto"/>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投标人针对本项目实际情况提供对应的培训方案，包括1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培训频次；2</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培训内容；3</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培训计划；</w:t>
            </w:r>
            <w:r/>
          </w:p>
          <w:p>
            <w:pPr>
              <w:jc w:val="left"/>
              <w:widowControl/>
              <w:rPr>
                <w:rFonts w:hint="eastAsia" w:ascii="宋体" w:hAnsi="宋体" w:cs="宋体"/>
                <w:color w:val="auto"/>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分；内容基本合理、具有一定的可行性、具有一定的操作性、与项目实际基本贴合的得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分；每项叙述内容完全脱离采购需求或未作完整叙述的不得分。本项最高得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0" w:type="auto"/>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538"/>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售后服务方案</w:t>
            </w:r>
            <w:r/>
          </w:p>
        </w:tc>
        <w:tc>
          <w:tcPr>
            <w:tcW w:w="0" w:type="auto"/>
            <w:vAlign w:val="center"/>
            <w:textDirection w:val="lrTb"/>
            <w:noWrap w:val="false"/>
          </w:tcPr>
          <w:p>
            <w:pPr>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投标人针对本项目实际情况提供对应售后服务方案，包括1</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售后服务管理制度及体系；2</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售后服务处理流程及保障措施；</w:t>
            </w:r>
            <w:r/>
          </w:p>
          <w:p>
            <w:pPr>
              <w:rPr>
                <w:rFonts w:hint="eastAsia" w:ascii="宋体" w:hAnsi="宋体" w:cs="宋体"/>
                <w:color w:val="auto"/>
                <w:szCs w:val="21"/>
                <w:highlight w:val="none"/>
                <w:lang w:bidi="ar"/>
              </w:rPr>
            </w:pPr>
            <w:r>
              <w:rPr>
                <w:rFonts w:hint="eastAsia" w:ascii="宋体" w:hAnsi="宋体"/>
                <w:color w:val="auto"/>
                <w:sz w:val="21"/>
                <w:szCs w:val="21"/>
                <w:highlight w:val="none"/>
              </w:rPr>
              <w:t xml:space="preserve">上述每项应逐条叙述，内容全面合理、可行性强操作性强、贴合项目实际的得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分；内容基本合理、具有一定的可行性、具有一定的操作性、与项目实际基本贴合的得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分；每项叙述内容完全脱离采购需求或未作完整叙述的不得分。本项最高得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分。</w:t>
            </w:r>
            <w:r/>
          </w:p>
        </w:tc>
        <w:tc>
          <w:tcPr>
            <w:tcW w:w="0" w:type="auto"/>
            <w:vAlign w:val="center"/>
            <w:textDirection w:val="lrTb"/>
            <w:noWrap w:val="false"/>
          </w:tcPr>
          <w:p>
            <w:pPr>
              <w:jc w:val="center"/>
              <w:rPr>
                <w:rFonts w:hint="eastAsia" w:ascii="宋体" w:hAnsi="宋体" w:cs="宋体"/>
                <w:color w:val="auto"/>
                <w:szCs w:val="21"/>
                <w:highlight w:val="none"/>
                <w:lang w:bidi="ar"/>
              </w:rPr>
            </w:pPr>
            <w:r>
              <w:rPr>
                <w:rFonts w:ascii="宋体" w:hAnsi="宋体" w:cs="宋体"/>
                <w:color w:val="auto"/>
                <w:szCs w:val="21"/>
                <w:highlight w:val="none"/>
                <w:lang w:bidi="ar"/>
              </w:rPr>
              <w:t xml:space="preserve">6</w:t>
            </w:r>
            <w:r/>
          </w:p>
        </w:tc>
      </w:tr>
      <w:tr>
        <w:trPr>
          <w:trHeight w:val="1696"/>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项目经理</w:t>
            </w:r>
            <w:r/>
          </w:p>
        </w:tc>
        <w:tc>
          <w:tcPr>
            <w:tcW w:w="0" w:type="auto"/>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投标人拟派的项目经理（一人）具有：</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具有信息系统项目管理师证书的得1分；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具有系统集成项目管理工程师证书得1分；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具有信息安全工程师证书的得1分；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具有信息安全保障人员认证证书（CISAW）的得1分；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具有通信专业技术人员职业水平证书（互联网技术类）</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每有一张证书的得1分，最高得5分。</w:t>
            </w:r>
            <w:r/>
          </w:p>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须在投标文件中同时提供上述人员有效期内的证书复印件及由投标人</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个月</w:t>
            </w:r>
            <w:r>
              <w:rPr>
                <w:rFonts w:hint="eastAsia" w:ascii="宋体" w:hAnsi="宋体" w:cs="宋体"/>
                <w:color w:val="auto"/>
                <w:szCs w:val="21"/>
                <w:highlight w:val="none"/>
                <w:lang w:val="en-US" w:eastAsia="zh-CN" w:bidi="ar"/>
              </w:rPr>
              <w:t xml:space="preserve">内</w:t>
            </w:r>
            <w:r>
              <w:rPr>
                <w:rFonts w:hint="eastAsia" w:ascii="宋体" w:hAnsi="宋体" w:cs="宋体"/>
                <w:color w:val="auto"/>
                <w:szCs w:val="21"/>
                <w:highlight w:val="none"/>
                <w:lang w:bidi="ar"/>
              </w:rPr>
              <w:t xml:space="preserve">为其缴纳的</w:t>
            </w:r>
            <w:r>
              <w:rPr>
                <w:rFonts w:hint="eastAsia" w:ascii="宋体" w:hAnsi="宋体" w:cs="宋体"/>
                <w:color w:val="auto"/>
                <w:szCs w:val="21"/>
                <w:highlight w:val="none"/>
                <w:lang w:val="en-US" w:eastAsia="zh-CN" w:bidi="ar"/>
              </w:rPr>
              <w:t xml:space="preserve">任意</w:t>
            </w:r>
            <w:r>
              <w:rPr>
                <w:rFonts w:hint="eastAsia" w:ascii="宋体" w:hAnsi="宋体" w:cs="宋体"/>
                <w:color w:val="auto"/>
                <w:szCs w:val="21"/>
                <w:highlight w:val="none"/>
                <w:lang w:bidi="ar"/>
              </w:rPr>
              <w:t xml:space="preserve">一期的社会保险缴纳证明并加盖投标人公章，否则对应内容不得分</w:t>
            </w:r>
            <w:r/>
          </w:p>
        </w:tc>
        <w:tc>
          <w:tcPr>
            <w:tcW w:w="0" w:type="auto"/>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1554"/>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技术负责人</w:t>
            </w:r>
            <w:r/>
          </w:p>
        </w:tc>
        <w:tc>
          <w:tcPr>
            <w:tcW w:w="0" w:type="auto"/>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投标人拟派的项目技术负责人具有：</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具有网络工程师证书的得1分；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具有系统分析师证书的得1分；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具有信息系统项目管理师证书的得1分。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每有一张证书的得1分，最高得3分。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标书内须提供证书扫描件及投标人为其缴纳的近期3个月的社保证明，否则不得分。</w:t>
            </w:r>
            <w:r/>
          </w:p>
        </w:tc>
        <w:tc>
          <w:tcPr>
            <w:tcW w:w="0" w:type="auto"/>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rPr>
              <w:t xml:space="preserve">3</w:t>
            </w:r>
            <w:r/>
          </w:p>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1554"/>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项目组成员</w:t>
            </w:r>
            <w:r/>
          </w:p>
        </w:tc>
        <w:tc>
          <w:tcPr>
            <w:tcW w:w="0" w:type="auto"/>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投标人拟派的项目组成员中具有：</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具有数据库系统工程师证书的得1分；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具有网络工程师证书的得1分。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须在投标文件中同时提供上述人员有效期内的证书复印件及由投标人</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个月</w:t>
            </w:r>
            <w:r>
              <w:rPr>
                <w:rFonts w:hint="eastAsia" w:ascii="宋体" w:hAnsi="宋体" w:cs="宋体"/>
                <w:color w:val="auto"/>
                <w:szCs w:val="21"/>
                <w:highlight w:val="none"/>
                <w:lang w:val="en-US" w:eastAsia="zh-CN" w:bidi="ar"/>
              </w:rPr>
              <w:t xml:space="preserve">内</w:t>
            </w:r>
            <w:r>
              <w:rPr>
                <w:rFonts w:hint="eastAsia" w:ascii="宋体" w:hAnsi="宋体" w:cs="宋体"/>
                <w:color w:val="auto"/>
                <w:szCs w:val="21"/>
                <w:highlight w:val="none"/>
                <w:lang w:bidi="ar"/>
              </w:rPr>
              <w:t xml:space="preserve">为其缴纳的</w:t>
            </w:r>
            <w:r>
              <w:rPr>
                <w:rFonts w:hint="eastAsia" w:ascii="宋体" w:hAnsi="宋体" w:cs="宋体"/>
                <w:color w:val="auto"/>
                <w:szCs w:val="21"/>
                <w:highlight w:val="none"/>
                <w:lang w:val="en-US" w:eastAsia="zh-CN" w:bidi="ar"/>
              </w:rPr>
              <w:t xml:space="preserve">任意</w:t>
            </w:r>
            <w:r>
              <w:rPr>
                <w:rFonts w:hint="eastAsia" w:ascii="宋体" w:hAnsi="宋体" w:cs="宋体"/>
                <w:color w:val="auto"/>
                <w:szCs w:val="21"/>
                <w:highlight w:val="none"/>
                <w:lang w:bidi="ar"/>
              </w:rPr>
              <w:t xml:space="preserve">一期的社会保险缴纳证明并加盖投标人公章，否则对应内容不得分</w:t>
            </w:r>
            <w:r/>
          </w:p>
        </w:tc>
        <w:tc>
          <w:tcPr>
            <w:tcW w:w="0" w:type="auto"/>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1554"/>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企业服务能力</w:t>
            </w:r>
            <w:r/>
          </w:p>
        </w:tc>
        <w:tc>
          <w:tcPr>
            <w:tcW w:w="0" w:type="auto"/>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投标人具有以下认证证书的：</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1.信息系统建设和服务能力等级证书（ CS5级的2分，CS4级及以下得1分，最高2分）；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2.信息技术服务运行维护标准符合性证书（ITSS）（一级得2分，其余等级得1分）；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3.DCMM数据管理能力成熟度等级证书的得1分。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须在投标文件中提供上述有效期内的证书复印件并加盖投标人公章，否则对应内容不得分</w:t>
            </w:r>
            <w:r/>
          </w:p>
        </w:tc>
        <w:tc>
          <w:tcPr>
            <w:tcW w:w="0" w:type="auto"/>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r>
      <w:tr>
        <w:trPr>
          <w:trHeight w:val="1554"/>
        </w:trPr>
        <w:tc>
          <w:tcPr>
            <w:tcW w:w="0" w:type="auto"/>
            <w:vAlign w:val="center"/>
            <w:vMerge w:val="continue"/>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体系认证</w:t>
            </w:r>
            <w:r/>
          </w:p>
        </w:tc>
        <w:tc>
          <w:tcPr>
            <w:tcW w:w="0" w:type="auto"/>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投标人具有有效期内的体系认证的：</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1.质量管理体系认证证书；</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2.环境管理体系证书；</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3.信息安全管理体系证书；</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4.信息技术服务管理体系证书；</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每有一项证书得0.5分，最高得2分。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投标文件中需提供上述1-</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项证书复印件及国家认证认可监督管理委员会网站查询结果截图并加盖投标人公章。</w:t>
            </w:r>
            <w:r/>
          </w:p>
        </w:tc>
        <w:tc>
          <w:tcPr>
            <w:tcW w:w="0" w:type="auto"/>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1317"/>
        </w:trPr>
        <w:tc>
          <w:tcPr>
            <w:tcW w:w="0" w:type="auto"/>
            <w:vAlign w:val="center"/>
            <w:textDirection w:val="lrTb"/>
            <w:noWrap w:val="false"/>
          </w:tcPr>
          <w:p>
            <w:pPr>
              <w:jc w:val="center"/>
              <w:rPr>
                <w:rFonts w:hint="eastAsia" w:ascii="宋体" w:hAnsi="宋体" w:cs="Tahoma"/>
                <w:b/>
                <w:bCs/>
                <w:color w:val="auto"/>
                <w:szCs w:val="21"/>
                <w:highlight w:val="none"/>
              </w:rPr>
            </w:pPr>
            <w:r>
              <w:rPr>
                <w:rFonts w:hint="eastAsia" w:ascii="宋体" w:hAnsi="宋体" w:cs="Tahoma"/>
                <w:b/>
                <w:bCs/>
                <w:color w:val="auto"/>
                <w:szCs w:val="21"/>
                <w:highlight w:val="none"/>
              </w:rPr>
            </w:r>
            <w:r/>
          </w:p>
        </w:tc>
        <w:tc>
          <w:tcPr>
            <w:tcW w:w="0" w:type="auto"/>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业绩</w:t>
            </w:r>
            <w:r/>
          </w:p>
        </w:tc>
        <w:tc>
          <w:tcPr>
            <w:tcW w:w="0" w:type="auto"/>
            <w:vAlign w:val="center"/>
            <w:textDirection w:val="lrTb"/>
            <w:noWrap w:val="false"/>
          </w:tcPr>
          <w:p>
            <w:pPr>
              <w:rPr>
                <w:rFonts w:hint="eastAsia" w:ascii="宋体" w:hAnsi="宋体" w:cs="宋体"/>
                <w:color w:val="auto"/>
                <w:szCs w:val="21"/>
                <w:highlight w:val="none"/>
                <w:lang w:bidi="ar"/>
              </w:rPr>
            </w:pPr>
            <w:r/>
            <w:bookmarkStart w:id="14" w:name="_GoBack"/>
            <w:r>
              <w:rPr>
                <w:rFonts w:hint="eastAsia" w:ascii="宋体" w:hAnsi="宋体" w:cs="宋体"/>
                <w:color w:val="auto"/>
                <w:szCs w:val="21"/>
                <w:highlight w:val="none"/>
                <w:lang w:bidi="ar"/>
              </w:rPr>
              <w:t xml:space="preserve">投标人提供自2022年1月1日（以合同签订日期为准）以来承担的类似项目业绩，每提供1个得0.5分，最高得1分。</w:t>
            </w:r>
            <w:r/>
          </w:p>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投标文件中需提供相关业绩的合同复印件，并加盖投标人公章，否则不得分</w:t>
            </w:r>
            <w:r>
              <w:rPr>
                <w:rFonts w:hint="eastAsia" w:ascii="宋体" w:hAnsi="宋体" w:cs="宋体"/>
                <w:color w:val="auto"/>
                <w:szCs w:val="21"/>
                <w:highlight w:val="none"/>
                <w:lang w:eastAsia="zh-CN" w:bidi="ar"/>
              </w:rPr>
              <w:t xml:space="preserve">。</w:t>
            </w:r>
            <w:bookmarkEnd w:id="14"/>
            <w:r/>
            <w:r/>
          </w:p>
        </w:tc>
        <w:tc>
          <w:tcPr>
            <w:tcW w:w="0" w:type="auto"/>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r>
    </w:tbl>
    <w:p>
      <w:pPr>
        <w:pStyle w:val="752"/>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752"/>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752"/>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752"/>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752"/>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752"/>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48"/>
      </w:rPr>
      <w:framePr w:wrap="around" w:vAnchor="text" w:hAnchor="margin" w:xAlign="center" w:y="1"/>
    </w:pPr>
    <w:r>
      <w:rPr>
        <w:rStyle w:val="948"/>
      </w:rPr>
      <w:fldChar w:fldCharType="begin"/>
    </w:r>
    <w:r>
      <w:rPr>
        <w:rStyle w:val="948"/>
      </w:rPr>
      <w:instrText xml:space="preserve">PAGE  </w:instrText>
    </w:r>
    <w:r>
      <w:rPr>
        <w:rStyle w:val="948"/>
      </w:rPr>
      <w:fldChar w:fldCharType="separate"/>
    </w:r>
    <w:r>
      <w:rPr>
        <w:rStyle w:val="948"/>
      </w:rPr>
      <w:t xml:space="preserve">- 1 -</w:t>
    </w:r>
    <w:r>
      <w:rPr>
        <w:rStyle w:val="948"/>
      </w:rP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48"/>
      </w:rPr>
      <w:framePr w:wrap="around" w:vAnchor="text" w:hAnchor="margin" w:xAlign="center" w:y="1"/>
    </w:pPr>
    <w:r>
      <w:rPr>
        <w:rStyle w:val="948"/>
      </w:rPr>
      <w:fldChar w:fldCharType="begin"/>
    </w:r>
    <w:r>
      <w:rPr>
        <w:rStyle w:val="948"/>
      </w:rPr>
      <w:instrText xml:space="preserve">PAGE  </w:instrText>
    </w:r>
    <w:r>
      <w:rPr>
        <w:rStyle w:val="948"/>
      </w:rPr>
      <w:fldChar w:fldCharType="separate"/>
    </w:r>
    <w:r>
      <w:rPr>
        <w:rStyle w:val="948"/>
      </w:rPr>
      <w:t xml:space="preserve">- 1 -</w:t>
    </w:r>
    <w:r>
      <w:rPr>
        <w:rStyle w:val="948"/>
      </w:rP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Fonts w:hint="eastAsia"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rPr>
      <w:t xml:space="preserve">JSZC-320506-SZWK-G2026-0087号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3"/>
      <w:isLgl w:val="false"/>
      <w:suff w:val="nothing"/>
      <w:lvlText w:val="%1、"/>
      <w:lvlJc w:val="left"/>
      <w:pPr>
        <w:ind w:left="142" w:firstLine="0"/>
      </w:pPr>
    </w:lvl>
    <w:lvl w:ilvl="1">
      <w:start w:val="1"/>
      <w:numFmt w:val="bullet"/>
      <w:isLgl w:val="false"/>
      <w:suff w:val="tab"/>
      <w:lvlText w:val="o"/>
      <w:lvlJc w:val="left"/>
      <w:pPr>
        <w:ind w:left="1582" w:hanging="360"/>
      </w:pPr>
      <w:rPr>
        <w:rFonts w:hint="default" w:ascii="Courier New" w:hAnsi="Courier New" w:eastAsia="Courier New" w:cs="Courier New"/>
      </w:rPr>
    </w:lvl>
    <w:lvl w:ilvl="2">
      <w:start w:val="1"/>
      <w:numFmt w:val="bullet"/>
      <w:isLgl w:val="false"/>
      <w:suff w:val="tab"/>
      <w:lvlText w:val="§"/>
      <w:lvlJc w:val="left"/>
      <w:pPr>
        <w:ind w:left="2302" w:hanging="360"/>
      </w:pPr>
      <w:rPr>
        <w:rFonts w:hint="default" w:ascii="Wingdings" w:hAnsi="Wingdings" w:eastAsia="Wingdings" w:cs="Wingdings"/>
      </w:rPr>
    </w:lvl>
    <w:lvl w:ilvl="3">
      <w:start w:val="1"/>
      <w:numFmt w:val="bullet"/>
      <w:isLgl w:val="false"/>
      <w:suff w:val="tab"/>
      <w:lvlText w:val="·"/>
      <w:lvlJc w:val="left"/>
      <w:pPr>
        <w:ind w:left="3022" w:hanging="360"/>
      </w:pPr>
      <w:rPr>
        <w:rFonts w:hint="default" w:ascii="Symbol" w:hAnsi="Symbol" w:eastAsia="Symbol" w:cs="Symbol"/>
      </w:rPr>
    </w:lvl>
    <w:lvl w:ilvl="4">
      <w:start w:val="1"/>
      <w:numFmt w:val="bullet"/>
      <w:isLgl w:val="false"/>
      <w:suff w:val="tab"/>
      <w:lvlText w:val="o"/>
      <w:lvlJc w:val="left"/>
      <w:pPr>
        <w:ind w:left="3742" w:hanging="360"/>
      </w:pPr>
      <w:rPr>
        <w:rFonts w:hint="default" w:ascii="Courier New" w:hAnsi="Courier New" w:eastAsia="Courier New" w:cs="Courier New"/>
      </w:rPr>
    </w:lvl>
    <w:lvl w:ilvl="5">
      <w:start w:val="1"/>
      <w:numFmt w:val="bullet"/>
      <w:isLgl w:val="false"/>
      <w:suff w:val="tab"/>
      <w:lvlText w:val="§"/>
      <w:lvlJc w:val="left"/>
      <w:pPr>
        <w:ind w:left="4462" w:hanging="360"/>
      </w:pPr>
      <w:rPr>
        <w:rFonts w:hint="default" w:ascii="Wingdings" w:hAnsi="Wingdings" w:eastAsia="Wingdings" w:cs="Wingdings"/>
      </w:rPr>
    </w:lvl>
    <w:lvl w:ilvl="6">
      <w:start w:val="1"/>
      <w:numFmt w:val="bullet"/>
      <w:isLgl w:val="false"/>
      <w:suff w:val="tab"/>
      <w:lvlText w:val="·"/>
      <w:lvlJc w:val="left"/>
      <w:pPr>
        <w:ind w:left="5182" w:hanging="360"/>
      </w:pPr>
      <w:rPr>
        <w:rFonts w:hint="default" w:ascii="Symbol" w:hAnsi="Symbol" w:eastAsia="Symbol" w:cs="Symbol"/>
      </w:rPr>
    </w:lvl>
    <w:lvl w:ilvl="7">
      <w:start w:val="1"/>
      <w:numFmt w:val="bullet"/>
      <w:isLgl w:val="false"/>
      <w:suff w:val="tab"/>
      <w:lvlText w:val="o"/>
      <w:lvlJc w:val="left"/>
      <w:pPr>
        <w:ind w:left="5902" w:hanging="360"/>
      </w:pPr>
      <w:rPr>
        <w:rFonts w:hint="default" w:ascii="Courier New" w:hAnsi="Courier New" w:eastAsia="Courier New" w:cs="Courier New"/>
      </w:rPr>
    </w:lvl>
    <w:lvl w:ilvl="8">
      <w:start w:val="1"/>
      <w:numFmt w:val="bullet"/>
      <w:isLgl w:val="false"/>
      <w:suff w:val="tab"/>
      <w:lvlText w:val="§"/>
      <w:lvlJc w:val="left"/>
      <w:pPr>
        <w:ind w:left="6622"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43"/>
    <w:link w:val="734"/>
    <w:uiPriority w:val="9"/>
    <w:rPr>
      <w:rFonts w:ascii="Arial" w:hAnsi="Arial" w:eastAsia="Arial" w:cs="Arial"/>
      <w:sz w:val="40"/>
      <w:szCs w:val="40"/>
    </w:rPr>
  </w:style>
  <w:style w:type="character" w:styleId="697">
    <w:name w:val="Heading 2 Char"/>
    <w:basedOn w:val="743"/>
    <w:link w:val="735"/>
    <w:uiPriority w:val="9"/>
    <w:rPr>
      <w:rFonts w:ascii="Arial" w:hAnsi="Arial" w:eastAsia="Arial" w:cs="Arial"/>
      <w:sz w:val="34"/>
    </w:rPr>
  </w:style>
  <w:style w:type="character" w:styleId="698">
    <w:name w:val="Heading 3 Char"/>
    <w:basedOn w:val="743"/>
    <w:link w:val="736"/>
    <w:uiPriority w:val="9"/>
    <w:rPr>
      <w:rFonts w:ascii="Arial" w:hAnsi="Arial" w:eastAsia="Arial" w:cs="Arial"/>
      <w:sz w:val="30"/>
      <w:szCs w:val="30"/>
    </w:rPr>
  </w:style>
  <w:style w:type="character" w:styleId="699">
    <w:name w:val="Heading 4 Char"/>
    <w:basedOn w:val="743"/>
    <w:link w:val="737"/>
    <w:uiPriority w:val="9"/>
    <w:rPr>
      <w:rFonts w:ascii="Arial" w:hAnsi="Arial" w:eastAsia="Arial" w:cs="Arial"/>
      <w:b/>
      <w:bCs/>
      <w:sz w:val="26"/>
      <w:szCs w:val="26"/>
    </w:rPr>
  </w:style>
  <w:style w:type="character" w:styleId="700">
    <w:name w:val="Heading 5 Char"/>
    <w:basedOn w:val="743"/>
    <w:link w:val="738"/>
    <w:uiPriority w:val="9"/>
    <w:rPr>
      <w:rFonts w:ascii="Arial" w:hAnsi="Arial" w:eastAsia="Arial" w:cs="Arial"/>
      <w:b/>
      <w:bCs/>
      <w:sz w:val="24"/>
      <w:szCs w:val="24"/>
    </w:rPr>
  </w:style>
  <w:style w:type="character" w:styleId="701">
    <w:name w:val="Heading 6 Char"/>
    <w:basedOn w:val="743"/>
    <w:link w:val="739"/>
    <w:uiPriority w:val="9"/>
    <w:rPr>
      <w:rFonts w:ascii="Arial" w:hAnsi="Arial" w:eastAsia="Arial" w:cs="Arial"/>
      <w:b/>
      <w:bCs/>
      <w:sz w:val="22"/>
      <w:szCs w:val="22"/>
    </w:rPr>
  </w:style>
  <w:style w:type="character" w:styleId="702">
    <w:name w:val="Heading 7 Char"/>
    <w:basedOn w:val="743"/>
    <w:link w:val="740"/>
    <w:uiPriority w:val="9"/>
    <w:rPr>
      <w:rFonts w:ascii="Arial" w:hAnsi="Arial" w:eastAsia="Arial" w:cs="Arial"/>
      <w:b/>
      <w:bCs/>
      <w:i/>
      <w:iCs/>
      <w:sz w:val="22"/>
      <w:szCs w:val="22"/>
    </w:rPr>
  </w:style>
  <w:style w:type="character" w:styleId="703">
    <w:name w:val="Heading 8 Char"/>
    <w:basedOn w:val="743"/>
    <w:link w:val="741"/>
    <w:uiPriority w:val="9"/>
    <w:rPr>
      <w:rFonts w:ascii="Arial" w:hAnsi="Arial" w:eastAsia="Arial" w:cs="Arial"/>
      <w:i/>
      <w:iCs/>
      <w:sz w:val="22"/>
      <w:szCs w:val="22"/>
    </w:rPr>
  </w:style>
  <w:style w:type="character" w:styleId="704">
    <w:name w:val="Heading 9 Char"/>
    <w:basedOn w:val="743"/>
    <w:link w:val="742"/>
    <w:uiPriority w:val="9"/>
    <w:rPr>
      <w:rFonts w:ascii="Arial" w:hAnsi="Arial" w:eastAsia="Arial" w:cs="Arial"/>
      <w:i/>
      <w:iCs/>
      <w:sz w:val="21"/>
      <w:szCs w:val="21"/>
    </w:rPr>
  </w:style>
  <w:style w:type="character" w:styleId="705">
    <w:name w:val="Title Char"/>
    <w:basedOn w:val="743"/>
    <w:link w:val="767"/>
    <w:uiPriority w:val="10"/>
    <w:rPr>
      <w:sz w:val="48"/>
      <w:szCs w:val="48"/>
    </w:rPr>
  </w:style>
  <w:style w:type="character" w:styleId="706">
    <w:name w:val="Subtitle Char"/>
    <w:basedOn w:val="743"/>
    <w:link w:val="759"/>
    <w:uiPriority w:val="11"/>
    <w:rPr>
      <w:sz w:val="24"/>
      <w:szCs w:val="24"/>
    </w:rPr>
  </w:style>
  <w:style w:type="character" w:styleId="707">
    <w:name w:val="Quote Char"/>
    <w:link w:val="786"/>
    <w:uiPriority w:val="29"/>
    <w:rPr>
      <w:i/>
    </w:rPr>
  </w:style>
  <w:style w:type="character" w:styleId="708">
    <w:name w:val="Intense Quote Char"/>
    <w:link w:val="788"/>
    <w:uiPriority w:val="30"/>
    <w:rPr>
      <w:i/>
    </w:rPr>
  </w:style>
  <w:style w:type="character" w:styleId="709">
    <w:name w:val="Header Char"/>
    <w:basedOn w:val="743"/>
    <w:link w:val="756"/>
    <w:uiPriority w:val="99"/>
  </w:style>
  <w:style w:type="character" w:styleId="710">
    <w:name w:val="Caption Char"/>
    <w:basedOn w:val="747"/>
    <w:link w:val="755"/>
    <w:uiPriority w:val="99"/>
  </w:style>
  <w:style w:type="table" w:styleId="711">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0">
    <w:name w:val="Footnote Text Char"/>
    <w:link w:val="760"/>
    <w:uiPriority w:val="99"/>
    <w:rPr>
      <w:sz w:val="18"/>
    </w:rPr>
  </w:style>
  <w:style w:type="character" w:styleId="731">
    <w:name w:val="Endnote Text Char"/>
    <w:link w:val="754"/>
    <w:uiPriority w:val="99"/>
    <w:rPr>
      <w:sz w:val="20"/>
    </w:rPr>
  </w:style>
  <w:style w:type="paragraph" w:styleId="732">
    <w:name w:val="TOC Heading"/>
    <w:uiPriority w:val="39"/>
    <w:unhideWhenUsed/>
  </w:style>
  <w:style w:type="paragraph" w:styleId="733" w:default="1">
    <w:name w:val="Normal"/>
    <w:next w:val="745"/>
    <w:uiPriority w:val="0"/>
    <w:qFormat/>
    <w:pPr>
      <w:jc w:val="both"/>
      <w:widowControl w:val="off"/>
    </w:pPr>
    <w:rPr>
      <w:rFonts w:ascii="Calibri" w:hAnsi="Calibri" w:eastAsia="宋体" w:cs="Times New Roman"/>
      <w:sz w:val="21"/>
      <w:szCs w:val="22"/>
      <w:lang w:val="en-US" w:eastAsia="zh-CN" w:bidi="ar-SA"/>
    </w:rPr>
  </w:style>
  <w:style w:type="paragraph" w:styleId="734">
    <w:name w:val="Heading 1"/>
    <w:basedOn w:val="733"/>
    <w:next w:val="733"/>
    <w:link w:val="773"/>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74"/>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75"/>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76"/>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77"/>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78"/>
    <w:uiPriority w:val="9"/>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779"/>
    <w:uiPriority w:val="9"/>
    <w:unhideWhenUsed/>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780"/>
    <w:uiPriority w:val="9"/>
    <w:unhideWhenUsed/>
    <w:qFormat/>
    <w:pPr>
      <w:keepLines/>
      <w:keepNext/>
      <w:spacing w:before="320" w:after="200"/>
      <w:outlineLvl w:val="7"/>
    </w:pPr>
    <w:rPr>
      <w:rFonts w:ascii="Arial" w:hAnsi="Arial" w:eastAsia="Arial" w:cs="Arial"/>
      <w:i/>
      <w:iCs/>
      <w:sz w:val="22"/>
    </w:rPr>
  </w:style>
  <w:style w:type="paragraph" w:styleId="742">
    <w:name w:val="Heading 9"/>
    <w:basedOn w:val="733"/>
    <w:next w:val="733"/>
    <w:link w:val="781"/>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正文文本缩进1"/>
    <w:basedOn w:val="733"/>
    <w:next w:val="733"/>
    <w:link w:val="929"/>
    <w:uiPriority w:val="99"/>
    <w:unhideWhenUsed/>
    <w:qFormat/>
    <w:pPr>
      <w:ind w:firstLine="425"/>
      <w:spacing w:line="360" w:lineRule="auto"/>
    </w:pPr>
    <w:rPr>
      <w:sz w:val="20"/>
      <w:szCs w:val="24"/>
    </w:rPr>
  </w:style>
  <w:style w:type="paragraph" w:styleId="746">
    <w:name w:val="toc 7"/>
    <w:basedOn w:val="733"/>
    <w:next w:val="733"/>
    <w:uiPriority w:val="39"/>
    <w:unhideWhenUsed/>
    <w:qFormat/>
    <w:pPr>
      <w:ind w:left="1701"/>
      <w:spacing w:after="57"/>
    </w:p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3"/>
    <w:uiPriority w:val="99"/>
    <w:semiHidden/>
    <w:unhideWhenUsed/>
    <w:qFormat/>
    <w:pPr>
      <w:jc w:val="left"/>
    </w:pPr>
  </w:style>
  <w:style w:type="paragraph" w:styleId="749">
    <w:name w:val="Body Text Indent"/>
    <w:basedOn w:val="733"/>
    <w:next w:val="733"/>
    <w:uiPriority w:val="0"/>
    <w:qFormat/>
    <w:pPr>
      <w:ind w:left="420" w:firstLine="1188"/>
      <w:spacing w:line="360" w:lineRule="exact"/>
    </w:pPr>
    <w:rPr>
      <w:rFonts w:ascii="Times New Roman" w:hAnsi="Times New Roman"/>
    </w:rPr>
  </w:style>
  <w:style w:type="paragraph" w:styleId="750">
    <w:name w:val="toc 5"/>
    <w:basedOn w:val="733"/>
    <w:next w:val="733"/>
    <w:uiPriority w:val="39"/>
    <w:unhideWhenUsed/>
    <w:qFormat/>
    <w:pPr>
      <w:ind w:left="1134"/>
      <w:spacing w:after="57"/>
    </w:pPr>
  </w:style>
  <w:style w:type="paragraph" w:styleId="751">
    <w:name w:val="toc 3"/>
    <w:basedOn w:val="733"/>
    <w:next w:val="733"/>
    <w:uiPriority w:val="39"/>
    <w:unhideWhenUsed/>
    <w:qFormat/>
    <w:pPr>
      <w:ind w:left="567"/>
      <w:spacing w:after="57"/>
    </w:pPr>
  </w:style>
  <w:style w:type="paragraph" w:styleId="752">
    <w:name w:val="Plain Text"/>
    <w:basedOn w:val="733"/>
    <w:uiPriority w:val="99"/>
    <w:qFormat/>
    <w:rPr>
      <w:rFonts w:ascii="宋体" w:hAnsi="Courier New" w:eastAsia="楷体_GB2312"/>
      <w:sz w:val="26"/>
      <w:szCs w:val="24"/>
    </w:rPr>
  </w:style>
  <w:style w:type="paragraph" w:styleId="753">
    <w:name w:val="toc 8"/>
    <w:basedOn w:val="733"/>
    <w:next w:val="733"/>
    <w:uiPriority w:val="39"/>
    <w:unhideWhenUsed/>
    <w:qFormat/>
    <w:pPr>
      <w:ind w:left="1984"/>
      <w:spacing w:after="57"/>
    </w:pPr>
  </w:style>
  <w:style w:type="paragraph" w:styleId="754">
    <w:name w:val="endnote text"/>
    <w:basedOn w:val="733"/>
    <w:link w:val="919"/>
    <w:uiPriority w:val="99"/>
    <w:semiHidden/>
    <w:unhideWhenUsed/>
    <w:qFormat/>
    <w:rPr>
      <w:sz w:val="20"/>
    </w:rPr>
  </w:style>
  <w:style w:type="paragraph" w:styleId="755">
    <w:name w:val="Footer"/>
    <w:basedOn w:val="733"/>
    <w:link w:val="792"/>
    <w:uiPriority w:val="99"/>
    <w:unhideWhenUsed/>
    <w:qFormat/>
    <w:pPr>
      <w:tabs>
        <w:tab w:val="center" w:pos="7143" w:leader="none"/>
        <w:tab w:val="right" w:pos="14287" w:leader="none"/>
      </w:tabs>
    </w:pPr>
  </w:style>
  <w:style w:type="paragraph" w:styleId="756">
    <w:name w:val="Header"/>
    <w:basedOn w:val="733"/>
    <w:link w:val="790"/>
    <w:uiPriority w:val="99"/>
    <w:unhideWhenUsed/>
    <w:qFormat/>
    <w:pPr>
      <w:tabs>
        <w:tab w:val="center" w:pos="7143" w:leader="none"/>
        <w:tab w:val="right" w:pos="14287" w:leader="none"/>
      </w:tabs>
    </w:pPr>
  </w:style>
  <w:style w:type="paragraph" w:styleId="757">
    <w:name w:val="toc 1"/>
    <w:basedOn w:val="733"/>
    <w:next w:val="733"/>
    <w:uiPriority w:val="39"/>
    <w:unhideWhenUsed/>
    <w:qFormat/>
    <w:pPr>
      <w:spacing w:after="57"/>
    </w:pPr>
  </w:style>
  <w:style w:type="paragraph" w:styleId="758">
    <w:name w:val="toc 4"/>
    <w:basedOn w:val="733"/>
    <w:next w:val="733"/>
    <w:uiPriority w:val="39"/>
    <w:unhideWhenUsed/>
    <w:qFormat/>
    <w:pPr>
      <w:ind w:left="850"/>
      <w:spacing w:after="57"/>
    </w:pPr>
  </w:style>
  <w:style w:type="paragraph" w:styleId="759">
    <w:name w:val="Subtitle"/>
    <w:basedOn w:val="733"/>
    <w:next w:val="733"/>
    <w:link w:val="785"/>
    <w:uiPriority w:val="11"/>
    <w:qFormat/>
    <w:pPr>
      <w:spacing w:before="200" w:after="200"/>
    </w:pPr>
    <w:rPr>
      <w:sz w:val="24"/>
      <w:szCs w:val="24"/>
    </w:rPr>
  </w:style>
  <w:style w:type="paragraph" w:styleId="760">
    <w:name w:val="footnote text"/>
    <w:basedOn w:val="733"/>
    <w:link w:val="918"/>
    <w:uiPriority w:val="99"/>
    <w:semiHidden/>
    <w:unhideWhenUsed/>
    <w:qFormat/>
    <w:pPr>
      <w:spacing w:after="40"/>
    </w:pPr>
    <w:rPr>
      <w:sz w:val="18"/>
    </w:rPr>
  </w:style>
  <w:style w:type="paragraph" w:styleId="761">
    <w:name w:val="toc 6"/>
    <w:basedOn w:val="733"/>
    <w:next w:val="733"/>
    <w:uiPriority w:val="39"/>
    <w:unhideWhenUsed/>
    <w:qFormat/>
    <w:pPr>
      <w:ind w:left="1417"/>
      <w:spacing w:after="57"/>
    </w:pPr>
  </w:style>
  <w:style w:type="paragraph" w:styleId="762">
    <w:name w:val="Body Text Indent 3"/>
    <w:basedOn w:val="733"/>
    <w:uiPriority w:val="0"/>
    <w:qFormat/>
  </w:style>
  <w:style w:type="paragraph" w:styleId="763">
    <w:name w:val="table of figures"/>
    <w:basedOn w:val="733"/>
    <w:next w:val="733"/>
    <w:uiPriority w:val="99"/>
    <w:unhideWhenUsed/>
    <w:qFormat/>
  </w:style>
  <w:style w:type="paragraph" w:styleId="764">
    <w:name w:val="toc 2"/>
    <w:basedOn w:val="733"/>
    <w:next w:val="733"/>
    <w:uiPriority w:val="39"/>
    <w:unhideWhenUsed/>
    <w:qFormat/>
    <w:pPr>
      <w:ind w:left="283"/>
      <w:spacing w:after="57"/>
    </w:pPr>
  </w:style>
  <w:style w:type="paragraph" w:styleId="765">
    <w:name w:val="toc 9"/>
    <w:basedOn w:val="733"/>
    <w:next w:val="733"/>
    <w:uiPriority w:val="39"/>
    <w:unhideWhenUsed/>
    <w:qFormat/>
    <w:pPr>
      <w:ind w:left="2268"/>
      <w:spacing w:after="57"/>
    </w:pPr>
  </w:style>
  <w:style w:type="paragraph" w:styleId="766">
    <w:name w:val="Normal (Web)"/>
    <w:basedOn w:val="733"/>
    <w:uiPriority w:val="99"/>
    <w:semiHidden/>
    <w:unhideWhenUsed/>
    <w:qFormat/>
    <w:rPr>
      <w:sz w:val="24"/>
    </w:rPr>
  </w:style>
  <w:style w:type="paragraph" w:styleId="767">
    <w:name w:val="Title"/>
    <w:basedOn w:val="733"/>
    <w:next w:val="733"/>
    <w:link w:val="784"/>
    <w:uiPriority w:val="10"/>
    <w:qFormat/>
    <w:pPr>
      <w:contextualSpacing/>
      <w:spacing w:before="300" w:after="200"/>
    </w:pPr>
    <w:rPr>
      <w:sz w:val="48"/>
      <w:szCs w:val="48"/>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annotation reference"/>
    <w:basedOn w:val="743"/>
    <w:uiPriority w:val="99"/>
    <w:semiHidden/>
    <w:unhideWhenUsed/>
    <w:qFormat/>
    <w:rPr>
      <w:sz w:val="21"/>
      <w:szCs w:val="21"/>
    </w:rPr>
  </w:style>
  <w:style w:type="character" w:styleId="772">
    <w:name w:val="footnote reference"/>
    <w:uiPriority w:val="99"/>
    <w:unhideWhenUsed/>
    <w:qFormat/>
    <w:rPr>
      <w:vertAlign w:val="superscript"/>
    </w:rPr>
  </w:style>
  <w:style w:type="character" w:styleId="773" w:customStyle="1">
    <w:name w:val="标题 1 字符"/>
    <w:link w:val="734"/>
    <w:uiPriority w:val="9"/>
    <w:qFormat/>
    <w:rPr>
      <w:rFonts w:ascii="Arial" w:hAnsi="Arial" w:eastAsia="Arial" w:cs="Arial"/>
      <w:sz w:val="40"/>
      <w:szCs w:val="40"/>
    </w:rPr>
  </w:style>
  <w:style w:type="character" w:styleId="774" w:customStyle="1">
    <w:name w:val="标题 2 字符"/>
    <w:link w:val="735"/>
    <w:uiPriority w:val="9"/>
    <w:qFormat/>
    <w:rPr>
      <w:rFonts w:ascii="Arial" w:hAnsi="Arial" w:eastAsia="Arial" w:cs="Arial"/>
      <w:sz w:val="34"/>
    </w:rPr>
  </w:style>
  <w:style w:type="character" w:styleId="775" w:customStyle="1">
    <w:name w:val="标题 3 字符"/>
    <w:link w:val="736"/>
    <w:uiPriority w:val="9"/>
    <w:qFormat/>
    <w:rPr>
      <w:rFonts w:ascii="Arial" w:hAnsi="Arial" w:eastAsia="Arial" w:cs="Arial"/>
      <w:sz w:val="30"/>
      <w:szCs w:val="30"/>
    </w:rPr>
  </w:style>
  <w:style w:type="character" w:styleId="776" w:customStyle="1">
    <w:name w:val="标题 4 字符"/>
    <w:link w:val="737"/>
    <w:uiPriority w:val="9"/>
    <w:qFormat/>
    <w:rPr>
      <w:rFonts w:ascii="Arial" w:hAnsi="Arial" w:eastAsia="Arial" w:cs="Arial"/>
      <w:b/>
      <w:bCs/>
      <w:sz w:val="26"/>
      <w:szCs w:val="26"/>
    </w:rPr>
  </w:style>
  <w:style w:type="character" w:styleId="777" w:customStyle="1">
    <w:name w:val="标题 5 字符"/>
    <w:link w:val="738"/>
    <w:uiPriority w:val="9"/>
    <w:qFormat/>
    <w:rPr>
      <w:rFonts w:ascii="Arial" w:hAnsi="Arial" w:eastAsia="Arial" w:cs="Arial"/>
      <w:b/>
      <w:bCs/>
      <w:sz w:val="24"/>
      <w:szCs w:val="24"/>
    </w:rPr>
  </w:style>
  <w:style w:type="character" w:styleId="778" w:customStyle="1">
    <w:name w:val="标题 6 字符"/>
    <w:link w:val="739"/>
    <w:uiPriority w:val="9"/>
    <w:qFormat/>
    <w:rPr>
      <w:rFonts w:ascii="Arial" w:hAnsi="Arial" w:eastAsia="Arial" w:cs="Arial"/>
      <w:b/>
      <w:bCs/>
      <w:sz w:val="22"/>
      <w:szCs w:val="22"/>
    </w:rPr>
  </w:style>
  <w:style w:type="character" w:styleId="779" w:customStyle="1">
    <w:name w:val="标题 7 字符"/>
    <w:link w:val="740"/>
    <w:uiPriority w:val="9"/>
    <w:qFormat/>
    <w:rPr>
      <w:rFonts w:ascii="Arial" w:hAnsi="Arial" w:eastAsia="Arial" w:cs="Arial"/>
      <w:b/>
      <w:bCs/>
      <w:i/>
      <w:iCs/>
      <w:sz w:val="22"/>
      <w:szCs w:val="22"/>
    </w:rPr>
  </w:style>
  <w:style w:type="character" w:styleId="780" w:customStyle="1">
    <w:name w:val="标题 8 字符"/>
    <w:link w:val="741"/>
    <w:uiPriority w:val="9"/>
    <w:qFormat/>
    <w:rPr>
      <w:rFonts w:ascii="Arial" w:hAnsi="Arial" w:eastAsia="Arial" w:cs="Arial"/>
      <w:i/>
      <w:iCs/>
      <w:sz w:val="22"/>
      <w:szCs w:val="22"/>
    </w:rPr>
  </w:style>
  <w:style w:type="character" w:styleId="781" w:customStyle="1">
    <w:name w:val="标题 9 字符"/>
    <w:link w:val="742"/>
    <w:uiPriority w:val="9"/>
    <w:qFormat/>
    <w:rPr>
      <w:rFonts w:ascii="Arial" w:hAnsi="Arial" w:eastAsia="Arial" w:cs="Arial"/>
      <w:i/>
      <w:iCs/>
      <w:sz w:val="21"/>
      <w:szCs w:val="21"/>
    </w:rPr>
  </w:style>
  <w:style w:type="paragraph" w:styleId="782">
    <w:name w:val="List Paragraph"/>
    <w:basedOn w:val="733"/>
    <w:uiPriority w:val="34"/>
    <w:qFormat/>
    <w:pPr>
      <w:contextualSpacing/>
      <w:ind w:left="720"/>
    </w:pPr>
  </w:style>
  <w:style w:type="paragraph" w:styleId="783">
    <w:name w:val="No Spacing"/>
    <w:uiPriority w:val="1"/>
    <w:qFormat/>
    <w:rPr>
      <w:rFonts w:ascii="Calibri" w:hAnsi="Calibri" w:eastAsia="宋体" w:cs="Times New Roman"/>
      <w:lang w:val="en-US" w:eastAsia="zh-CN" w:bidi="ar-SA"/>
    </w:rPr>
  </w:style>
  <w:style w:type="character" w:styleId="784" w:customStyle="1">
    <w:name w:val="标题 字符"/>
    <w:link w:val="767"/>
    <w:uiPriority w:val="10"/>
    <w:qFormat/>
    <w:rPr>
      <w:sz w:val="48"/>
      <w:szCs w:val="48"/>
    </w:rPr>
  </w:style>
  <w:style w:type="character" w:styleId="785" w:customStyle="1">
    <w:name w:val="副标题 字符"/>
    <w:link w:val="759"/>
    <w:uiPriority w:val="11"/>
    <w:qFormat/>
    <w:rPr>
      <w:sz w:val="24"/>
      <w:szCs w:val="24"/>
    </w:rPr>
  </w:style>
  <w:style w:type="paragraph" w:styleId="786">
    <w:name w:val="Quote"/>
    <w:basedOn w:val="733"/>
    <w:next w:val="733"/>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33"/>
    <w:next w:val="733"/>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
    <w:link w:val="756"/>
    <w:uiPriority w:val="99"/>
    <w:qFormat/>
  </w:style>
  <w:style w:type="character" w:styleId="791" w:customStyle="1">
    <w:name w:val="Footer Char"/>
    <w:uiPriority w:val="99"/>
    <w:qFormat/>
  </w:style>
  <w:style w:type="character" w:styleId="792" w:customStyle="1">
    <w:name w:val="页脚 字符"/>
    <w:link w:val="755"/>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60"/>
    <w:uiPriority w:val="99"/>
    <w:qFormat/>
    <w:rPr>
      <w:sz w:val="18"/>
    </w:rPr>
  </w:style>
  <w:style w:type="character" w:styleId="919" w:customStyle="1">
    <w:name w:val="尾注文本 字符"/>
    <w:link w:val="754"/>
    <w:uiPriority w:val="99"/>
    <w:qFormat/>
    <w:rPr>
      <w:sz w:val="20"/>
    </w:rPr>
  </w:style>
  <w:style w:type="paragraph" w:styleId="920" w:customStyle="1">
    <w:name w:val="TOC 标题1"/>
    <w:uiPriority w:val="39"/>
    <w:unhideWhenUsed/>
    <w:qFormat/>
    <w:rPr>
      <w:rFonts w:ascii="Calibri" w:hAnsi="Calibri" w:eastAsia="宋体" w:cs="Times New Roman"/>
      <w:lang w:val="en-US" w:eastAsia="zh-CN" w:bidi="ar-SA"/>
    </w:rPr>
  </w:style>
  <w:style w:type="paragraph" w:styleId="921" w:customStyle="1">
    <w:name w:val="标题 21"/>
    <w:basedOn w:val="733"/>
    <w:next w:val="733"/>
    <w:link w:val="924"/>
    <w:uiPriority w:val="0"/>
    <w:qFormat/>
    <w:pPr>
      <w:keepLines/>
      <w:keepNext/>
      <w:spacing w:before="260" w:after="260" w:line="415" w:lineRule="auto"/>
      <w:outlineLvl w:val="1"/>
    </w:pPr>
    <w:rPr>
      <w:rFonts w:ascii="Calibri Light" w:hAnsi="Calibri Light"/>
      <w:b/>
      <w:bCs/>
      <w:sz w:val="32"/>
      <w:szCs w:val="32"/>
    </w:rPr>
  </w:style>
  <w:style w:type="character" w:styleId="922" w:customStyle="1">
    <w:name w:val="默认段落字体1"/>
    <w:uiPriority w:val="1"/>
    <w:unhideWhenUsed/>
    <w:qFormat/>
  </w:style>
  <w:style w:type="table" w:styleId="923" w:customStyle="1">
    <w:name w:val="普通表格1"/>
    <w:uiPriority w:val="99"/>
    <w:unhideWhenUsed/>
    <w:qFormat/>
    <w:tblPr>
      <w:tblCellMar>
        <w:left w:w="0" w:type="dxa"/>
        <w:top w:w="0" w:type="dxa"/>
        <w:right w:w="0" w:type="dxa"/>
        <w:bottom w:w="0" w:type="dxa"/>
      </w:tblCellMar>
    </w:tblPr>
  </w:style>
  <w:style w:type="character" w:styleId="924" w:customStyle="1">
    <w:name w:val="标题 2 Char"/>
    <w:link w:val="921"/>
    <w:uiPriority w:val="0"/>
    <w:semiHidden/>
    <w:qFormat/>
    <w:rPr>
      <w:rFonts w:ascii="Calibri Light" w:hAnsi="Calibri Light" w:eastAsia="宋体" w:cs="宋体"/>
      <w:b/>
      <w:bCs/>
      <w:sz w:val="32"/>
      <w:szCs w:val="32"/>
    </w:rPr>
  </w:style>
  <w:style w:type="paragraph" w:styleId="925" w:customStyle="1">
    <w:name w:val="正文缩进1"/>
    <w:basedOn w:val="733"/>
    <w:uiPriority w:val="99"/>
    <w:qFormat/>
    <w:pPr>
      <w:ind w:firstLine="420"/>
      <w:jc w:val="left"/>
    </w:pPr>
    <w:rPr>
      <w:rFonts w:ascii="Times New Roman" w:hAnsi="Times New Roman" w:eastAsia="楷体_GB2312"/>
      <w:sz w:val="24"/>
      <w:szCs w:val="20"/>
    </w:rPr>
  </w:style>
  <w:style w:type="paragraph" w:styleId="926" w:customStyle="1">
    <w:name w:val="批注文字1"/>
    <w:basedOn w:val="733"/>
    <w:link w:val="927"/>
    <w:uiPriority w:val="99"/>
    <w:unhideWhenUsed/>
    <w:qFormat/>
    <w:pPr>
      <w:jc w:val="left"/>
    </w:pPr>
  </w:style>
  <w:style w:type="character" w:styleId="927" w:customStyle="1">
    <w:name w:val="批注文字 Char"/>
    <w:link w:val="926"/>
    <w:uiPriority w:val="99"/>
    <w:qFormat/>
    <w:rPr>
      <w:sz w:val="21"/>
      <w:szCs w:val="22"/>
    </w:rPr>
  </w:style>
  <w:style w:type="paragraph" w:styleId="928" w:customStyle="1">
    <w:name w:val="正文文本1"/>
    <w:basedOn w:val="733"/>
    <w:uiPriority w:val="99"/>
    <w:qFormat/>
  </w:style>
  <w:style w:type="character" w:styleId="929" w:customStyle="1">
    <w:name w:val="正文文本缩进 Char"/>
    <w:link w:val="745"/>
    <w:uiPriority w:val="99"/>
    <w:qFormat/>
    <w:rPr>
      <w:rFonts w:ascii="Calibri" w:hAnsi="Calibri" w:eastAsia="宋体" w:cs="Times New Roman"/>
      <w:szCs w:val="24"/>
    </w:rPr>
  </w:style>
  <w:style w:type="paragraph" w:styleId="930" w:customStyle="1">
    <w:name w:val="文本块1"/>
    <w:basedOn w:val="733"/>
    <w:uiPriority w:val="99"/>
    <w:qFormat/>
    <w:pPr>
      <w:ind w:left="630" w:right="-609" w:firstLine="420"/>
      <w:spacing w:line="360" w:lineRule="auto"/>
    </w:pPr>
    <w:rPr>
      <w:rFonts w:hint="eastAsia" w:ascii="仿宋_GB2312" w:hAnsi="Times New Roman" w:eastAsia="仿宋_GB2312"/>
      <w:szCs w:val="20"/>
    </w:rPr>
  </w:style>
  <w:style w:type="paragraph" w:styleId="931" w:customStyle="1">
    <w:name w:val="纯文本11"/>
    <w:basedOn w:val="733"/>
    <w:link w:val="932"/>
    <w:uiPriority w:val="99"/>
    <w:unhideWhenUsed/>
    <w:qFormat/>
    <w:pPr>
      <w:jc w:val="left"/>
      <w:widowControl/>
    </w:pPr>
    <w:rPr>
      <w:rFonts w:ascii="宋体" w:hAnsi="Courier New" w:eastAsia="楷体_GB2312"/>
      <w:sz w:val="26"/>
      <w:szCs w:val="24"/>
    </w:rPr>
  </w:style>
  <w:style w:type="character" w:styleId="932" w:customStyle="1">
    <w:name w:val="纯文本 Char"/>
    <w:link w:val="931"/>
    <w:uiPriority w:val="99"/>
    <w:qFormat/>
    <w:rPr>
      <w:rFonts w:ascii="宋体" w:hAnsi="Courier New" w:eastAsia="楷体_GB2312"/>
      <w:sz w:val="26"/>
      <w:szCs w:val="24"/>
    </w:rPr>
  </w:style>
  <w:style w:type="paragraph" w:styleId="933" w:customStyle="1">
    <w:name w:val="批注框文本1"/>
    <w:basedOn w:val="733"/>
    <w:link w:val="934"/>
    <w:uiPriority w:val="99"/>
    <w:unhideWhenUsed/>
    <w:qFormat/>
    <w:rPr>
      <w:sz w:val="18"/>
      <w:szCs w:val="18"/>
    </w:rPr>
  </w:style>
  <w:style w:type="character" w:styleId="934" w:customStyle="1">
    <w:name w:val="批注框文本 Char"/>
    <w:link w:val="933"/>
    <w:uiPriority w:val="99"/>
    <w:semiHidden/>
    <w:qFormat/>
    <w:rPr>
      <w:sz w:val="18"/>
      <w:szCs w:val="18"/>
    </w:rPr>
  </w:style>
  <w:style w:type="paragraph" w:styleId="935" w:customStyle="1">
    <w:name w:val="页脚1"/>
    <w:basedOn w:val="733"/>
    <w:link w:val="936"/>
    <w:uiPriority w:val="99"/>
    <w:unhideWhenUsed/>
    <w:qFormat/>
    <w:pPr>
      <w:jc w:val="left"/>
      <w:tabs>
        <w:tab w:val="center" w:pos="4153" w:leader="none"/>
        <w:tab w:val="right" w:pos="8306" w:leader="none"/>
      </w:tabs>
    </w:pPr>
    <w:rPr>
      <w:rFonts w:eastAsia="楷体_GB2312"/>
      <w:sz w:val="18"/>
      <w:szCs w:val="24"/>
    </w:rPr>
  </w:style>
  <w:style w:type="character" w:styleId="936" w:customStyle="1">
    <w:name w:val="页脚 Char"/>
    <w:link w:val="935"/>
    <w:uiPriority w:val="99"/>
    <w:qFormat/>
    <w:rPr>
      <w:rFonts w:eastAsia="楷体_GB2312"/>
      <w:sz w:val="18"/>
      <w:szCs w:val="24"/>
    </w:rPr>
  </w:style>
  <w:style w:type="paragraph" w:styleId="937" w:customStyle="1">
    <w:name w:val="页眉1"/>
    <w:basedOn w:val="733"/>
    <w:link w:val="938"/>
    <w:uiPriority w:val="99"/>
    <w:unhideWhenUsed/>
    <w:qFormat/>
    <w:pPr>
      <w:jc w:val="center"/>
      <w:tabs>
        <w:tab w:val="center" w:pos="4153" w:leader="none"/>
        <w:tab w:val="right" w:pos="8306" w:leader="none"/>
      </w:tabs>
    </w:pPr>
    <w:rPr>
      <w:rFonts w:eastAsia="楷体_GB2312"/>
      <w:sz w:val="18"/>
      <w:szCs w:val="24"/>
    </w:rPr>
  </w:style>
  <w:style w:type="character" w:styleId="938" w:customStyle="1">
    <w:name w:val="页眉 Char"/>
    <w:link w:val="937"/>
    <w:uiPriority w:val="99"/>
    <w:qFormat/>
    <w:rPr>
      <w:rFonts w:eastAsia="楷体_GB2312"/>
      <w:sz w:val="18"/>
      <w:szCs w:val="24"/>
    </w:rPr>
  </w:style>
  <w:style w:type="paragraph" w:styleId="939" w:customStyle="1">
    <w:name w:val="目录 11"/>
    <w:basedOn w:val="733"/>
    <w:next w:val="733"/>
    <w:uiPriority w:val="0"/>
    <w:qFormat/>
    <w:pPr>
      <w:jc w:val="left"/>
    </w:pPr>
    <w:rPr>
      <w:rFonts w:ascii="Times New Roman" w:hAnsi="Times New Roman" w:eastAsia="楷体_GB2312"/>
      <w:sz w:val="24"/>
      <w:szCs w:val="20"/>
    </w:rPr>
  </w:style>
  <w:style w:type="paragraph" w:styleId="940" w:customStyle="1">
    <w:name w:val="正文文本缩进 31"/>
    <w:basedOn w:val="733"/>
    <w:link w:val="941"/>
    <w:uiPriority w:val="0"/>
    <w:qFormat/>
    <w:pPr>
      <w:ind w:firstLine="480"/>
      <w:jc w:val="left"/>
      <w:spacing w:line="440" w:lineRule="atLeast"/>
    </w:pPr>
    <w:rPr>
      <w:rFonts w:ascii="Times New Roman" w:hAnsi="Times New Roman"/>
      <w:sz w:val="24"/>
      <w:szCs w:val="24"/>
    </w:rPr>
  </w:style>
  <w:style w:type="character" w:styleId="941" w:customStyle="1">
    <w:name w:val="正文文本缩进 3 Char"/>
    <w:link w:val="940"/>
    <w:uiPriority w:val="0"/>
    <w:qFormat/>
    <w:rPr>
      <w:rFonts w:ascii="Times New Roman" w:hAnsi="Times New Roman" w:eastAsia="宋体" w:cs="Times New Roman"/>
      <w:sz w:val="24"/>
      <w:szCs w:val="24"/>
    </w:rPr>
  </w:style>
  <w:style w:type="paragraph" w:styleId="942" w:customStyle="1">
    <w:name w:val="普通(网站)1"/>
    <w:basedOn w:val="733"/>
    <w:uiPriority w:val="99"/>
    <w:unhideWhenUsed/>
    <w:qFormat/>
    <w:pPr>
      <w:jc w:val="left"/>
      <w:spacing w:before="100" w:beforeAutospacing="1" w:after="100" w:afterAutospacing="1"/>
      <w:widowControl/>
    </w:pPr>
    <w:rPr>
      <w:rFonts w:ascii="宋体" w:hAnsi="宋体"/>
      <w:sz w:val="24"/>
      <w:szCs w:val="24"/>
    </w:rPr>
  </w:style>
  <w:style w:type="paragraph" w:styleId="943" w:customStyle="1">
    <w:name w:val="批注主题1"/>
    <w:basedOn w:val="926"/>
    <w:next w:val="926"/>
    <w:link w:val="944"/>
    <w:uiPriority w:val="99"/>
    <w:unhideWhenUsed/>
    <w:qFormat/>
    <w:rPr>
      <w:b/>
      <w:bCs/>
    </w:rPr>
  </w:style>
  <w:style w:type="character" w:styleId="944" w:customStyle="1">
    <w:name w:val="批注主题 Char"/>
    <w:link w:val="943"/>
    <w:uiPriority w:val="99"/>
    <w:semiHidden/>
    <w:qFormat/>
    <w:rPr>
      <w:b/>
      <w:bCs/>
      <w:sz w:val="21"/>
      <w:szCs w:val="22"/>
    </w:rPr>
  </w:style>
  <w:style w:type="paragraph" w:styleId="945" w:customStyle="1">
    <w:name w:val="正文首行缩进 21"/>
    <w:basedOn w:val="745"/>
    <w:link w:val="946"/>
    <w:uiPriority w:val="99"/>
    <w:unhideWhenUsed/>
    <w:qFormat/>
    <w:pPr>
      <w:ind w:left="420" w:firstLine="420"/>
      <w:spacing w:after="120" w:line="240" w:lineRule="auto"/>
    </w:pPr>
  </w:style>
  <w:style w:type="character" w:styleId="946" w:customStyle="1">
    <w:name w:val="正文首行缩进 2 Char"/>
    <w:link w:val="945"/>
    <w:uiPriority w:val="99"/>
    <w:qFormat/>
  </w:style>
  <w:style w:type="character" w:styleId="947" w:customStyle="1">
    <w:name w:val="要点1"/>
    <w:uiPriority w:val="0"/>
    <w:qFormat/>
    <w:rPr>
      <w:b/>
    </w:rPr>
  </w:style>
  <w:style w:type="character" w:styleId="948" w:customStyle="1">
    <w:name w:val="页码1"/>
    <w:uiPriority w:val="0"/>
    <w:unhideWhenUsed/>
    <w:qFormat/>
  </w:style>
  <w:style w:type="character" w:styleId="949" w:customStyle="1">
    <w:name w:val="已访问的超链接1"/>
    <w:uiPriority w:val="99"/>
    <w:unhideWhenUsed/>
    <w:qFormat/>
    <w:rPr>
      <w:color w:val="800080"/>
      <w:u w:val="single"/>
    </w:rPr>
  </w:style>
  <w:style w:type="character" w:styleId="950" w:customStyle="1">
    <w:name w:val="超链接1"/>
    <w:uiPriority w:val="99"/>
    <w:unhideWhenUsed/>
    <w:qFormat/>
    <w:rPr>
      <w:color w:val="0000ff"/>
      <w:u w:val="single"/>
    </w:rPr>
  </w:style>
  <w:style w:type="character" w:styleId="951" w:customStyle="1">
    <w:name w:val="批注引用1"/>
    <w:uiPriority w:val="99"/>
    <w:unhideWhenUsed/>
    <w:qFormat/>
    <w:rPr>
      <w:sz w:val="21"/>
      <w:szCs w:val="21"/>
    </w:rPr>
  </w:style>
  <w:style w:type="paragraph" w:styleId="952" w:customStyle="1">
    <w:name w:val="首行缩进"/>
    <w:basedOn w:val="733"/>
    <w:uiPriority w:val="0"/>
    <w:qFormat/>
    <w:pPr>
      <w:ind w:firstLine="480"/>
    </w:pPr>
    <w:rPr>
      <w:lang w:val="zh-CN"/>
    </w:rPr>
  </w:style>
  <w:style w:type="paragraph" w:styleId="953" w:customStyle="1">
    <w:name w:val="Plain Text1"/>
    <w:basedOn w:val="733"/>
    <w:uiPriority w:val="99"/>
    <w:qFormat/>
    <w:rPr>
      <w:rFonts w:ascii="宋体" w:hAnsi="Courier New" w:eastAsia="楷体_GB2312"/>
      <w:sz w:val="26"/>
      <w:szCs w:val="24"/>
    </w:rPr>
  </w:style>
  <w:style w:type="character" w:styleId="954" w:customStyle="1">
    <w:name w:val="页眉 Char1"/>
    <w:uiPriority w:val="99"/>
    <w:semiHidden/>
    <w:qFormat/>
    <w:rPr>
      <w:sz w:val="18"/>
      <w:szCs w:val="18"/>
    </w:rPr>
  </w:style>
  <w:style w:type="character" w:styleId="955" w:customStyle="1">
    <w:name w:val="页脚 Char1"/>
    <w:uiPriority w:val="99"/>
    <w:semiHidden/>
    <w:qFormat/>
    <w:rPr>
      <w:sz w:val="18"/>
      <w:szCs w:val="18"/>
    </w:rPr>
  </w:style>
  <w:style w:type="character" w:styleId="956" w:customStyle="1">
    <w:name w:val="纯文本 Char1"/>
    <w:uiPriority w:val="99"/>
    <w:semiHidden/>
    <w:qFormat/>
    <w:rPr>
      <w:rFonts w:ascii="宋体" w:hAnsi="Courier New" w:eastAsia="宋体" w:cs="Courier New"/>
      <w:szCs w:val="21"/>
    </w:rPr>
  </w:style>
  <w:style w:type="paragraph" w:styleId="957" w:customStyle="1">
    <w:name w:val="修订1"/>
    <w:uiPriority w:val="99"/>
    <w:semiHidden/>
    <w:qFormat/>
    <w:rPr>
      <w:rFonts w:ascii="Calibri" w:hAnsi="Calibri" w:eastAsia="宋体" w:cs="Times New Roman"/>
      <w:sz w:val="21"/>
      <w:szCs w:val="22"/>
      <w:lang w:val="en-US" w:eastAsia="zh-CN" w:bidi="ar-SA"/>
    </w:rPr>
  </w:style>
  <w:style w:type="paragraph" w:styleId="958" w:customStyle="1">
    <w:name w:val="msonormal"/>
    <w:basedOn w:val="733"/>
    <w:uiPriority w:val="0"/>
    <w:qFormat/>
    <w:pPr>
      <w:jc w:val="left"/>
      <w:spacing w:before="100" w:beforeAutospacing="1" w:after="100" w:afterAutospacing="1"/>
      <w:widowControl/>
    </w:pPr>
    <w:rPr>
      <w:rFonts w:ascii="宋体" w:hAnsi="宋体" w:cs="宋体"/>
      <w:sz w:val="24"/>
      <w:szCs w:val="24"/>
    </w:rPr>
  </w:style>
  <w:style w:type="paragraph" w:styleId="959" w:customStyle="1">
    <w:name w:val="font5"/>
    <w:basedOn w:val="733"/>
    <w:uiPriority w:val="0"/>
    <w:qFormat/>
    <w:pPr>
      <w:jc w:val="left"/>
      <w:spacing w:before="100" w:beforeAutospacing="1" w:after="100" w:afterAutospacing="1"/>
      <w:widowControl/>
    </w:pPr>
    <w:rPr>
      <w:rFonts w:ascii="宋体" w:hAnsi="宋体" w:cs="宋体"/>
      <w:sz w:val="18"/>
      <w:szCs w:val="18"/>
    </w:rPr>
  </w:style>
  <w:style w:type="paragraph" w:styleId="960" w:customStyle="1">
    <w:name w:val="font6"/>
    <w:basedOn w:val="733"/>
    <w:uiPriority w:val="0"/>
    <w:qFormat/>
    <w:pPr>
      <w:jc w:val="left"/>
      <w:spacing w:before="100" w:beforeAutospacing="1" w:after="100" w:afterAutospacing="1"/>
      <w:widowControl/>
    </w:pPr>
    <w:rPr>
      <w:rFonts w:ascii="Times New Roman" w:hAnsi="Times New Roman"/>
      <w:sz w:val="20"/>
      <w:szCs w:val="20"/>
    </w:rPr>
  </w:style>
  <w:style w:type="paragraph" w:styleId="961" w:customStyle="1">
    <w:name w:val="font7"/>
    <w:basedOn w:val="733"/>
    <w:uiPriority w:val="0"/>
    <w:qFormat/>
    <w:pPr>
      <w:jc w:val="left"/>
      <w:spacing w:before="100" w:beforeAutospacing="1" w:after="100" w:afterAutospacing="1"/>
      <w:widowControl/>
    </w:pPr>
    <w:rPr>
      <w:rFonts w:ascii="Times New Roman" w:hAnsi="Times New Roman"/>
      <w:color w:val="000000"/>
      <w:sz w:val="20"/>
      <w:szCs w:val="20"/>
    </w:rPr>
  </w:style>
  <w:style w:type="paragraph" w:styleId="962" w:customStyle="1">
    <w:name w:val="font8"/>
    <w:basedOn w:val="733"/>
    <w:uiPriority w:val="0"/>
    <w:qFormat/>
    <w:pPr>
      <w:jc w:val="left"/>
      <w:spacing w:before="100" w:beforeAutospacing="1" w:after="100" w:afterAutospacing="1"/>
      <w:widowControl/>
    </w:pPr>
    <w:rPr>
      <w:rFonts w:ascii="宋体" w:hAnsi="宋体" w:cs="宋体"/>
      <w:sz w:val="20"/>
      <w:szCs w:val="20"/>
    </w:rPr>
  </w:style>
  <w:style w:type="paragraph" w:styleId="963" w:customStyle="1">
    <w:name w:val="font9"/>
    <w:basedOn w:val="733"/>
    <w:uiPriority w:val="0"/>
    <w:qFormat/>
    <w:pPr>
      <w:jc w:val="left"/>
      <w:spacing w:before="100" w:beforeAutospacing="1" w:after="100" w:afterAutospacing="1"/>
      <w:widowControl/>
    </w:pPr>
    <w:rPr>
      <w:rFonts w:ascii="宋体" w:hAnsi="宋体" w:cs="宋体"/>
      <w:color w:val="000000"/>
      <w:sz w:val="20"/>
      <w:szCs w:val="20"/>
    </w:rPr>
  </w:style>
  <w:style w:type="paragraph" w:styleId="964" w:customStyle="1">
    <w:name w:val="font10"/>
    <w:basedOn w:val="733"/>
    <w:uiPriority w:val="0"/>
    <w:qFormat/>
    <w:pPr>
      <w:jc w:val="left"/>
      <w:spacing w:before="100" w:beforeAutospacing="1" w:after="100" w:afterAutospacing="1"/>
      <w:widowControl/>
    </w:pPr>
    <w:rPr>
      <w:rFonts w:ascii="宋体" w:hAnsi="宋体" w:cs="宋体"/>
      <w:color w:val="000000"/>
      <w:sz w:val="20"/>
      <w:szCs w:val="20"/>
    </w:rPr>
  </w:style>
  <w:style w:type="paragraph" w:styleId="965" w:customStyle="1">
    <w:name w:val="font11"/>
    <w:basedOn w:val="733"/>
    <w:uiPriority w:val="0"/>
    <w:qFormat/>
    <w:pPr>
      <w:jc w:val="left"/>
      <w:spacing w:before="100" w:beforeAutospacing="1" w:after="100" w:afterAutospacing="1"/>
      <w:widowControl/>
    </w:pPr>
    <w:rPr>
      <w:rFonts w:ascii="宋体" w:hAnsi="宋体" w:cs="宋体"/>
      <w:b/>
      <w:bCs/>
      <w:color w:val="000000"/>
      <w:sz w:val="20"/>
      <w:szCs w:val="20"/>
    </w:rPr>
  </w:style>
  <w:style w:type="paragraph" w:styleId="966" w:customStyle="1">
    <w:name w:val="font12"/>
    <w:basedOn w:val="733"/>
    <w:uiPriority w:val="0"/>
    <w:qFormat/>
    <w:pPr>
      <w:jc w:val="left"/>
      <w:spacing w:before="100" w:beforeAutospacing="1" w:after="100" w:afterAutospacing="1"/>
      <w:widowControl/>
    </w:pPr>
    <w:rPr>
      <w:rFonts w:ascii="宋体" w:hAnsi="宋体" w:cs="宋体"/>
      <w:b/>
      <w:bCs/>
      <w:sz w:val="20"/>
      <w:szCs w:val="20"/>
    </w:rPr>
  </w:style>
  <w:style w:type="paragraph" w:styleId="967" w:customStyle="1">
    <w:name w:val="font13"/>
    <w:basedOn w:val="733"/>
    <w:uiPriority w:val="0"/>
    <w:qFormat/>
    <w:pPr>
      <w:jc w:val="left"/>
      <w:spacing w:before="100" w:beforeAutospacing="1" w:after="100" w:afterAutospacing="1"/>
      <w:widowControl/>
    </w:pPr>
    <w:rPr>
      <w:rFonts w:ascii="Times New Roman" w:hAnsi="Times New Roman"/>
      <w:color w:val="000000"/>
      <w:sz w:val="20"/>
      <w:szCs w:val="20"/>
    </w:rPr>
  </w:style>
  <w:style w:type="paragraph" w:styleId="968" w:customStyle="1">
    <w:name w:val="font14"/>
    <w:basedOn w:val="733"/>
    <w:uiPriority w:val="0"/>
    <w:qFormat/>
    <w:pPr>
      <w:jc w:val="left"/>
      <w:spacing w:before="100" w:beforeAutospacing="1" w:after="100" w:afterAutospacing="1"/>
      <w:widowControl/>
    </w:pPr>
    <w:rPr>
      <w:rFonts w:ascii="Times New Roman" w:hAnsi="Times New Roman"/>
      <w:color w:val="000000"/>
      <w:sz w:val="20"/>
      <w:szCs w:val="20"/>
    </w:rPr>
  </w:style>
  <w:style w:type="paragraph" w:styleId="969" w:customStyle="1">
    <w:name w:val="font15"/>
    <w:basedOn w:val="733"/>
    <w:uiPriority w:val="0"/>
    <w:qFormat/>
    <w:pPr>
      <w:jc w:val="left"/>
      <w:spacing w:before="100" w:beforeAutospacing="1" w:after="100" w:afterAutospacing="1"/>
      <w:widowControl/>
    </w:pPr>
    <w:rPr>
      <w:rFonts w:ascii="宋体" w:hAnsi="宋体" w:cs="宋体"/>
      <w:sz w:val="20"/>
      <w:szCs w:val="20"/>
    </w:rPr>
  </w:style>
  <w:style w:type="paragraph" w:styleId="970" w:customStyle="1">
    <w:name w:val="font16"/>
    <w:basedOn w:val="733"/>
    <w:uiPriority w:val="0"/>
    <w:qFormat/>
    <w:pPr>
      <w:jc w:val="left"/>
      <w:spacing w:before="100" w:beforeAutospacing="1" w:after="100" w:afterAutospacing="1"/>
      <w:widowControl/>
    </w:pPr>
    <w:rPr>
      <w:rFonts w:ascii="宋体" w:hAnsi="宋体" w:cs="宋体"/>
      <w:color w:val="000000"/>
      <w:sz w:val="20"/>
      <w:szCs w:val="20"/>
    </w:rPr>
  </w:style>
  <w:style w:type="paragraph" w:styleId="971" w:customStyle="1">
    <w:name w:val="xl7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2" w:customStyle="1">
    <w:name w:val="xl7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3" w:customStyle="1">
    <w:name w:val="xl7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74" w:customStyle="1">
    <w:name w:val="xl7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75" w:customStyle="1">
    <w:name w:val="xl7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6" w:customStyle="1">
    <w:name w:val="xl79"/>
    <w:basedOn w:val="733"/>
    <w:uiPriority w:val="0"/>
    <w:qFormat/>
    <w:pPr>
      <w:jc w:val="left"/>
      <w:spacing w:before="100" w:beforeAutospacing="1" w:after="100" w:afterAutospacing="1"/>
      <w:widowControl/>
    </w:pPr>
    <w:rPr>
      <w:rFonts w:ascii="Times New Roman" w:hAnsi="Times New Roman"/>
      <w:sz w:val="20"/>
      <w:szCs w:val="20"/>
    </w:rPr>
  </w:style>
  <w:style w:type="paragraph" w:styleId="977" w:customStyle="1">
    <w:name w:val="xl80"/>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8" w:customStyle="1">
    <w:name w:val="xl8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9" w:customStyle="1">
    <w:name w:val="xl82"/>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0" w:customStyle="1">
    <w:name w:val="xl83"/>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1" w:customStyle="1">
    <w:name w:val="xl8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2" w:customStyle="1">
    <w:name w:val="xl8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xl86"/>
    <w:basedOn w:val="733"/>
    <w:uiPriority w:val="0"/>
    <w:qFormat/>
    <w:pPr>
      <w:jc w:val="center"/>
      <w:spacing w:before="100" w:beforeAutospacing="1" w:after="100" w:afterAutospacing="1"/>
      <w:widowControl/>
    </w:pPr>
    <w:rPr>
      <w:rFonts w:ascii="Times New Roman" w:hAnsi="Times New Roman"/>
      <w:sz w:val="20"/>
      <w:szCs w:val="20"/>
    </w:rPr>
  </w:style>
  <w:style w:type="paragraph" w:styleId="984" w:customStyle="1">
    <w:name w:val="xl87"/>
    <w:basedOn w:val="733"/>
    <w:uiPriority w:val="0"/>
    <w:qFormat/>
    <w:pPr>
      <w:jc w:val="center"/>
      <w:spacing w:before="100" w:beforeAutospacing="1" w:after="100" w:afterAutospacing="1"/>
      <w:widowControl/>
    </w:pPr>
    <w:rPr>
      <w:rFonts w:ascii="Times New Roman" w:hAnsi="Times New Roman"/>
      <w:sz w:val="20"/>
      <w:szCs w:val="20"/>
    </w:rPr>
  </w:style>
  <w:style w:type="paragraph" w:styleId="985" w:customStyle="1">
    <w:name w:val="xl8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6" w:customStyle="1">
    <w:name w:val="xl89"/>
    <w:basedOn w:val="733"/>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7" w:customStyle="1">
    <w:name w:val="xl90"/>
    <w:basedOn w:val="733"/>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8" w:customStyle="1">
    <w:name w:val="xl9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9" w:customStyle="1">
    <w:name w:val="font17"/>
    <w:basedOn w:val="733"/>
    <w:uiPriority w:val="0"/>
    <w:qFormat/>
    <w:pPr>
      <w:jc w:val="left"/>
      <w:spacing w:before="100" w:beforeAutospacing="1" w:after="100" w:afterAutospacing="1"/>
      <w:widowControl/>
    </w:pPr>
    <w:rPr>
      <w:rFonts w:ascii="宋体" w:hAnsi="宋体" w:cs="宋体"/>
      <w:sz w:val="18"/>
      <w:szCs w:val="18"/>
    </w:rPr>
  </w:style>
  <w:style w:type="paragraph" w:styleId="990" w:customStyle="1">
    <w:name w:val="xl9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1" w:customStyle="1">
    <w:name w:val="xl9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2" w:customStyle="1">
    <w:name w:val="xl9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3" w:customStyle="1">
    <w:name w:val="xl95"/>
    <w:basedOn w:val="733"/>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4" w:customStyle="1">
    <w:name w:val="font18"/>
    <w:basedOn w:val="733"/>
    <w:uiPriority w:val="0"/>
    <w:qFormat/>
    <w:pPr>
      <w:jc w:val="left"/>
      <w:spacing w:before="100" w:beforeAutospacing="1" w:after="100" w:afterAutospacing="1"/>
      <w:widowControl/>
    </w:pPr>
    <w:rPr>
      <w:rFonts w:ascii="新宋体" w:hAnsi="新宋体" w:eastAsia="新宋体" w:cs="宋体"/>
      <w:sz w:val="20"/>
      <w:szCs w:val="20"/>
    </w:rPr>
  </w:style>
  <w:style w:type="paragraph" w:styleId="995" w:customStyle="1">
    <w:name w:val="font19"/>
    <w:basedOn w:val="733"/>
    <w:uiPriority w:val="0"/>
    <w:qFormat/>
    <w:pPr>
      <w:jc w:val="left"/>
      <w:spacing w:before="100" w:beforeAutospacing="1" w:after="100" w:afterAutospacing="1"/>
      <w:widowControl/>
    </w:pPr>
    <w:rPr>
      <w:rFonts w:ascii="Times New Roman" w:hAnsi="Times New Roman"/>
      <w:color w:val="000000"/>
      <w:sz w:val="20"/>
      <w:szCs w:val="20"/>
    </w:rPr>
  </w:style>
  <w:style w:type="paragraph" w:styleId="996" w:customStyle="1">
    <w:name w:val="font20"/>
    <w:basedOn w:val="733"/>
    <w:uiPriority w:val="0"/>
    <w:qFormat/>
    <w:pPr>
      <w:jc w:val="left"/>
      <w:spacing w:before="100" w:beforeAutospacing="1" w:after="100" w:afterAutospacing="1"/>
      <w:widowControl/>
    </w:pPr>
    <w:rPr>
      <w:rFonts w:ascii="宋体" w:hAnsi="宋体" w:cs="宋体"/>
      <w:sz w:val="20"/>
      <w:szCs w:val="20"/>
    </w:rPr>
  </w:style>
  <w:style w:type="paragraph" w:styleId="997" w:customStyle="1">
    <w:name w:val="font21"/>
    <w:basedOn w:val="733"/>
    <w:uiPriority w:val="0"/>
    <w:qFormat/>
    <w:pPr>
      <w:jc w:val="left"/>
      <w:spacing w:before="100" w:beforeAutospacing="1" w:after="100" w:afterAutospacing="1"/>
      <w:widowControl/>
    </w:pPr>
    <w:rPr>
      <w:rFonts w:ascii="宋体" w:hAnsi="宋体" w:cs="宋体"/>
      <w:color w:val="000000"/>
      <w:sz w:val="20"/>
      <w:szCs w:val="20"/>
    </w:rPr>
  </w:style>
  <w:style w:type="paragraph" w:styleId="998" w:customStyle="1">
    <w:name w:val="font22"/>
    <w:basedOn w:val="733"/>
    <w:uiPriority w:val="0"/>
    <w:qFormat/>
    <w:pPr>
      <w:jc w:val="left"/>
      <w:spacing w:before="100" w:beforeAutospacing="1" w:after="100" w:afterAutospacing="1"/>
      <w:widowControl/>
    </w:pPr>
    <w:rPr>
      <w:rFonts w:ascii="宋体" w:hAnsi="宋体" w:cs="宋体"/>
      <w:sz w:val="20"/>
      <w:szCs w:val="20"/>
    </w:rPr>
  </w:style>
  <w:style w:type="paragraph" w:styleId="999" w:customStyle="1">
    <w:name w:val="xl9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0" w:customStyle="1">
    <w:name w:val="xl9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1" w:customStyle="1">
    <w:name w:val="xl9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2" w:customStyle="1">
    <w:name w:val="xl9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3" w:customStyle="1">
    <w:name w:val="xl100"/>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4" w:customStyle="1">
    <w:name w:val="xl101"/>
    <w:basedOn w:val="733"/>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1005" w:customStyle="1">
    <w:name w:val="xl102"/>
    <w:basedOn w:val="733"/>
    <w:uiPriority w:val="0"/>
    <w:qFormat/>
    <w:pPr>
      <w:jc w:val="left"/>
      <w:spacing w:before="100" w:beforeAutospacing="1" w:after="100" w:afterAutospacing="1"/>
      <w:widowControl/>
    </w:pPr>
    <w:rPr>
      <w:rFonts w:ascii="Times New Roman" w:hAnsi="Times New Roman"/>
      <w:sz w:val="20"/>
      <w:szCs w:val="20"/>
    </w:rPr>
  </w:style>
  <w:style w:type="paragraph" w:styleId="1006" w:customStyle="1">
    <w:name w:val="xl10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7" w:customStyle="1">
    <w:name w:val="xl104"/>
    <w:basedOn w:val="733"/>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8" w:customStyle="1">
    <w:name w:val="xl105"/>
    <w:basedOn w:val="733"/>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1009" w:customStyle="1">
    <w:name w:val="页眉 字符1"/>
    <w:uiPriority w:val="99"/>
    <w:qFormat/>
    <w:rPr>
      <w:rFonts w:ascii="Calibri" w:hAnsi="Calibri" w:eastAsia="楷体_GB2312" w:cs="Times New Roman"/>
      <w:sz w:val="18"/>
      <w:szCs w:val="20"/>
    </w:rPr>
  </w:style>
  <w:style w:type="character" w:styleId="1010" w:customStyle="1">
    <w:name w:val="apple-converted-space"/>
    <w:uiPriority w:val="0"/>
    <w:qFormat/>
  </w:style>
  <w:style w:type="paragraph" w:styleId="1011" w:customStyle="1">
    <w:name w:val="xl65"/>
    <w:basedOn w:val="733"/>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1012" w:customStyle="1">
    <w:name w:val="xl66"/>
    <w:basedOn w:val="733"/>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1013" w:customStyle="1">
    <w:name w:val="xl67"/>
    <w:basedOn w:val="733"/>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1014" w:customStyle="1">
    <w:name w:val="xl68"/>
    <w:basedOn w:val="733"/>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15" w:customStyle="1">
    <w:name w:val="xl69"/>
    <w:basedOn w:val="733"/>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016" w:customStyle="1">
    <w:name w:val="xl70"/>
    <w:basedOn w:val="733"/>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17" w:customStyle="1">
    <w:name w:val="xl71"/>
    <w:basedOn w:val="733"/>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1018" w:customStyle="1">
    <w:name w:val="xl72"/>
    <w:basedOn w:val="733"/>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1019" w:customStyle="1">
    <w:name w:val="xl73"/>
    <w:basedOn w:val="733"/>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1020" w:customStyle="1">
    <w:name w:val="Plain Text Char"/>
    <w:link w:val="1021"/>
    <w:uiPriority w:val="0"/>
    <w:qFormat/>
    <w:rPr>
      <w:rFonts w:ascii="宋体" w:hAnsi="宋体"/>
      <w:sz w:val="21"/>
      <w:szCs w:val="21"/>
    </w:rPr>
  </w:style>
  <w:style w:type="paragraph" w:styleId="1021" w:customStyle="1">
    <w:name w:val="纯文本1"/>
    <w:basedOn w:val="733"/>
    <w:link w:val="1020"/>
    <w:uiPriority w:val="0"/>
    <w:qFormat/>
    <w:pPr>
      <w:ind w:firstLine="420"/>
      <w:jc w:val="left"/>
      <w:spacing w:line="360" w:lineRule="auto"/>
      <w:widowControl/>
    </w:pPr>
    <w:rPr>
      <w:rFonts w:ascii="宋体" w:hAnsi="宋体"/>
      <w:szCs w:val="21"/>
    </w:rPr>
  </w:style>
  <w:style w:type="character" w:styleId="1022" w:customStyle="1">
    <w:name w:val="grame"/>
    <w:uiPriority w:val="0"/>
    <w:qFormat/>
  </w:style>
  <w:style w:type="paragraph" w:styleId="1023" w:customStyle="1">
    <w:name w:val="注×："/>
    <w:uiPriority w:val="0"/>
    <w:qFormat/>
    <w:pPr>
      <w:numPr>
        <w:ilvl w:val="0"/>
        <w:numId w:val="1"/>
      </w:num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024" w:customStyle="1">
    <w:name w:val="_Style 8"/>
    <w:basedOn w:val="733"/>
    <w:next w:val="1025"/>
    <w:uiPriority w:val="34"/>
    <w:qFormat/>
    <w:pPr>
      <w:ind w:firstLine="420"/>
    </w:pPr>
  </w:style>
  <w:style w:type="paragraph" w:styleId="1025" w:customStyle="1">
    <w:name w:val="列出段落"/>
    <w:basedOn w:val="733"/>
    <w:uiPriority w:val="34"/>
    <w:qFormat/>
    <w:pPr>
      <w:ind w:firstLine="420"/>
    </w:pPr>
  </w:style>
  <w:style w:type="paragraph" w:styleId="1026" w:customStyle="1">
    <w:name w:val="正文文本11"/>
    <w:basedOn w:val="733"/>
    <w:link w:val="1027"/>
    <w:uiPriority w:val="0"/>
    <w:qFormat/>
    <w:pPr>
      <w:jc w:val="left"/>
      <w:widowControl/>
    </w:pPr>
    <w:rPr>
      <w:rFonts w:ascii="Times New Roman" w:hAnsi="Times New Roman"/>
      <w:sz w:val="24"/>
      <w:szCs w:val="20"/>
    </w:rPr>
  </w:style>
  <w:style w:type="character" w:styleId="1027" w:customStyle="1">
    <w:name w:val="正文文本 字符"/>
    <w:link w:val="1026"/>
    <w:uiPriority w:val="0"/>
    <w:qFormat/>
    <w:rPr>
      <w:rFonts w:ascii="Times New Roman" w:hAnsi="Times New Roman"/>
      <w:sz w:val="24"/>
    </w:rPr>
  </w:style>
  <w:style w:type="paragraph" w:styleId="1028" w:customStyle="1">
    <w:name w:val="纯文本2"/>
    <w:basedOn w:val="733"/>
    <w:uiPriority w:val="0"/>
    <w:qFormat/>
    <w:pPr>
      <w:jc w:val="left"/>
      <w:widowControl/>
    </w:pPr>
    <w:rPr>
      <w:rFonts w:hint="eastAsia" w:ascii="宋体" w:hAnsi="Courier New" w:eastAsia="楷体_GB2312" w:cs="宋体"/>
      <w:sz w:val="26"/>
    </w:rPr>
  </w:style>
  <w:style w:type="paragraph" w:styleId="1029" w:customStyle="1">
    <w:name w:val="表正文"/>
    <w:basedOn w:val="733"/>
    <w:uiPriority w:val="0"/>
    <w:qFormat/>
    <w:pPr>
      <w:jc w:val="left"/>
    </w:pPr>
    <w:rPr>
      <w:rFonts w:ascii="Arial" w:hAnsi="Arial"/>
      <w:sz w:val="24"/>
      <w:szCs w:val="21"/>
    </w:rPr>
  </w:style>
  <w:style w:type="character" w:styleId="1030" w:customStyle="1">
    <w:name w:val="font31"/>
    <w:basedOn w:val="743"/>
    <w:uiPriority w:val="0"/>
    <w:qFormat/>
    <w:rPr>
      <w:rFonts w:hint="eastAsia" w:ascii="宋体" w:hAnsi="宋体" w:eastAsia="宋体" w:cs="宋体"/>
      <w:color w:val="000000"/>
      <w:sz w:val="20"/>
      <w:szCs w:val="20"/>
      <w:u w:val="none"/>
    </w:rPr>
  </w:style>
  <w:style w:type="character" w:styleId="1031" w:customStyle="1">
    <w:name w:val="font41"/>
    <w:basedOn w:val="743"/>
    <w:uiPriority w:val="0"/>
    <w:qFormat/>
    <w:rPr>
      <w:rFonts w:ascii="Arial" w:hAnsi="Arial" w:cs="Arial"/>
      <w:color w:val="000000"/>
      <w:sz w:val="20"/>
      <w:szCs w:val="20"/>
      <w:u w:val="none"/>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f9f71a19-2140-4757-8156-d56c5c41816e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3487BF70</paraID>
      <start>0</start>
      <end>2</end>
      <status>unmodified</status>
      <modifiedWord/>
      <trackRevisions>false</trackRevisions>
    </reviewItem>
    <reviewItem>
      <errorID>eb22436a-b731-456a-8bcf-683e7259d51a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55781391</paraID>
      <start>0</start>
      <end>2</end>
      <status>unmodified</status>
      <modifiedWord/>
      <trackRevisions>false</trackRevisions>
    </reviewItem>
    <reviewItem>
      <errorID>94da924c-4609-4ca3-bd74-4fab00e05f58</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3c22d318-1967-40e9-bca6-017192f92314</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9de9a4da-19b4-403e-b2cf-b7f42ac0fc2a</errorID>
      <errorWord>万</errorWord>
      <group>L1_Word</group>
      <groupName>字词问题</groupName>
      <ability>L2_Typo</ability>
      <abilityName>字词错误</abilityName>
      <candidateList>
        <item>万元</item>
      </candidateList>
      <explain/>
      <paraID>4147AC5D</paraID>
      <start>8</start>
      <end>9</end>
      <status>unmodified</status>
      <modifiedWord/>
      <trackRevisions>false</trackRevisions>
    </reviewItem>
    <reviewItem>
      <errorID>cfac9210-6483-47fa-9d47-214394d70540</errorID>
      <errorWord>~</errorWord>
      <group>L1_Format</group>
      <groupName>格式问题</groupName>
      <ability>L2_HalfPunc</ability>
      <abilityName>全半角检查</abilityName>
      <candidateList>
        <item>～</item>
      </candidateList>
      <explain>文本全半角错误。</explain>
      <paraID>51918704</paraID>
      <start>11</start>
      <end>12</end>
      <status>unmodified</status>
      <modifiedWord/>
      <trackRevisions>false</trackRevisions>
    </reviewItem>
    <reviewItem>
      <errorID>1e5073e1-95e1-4382-84d3-a003ebf577f1</errorID>
      <errorWord>废标</errorWord>
      <group>L1_Word</group>
      <groupName>字词问题</groupName>
      <ability>L2_Typo</ability>
      <abilityName>字词错误</abilityName>
      <candidateList>
        <item>非标</item>
      </candidateList>
      <explain/>
      <paraID>70D408AE</paraID>
      <start>2</start>
      <end>4</end>
      <status>unmodified</status>
      <modifiedWord/>
      <trackRevisions>false</trackRevisions>
    </reviewItem>
    <reviewItem>
      <errorID>3dbe58f6-7697-46e5-af59-b9fbe757384a</errorID>
      <errorWord>法律、法规</errorWord>
      <group>L1_Word</group>
      <groupName>字词问题</groupName>
      <ability>L2_Typo</ability>
      <abilityName>字词错误</abilityName>
      <candidateList>
        <item>法律法规</item>
      </candidateList>
      <explain/>
      <paraID>4408E578</paraID>
      <start>3</start>
      <end>8</end>
      <status>unmodified</status>
      <modifiedWord/>
      <trackRevisions>false</trackRevisions>
    </reviewItem>
    <reviewItem>
      <errorID>c622650b-ba17-4e04-a494-54cbe13449f8</errorID>
      <errorWord>：</errorWord>
      <group>L1_Punc</group>
      <groupName>标点问题</groupName>
      <ability>L2_Punc</ability>
      <abilityName>标点符号检查</abilityName>
      <candidateList/>
      <explain/>
      <paraID>267D6583</paraID>
      <start>36</start>
      <end>37</end>
      <status>unmodified</status>
      <modifiedWord/>
      <trackRevisions>false</trackRevisions>
    </reviewItem>
    <reviewItem>
      <errorID>a9f2fd2d-28d7-42df-b422-855a6e998b58</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24dd0889-7436-4041-ab9e-e8efcd5ca0e4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0ae9d0a1-49d0-4eaf-9592-5dbb5bc87644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979c8629-9de7-4c1f-8e29-81887e399637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6e636ba4-dff2-40ec-aeaf-d98380952f58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6a77a9ca-d08a-4f2d-b077-64358f31433a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e06b029b-a6e4-4e7c-b660-541d3f544e11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cc073553-2a2c-4bac-877e-d8b10f9b4a3f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d521fcf3-6a7c-427e-bfa9-b66a6fbb3480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d59cfe15-22dd-4ab4-9913-e6f57c991479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32b77018-9a13-4917-91af-9dd1c66804e8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478C3197</paraID>
      <start>42</start>
      <end>47</end>
      <status>modified</status>
      <modifiedWord>及其他有关</modifiedWord>
      <trackRevisions>false</trackRevisions>
    </reviewItem>
    <reviewItem>
      <errorID>718d6401-895d-4938-9c7a-b0812bebd405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7cc5931c-a9de-4a8d-9878-3359af33cf1c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37e72469-c68c-4780-9dde-ffbf84715638</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1280a2b1-9a9a-45bd-af7a-574a956fce12</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e2660852-f26e-446a-9a3d-8093d460b131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ee5845d4-0e15-4ae9-ab83-4f7efa1f79e2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823206e6-d096-4807-828f-4d24a4f12f72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ed898e11-4475-4b18-b962-05c8738c9fa0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7a890356-8fc7-45a5-9e93-e1f0a0bde38a</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31a5f8b7-7b60-4077-bd54-9ba76d4dd165</errorID>
      <errorWord>接受</errorWord>
      <group>L1_Word</group>
      <groupName>字词问题</groupName>
      <ability>L2_Typo</ability>
      <abilityName>字词错误</abilityName>
      <candidateList>
        <item>接收</item>
      </candidateList>
      <explain>存在发音相同字词的误用。</explain>
      <paraID>25C5C3DA</paraID>
      <start>4</start>
      <end>6</end>
      <status>unmodified</status>
      <modifiedWord/>
      <trackRevisions>false</trackRevisions>
    </reviewItem>
    <reviewItem>
      <errorID>49f29413-f95b-42f1-931c-17b700e80908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82318375-de7d-462f-87e8-d80f4a3f7db3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f3da4f93-87a4-437d-be1a-ec82cc2b306f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f8f11c91-c438-42d3-9ed1-d7354506eb5f</errorID>
      <errorWord>（</errorWord>
      <group>L1_Punc</group>
      <groupName>标点问题</groupName>
      <ability>L2_Punc</ability>
      <abilityName>标点符号检查</abilityName>
      <candidateList/>
      <explain>同一形式括号套用。</explain>
      <paraID>46F05BA5</paraID>
      <start>68</start>
      <end>69</end>
      <status>unmodified</status>
      <modifiedWord/>
      <trackRevisions>false</trackRevisions>
    </reviewItem>
    <reviewItem>
      <errorID>c6a063bc-88ca-4a47-b5db-6ec55dd46ec7</errorID>
      <errorWord>）</errorWord>
      <group>L1_Punc</group>
      <groupName>标点问题</groupName>
      <ability>L2_Punc</ability>
      <abilityName>标点符号检查</abilityName>
      <candidateList/>
      <explain>同一形式括号套用。</explain>
      <paraID>46F05BA5</paraID>
      <start>73</start>
      <end>74</end>
      <status>unmodified</status>
      <modifiedWord/>
      <trackRevisions>false</trackRevisions>
    </reviewItem>
    <reviewItem>
      <errorID>761c95ee-8d13-418a-964c-7e5b332cf6d6</errorID>
      <errorWord>（</errorWord>
      <group>L1_Punc</group>
      <groupName>标点问题</groupName>
      <ability>L2_Punc</ability>
      <abilityName>标点符号检查</abilityName>
      <candidateList/>
      <explain>同一形式括号套用。</explain>
      <paraID>46F05BA5</paraID>
      <start>87</start>
      <end>88</end>
      <status>unmodified</status>
      <modifiedWord/>
      <trackRevisions>false</trackRevisions>
    </reviewItem>
    <reviewItem>
      <errorID>1cbe6eba-1d58-4bd3-8896-a854d85d0340</errorID>
      <errorWord>）</errorWord>
      <group>L1_Punc</group>
      <groupName>标点问题</groupName>
      <ability>L2_Punc</ability>
      <abilityName>标点符号检查</abilityName>
      <candidateList/>
      <explain>同一形式括号套用。</explain>
      <paraID>46F05BA5</paraID>
      <start>92</start>
      <end>93</end>
      <status>unmodified</status>
      <modifiedWord/>
      <trackRevisions>false</trackRevisions>
    </reviewItem>
    <reviewItem>
      <errorID>459f32bf-9f22-4f4a-bf25-31888d3598e5</errorID>
      <errorWord>（</errorWord>
      <group>L1_Punc</group>
      <groupName>标点问题</groupName>
      <ability>L2_Punc</ability>
      <abilityName>标点符号检查</abilityName>
      <candidateList/>
      <explain>同一形式括号套用。</explain>
      <paraID>34417621</paraID>
      <start>63</start>
      <end>64</end>
      <status>unmodified</status>
      <modifiedWord/>
      <trackRevisions>false</trackRevisions>
    </reviewItem>
    <reviewItem>
      <errorID>3b895050-4587-4b54-8988-4d20a33c0ff1</errorID>
      <errorWord>）</errorWord>
      <group>L1_Punc</group>
      <groupName>标点问题</groupName>
      <ability>L2_Punc</ability>
      <abilityName>标点符号检查</abilityName>
      <candidateList/>
      <explain>同一形式括号套用。</explain>
      <paraID>34417621</paraID>
      <start>77</start>
      <end>78</end>
      <status>unmodified</status>
      <modifiedWord/>
      <trackRevisions>false</trackRevisions>
    </reviewItem>
    <reviewItem>
      <errorID>b63e8512-f4ff-4373-9d3e-5ddc2f436efc</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AA74202</paraID>
      <start>21</start>
      <end>25</end>
      <status>modified</status>
      <modifiedWord>其他证明</modifiedWord>
      <trackRevisions>false</trackRevisions>
    </reviewItem>
    <reviewItem>
      <errorID>b9edea0c-d552-4a1e-8766-6294776eeb78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1c10ae7b-c85a-462c-b748-6cd10d3872a1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c8082fe7-e89b-49f2-b2ed-d925aec3d4fd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0a639bd6-6c25-4ff0-ab48-ee708cfacf53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628db78a-7ab3-4938-a1ce-2855bb4adfc0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716f7183-9198-4211-9893-0f20be5c24de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79053cef-0590-4da7-aa0c-d36f7e16351d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b63dca72-609b-4821-95c0-b61af0611259</errorID>
      <errorWord>涉及到</errorWord>
      <group>L1_Grammar</group>
      <groupName>语法问题</groupName>
      <ability>L2_Grammar</ability>
      <abilityName>语法错误</abilityName>
      <candidateList>
        <item>涉及</item>
      </candidateList>
      <explain>〈动〉牵涉到；关联到：案子～好几个人｜这个问题～面很广。</explain>
      <paraID>3323D46B</paraID>
      <start>13</start>
      <end>16</end>
      <status>unmodified</status>
      <modifiedWord/>
      <trackRevisions>false</trackRevisions>
    </reviewItem>
    <reviewItem>
      <errorID>aa3077f3-802e-41a7-b71a-eaa6fbacde23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e0737b0e-d36a-4a4e-9ecb-a257833af49c</errorID>
      <errorWord>做出</errorWord>
      <group>L1_Word</group>
      <groupName>字词问题</groupName>
      <ability>L2_Typo</ability>
      <abilityName>字词错误</abilityName>
      <candidateList>
        <item>作出</item>
      </candidateList>
      <explain/>
      <paraID>58163FC3</paraID>
      <start>31</start>
      <end>33</end>
      <status>unmodified</status>
      <modifiedWord/>
      <trackRevisions>false</trackRevisions>
    </reviewItem>
    <reviewItem>
      <errorID>8cc8684e-bf09-4026-a1d3-96559fd0d602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8fa8b67a-f013-499f-9495-a4515960fd31</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a9687054-ee46-43e2-a3ef-aefdf5bca73d</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fcd0ee29-555f-46b1-aebb-fa51dbc1c95f</errorID>
      <errorWord>不</errorWord>
      <group>L1_Word</group>
      <groupName>字词问题</groupName>
      <ability>L2_Typo</ability>
      <abilityName>字词错误</abilityName>
      <candidateList>
        <item>不符</item>
      </candidateList>
      <explain/>
      <paraID>71972417</paraID>
      <start>48</start>
      <end>50</end>
      <status>modified</status>
      <modifiedWord>不符</modifiedWord>
      <trackRevisions>false</trackRevisions>
    </reviewItem>
    <reviewItem>
      <errorID>7dab4010-7cd3-45aa-bd45-7bfdbf82af81</errorID>
      <errorWord>&lt;</errorWord>
      <group>L1_Format</group>
      <groupName>格式问题</groupName>
      <ability>L2_HalfPunc</ability>
      <abilityName>全半角检查</abilityName>
      <candidateList>
        <item>〈</item>
      </candidateList>
      <explain>文本全半角错误。</explain>
      <paraID>59120DB2</paraID>
      <start>36</start>
      <end>37</end>
      <status>unmodified</status>
      <modifiedWord/>
      <trackRevisions>false</trackRevisions>
    </reviewItem>
    <reviewItem>
      <errorID>8d5ef516-92d6-479a-b418-07ea69ac0a31</errorID>
      <errorWord>&lt;</errorWord>
      <group>L1_Format</group>
      <groupName>格式问题</groupName>
      <ability>L2_HalfPunc</ability>
      <abilityName>全半角检查</abilityName>
      <candidateList>
        <item>〈</item>
      </candidateList>
      <explain>文本全半角错误。</explain>
      <paraID>1C51681D</paraID>
      <start>38</start>
      <end>39</end>
      <status>unmodified</status>
      <modifiedWord/>
      <trackRevisions>false</trackRevisions>
    </reviewItem>
    <reviewItem>
      <errorID>2aaa1120-dd23-4d6d-96b4-de40efa44ce0</errorID>
      <errorWord>，</errorWord>
      <group>L1_Word</group>
      <groupName>字词问题</groupName>
      <ability>L2_Typo</ability>
      <abilityName>字词错误</abilityName>
      <candidateList>
        <item>，并</item>
      </candidateList>
      <explain/>
      <paraID>566BAE92</paraID>
      <start>73</start>
      <end>74</end>
      <status>unmodified</status>
      <modifiedWord/>
      <trackRevisions>false</trackRevisions>
    </reviewItem>
    <reviewItem>
      <errorID>88c56513-0e2a-4640-bbae-8891bc8692e9</errorID>
      <errorWord>。。</errorWord>
      <group>L1_Punc</group>
      <groupName>标点问题</groupName>
      <ability>L2_Punc</ability>
      <abilityName>标点符号检查</abilityName>
      <candidateList>
        <item>。</item>
      </candidateList>
      <explain/>
      <paraID>566BAE92</paraID>
      <start>213</start>
      <end>215</end>
      <status>unmodified</status>
      <modifiedWord/>
      <trackRevisions>false</trackRevisions>
    </reviewItem>
    <reviewItem>
      <errorID>a43bb640-741d-46a3-a5b1-a6a2ad01cb51</errorID>
      <errorWord>保持通讯畅通</errorWord>
      <group>L1_Word</group>
      <groupName>字词问题</groupName>
      <ability>L2_Typo</ability>
      <abilityName>字词错误</abilityName>
      <candidateList>
        <item>保持通信畅通</item>
      </candidateList>
      <explain/>
      <paraID>6FBF34E9</paraID>
      <start>17</start>
      <end>23</end>
      <status>unmodified</status>
      <modifiedWord/>
      <trackRevisions>false</trackRevisions>
    </reviewItem>
    <reviewItem>
      <errorID>e077b6bc-4480-42c9-847b-506e7796e9b8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2681AFA4</paraID>
      <start>0</start>
      <end>3</end>
      <status>unmodified</status>
      <modifiedWord/>
      <trackRevisions>false</trackRevisions>
    </reviewItem>
    <reviewItem>
      <errorID>475c6a9e-66ad-470d-89cf-b22369e0127e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5B1FFC5E</paraID>
      <start>0</start>
      <end>3</end>
      <status>unmodified</status>
      <modifiedWord/>
      <trackRevisions>false</trackRevisions>
    </reviewItem>
    <reviewItem>
      <errorID>adaa014e-9a1e-446f-9f27-8b7c94e1bec9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51090B90</paraID>
      <start>0</start>
      <end>3</end>
      <status>unmodified</status>
      <modifiedWord/>
      <trackRevisions>false</trackRevisions>
    </reviewItem>
    <reviewItem>
      <errorID>082944f9-931c-4132-9379-00733c63970c</errorID>
      <errorWord>国家发改委</errorWord>
      <group>L1_Knowledge</group>
      <groupName>知识性问题</groupName>
      <ability>L2_Knowledge</ability>
      <abilityName>其他知识</abilityName>
      <candidateList>
        <item>国家发展改革委</item>
      </candidateList>
      <explain/>
      <paraID>1605A327</paraID>
      <start>20</start>
      <end>27</end>
      <status>modified</status>
      <modifiedWord>国家发展改革委</modifiedWord>
      <trackRevisions>false</trackRevisions>
    </reviewItem>
    <reviewItem>
      <errorID>ad2becb5-bbb9-4b94-a523-8d0a658d0c24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1605A327</paraID>
      <start>45</start>
      <end>48</end>
      <status>unmodified</status>
      <modifiedWord/>
      <trackRevisions>false</trackRevisions>
    </reviewItem>
    <reviewItem>
      <errorID>2bd99483-3383-45ca-a622-ca464cf963ca</errorID>
      <errorWord>法律、法规</errorWord>
      <group>L1_Word</group>
      <groupName>字词问题</groupName>
      <ability>L2_Typo</ability>
      <abilityName>字词错误</abilityName>
      <candidateList>
        <item>法律法规</item>
      </candidateList>
      <explain/>
      <paraID>5808626F</paraID>
      <start>9</start>
      <end>14</end>
      <status>unmodified</status>
      <modifiedWord/>
      <trackRevisions>false</trackRevisions>
    </reviewItem>
    <reviewItem>
      <errorID>e5d7d9f5-b39c-4647-9c12-6b15166c1797</errorID>
      <errorWord>属</errorWord>
      <group>L1_Word</group>
      <groupName>字词问题</groupName>
      <ability>L2_Typo</ability>
      <abilityName>字词错误</abilityName>
      <candidateList>
        <item>属于</item>
      </candidateList>
      <explain/>
      <paraID>5808626F</paraID>
      <start>23</start>
      <end>24</end>
      <status>unmodified</status>
      <modifiedWord/>
      <trackRevisions>false</trackRevisions>
    </reviewItem>
    <reviewItem>
      <errorID>3590f7d0-ea01-4409-aabb-396498e60f6c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39DBCE3</paraID>
      <start>0</start>
      <end>3</end>
      <status>unmodified</status>
      <modifiedWord/>
      <trackRevisions>false</trackRevisions>
    </reviewItem>
    <reviewItem>
      <errorID>98c8ca43-dc7b-49b3-ae60-58c977851d49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4BB3CB18</paraID>
      <start>0</start>
      <end>3</end>
      <status>unmodified</status>
      <modifiedWord/>
      <trackRevisions>false</trackRevisions>
    </reviewItem>
    <reviewItem>
      <errorID>b9999319-2659-4c95-9704-c35c92f44330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B7981B9</paraID>
      <start>133</start>
      <end>136</end>
      <status>unmodified</status>
      <modifiedWord/>
      <trackRevisions>false</trackRevisions>
    </reviewItem>
    <reviewItem>
      <errorID>22796955-61ae-47b8-b49b-c0907e60f975</errorID>
      <errorWord>做出</errorWord>
      <group>L1_Word</group>
      <groupName>字词问题</groupName>
      <ability>L2_Typo</ability>
      <abilityName>字词错误</abilityName>
      <candidateList>
        <item>作出</item>
      </candidateList>
      <explain/>
      <paraID> B7981B9</paraID>
      <start>186</start>
      <end>188</end>
      <status>unmodified</status>
      <modifiedWord/>
      <trackRevisions>false</trackRevisions>
    </reviewItem>
    <reviewItem>
      <errorID>adc6b254-b23c-41ca-acf6-d5a9d17cf9aa</errorID>
      <errorWord>和</errorWord>
      <group>L1_Word</group>
      <groupName>字词问题</groupName>
      <ability>L2_Typo</ability>
      <abilityName>字词错误</abilityName>
      <candidateList>
        <item>和加</item>
      </candidateList>
      <explain/>
      <paraID> B7981B9</paraID>
      <start>231</start>
      <end>233</end>
      <status>modified</status>
      <modifiedWord>和加</modifiedWord>
      <trackRevisions>false</trackRevisions>
    </reviewItem>
    <reviewItem>
      <errorID>f443d8be-02d7-45a6-8fb4-b3b398e5e669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40E56C55</paraID>
      <start>0</start>
      <end>3</end>
      <status>unmodified</status>
      <modifiedWord/>
      <trackRevisions>false</trackRevisions>
    </reviewItem>
    <reviewItem>
      <errorID>67ad8a3d-5ad0-422f-a615-ae4c46ae023a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28CD5F0A</paraID>
      <start>0</start>
      <end>3</end>
      <status>unmodified</status>
      <modifiedWord/>
      <trackRevisions>false</trackRevisions>
    </reviewItem>
    <reviewItem>
      <errorID>1dce8c42-f047-4412-bcb1-07889428da27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C1F3D22</paraID>
      <start>0</start>
      <end>3</end>
      <status>unmodified</status>
      <modifiedWord/>
      <trackRevisions>false</trackRevisions>
    </reviewItem>
    <reviewItem>
      <errorID>334fc076-4ee4-4c4d-a021-32fc3d6a0531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26C97955</paraID>
      <start>0</start>
      <end>3</end>
      <status>unmodified</status>
      <modifiedWord/>
      <trackRevisions>false</trackRevisions>
    </reviewItem>
    <reviewItem>
      <errorID>3453870a-46c2-469c-a545-0ee8ece62ac3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19906551</paraID>
      <start>0</start>
      <end>3</end>
      <status>unmodified</status>
      <modifiedWord/>
      <trackRevisions>false</trackRevisions>
    </reviewItem>
    <reviewItem>
      <errorID>a650b70c-6592-4a62-98c9-0b8c1e3b6827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3667B895</paraID>
      <start>0</start>
      <end>3</end>
      <status>unmodified</status>
      <modifiedWord/>
      <trackRevisions>false</trackRevisions>
    </reviewItem>
    <reviewItem>
      <errorID>66e1a450-79c3-46f8-80ef-4d9c13ad5afd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344FC4C6</paraID>
      <start>0</start>
      <end>3</end>
      <status>unmodified</status>
      <modifiedWord/>
      <trackRevisions>false</trackRevisions>
    </reviewItem>
    <reviewItem>
      <errorID>506bc4d0-0024-4a3c-a06f-26bc491a4fee</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941ccf3c-ef47-4fda-b0e8-c4c1b74d42b2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ec473d95-e53a-4b63-8280-cf7060b2777a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92a208e7-9525-4b81-8c1b-afa112679eb5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fc8acb48-bc47-4dac-9bfa-b0bf9fefd366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79779905-c1f5-41cc-a541-d5ae976a12be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1fb67c7f-aec4-4682-b24f-af7c44d1d64e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c01ae8e1-4902-43e9-aa93-65f703f89540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bb471b87-9da0-46e3-870e-7e503b034145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a6145a02-22ec-4dea-a8aa-af64ab0c79c6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76ef3149-ee07-4dee-b1a0-80f0e184b2dd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7593BD60</paraID>
      <start>0</start>
      <end>2</end>
      <status>unmodified</status>
      <modifiedWord/>
      <trackRevisions>false</trackRevisions>
    </reviewItem>
    <reviewItem>
      <errorID>9f22086f-2e7c-417e-a7c6-b2ff237290f5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48e721f0-88a7-4bfc-ad8e-2075d6eea365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585C7E4E</paraID>
      <start>67</start>
      <end>68</end>
      <status>unmodified</status>
      <modifiedWord/>
      <trackRevisions>false</trackRevisions>
    </reviewItem>
    <reviewItem>
      <errorID>62e2b345-7a03-4dae-8eb1-0575886a72af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585C7E4E</paraID>
      <start>72</start>
      <end>73</end>
      <status>unmodified</status>
      <modifiedWord/>
      <trackRevisions>false</trackRevisions>
    </reviewItem>
    <reviewItem>
      <errorID>6a0d92cb-b477-49b0-8aa2-c0df9b91f7ae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42ee52c8-cee1-4d41-8f10-4d44b32989df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5f808342-0888-47f9-a1bb-468a73e6b6eb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36f8e62b-5528-46bd-bbf9-10139a62d71c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8ed4c4b5-cd79-432c-b08c-ec0321e29824</errorID>
      <errorWord>其它</errorWord>
      <group>L1_Word</group>
      <groupName>字词问题</groupName>
      <ability>L2_Alias</ability>
      <abilityName>也作/曾用词</abilityName>
      <candidateList>
        <item>其他</item>
      </candidateList>
      <explain>词汇[其它]为不规范表述或旧称，其规范书面表述为[其他]。</explain>
      <paraID>2297A51F</paraID>
      <start>4</start>
      <end>6</end>
      <status>unmodified</status>
      <modifiedWord/>
      <trackRevisions>false</trackRevisions>
    </reviewItem>
    <reviewItem>
      <errorID>ea7e9d4f-073f-4816-b354-019df8d4651e</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e6509ed4-1179-4fac-b582-b34cb5177720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71d57434-33b9-47d3-8afb-8f8dc87814bc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08504be5-b94c-4e7c-834c-91371a455b96</errorID>
      <errorWord>拟定</errorWord>
      <group>L1_Word</group>
      <groupName>字词问题</groupName>
      <ability>L2_Typo</ability>
      <abilityName>字词错误</abilityName>
      <candidateList>
        <item>拟订</item>
      </candidateList>
      <explain>〈动〉草拟：～计划｜～方案。</explain>
      <paraID>385C95DA</paraID>
      <start>43</start>
      <end>45</end>
      <status>unmodified</status>
      <modifiedWord/>
      <trackRevisions>false</trackRevisions>
    </reviewItem>
    <reviewItem>
      <errorID>6708fe37-0fa3-4905-bac1-08e2a16d605a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d68d344f-16f0-4e07-8ee0-75bfcff886b5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7609c77a-6bdc-4afd-96f6-c9135274c470</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8d824572-f89a-485b-9f82-594beea26227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a95254a8-fe3b-4018-95b3-efe9bca44704</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5d09f154-3b93-4b69-88e2-2eb690accac7</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cd7e96d0-d344-4f9c-8539-39f95cb65cab</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4db36d94-d6cd-4b59-92e9-2bc52138de28</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1949f26d-1149-4476-8bff-92ce0817324f</errorID>
      <errorWord>:</errorWord>
      <group>L1_Format</group>
      <groupName>格式问题</groupName>
      <ability>L2_HalfPunc</ability>
      <abilityName>全半角检查</abilityName>
      <candidateList>
        <item>：</item>
      </candidateList>
      <explain>文本全半角错误。</explain>
      <paraID>5E8906B3</paraID>
      <start>6</start>
      <end>7</end>
      <status>unmodified</status>
      <modifiedWord/>
      <trackRevisions>false</trackRevisions>
    </reviewItem>
    <reviewItem>
      <errorID>fc60563d-971e-4736-ae12-b8b2f7dc1ba2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58A606AC</paraID>
      <start>0</start>
      <end>2</end>
      <status>unmodified</status>
      <modifiedWord/>
      <trackRevisions>false</trackRevisions>
    </reviewItem>
    <reviewItem>
      <errorID>e39bf403-fc87-4a67-9760-fa1362a031ad</errorID>
      <errorWord>其它媒介</errorWord>
      <group>L1_Word</group>
      <groupName>字词问题</groupName>
      <ability>L2_Alias</ability>
      <abilityName>也作/曾用词</abilityName>
      <candidateList>
        <item>其他媒介</item>
      </candidateList>
      <explain>词汇[其它媒介]为不规范表述或旧称，其规范书面表述为[其他媒介]。</explain>
      <paraID>  B98BA4</paraID>
      <start>21</start>
      <end>25</end>
      <status>modified</status>
      <modifiedWord>其他媒介</modifiedWord>
      <trackRevisions>false</trackRevisions>
    </reviewItem>
    <reviewItem>
      <errorID>e63fe338-e6ff-43bc-b4a2-356e7228a673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36ADF535</paraID>
      <start>0</start>
      <end>2</end>
      <status>unmodified</status>
      <modifiedWord/>
      <trackRevisions>false</trackRevisions>
    </reviewItem>
    <reviewItem>
      <errorID>71a1997e-aa8e-46d2-b538-7d475f29e617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4A2A02CD</paraID>
      <start>0</start>
      <end>2</end>
      <status>unmodified</status>
      <modifiedWord/>
      <trackRevisions>false</trackRevisions>
    </reviewItem>
    <reviewItem>
      <errorID>81fa1e0f-07cd-49eb-a485-91c761b7858b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5B39DBCA</paraID>
      <start>0</start>
      <end>2</end>
      <status>unmodified</status>
      <modifiedWord/>
      <trackRevisions>false</trackRevisions>
    </reviewItem>
    <reviewItem>
      <errorID>dd4ca92e-5f98-4c15-aa10-072310c22f0d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362BE3A7</paraID>
      <start>0</start>
      <end>2</end>
      <status>unmodified</status>
      <modifiedWord/>
      <trackRevisions>false</trackRevisions>
    </reviewItem>
    <reviewItem>
      <errorID>f8bd1011-1c7f-4f80-8a4d-5b9556e2b8ff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3818DA74</paraID>
      <start>0</start>
      <end>2</end>
      <status>unmodified</status>
      <modifiedWord/>
      <trackRevisions>false</trackRevisions>
    </reviewItem>
    <reviewItem>
      <errorID>a5a61888-f2b2-4936-8722-97a3872a1c31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1C415489</paraID>
      <start>12</start>
      <end>13</end>
      <status>unmodified</status>
      <modifiedWord/>
      <trackRevisions>false</trackRevisions>
    </reviewItem>
    <reviewItem>
      <errorID>56b262f6-e35a-4aa3-9a5b-6b185d52e089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46E03B7</paraID>
      <start>0</start>
      <end>2</end>
      <status>unmodified</status>
      <modifiedWord/>
      <trackRevisions>false</trackRevisions>
    </reviewItem>
    <reviewItem>
      <errorID>fb6bf124-7a08-445c-8834-b39db9e9e6c0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5C1E7C5C</paraID>
      <start>0</start>
      <end>2</end>
      <status>unmodified</status>
      <modifiedWord/>
      <trackRevisions>false</trackRevisions>
    </reviewItem>
    <reviewItem>
      <errorID>2fc3480f-49ea-42dc-8b8f-5f52310ca8e9</errorID>
      <errorWord>费用以</errorWord>
      <group>L1_Word</group>
      <groupName>字词问题</groupName>
      <ability>L2_Typo</ability>
      <abilityName>字词错误</abilityName>
      <candidateList>
        <item>费用</item>
      </candidateList>
      <explain/>
      <paraID>5C1E7C5C</paraID>
      <start>86</start>
      <end>89</end>
      <status>unmodified</status>
      <modifiedWord/>
      <trackRevisions>false</trackRevisions>
    </reviewItem>
    <reviewItem>
      <errorID>afd23cde-5d74-44c2-99f9-c1ec0d69d6aa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EB00358</paraID>
      <start>0</start>
      <end>2</end>
      <status>unmodified</status>
      <modifiedWord/>
      <trackRevisions>false</trackRevisions>
    </reviewItem>
    <reviewItem>
      <errorID>ac125862-074e-411a-833a-8c7649285ac0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34349561</paraID>
      <start>0</start>
      <end>2</end>
      <status>unmodified</status>
      <modifiedWord/>
      <trackRevisions>false</trackRevisions>
    </reviewItem>
    <reviewItem>
      <errorID>7559469e-ebbc-44f0-904b-7b42c8080a21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79DF287</paraID>
      <start>0</start>
      <end>2</end>
      <status>unmodified</status>
      <modifiedWord/>
      <trackRevisions>false</trackRevisions>
    </reviewItem>
    <reviewItem>
      <errorID>909874ff-7416-4ce8-9e03-b0c3f0de905b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9E09698</paraID>
      <start>0</start>
      <end>2</end>
      <status>unmodified</status>
      <modifiedWord/>
      <trackRevisions>false</trackRevisions>
    </reviewItem>
    <reviewItem>
      <errorID>aa806339-6159-496c-bc35-e6d7508b15c3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6E0E5512</paraID>
      <start>0</start>
      <end>2</end>
      <status>unmodified</status>
      <modifiedWord/>
      <trackRevisions>false</trackRevisions>
    </reviewItem>
    <reviewItem>
      <errorID>40a1eb27-7be0-44f2-b1f8-1d87df0b289c</errorID>
      <errorWord>制定出</errorWord>
      <group>L1_Word</group>
      <groupName>字词问题</groupName>
      <ability>L2_Typo</ability>
      <abilityName>字词错误</abilityName>
      <candidateList>
        <item>制定</item>
      </candidateList>
      <explain>〈动〉定出（法律、规程、政策等）：～宪法｜～学会章程。</explain>
      <paraID> 36E7FB4</paraID>
      <start>30</start>
      <end>33</end>
      <status>unmodified</status>
      <modifiedWord/>
      <trackRevisions>false</trackRevisions>
    </reviewItem>
    <reviewItem>
      <errorID>c5b6a95b-2571-4ec3-a019-dd8055b4641f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59D07766</paraID>
      <start>45</start>
      <end>47</end>
      <status>unmodified</status>
      <modifiedWord/>
      <trackRevisions>false</trackRevisions>
    </reviewItem>
    <reviewItem>
      <errorID>2f037ad3-532f-45db-8e4b-488a0a975223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53C36BBA</paraID>
      <start>0</start>
      <end>2</end>
      <status>unmodified</status>
      <modifiedWord/>
      <trackRevisions>false</trackRevisions>
    </reviewItem>
    <reviewItem>
      <errorID>e76aba8d-b4fe-4d53-93e8-cc35a075c43d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17141CDB</paraID>
      <start>0</start>
      <end>2</end>
      <status>unmodified</status>
      <modifiedWord/>
      <trackRevisions>false</trackRevisions>
    </reviewItem>
    <reviewItem>
      <errorID>6a6aa033-eb39-4b02-97a9-c40d5eca0e7c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5cd6d4d5-296b-4958-bcd0-bfeb98c9c1f8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f5ca5329-b507-4174-9e91-cfe4c196a431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b2201919-dcd6-490d-83ee-fc01653a906d</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db8d9002-e1c3-401d-b5e5-c0d001ba49ff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941fdc04-8e47-4df4-89c0-ffa01cdfd98a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ea68837a-1567-4ee1-9047-a1781706c5d8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b1b31166-062a-48e7-96b8-87bffcd1072f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c5fe032f-c8ef-4968-a211-495df80d75cb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20677278-92a9-44d4-8798-5e910fe4ae6a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badb0d1b-97f3-41c3-9347-648f168d207c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7b33e918-f8b9-4f92-a233-c4e320b60e10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edbf65b3-3b02-45ac-9492-1a4ea9334bc8</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7be7c97e-6a66-44d6-851b-c08d55c70efc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cf751b0c-5030-4924-800e-6c2498fe4e8e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2c501292-c102-4854-86fc-638c00771589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673357E</paraID>
      <start>0</start>
      <end>2</end>
      <status>unmodified</status>
      <modifiedWord/>
      <trackRevisions>false</trackRevisions>
    </reviewItem>
    <reviewItem>
      <errorID>acbe2b4b-a11d-4c35-8149-159f59c627f7</errorID>
      <errorWord>书</errorWord>
      <group>L1_Word</group>
      <groupName>字词问题</groupName>
      <ability>L2_Typo</ability>
      <abilityName>字词错误</abilityName>
      <candidateList>
        <item>书等</item>
      </candidateList>
      <explain/>
      <paraID>1FFB2325</paraID>
      <start>194</start>
      <end>195</end>
      <status>unmodified</status>
      <modifiedWord/>
      <trackRevisions>false</trackRevisions>
    </reviewItem>
    <reviewItem>
      <errorID>fb2b781f-0511-4c9a-b76a-ce9f31a235a5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1c171b62-514e-43de-89af-288bd08d828b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d77b310e-04b0-489f-a174-c1970458f222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4dba192a-c377-460a-9eb3-2d1ebae32127</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6322a47d-ecc6-4591-8c35-7cb89813e0d2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aee09355-2587-4e67-99bb-41725eff68a3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7D3447D8</paraID>
      <start>0</start>
      <end>2</end>
      <status>unmodified</status>
      <modifiedWord/>
      <trackRevisions>false</trackRevisions>
    </reviewItem>
    <reviewItem>
      <errorID>37f2d7fb-dc91-4fdf-8ae3-f67a21c7c5ee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52d687db-77ef-40da-8ec1-cd32c31a0574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77a59a01-890c-431b-86eb-413a4d10ebb9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d7225a67-9633-4000-94fd-c650851c7a1a</errorID>
      <errorWord>法律、法规</errorWord>
      <group>L1_Word</group>
      <groupName>字词问题</groupName>
      <ability>L2_Typo</ability>
      <abilityName>字词错误</abilityName>
      <candidateList>
        <item>法律法规</item>
      </candidateList>
      <explain/>
      <paraID>75540F74</paraID>
      <start>23</start>
      <end>28</end>
      <status>unmodified</status>
      <modifiedWord/>
      <trackRevisions>false</trackRevisions>
    </reviewItem>
    <reviewItem>
      <errorID>bed9575a-295b-4d05-b6a3-06d227493819</errorID>
      <errorWord>仍</errorWord>
      <group>L1_Word</group>
      <groupName>字词问题</groupName>
      <ability>L2_Typo</ability>
      <abilityName>字词错误</abilityName>
      <candidateList>
        <item>仍有</item>
      </candidateList>
      <explain/>
      <paraID>48404DD3</paraID>
      <start>26</start>
      <end>27</end>
      <status>unmodified</status>
      <modifiedWord/>
      <trackRevisions>false</trackRevisions>
    </reviewItem>
    <reviewItem>
      <errorID>02a36d18-1f0f-45f2-8376-a1af51882178</errorID>
      <errorWord>其它</errorWord>
      <group>L1_Word</group>
      <groupName>字词问题</groupName>
      <ability>L2_Alias</ability>
      <abilityName>也作/曾用词</abilityName>
      <candidateList>
        <item>其他</item>
      </candidateList>
      <explain>词汇[其它]为不规范表述或旧称，其规范书面表述为[其他]。</explain>
      <paraID>20B33F68</paraID>
      <start>90</start>
      <end>92</end>
      <status>modified</status>
      <modifiedWord>其他</modifiedWord>
      <trackRevisions>false</trackRevisions>
    </reviewItem>
    <reviewItem>
      <errorID>5a86c0a9-3ca2-4ec1-9eaf-70009384d3be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6B829067</paraID>
      <start>23</start>
      <end>28</end>
      <status>modified</status>
      <modifiedWord>及其他有关</modifiedWord>
      <trackRevisions>false</trackRevisions>
    </reviewItem>
    <reviewItem>
      <errorID>089d6fc2-21c2-4f02-8fb4-5592b3196ca2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f98744c5-37bd-4450-a0c8-8d1b7c667ef8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1c18b468-b6d7-46f2-b60b-55bf731e7461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93501697-f6b9-425c-a78d-21fa5efc86c8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73ed05d8-7a79-418f-b50a-26275606ca7d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42d54594-c2bd-4898-9f2c-b337d2c8c6c1</errorID>
      <errorWord>转帐</errorWord>
      <group>L1_Word</group>
      <groupName>字词问题</groupName>
      <ability>L2_Typo</ability>
      <abilityName>字词错误</abilityName>
      <candidateList>
        <item>转账</item>
      </candidateList>
      <explain>〈动〉不收付现金，只在账簿上记载收付关系：～支票。</explain>
      <paraID>11BEE392</paraID>
      <start>12</start>
      <end>14</end>
      <status>modified</status>
      <modifiedWord>转账</modifiedWord>
      <trackRevisions>false</trackRevisions>
    </reviewItem>
    <reviewItem>
      <errorID>abea0cde-a61c-4ac6-b7d6-2925f456c890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60bf95fc-d8ef-4c6b-aed8-236200e445e2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26130daf-f244-4995-8753-3d9f3fa43ed1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dec0d94e-e715-44e9-ab22-71cc39e8747e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b4e25be8-832c-4940-89f3-d150f79a8243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1e3d2473-4c0a-493e-bd45-08b93cfb5f52</errorID>
      <errorWord>其它</errorWord>
      <group>L1_Word</group>
      <groupName>字词问题</groupName>
      <ability>L2_Alias</ability>
      <abilityName>也作/曾用词</abilityName>
      <candidateList>
        <item>其他</item>
      </candidateList>
      <explain>词汇[其它]为不规范表述或旧称，其规范书面表述为[其他]。</explain>
      <paraID> 5CB374D</paraID>
      <start>37</start>
      <end>39</end>
      <status>modified</status>
      <modifiedWord>其他</modifiedWord>
      <trackRevisions>false</trackRevisions>
    </reviewItem>
    <reviewItem>
      <errorID>95eda63e-6306-44c3-a1ed-f809496861fd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2BF73CF9</paraID>
      <start>0</start>
      <end>2</end>
      <status>unmodified</status>
      <modifiedWord/>
      <trackRevisions>false</trackRevisions>
    </reviewItem>
    <reviewItem>
      <errorID>9b8f186a-0e6c-42b2-b434-99fc85996369</errorID>
      <errorWord>、</errorWord>
      <group>L1_Punc</group>
      <groupName>标点问题</groupName>
      <ability>L2_Punc</ability>
      <abilityName>标点符号检查</abilityName>
      <candidateList>
        <item>.</item>
      </candidateList>
      <explain/>
      <paraID>56C561BB</paraID>
      <start>1</start>
      <end>2</end>
      <status>unmodified</status>
      <modifiedWord/>
      <trackRevisions>false</trackRevisions>
    </reviewItem>
    <reviewItem>
      <errorID>98f3ccd9-acff-4893-be30-74ab34db8a4c</errorID>
      <errorWord>须</errorWord>
      <group>L1_Word</group>
      <groupName>字词问题</groupName>
      <ability>L2_Typo</ability>
      <abilityName>字词错误</abilityName>
      <candidateList>
        <item>需</item>
      </candidateList>
      <explain>存在发音相同字词的误用。</explain>
      <paraID>56C561BB</paraID>
      <start>17</start>
      <end>18</end>
      <status>unmodified</status>
      <modifiedWord/>
      <trackRevisions>false</trackRevisions>
    </reviewItem>
    <reviewItem>
      <errorID>4aff8788-c558-4265-bddb-4df421b30d3f</errorID>
      <errorWord>、</errorWord>
      <group>L1_Punc</group>
      <groupName>标点问题</groupName>
      <ability>L2_Punc</ability>
      <abilityName>标点符号检查</abilityName>
      <candidateList>
        <item>.</item>
      </candidateList>
      <explain/>
      <paraID> 5E9C56E</paraID>
      <start>1</start>
      <end>2</end>
      <status>unmodified</status>
      <modifiedWord/>
      <trackRevisions>false</trackRevisions>
    </reviewItem>
    <reviewItem>
      <errorID>8d9d6e72-8d6b-49f6-9640-c1f496dab39e</errorID>
      <errorWord>、</errorWord>
      <group>L1_Punc</group>
      <groupName>标点问题</groupName>
      <ability>L2_Punc</ability>
      <abilityName>标点符号检查</abilityName>
      <candidateList>
        <item>.</item>
      </candidateList>
      <explain/>
      <paraID> 7275084</paraID>
      <start>1</start>
      <end>2</end>
      <status>unmodified</status>
      <modifiedWord/>
      <trackRevisions>false</trackRevisions>
    </reviewItem>
    <reviewItem>
      <errorID>e184048f-9a12-4977-8f7a-16e158c16555</errorID>
      <errorWord>、</errorWord>
      <group>L1_Punc</group>
      <groupName>标点问题</groupName>
      <ability>L2_Punc</ability>
      <abilityName>标点符号检查</abilityName>
      <candidateList>
        <item>.</item>
      </candidateList>
      <explain/>
      <paraID>6DBC8289</paraID>
      <start>1</start>
      <end>2</end>
      <status>unmodified</status>
      <modifiedWord/>
      <trackRevisions>false</trackRevisions>
    </reviewItem>
    <reviewItem>
      <errorID>f00d7545-e95d-4b89-be83-88ad92f8a511</errorID>
      <errorWord>、</errorWord>
      <group>L1_Punc</group>
      <groupName>标点问题</groupName>
      <ability>L2_Punc</ability>
      <abilityName>标点符号检查</abilityName>
      <candidateList>
        <item>.</item>
      </candidateList>
      <explain/>
      <paraID>46BFD3A8</paraID>
      <start>1</start>
      <end>2</end>
      <status>unmodified</status>
      <modifiedWord/>
      <trackRevisions>false</trackRevisions>
    </reviewItem>
    <reviewItem>
      <errorID>f53ae918-cc20-4b14-bfb5-7173fc79ce1b</errorID>
      <errorWord>、</errorWord>
      <group>L1_Punc</group>
      <groupName>标点问题</groupName>
      <ability>L2_Punc</ability>
      <abilityName>标点符号检查</abilityName>
      <candidateList>
        <item>.</item>
      </candidateList>
      <explain/>
      <paraID>1003D595</paraID>
      <start>1</start>
      <end>2</end>
      <status>unmodified</status>
      <modifiedWord/>
      <trackRevisions>false</trackRevisions>
    </reviewItem>
    <reviewItem>
      <errorID>53111868-4e42-4907-ad32-03b978858c61</errorID>
      <errorWord>其它</errorWord>
      <group>L1_Word</group>
      <groupName>字词问题</groupName>
      <ability>L2_Alias</ability>
      <abilityName>也作/曾用词</abilityName>
      <candidateList>
        <item>其他</item>
      </candidateList>
      <explain>词汇[其它]为不规范表述或旧称，其规范书面表述为[其他]。</explain>
      <paraID>1003D595</paraID>
      <start>2</start>
      <end>4</end>
      <status>modified</status>
      <modifiedWord>其他</modifiedWord>
      <trackRevisions>false</trackRevisions>
    </reviewItem>
    <reviewItem>
      <errorID>d99e7b4d-4d2e-4329-a6d5-3bf382c3ea0a</errorID>
      <errorWord>、</errorWord>
      <group>L1_Punc</group>
      <groupName>标点问题</groupName>
      <ability>L2_Punc</ability>
      <abilityName>标点符号检查</abilityName>
      <candidateList>
        <item>.</item>
      </candidateList>
      <explain/>
      <paraID> 4AB361E</paraID>
      <start>1</start>
      <end>2</end>
      <status>unmodified</status>
      <modifiedWord/>
      <trackRevisions>false</trackRevisions>
    </reviewItem>
    <reviewItem>
      <errorID>4693e8d0-14a4-4f74-9ef6-206bb8ecf177</errorID>
      <errorWord>、</errorWord>
      <group>L1_Punc</group>
      <groupName>标点问题</groupName>
      <ability>L2_Punc</ability>
      <abilityName>标点符号检查</abilityName>
      <candidateList>
        <item>.</item>
      </candidateList>
      <explain/>
      <paraID>4A69BC43</paraID>
      <start>1</start>
      <end>2</end>
      <status>unmodified</status>
      <modifiedWord/>
      <trackRevisions>false</trackRevisions>
    </reviewItem>
    <reviewItem>
      <errorID>4b0734c2-7478-4b89-8f84-6c580e63f7ee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fe890746-b528-4943-bd42-dbd485f1bdf3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f848508a-e180-4862-a586-d5c47559856b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97902dc8-7236-41e7-b8cb-59add8509eab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3976F8E</paraID>
      <start>33</start>
      <end>38</end>
      <status>modified</status>
      <modifiedWord>的其他指标</modifiedWord>
      <trackRevisions>false</trackRevisions>
    </reviewItem>
    <reviewItem>
      <errorID>0d417104-830e-4018-8ad1-1b4c22d55a0a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eb0040b3-10d0-4d43-9464-5faae9eba3fa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0f4abfed-ab70-4863-9f25-d88ff04625dd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082be963-1834-4bf6-ab4c-10cc76353b86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0644ee76-d1ec-415b-9733-fad4c5310fef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a4f63e4b-c8a6-4113-9a8c-9a9803fbb16d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e79fe294-64b0-465b-88e4-5337b6dec167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e1133b90-6cbd-4e87-876d-22403827d650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41174bdc-4eed-440c-9c8f-5a151cfb1cf9</errorID>
      <errorWord>其它</errorWord>
      <group>L1_Word</group>
      <groupName>字词问题</groupName>
      <ability>L2_Alias</ability>
      <abilityName>也作/曾用词</abilityName>
      <candidateList>
        <item>其他</item>
      </candidateList>
      <explain>词汇[其它]为不规范表述或旧称，其规范书面表述为[其他]。</explain>
      <paraID>72CDC802</paraID>
      <start>83</start>
      <end>85</end>
      <status>modified</status>
      <modifiedWord>其他</modifiedWord>
      <trackRevisions>false</trackRevisions>
    </reviewItem>
    <reviewItem>
      <errorID>6fcc16d7-98ef-44cc-82cd-807f3dff98d3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b1a91c4c-de58-44b3-9a4a-e27650bd0bb0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b9f63a6a-9ede-46a6-b818-4217e0b62123</errorID>
      <errorWord>提请</errorWord>
      <group>L1_Word</group>
      <groupName>字词问题</groupName>
      <ability>L2_Typo</ability>
      <abilityName>字词错误</abilityName>
      <candidateList>
        <item>提起</item>
      </candidateList>
      <explain/>
      <paraID>70E8A40D</paraID>
      <start>27</start>
      <end>29</end>
      <status>modified</status>
      <modifiedWord>提起</modifiedWord>
      <trackRevisions>false</trackRevisions>
    </reviewItem>
    <reviewItem>
      <errorID>202dada9-df22-405a-b827-be48a993cc32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7dc706f4-988e-4176-a148-fcb7ab93a0bc</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82f3cae5-df49-4d7c-87d9-f44b769f4293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09fa3cb2-edb0-44f3-b77e-eb1f8300a762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931985aa-3c4e-4e7c-8d22-3e6a1579a5df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44400369-1ede-4331-baae-af67fa7f0796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1AE7743</paraID>
      <start>0</start>
      <end>2</end>
      <status>unmodified</status>
      <modifiedWord/>
      <trackRevisions>false</trackRevisions>
    </reviewItem>
    <reviewItem>
      <errorID>80635cc6-e313-4c4b-a2be-5cd6b6dc7764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fd23e31a-de85-4eb9-ae76-de81282e5c79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1a81a976-69b9-4aa3-8029-cc662c0b85e9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64a4d279-bd2b-406e-a668-aff24634ff30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aba86e1c-35b8-4842-b54a-14833cd88fb2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7f3817e4-a918-41a0-976c-8ef132a5334a</errorID>
      <errorWord>&lt;</errorWord>
      <group>L1_Format</group>
      <groupName>格式问题</groupName>
      <ability>L2_HalfPunc</ability>
      <abilityName>全半角检查</abilityName>
      <candidateList>
        <item>〈</item>
      </candidateList>
      <explain>文本全半角错误。</explain>
      <paraID>7A0DDAE9</paraID>
      <start>25</start>
      <end>26</end>
      <status>unmodified</status>
      <modifiedWord/>
      <trackRevisions>false</trackRevisions>
    </reviewItem>
    <reviewItem>
      <errorID>c3ebf78e-8a7f-4ba9-bde7-4224ee3ccf8c</errorID>
      <errorWord>&lt;</errorWord>
      <group>L1_Format</group>
      <groupName>格式问题</groupName>
      <ability>L2_HalfPunc</ability>
      <abilityName>全半角检查</abilityName>
      <candidateList>
        <item>〈</item>
      </candidateList>
      <explain>文本全半角错误。</explain>
      <paraID> A55DB6E</paraID>
      <start>27</start>
      <end>28</end>
      <status>unmodified</status>
      <modifiedWord/>
      <trackRevisions>false</trackRevisions>
    </reviewItem>
    <reviewItem>
      <errorID>bb75e4c5-b6aa-4ae4-9b01-5a87015b9f29</errorID>
      <errorWord>，</errorWord>
      <group>L1_Word</group>
      <groupName>字词问题</groupName>
      <ability>L2_Typo</ability>
      <abilityName>字词错误</abilityName>
      <candidateList>
        <item>，并</item>
      </candidateList>
      <explain/>
      <paraID>1BED1975</paraID>
      <start>69</start>
      <end>70</end>
      <status>unmodified</status>
      <modifiedWord/>
      <trackRevisions>false</trackRevisions>
    </reviewItem>
    <reviewItem>
      <errorID>5161f779-04a6-4580-9d17-5ba56e4c41b0</errorID>
      <errorWord>&lt;</errorWord>
      <group>L1_Format</group>
      <groupName>格式问题</groupName>
      <ability>L2_HalfPunc</ability>
      <abilityName>全半角检查</abilityName>
      <candidateList>
        <item>〈</item>
      </candidateList>
      <explain>文本全半角错误。</explain>
      <paraID>7F5391E7</paraID>
      <start>37</start>
      <end>38</end>
      <status>unmodified</status>
      <modifiedWord/>
      <trackRevisions>false</trackRevisions>
    </reviewItem>
    <reviewItem>
      <errorID>dba05bd7-79af-474b-83e8-12fcf273cae1</errorID>
      <errorWord>&gt;的通知》</errorWord>
      <group>L1_Punc</group>
      <groupName>标点问题</groupName>
      <ability>L2_Punc</ability>
      <abilityName>标点符号检查</abilityName>
      <candidateList>
        <item>〉的通知》</item>
      </candidateList>
      <explain/>
      <paraID>7F5391E7</paraID>
      <start>57</start>
      <end>62</end>
      <status>unmodified</status>
      <modifiedWord/>
      <trackRevisions>false</trackRevisions>
    </reviewItem>
    <reviewItem>
      <errorID>177a868b-7d5f-48da-be47-5a668914262c</errorID>
      <errorWord>(</errorWord>
      <group>L1_Format</group>
      <groupName>格式问题</groupName>
      <ability>L2_HalfPunc</ability>
      <abilityName>全半角检查</abilityName>
      <candidateList>
        <item>（</item>
      </candidateList>
      <explain>文本全半角错误。</explain>
      <paraID>7F5391E7</paraID>
      <start>199</start>
      <end>200</end>
      <status>unmodified</status>
      <modifiedWord/>
      <trackRevisions>false</trackRevisions>
    </reviewItem>
    <reviewItem>
      <errorID>d84f47b5-4ed9-4a49-b300-1dde10e7e8de</errorID>
      <errorWord>)</errorWord>
      <group>L1_Format</group>
      <groupName>格式问题</groupName>
      <ability>L2_HalfPunc</ability>
      <abilityName>全半角检查</abilityName>
      <candidateList>
        <item>）</item>
      </candidateList>
      <explain>文本全半角错误。</explain>
      <paraID>7F5391E7</paraID>
      <start>227</start>
      <end>228</end>
      <status>unmodified</status>
      <modifiedWord/>
      <trackRevisions>false</trackRevisions>
    </reviewItem>
    <reviewItem>
      <errorID>7ac4f0af-18da-4606-b756-d5caac31dc74</errorID>
      <errorWord>《政府采购法》</errorWord>
      <group>L1_Word</group>
      <groupName>字词问题</groupName>
      <ability>L2_Typo</ability>
      <abilityName>字词错误</abilityName>
      <candidateList>
        <item>《中华人民共和国政府采购法》</item>
      </candidateList>
      <explain/>
      <paraID>704EBFF2</paraID>
      <start>129</start>
      <end>143</end>
      <status>modified</status>
      <modifiedWord>《中华人民共和国政府采购法》</modifiedWord>
      <trackRevisions>false</trackRevisions>
    </reviewItem>
    <reviewItem>
      <errorID>5241bef2-f696-4874-a0a8-0a07cb5dff63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6C1458A4</paraID>
      <start>35</start>
      <end>36</end>
      <status>unmodified</status>
      <modifiedWord/>
      <trackRevisions>false</trackRevisions>
    </reviewItem>
    <reviewItem>
      <errorID>699185f6-ac1c-43e3-aaa4-db631768b012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7C0261A6</paraID>
      <start>0</start>
      <end>2</end>
      <status>unmodified</status>
      <modifiedWord/>
      <trackRevisions>false</trackRevisions>
    </reviewItem>
    <reviewItem>
      <errorID>f05736ce-b50a-437d-bee4-3c23c797a96c</errorID>
      <errorWord>。】</errorWord>
      <group>L1_Punc</group>
      <groupName>标点问题</groupName>
      <ability>L2_Punc</ability>
      <abilityName>标点符号检查</abilityName>
      <candidateList>
        <item>】</item>
      </candidateList>
      <explain/>
      <paraID>7C0261A6</paraID>
      <start>196</start>
      <end>198</end>
      <status>unmodified</status>
      <modifiedWord/>
      <trackRevisions>false</trackRevisions>
    </reviewItem>
    <reviewItem>
      <errorID>ff585b81-27f0-43c3-9df5-daaa1e89ecfb</errorID>
      <errorWord>,</errorWord>
      <group>L1_Format</group>
      <groupName>格式问题</groupName>
      <ability>L2_HalfPunc</ability>
      <abilityName>全半角检查</abilityName>
      <candidateList>
        <item>，</item>
      </candidateList>
      <explain>文本全半角错误。</explain>
      <paraID> 2B1FE8C</paraID>
      <start>23</start>
      <end>24</end>
      <status>unmodified</status>
      <modifiedWord/>
      <trackRevisions>false</trackRevisions>
    </reviewItem>
    <reviewItem>
      <errorID>ff560013-d541-4374-a5d9-f095fb4f3b53</errorID>
      <errorWord>,</errorWord>
      <group>L1_Format</group>
      <groupName>格式问题</groupName>
      <ability>L2_HalfPunc</ability>
      <abilityName>全半角检查</abilityName>
      <candidateList>
        <item>，</item>
      </candidateList>
      <explain>文本全半角错误。</explain>
      <paraID> 2B1FE8C</paraID>
      <start>60</start>
      <end>61</end>
      <status>unmodified</status>
      <modifiedWord/>
      <trackRevisions>false</trackRevisions>
    </reviewItem>
    <reviewItem>
      <errorID>366b1fca-bb45-4a79-b324-6f9a7678c441</errorID>
      <errorWord>要点为</errorWord>
      <group>L1_Word</group>
      <groupName>字词问题</groupName>
      <ability>L2_Typo</ability>
      <abilityName>字词错误</abilityName>
      <candidateList>
        <item>要点</item>
      </candidateList>
      <explain/>
      <paraID>6F7B23FB</paraID>
      <start>7</start>
      <end>10</end>
      <status>unmodified</status>
      <modifiedWord/>
      <trackRevisions>false</trackRevisions>
    </reviewItem>
    <reviewItem>
      <errorID>d7482926-48a0-4224-bf0e-3adac4f94a2d</errorID>
      <errorWord>要点为</errorWord>
      <group>L1_Word</group>
      <groupName>字词问题</groupName>
      <ability>L2_Typo</ability>
      <abilityName>字词错误</abilityName>
      <candidateList>
        <item>要点</item>
      </candidateList>
      <explain/>
      <paraID>  AF14DB</paraID>
      <start>7</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C248618-4853-4D5A-A8D0-4F5DC17272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4</cp:revision>
  <dcterms:created xsi:type="dcterms:W3CDTF">2026-04-01T12:33:00Z</dcterms:created>
  <dcterms:modified xsi:type="dcterms:W3CDTF">2026-05-06T05:34:10Z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EA896F0AA69343979648750076DE4831_13</vt:lpwstr>
  </property>
  <property fmtid="{D5CDD505-2E9C-101B-9397-08002B2CF9AE}" pid="4" name="KSOTemplateDocerSaveRecord">
    <vt:lpwstr>eyJoZGlkIjoiOTM2YmFjNGNlNzVkM2ViYzJhOTEyOTQ2MTMxNWVhYTUiLCJ1c2VySWQiOiIzNzk1NzEzMTYifQ==</vt:lpwstr>
  </property>
</Properties>
</file>