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spacing w:before="120" w:beforeAutospacing="0" w:after="120" w:afterAutospacing="0" w:line="360" w:lineRule="auto"/>
        <w:rPr>
          <w:rFonts w:hint="eastAsia" w:ascii="宋体" w:hAnsi="宋体" w:eastAsia="宋体" w:cs="宋体"/>
          <w:color w:val="auto"/>
          <w:highlight w:val="none"/>
        </w:rPr>
      </w:pPr>
      <w:r>
        <w:rPr>
          <w:color w:val="auto"/>
          <w:highlight w:val="none"/>
        </w:rPr>
        <w:t xml:space="preserve"> </w:t>
      </w:r>
      <w:r/>
    </w:p>
    <w:p>
      <w:pPr>
        <w:jc w:val="center"/>
        <w:spacing w:before="156" w:after="156" w:line="1320" w:lineRule="exact"/>
        <w:rPr>
          <w:rFonts w:hint="eastAsia" w:ascii="宋体" w:hAnsi="宋体" w:eastAsia="宋体" w:cs="宋体"/>
          <w:b/>
          <w:color w:val="auto"/>
          <w:sz w:val="96"/>
          <w:szCs w:val="96"/>
          <w:highlight w:val="none"/>
          <w:lang w:eastAsia="zh-CN"/>
        </w:rPr>
        <w:outlineLvl w:val="0"/>
      </w:pPr>
      <w:r>
        <w:rPr>
          <w:rFonts w:hint="eastAsia" w:ascii="宋体" w:hAnsi="宋体" w:eastAsia="宋体" w:cs="宋体"/>
          <w:b/>
          <w:bCs w:val="0"/>
          <w:color w:val="auto"/>
          <w:sz w:val="60"/>
          <w:szCs w:val="112"/>
          <w:highlight w:val="none"/>
          <w:lang w:eastAsia="zh-CN"/>
        </w:rPr>
        <w:t xml:space="preserve">2026年东台市垃圾分类房运营服务采购项目</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编号：JSZC-320981-XHZB-G2026-0010</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881"/>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东台市环境卫生管理处</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z w:val="31"/>
          <w:highlight w:val="none"/>
          <w:u w:val="single"/>
        </w:rPr>
        <w:t xml:space="preserve">  东台市兴华招标代理有限公司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882"/>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73"/>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w:t>
      </w:r>
      <w:r>
        <w:rPr>
          <w:rFonts w:hint="eastAsia" w:ascii="宋体" w:hAnsi="宋体" w:eastAsia="宋体" w:cs="宋体"/>
          <w:b/>
          <w:color w:val="auto"/>
          <w:sz w:val="31"/>
          <w:highlight w:val="none"/>
          <w:u w:val="single"/>
          <w:lang w:val="en-US" w:eastAsia="zh-CN"/>
        </w:rPr>
        <w:t xml:space="preserve">6</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5</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7</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873"/>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73"/>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23127445"/>
      <w:r/>
      <w:bookmarkStart w:id="1" w:name="_Toc120614210"/>
      <w:r/>
      <w:bookmarkStart w:id="2" w:name="_Toc20823272"/>
      <w:r/>
      <w:bookmarkStart w:id="3" w:name="_Toc513029200"/>
      <w:r/>
      <w:bookmarkStart w:id="4" w:name="_Toc16938516"/>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73"/>
        <w:jc w:val="both"/>
        <w:spacing w:beforeAutospacing="0" w:afterAutospacing="0" w:line="480" w:lineRule="auto"/>
        <w:rPr>
          <w:color w:val="auto"/>
          <w:highlight w:val="none"/>
        </w:rPr>
      </w:pPr>
      <w:r>
        <w:rPr>
          <w:color w:val="auto"/>
          <w:highlight w:val="none"/>
        </w:rPr>
        <w:t xml:space="preserve"> </w:t>
      </w:r>
      <w:r/>
    </w:p>
    <w:p>
      <w:pPr>
        <w:pStyle w:val="87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87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87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7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7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87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2026年东台市垃圾分类房运营服务采购项目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87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6" w:name="_Hlk24379207"/>
      <w:r/>
      <w:bookmarkStart w:id="7" w:name="_Toc28359079"/>
      <w:r/>
      <w:bookmarkStart w:id="8" w:name="_Toc28359002"/>
      <w:r/>
      <w:bookmarkStart w:id="9" w:name="_Toc38985263"/>
      <w:r/>
      <w:bookmarkStart w:id="10" w:name="_Toc35393790"/>
      <w:r/>
      <w:bookmarkStart w:id="11" w:name="_Toc35393621"/>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1.项目编号：JSZC-320981-XHZB-G2026-0010</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2026年东台市垃圾分类房运营服务采购项目</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73"/>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282万元</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bidi="ar-SA"/>
        </w:rPr>
        <w:t xml:space="preserve">282</w:t>
      </w:r>
      <w:r>
        <w:rPr>
          <w:rFonts w:hint="eastAsia" w:ascii="宋体" w:hAnsi="宋体" w:eastAsia="宋体" w:cs="宋体"/>
          <w:color w:val="auto"/>
          <w:sz w:val="24"/>
          <w:szCs w:val="24"/>
          <w:highlight w:val="none"/>
          <w:lang w:val="en-US" w:eastAsia="zh-CN"/>
        </w:rPr>
        <w:t xml:space="preserve">万元</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台市环境卫生管理处2026年垃圾房亭运营服务，负责东台市93个小区内183座垃圾分类设施的日常运营管理，包括分类房安全保障、设备设施维护、点位督导、分类收集及同时负责全东台市153座垃圾房（亭）远程监控数据流量卡的结算，</w:t>
      </w:r>
      <w:r>
        <w:rPr>
          <w:rFonts w:ascii="SimSun" w:hAnsi="SimSun" w:eastAsia="SimSun" w:cs="SimSun"/>
          <w:color w:val="000000" w:themeColor="text1"/>
          <w:sz w:val="24"/>
        </w:rPr>
        <w:t xml:space="preserve">市区所有垃圾分类设施</w:t>
      </w:r>
      <w:r>
        <w:rPr>
          <w:rFonts w:hint="eastAsia" w:ascii="宋体" w:hAnsi="宋体" w:eastAsia="宋体" w:cs="宋体"/>
          <w:color w:val="auto"/>
          <w:sz w:val="24"/>
          <w:szCs w:val="24"/>
          <w:highlight w:val="none"/>
          <w:lang w:val="en-US" w:eastAsia="zh-CN"/>
        </w:rPr>
        <w:t xml:space="preserve">宣传氛围查缺补漏、108个小区汇总台账、“城管开放日”宣传活动等。（详细内容见本招标文件第四章）</w:t>
      </w:r>
      <w:r/>
    </w:p>
    <w:p>
      <w:pPr>
        <w:pStyle w:val="873"/>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1年，自签订合同之日起开始计算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如遇政策调整导致服务内容发生较大变化的，招标人可无条件终止合同并无需支付任何赔偿，已履约部分按中标总价折算成日单价进行结算。</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pStyle w:val="87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 w:name="_Toc28359080"/>
      <w:r/>
      <w:bookmarkStart w:id="13" w:name="_Toc35393791"/>
      <w:r/>
      <w:bookmarkStart w:id="14" w:name="_Toc28359003"/>
      <w:r/>
      <w:bookmarkStart w:id="15" w:name="_Toc38985264"/>
      <w:r/>
      <w:bookmarkStart w:id="16" w:name="_Toc35393622"/>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w:t>
      </w:r>
      <w:r>
        <w:rPr>
          <w:rFonts w:hint="eastAsia" w:ascii="宋体" w:hAnsi="宋体" w:eastAsia="宋体" w:cs="宋体"/>
          <w:color w:val="auto"/>
          <w:sz w:val="24"/>
          <w:szCs w:val="24"/>
          <w:highlight w:val="none"/>
          <w:lang w:val="en-US" w:eastAsia="zh-CN"/>
        </w:rPr>
        <w:t xml:space="preserve">或上上年度</w:t>
      </w:r>
      <w:r>
        <w:rPr>
          <w:rFonts w:hint="eastAsia" w:ascii="宋体" w:hAnsi="宋体" w:eastAsia="宋体" w:cs="宋体"/>
          <w:color w:val="auto"/>
          <w:sz w:val="24"/>
          <w:szCs w:val="24"/>
          <w:highlight w:val="none"/>
        </w:rPr>
        <w:t xml:space="preserve">的财务状况报表（成立不满一年无需提供）；</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截止时间前一年内至少一个月依法缴纳税收及缴纳社会保障资金的证明材料。供应商依法享受缓缴、免缴税收、社会保障资金的证明材料）；</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为专门面向小微企业采购的项目，供应商必须为小微企业、监狱企业、残疾人福利性单位，不接受非小微企业参与本项目投标。投标文件中需提供《中小企业声明函》，否则按无效投标处理。具体中小企业划分标准详见《关于印发中小企业划型标准规定的通知》工信部联企业〔2011〕300号文件。因本项目专门面向小微企业采购，故不再执行价格评审优惠的扶持政策。</w:t>
      </w:r>
      <w:r/>
    </w:p>
    <w:p>
      <w:pPr>
        <w:pStyle w:val="873"/>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监狱企业、残疾人福利性单位视同小微企业。</w:t>
      </w:r>
      <w:r/>
    </w:p>
    <w:p>
      <w:pPr>
        <w:pStyle w:val="873"/>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供应商如委托被授权人参与，则被授权人须为本单位正式职工并提供供应商为被授权人缴纳的社会养老保险证明。</w:t>
      </w:r>
      <w:r/>
    </w:p>
    <w:p>
      <w:pPr>
        <w:pStyle w:val="87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7" w:name="_Toc28359005"/>
      <w:r/>
      <w:bookmarkStart w:id="18" w:name="_Toc35393624"/>
      <w:r/>
      <w:bookmarkStart w:id="19" w:name="_Toc28359082"/>
      <w:r/>
      <w:bookmarkStart w:id="20" w:name="_Toc38985266"/>
      <w:r/>
      <w:bookmarkStart w:id="21" w:name="_Toc35393793"/>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7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bookmarkStart w:id="196" w:name="_GoBack"/>
      <w:r/>
      <w:bookmarkEnd w:id="196"/>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2.地点：“苏采云”政府采购交易系统网上开标大厅。</w:t>
      </w:r>
      <w:r/>
    </w:p>
    <w:p>
      <w:pPr>
        <w:pStyle w:val="87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2" w:name="_Toc28359084"/>
      <w:r/>
      <w:bookmarkStart w:id="23" w:name="_Toc35393794"/>
      <w:r/>
      <w:bookmarkStart w:id="24" w:name="_Toc38985267"/>
      <w:r/>
      <w:bookmarkStart w:id="25" w:name="_Toc35393625"/>
      <w:r/>
      <w:bookmarkStart w:id="26" w:name="_Toc2835900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73"/>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64"/>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称：东台市环境卫生管理处  </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址：东台市北海西路8号  </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联系方式：朱先生 18962092680                 </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称：东台市兴华招标代理有限公司</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址：东台市东达翰林缘小区商铺12-104号</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联系方式：刘先生 13921850520                   </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项目联系人：朱先生、刘先生</w:t>
      </w:r>
      <w:r/>
    </w:p>
    <w:p>
      <w:pPr>
        <w:pStyle w:val="873"/>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话：18962092680、13921850520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73"/>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r>
      <w:r/>
    </w:p>
    <w:p>
      <w:pPr>
        <w:pStyle w:val="873"/>
        <w:ind w:firstLine="2429"/>
        <w:jc w:val="both"/>
        <w:keepLines/>
        <w:keepNext/>
        <w:spacing w:before="260" w:beforeAutospacing="0" w:after="260" w:afterAutospacing="0" w:line="415" w:lineRule="auto"/>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16938518"/>
      <w:r/>
      <w:bookmarkStart w:id="34" w:name="_Toc20823274"/>
      <w:r/>
      <w:bookmarkStart w:id="35" w:name="_Toc120614213"/>
      <w:r/>
      <w:bookmarkStart w:id="36" w:name="_Toc513029202"/>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7" w:name="_Toc513029203"/>
      <w:r/>
      <w:bookmarkStart w:id="38" w:name="_Toc120614214"/>
      <w:r/>
      <w:bookmarkStart w:id="39" w:name="_Toc16938519"/>
      <w:r/>
      <w:bookmarkStart w:id="40" w:name="_Toc20823275"/>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1" w:name="_Toc16938520"/>
      <w:r/>
      <w:bookmarkStart w:id="42" w:name="_Toc20823276"/>
      <w:r/>
      <w:bookmarkStart w:id="43" w:name="_Toc513029204"/>
      <w:r/>
      <w:bookmarkStart w:id="44" w:name="_Toc458694821"/>
      <w:r/>
      <w:bookmarkStart w:id="45" w:name="_Hlt16619475"/>
      <w:r>
        <w:rPr>
          <w:rFonts w:hint="eastAsia" w:ascii="宋体" w:hAnsi="宋体" w:eastAsia="宋体"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6" w:name="_Toc20823277"/>
      <w:r/>
      <w:bookmarkStart w:id="47" w:name="_Toc513029205"/>
      <w:r/>
      <w:bookmarkStart w:id="48" w:name="_Toc16938521"/>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6"/>
      <w:r/>
      <w:bookmarkEnd w:id="47"/>
      <w:r/>
      <w:bookmarkEnd w:id="48"/>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9" w:name="_Toc16938522"/>
      <w:r/>
      <w:bookmarkStart w:id="50" w:name="_Toc20823278"/>
      <w:r/>
      <w:bookmarkStart w:id="51" w:name="_Toc513029206"/>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9"/>
      <w:r/>
      <w:bookmarkEnd w:id="50"/>
      <w:r/>
      <w:bookmarkEnd w:id="51"/>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2" w:name="_Toc20823279"/>
      <w:r/>
      <w:bookmarkStart w:id="53" w:name="_Toc513029207"/>
      <w:r/>
      <w:bookmarkStart w:id="54" w:name="_Toc462564067"/>
      <w:r/>
      <w:bookmarkStart w:id="55" w:name="_Toc16938523"/>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2"/>
      <w:r/>
      <w:bookmarkEnd w:id="53"/>
      <w:r/>
      <w:bookmarkEnd w:id="54"/>
      <w:r/>
      <w:bookmarkEnd w:id="55"/>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不收取标书工本费与中标服务费。</w:t>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6" w:name="_Toc120614215"/>
      <w:r/>
      <w:bookmarkStart w:id="57" w:name="_Toc16938525"/>
      <w:r/>
      <w:bookmarkStart w:id="58" w:name="_Toc513029209"/>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0" w:name="_Toc20823282"/>
      <w:r/>
      <w:bookmarkStart w:id="61" w:name="_Toc16938526"/>
      <w:r/>
      <w:bookmarkStart w:id="62" w:name="_Toc513029210"/>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0"/>
      <w:r/>
      <w:bookmarkEnd w:id="61"/>
      <w:r/>
      <w:bookmarkEnd w:id="62"/>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联系解决。</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3" w:name="_Toc513029211"/>
      <w:r/>
      <w:bookmarkStart w:id="64" w:name="_Toc20823283"/>
      <w:r/>
      <w:bookmarkStart w:id="65" w:name="_Toc16938527"/>
      <w:r/>
      <w:bookmarkStart w:id="66" w:name="_Toc462564070"/>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63"/>
      <w:r/>
      <w:bookmarkEnd w:id="64"/>
      <w:r/>
      <w:bookmarkEnd w:id="65"/>
      <w:r/>
      <w:bookmarkEnd w:id="66"/>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7" w:name="_Toc16938528"/>
      <w:r/>
      <w:bookmarkStart w:id="68" w:name="_Toc513029212"/>
      <w:r/>
      <w:bookmarkStart w:id="69" w:name="_Toc462564071"/>
      <w:r/>
      <w:bookmarkStart w:id="70" w:name="_Toc20823284"/>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67"/>
      <w:r/>
      <w:bookmarkEnd w:id="68"/>
      <w:r/>
      <w:bookmarkEnd w:id="69"/>
      <w:r/>
      <w:bookmarkEnd w:id="70"/>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1" w:name="_Toc120614216"/>
      <w:r/>
      <w:bookmarkStart w:id="72" w:name="_Toc513029213"/>
      <w:r/>
      <w:bookmarkStart w:id="73" w:name="_Toc16938529"/>
      <w:r/>
      <w:bookmarkStart w:id="74" w:name="_Toc462564072"/>
      <w:r/>
      <w:bookmarkStart w:id="75" w:name="_Toc20823285"/>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6" w:name="_Toc462564073"/>
      <w:r/>
      <w:bookmarkStart w:id="77" w:name="_Toc513029214"/>
      <w:r/>
      <w:bookmarkStart w:id="78" w:name="_Toc20823286"/>
      <w:r/>
      <w:bookmarkStart w:id="79" w:name="_Toc16938530"/>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6"/>
      <w:r/>
      <w:bookmarkEnd w:id="77"/>
      <w:r/>
      <w:bookmarkEnd w:id="78"/>
      <w:r/>
      <w:bookmarkEnd w:id="79"/>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16938531"/>
      <w:r/>
      <w:bookmarkStart w:id="81" w:name="_Toc20823287"/>
      <w:r/>
      <w:bookmarkStart w:id="82" w:name="_Toc462564074"/>
      <w:r/>
      <w:bookmarkStart w:id="83" w:name="_Toc513029215"/>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0"/>
      <w:r/>
      <w:bookmarkEnd w:id="81"/>
      <w:r/>
      <w:bookmarkEnd w:id="82"/>
      <w:r/>
      <w:bookmarkEnd w:id="83"/>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513029219"/>
      <w:r/>
      <w:bookmarkStart w:id="85" w:name="_Toc513029216"/>
      <w:r/>
      <w:bookmarkStart w:id="86" w:name="_Toc14577357"/>
      <w:r/>
      <w:bookmarkStart w:id="87" w:name="_Toc49090507"/>
      <w:r/>
      <w:bookmarkStart w:id="88" w:name="_Toc14577354"/>
      <w:r/>
      <w:bookmarkStart w:id="89" w:name="_Toc49090509"/>
      <w:r/>
      <w:bookmarkStart w:id="90" w:name="_Hlt26670360"/>
      <w:r/>
      <w:bookmarkStart w:id="91" w:name="_Hlt26668975"/>
      <w:r/>
      <w:bookmarkStart w:id="92" w:name="_Hlt26954838"/>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84"/>
      <w:r/>
      <w:bookmarkEnd w:id="85"/>
      <w:r/>
      <w:bookmarkEnd w:id="86"/>
      <w:r/>
      <w:bookmarkEnd w:id="87"/>
      <w:r/>
      <w:bookmarkEnd w:id="88"/>
      <w:r/>
      <w:bookmarkEnd w:id="89"/>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3" w:name="_Toc14577355"/>
      <w:r/>
      <w:bookmarkStart w:id="9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w:t>
      </w:r>
      <w:r>
        <w:rPr>
          <w:rFonts w:hint="eastAsia" w:ascii="宋体" w:hAnsi="宋体" w:eastAsia="宋体" w:cs="宋体"/>
          <w:color w:val="auto"/>
          <w:sz w:val="24"/>
          <w:szCs w:val="24"/>
          <w:highlight w:val="none"/>
          <w:lang w:eastAsia="zh-CN"/>
        </w:rPr>
        <w:t xml:space="preserve">件的</w:t>
      </w:r>
      <w:r>
        <w:rPr>
          <w:rFonts w:hint="eastAsia" w:ascii="宋体" w:hAnsi="宋体" w:eastAsia="宋体" w:cs="宋体"/>
          <w:color w:val="auto"/>
          <w:sz w:val="24"/>
          <w:szCs w:val="24"/>
          <w:highlight w:val="none"/>
        </w:rPr>
        <w:t xml:space="preserve">规定。</w:t>
      </w:r>
      <w:bookmarkEnd w:id="93"/>
      <w:r/>
      <w:bookmarkEnd w:id="94"/>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w:t>
      </w:r>
      <w:bookmarkStart w:id="95" w:name="_Hlt26670373"/>
      <w:r>
        <w:rPr>
          <w:rFonts w:hint="eastAsia" w:ascii="宋体" w:hAnsi="宋体" w:eastAsia="宋体" w:cs="宋体"/>
          <w:color w:val="auto"/>
          <w:sz w:val="24"/>
          <w:szCs w:val="24"/>
          <w:highlight w:val="none"/>
        </w:rPr>
        <w:t xml:space="preserve">表</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8" w:name="_Hlt26954842"/>
      <w:r/>
      <w:bookmarkStart w:id="99" w:name="_Hlt26670425"/>
      <w:r/>
      <w:bookmarkStart w:id="100" w:name="_Hlt26954844"/>
      <w:r/>
      <w:bookmarkStart w:id="101" w:name="_Hlt26954731"/>
      <w:r/>
      <w:bookmarkStart w:id="102" w:name="_Hlt26670482"/>
      <w:r/>
      <w:bookmarkStart w:id="103" w:name="_Hlt26954848"/>
      <w:r/>
      <w:bookmarkStart w:id="104" w:name="_Hlt26954846"/>
      <w:r/>
      <w:bookmarkStart w:id="105" w:name="_Hlt26670486"/>
      <w:r/>
      <w:bookmarkStart w:id="106" w:name="_Hlt26670403"/>
      <w:r/>
      <w:bookmarkStart w:id="107" w:name="_Hlt26668983"/>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73"/>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8" w:name="_Toc14577359"/>
      <w:r/>
      <w:bookmarkStart w:id="109" w:name="_Toc49090510"/>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08"/>
      <w:r/>
      <w:bookmarkEnd w:id="109"/>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0" w:name="_Toc14577360"/>
      <w:r/>
      <w:bookmarkStart w:id="111" w:name="_Toc49090511"/>
      <w:r/>
      <w:bookmarkStart w:id="112" w:name="_Hlt26954734"/>
      <w:r/>
      <w:bookmarkStart w:id="113" w:name="_Hlt26954850"/>
      <w:r/>
      <w:bookmarkStart w:id="114" w:name="_Hlt26670489"/>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0"/>
      <w:r/>
      <w:bookmarkEnd w:id="111"/>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5" w:name="_Toc16938540"/>
      <w:r/>
      <w:bookmarkStart w:id="116" w:name="_Toc120614217"/>
      <w:r/>
      <w:bookmarkStart w:id="117" w:name="_Toc513029224"/>
      <w:r/>
      <w:bookmarkStart w:id="118" w:name="_Toc20823296"/>
      <w:r/>
      <w:bookmarkStart w:id="119" w:name="_Hlt26954852"/>
      <w:r/>
      <w:bookmarkStart w:id="120" w:name="_Hlt26954739"/>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1" w:name="_Toc462564084"/>
      <w:r/>
      <w:bookmarkStart w:id="122" w:name="_Toc20823297"/>
      <w:r/>
      <w:bookmarkStart w:id="123" w:name="_Toc513029225"/>
      <w:r/>
      <w:bookmarkStart w:id="124" w:name="_Toc16938541"/>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网络环境、网络带宽等风险因素，如因投标人自身原因造成的电子投标文件上传不</w:t>
      </w:r>
      <w:r>
        <w:rPr>
          <w:rFonts w:hint="eastAsia" w:ascii="宋体" w:hAnsi="宋体" w:eastAsia="宋体" w:cs="宋体"/>
          <w:color w:val="auto"/>
          <w:sz w:val="24"/>
          <w:szCs w:val="24"/>
          <w:highlight w:val="none"/>
          <w:lang w:eastAsia="zh-CN"/>
        </w:rPr>
        <w:t xml:space="preserve">成功地按照</w:t>
      </w:r>
      <w:r>
        <w:rPr>
          <w:rFonts w:hint="eastAsia" w:ascii="宋体" w:hAnsi="宋体" w:eastAsia="宋体" w:cs="宋体"/>
          <w:color w:val="auto"/>
          <w:sz w:val="24"/>
          <w:szCs w:val="24"/>
          <w:highlight w:val="none"/>
        </w:rPr>
        <w:t xml:space="preserve">本招标文件第二章第26.1.2条 规定</w:t>
      </w:r>
      <w:r>
        <w:rPr>
          <w:rFonts w:hint="eastAsia" w:ascii="宋体" w:hAnsi="宋体" w:eastAsia="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无效投标处理。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8" w:name="_Toc20823299"/>
      <w:r/>
      <w:bookmarkStart w:id="129" w:name="_Toc16938543"/>
      <w:r/>
      <w:bookmarkStart w:id="130" w:name="_Toc513029227"/>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1" w:name="_Toc20823300"/>
      <w:r/>
      <w:bookmarkStart w:id="132" w:name="_Toc513029228"/>
      <w:r/>
      <w:bookmarkStart w:id="133" w:name="_Toc16938544"/>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4" w:name="_Toc120614218"/>
      <w:r/>
      <w:bookmarkStart w:id="135" w:name="_Toc16938545"/>
      <w:r/>
      <w:bookmarkStart w:id="136" w:name="_Toc20823301"/>
      <w:r/>
      <w:bookmarkStart w:id="137" w:name="_Toc513029229"/>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8" w:name="_Toc513029230"/>
      <w:r/>
      <w:bookmarkStart w:id="139" w:name="_Toc16938546"/>
      <w:r/>
      <w:bookmarkStart w:id="140" w:name="_Toc20823302"/>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38"/>
      <w:r/>
      <w:bookmarkEnd w:id="139"/>
      <w:r/>
      <w:bookmarkEnd w:id="140"/>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投标文件解密、开标结果确认等工作，应按照《操作手册》规定执行。</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513029232"/>
      <w:r/>
      <w:bookmarkStart w:id="145" w:name="_Toc16938548"/>
      <w:r/>
      <w:bookmarkStart w:id="146" w:name="_Toc20823304"/>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7" w:name="_Toc513029233"/>
      <w:r/>
      <w:bookmarkStart w:id="148" w:name="_Toc16938549"/>
      <w:r/>
      <w:bookmarkStart w:id="149" w:name="_Toc20823305"/>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0" w:name="_Toc20823306"/>
      <w:r/>
      <w:bookmarkStart w:id="151" w:name="_Toc16938550"/>
      <w:r/>
      <w:bookmarkStart w:id="152"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3" w:name="_Toc20823307"/>
      <w:r/>
      <w:bookmarkStart w:id="154" w:name="_Toc513029235"/>
      <w:r/>
      <w:bookmarkStart w:id="155" w:name="_Toc16938551"/>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26.1.10投标人不能证明其报价合理性的，评标委员会应当将其作为无效投标处理。</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（一）评审过程中出现下列情形之一的，评标委员会应当启动异常低价投标审查程序：</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1.投标报价低于全部通过符合性审查供应商投标报价平均值50%的，即投标报价&lt;全部通过符合性审查供应商投标报价平均值×50%； </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2.投标报价低于通过符合性审查的次低报价供应商投标报价50%的，即投标报价&lt;通过符合性审查的次低报价供应商投标报价×50%； </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3.投标报价低于采购项目最高限价45%的，即投标报价&lt;采购项目最高限价×45%； </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73"/>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873"/>
        <w:ind w:left="0" w:firstLine="482"/>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实质响应的供应商不足三家的。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7" w:name="_Toc20823310"/>
      <w:r/>
      <w:bookmarkStart w:id="158" w:name="_Toc513029238"/>
      <w:r/>
      <w:bookmarkStart w:id="159" w:name="_Toc16938554"/>
      <w:r>
        <w:rPr>
          <w:rFonts w:hint="eastAsia" w:ascii="宋体" w:hAnsi="宋体" w:eastAsia="宋体" w:cs="宋体"/>
          <w:color w:val="auto"/>
          <w:sz w:val="24"/>
          <w:szCs w:val="24"/>
          <w:highlight w:val="none"/>
          <w:lang w:eastAsia="zh-CN"/>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rPr>
        <w:t xml:space="preserve">质疑处理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73"/>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1" w:name="_Toc120614220"/>
      <w:r/>
      <w:bookmarkStart w:id="162" w:name="_Toc16938552"/>
      <w:r/>
      <w:bookmarkStart w:id="163" w:name="_Toc20823308"/>
      <w:r/>
      <w:bookmarkStart w:id="164" w:name="_Toc513029236"/>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5" w:name="_Toc20823309"/>
      <w:r/>
      <w:bookmarkStart w:id="166" w:name="_Toc513029237"/>
      <w:r/>
      <w:bookmarkStart w:id="167" w:name="_Toc16938553"/>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w:t>
      </w:r>
      <w:r>
        <w:rPr>
          <w:rFonts w:hint="eastAsia" w:ascii="宋体" w:hAnsi="宋体" w:eastAsia="宋体" w:cs="宋体"/>
          <w:color w:val="auto"/>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73"/>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采购人优先采购各级政府部门公开发布的有效期内的创新产品、创新服务、首台套、首购首用等《目录》中的创新产品。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873"/>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873"/>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34.代理服务费</w:t>
      </w:r>
      <w:r/>
    </w:p>
    <w:p>
      <w:pPr>
        <w:pStyle w:val="873"/>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本项目代理服务费由招标人支付。</w:t>
      </w:r>
      <w:r/>
    </w:p>
    <w:p>
      <w:pPr>
        <w:pStyle w:val="87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7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500" w:lineRule="exact"/>
        <w:widowControl w:val="off"/>
        <w:rPr>
          <w:rFonts w:hint="eastAsia" w:ascii="黑体" w:hAnsi="宋体" w:eastAsia="黑体" w:cs="黑体"/>
          <w:b/>
          <w:color w:val="auto"/>
          <w:sz w:val="44"/>
          <w:szCs w:val="44"/>
          <w:highlight w:val="none"/>
          <w:lang w:val="en-US" w:eastAsia="zh-CN" w:bidi="ar-SA"/>
        </w:rPr>
      </w:pPr>
      <w:r>
        <w:rPr>
          <w:rFonts w:hint="eastAsia" w:ascii="黑体" w:hAnsi="宋体" w:eastAsia="黑体" w:cs="黑体"/>
          <w:b/>
          <w:color w:val="auto"/>
          <w:sz w:val="44"/>
          <w:szCs w:val="44"/>
          <w:highlight w:val="none"/>
          <w:lang w:val="en-US" w:eastAsia="zh-CN" w:bidi="ar-SA"/>
        </w:rPr>
        <w:t xml:space="preserve">第三章  合同文本</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8" w:name="_Toc20823315"/>
      <w:r/>
      <w:bookmarkStart w:id="169" w:name="_Toc513029243"/>
      <w:r/>
      <w:bookmarkStart w:id="170"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873"/>
        <w:jc w:val="center"/>
        <w:keepLines w:val="0"/>
        <w:keepNext w:val="0"/>
        <w:pageBreakBefore w:val="0"/>
        <w:spacing w:before="145" w:beforeAutospacing="0" w:after="145" w:afterAutospacing="0" w:line="500" w:lineRule="exact"/>
        <w:widowControl w:val="off"/>
        <w:rPr>
          <w:color w:val="auto"/>
          <w:sz w:val="24"/>
          <w:szCs w:val="24"/>
          <w:highlight w:val="none"/>
        </w:rPr>
      </w:pPr>
      <w:r>
        <w:rPr>
          <w:color w:val="auto"/>
          <w:sz w:val="24"/>
          <w:szCs w:val="24"/>
          <w:highlight w:val="none"/>
        </w:rPr>
        <w:t xml:space="preserve"> </w:t>
      </w:r>
      <w:r/>
    </w:p>
    <w:p>
      <w:pPr>
        <w:pStyle w:val="873"/>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87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7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87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87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2026年东台市垃圾分类房运营服务采购项目</w:t>
      </w:r>
      <w:r>
        <w:rPr>
          <w:rFonts w:hint="eastAsia" w:ascii="宋体" w:hAnsi="宋体" w:eastAsia="宋体" w:cs="宋体"/>
          <w:color w:val="auto"/>
          <w:sz w:val="24"/>
          <w:szCs w:val="24"/>
          <w:highlight w:val="none"/>
        </w:rPr>
        <w:t xml:space="preserve">公开招标的结果，签署本合同。</w:t>
      </w:r>
      <w:r/>
    </w:p>
    <w:p>
      <w:pPr>
        <w:pStyle w:val="873"/>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73"/>
        <w:ind w:left="0" w:firstLine="480"/>
        <w:jc w:val="both"/>
        <w:keepLines w:val="0"/>
        <w:keepNext w:val="0"/>
        <w:pageBreakBefore w:val="0"/>
        <w:spacing w:beforeAutospacing="0" w:afterAutospacing="0" w:line="48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2026年东台市垃圾分类房运营服务采购项目</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采购内容</w:t>
      </w:r>
      <w:r>
        <w:rPr>
          <w:rFonts w:hint="eastAsia" w:ascii="宋体" w:hAnsi="宋体" w:eastAsia="宋体" w:cs="宋体"/>
          <w:color w:val="auto"/>
          <w:highlight w:val="none"/>
          <w:lang w:val="en-US" w:eastAsia="zh-CN"/>
        </w:rPr>
        <w:t xml:space="preserve">及技术要求</w:t>
      </w:r>
      <w:r>
        <w:rPr>
          <w:rFonts w:hint="eastAsia" w:ascii="宋体" w:hAnsi="宋体" w:eastAsia="宋体" w:cs="宋体"/>
          <w:color w:val="auto"/>
          <w:highlight w:val="none"/>
        </w:rPr>
        <w:t xml:space="preserve">：</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1.2.1设施运营管理</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负责东台市93个小区内共183座垃圾分类设施的日常运营管理，具体包括：</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（1）设施构成：包含90座大型垃圾分类房、63座小型垃圾分类房及30座无人值守垃圾分类亭。</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（2）运营内容：开展可回收物回收、现场分类投放督导、分类收集管理，以及有害垃圾的集中分类与合规处置。</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（3）撤桶并点：在93个小区中，完成5个小区的就近撤桶并点工作，优化分类投放布局。</w:t>
      </w:r>
      <w:r/>
    </w:p>
    <w:p>
      <w:pPr>
        <w:pStyle w:val="873"/>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（4）承担运营期间每座垃圾房的水电费用。</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1.2.2设施维护与安全保障</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（1）日常维护：承担全部183座垃圾房（亭）设施设备的日常维护、维修、安全管护及宣传标志标识牌的更换、更新等工作，确保各点位正常运行。</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（2）远程监控：负责153座设施的远程监控数据流量卡统一支付与费用结算，费用为64000元/年，该部分费用不可调整。</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1.2.3台账资料管理</w:t>
      </w:r>
      <w:r/>
    </w:p>
    <w:p>
      <w:pPr>
        <w:pStyle w:val="873"/>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（1）运营小区台账：负责108个运营管理小区垃圾分类台账资料的收集、整理，汇总，胶装。按照厚度不同，预计1-3本。</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1.2.4宣传与公众教育</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（1）专项宣传活动：按照上级部门要求，组织开展“城管开放日”宣传活动。</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（2）迎检展示配合：配合采购人完成108个小区各类迎检、考核所需的专项宣传与现场布置展示。</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14:ligatures w14:val="none"/>
        </w:rPr>
      </w:pPr>
      <w:r>
        <w:rPr>
          <w:rFonts w:hint="eastAsia" w:ascii="宋体" w:hAnsi="宋体" w:eastAsia="宋体" w:cs="宋体"/>
          <w:color w:val="auto"/>
          <w:highlight w:val="none"/>
          <w:lang w:val="en-US" w:eastAsia="zh-CN"/>
        </w:rPr>
        <w:t xml:space="preserve">（3）宣传设施维护：负责108个小区内垃圾分类设</w:t>
      </w:r>
      <w:r>
        <w:rPr>
          <w:rFonts w:hint="eastAsia" w:ascii="宋体" w:hAnsi="宋体" w:eastAsia="宋体" w:cs="宋体"/>
          <w:color w:val="auto"/>
          <w:highlight w:val="none"/>
          <w:lang w:val="en-US" w:eastAsia="zh-CN"/>
        </w:rPr>
        <w:t xml:space="preserve">施的维护，以及</w:t>
      </w:r>
      <w:r>
        <w:rPr>
          <w:rFonts w:hint="eastAsia" w:ascii="宋体" w:hAnsi="宋体" w:eastAsia="宋体" w:cs="宋体"/>
          <w:color w:val="auto"/>
          <w:highlight w:val="none"/>
          <w:lang w:val="en-US" w:eastAsia="zh-CN"/>
        </w:rPr>
        <w:t xml:space="preserve">市区所有垃圾分类设施</w:t>
      </w:r>
      <w:r>
        <w:rPr>
          <w:rFonts w:hint="eastAsia" w:ascii="宋体" w:hAnsi="宋体" w:eastAsia="宋体" w:cs="宋体"/>
          <w:color w:val="auto"/>
          <w:highlight w:val="none"/>
          <w:lang w:val="en-US" w:eastAsia="zh-CN"/>
        </w:rPr>
        <w:t xml:space="preserve">宣传栏宣传氛围的破损更换。</w:t>
      </w:r>
      <w:r>
        <w:rPr>
          <w:rFonts w:hint="eastAsia" w:ascii="宋体" w:hAnsi="宋体" w:eastAsia="宋体" w:cs="宋体"/>
          <w:color w:val="auto"/>
          <w:highlight w:val="none"/>
          <w:lang w:val="en-US" w:eastAsia="zh-CN"/>
        </w:rP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1.2.5其他相关服务</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（1）可回收物及有害垃圾清运与处置：按照规范要求，做好有害垃圾的分类清运与合规处置工作。</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（2）临时性工作：配合采购人完成与本项目运营相关的其他临时性工作。　　</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年，自202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日至202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日。（如服务期满，甲方仍未确定承接后续服务的中标供应商，则合同延续至新的中标供应商确定为止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结算以本合同中标价为基础结算）。</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注：如遇政策调整导致服务内容发生较大变化的，招标人可无条件终止合同并无需支付任何赔偿，已履约部分按中标总价折算成日单价进行结算。</w:t>
      </w:r>
      <w:r/>
    </w:p>
    <w:p>
      <w:pPr>
        <w:pStyle w:val="873"/>
        <w:ind w:left="0" w:firstLine="480"/>
        <w:jc w:val="both"/>
        <w:keepLines w:val="0"/>
        <w:keepNext w:val="0"/>
        <w:pageBreakBefore w:val="0"/>
        <w:spacing w:beforeAutospacing="0" w:afterAutospacing="0" w:line="480" w:lineRule="exact"/>
        <w:widowControl w:val="off"/>
        <w:rPr>
          <w:rFonts w:eastAsia="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履行地点：东台市</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二、合同金额</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本合同金额为人民币_________元（大写：________________元整），该金额为一年服务期的总费用，具体费用构成详见附件一。</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highlight w:val="none"/>
          <w:lang w:val="en-US" w:eastAsia="zh-CN"/>
        </w:rPr>
        <w:t xml:space="preserve">注：</w:t>
      </w:r>
      <w:r>
        <w:rPr>
          <w:rFonts w:hint="eastAsia" w:ascii="宋体" w:hAnsi="宋体" w:eastAsia="宋体" w:cs="宋体"/>
          <w:color w:val="auto"/>
          <w:highlight w:val="none"/>
        </w:rPr>
        <w:t xml:space="preserve">该价格包括人员工资福利、津贴、劳保费、各种保险、设备、人员食宿与交通、耗材、管理费、利润、税金等全部费用。</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highlight w:val="none"/>
        </w:rPr>
        <w:t xml:space="preserve">税费</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.1本合同执行中相关的一切税费均由乙方负担。</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四、知识产权</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五、产权担保</w:t>
      </w:r>
      <w:r/>
    </w:p>
    <w:p>
      <w:pPr>
        <w:pStyle w:val="873"/>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873"/>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履约保证金</w:t>
      </w:r>
      <w:r/>
    </w:p>
    <w:p>
      <w:pPr>
        <w:pStyle w:val="873"/>
        <w:ind w:left="0" w:firstLine="480"/>
        <w:jc w:val="both"/>
        <w:keepLines w:val="0"/>
        <w:keepNext w:val="0"/>
        <w:pageBreakBefore w:val="0"/>
        <w:spacing w:beforeAutospacing="0" w:afterAutospacing="0"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.1乙方交纳人民币</w:t>
      </w:r>
      <w:r>
        <w:rPr>
          <w:rFonts w:hint="eastAsia" w:ascii="宋体" w:hAnsi="宋体" w:eastAsia="宋体" w:cs="宋体"/>
          <w:color w:val="auto"/>
          <w:sz w:val="24"/>
          <w:szCs w:val="24"/>
          <w:highlight w:val="none"/>
          <w:u w:val="single"/>
          <w:lang w:val="en-US" w:eastAsia="zh-CN"/>
        </w:rPr>
        <w:t xml:space="preserve"> 中标金额的5%  </w:t>
      </w:r>
      <w:r>
        <w:rPr>
          <w:rFonts w:hint="eastAsia" w:ascii="宋体" w:hAnsi="宋体" w:eastAsia="宋体" w:cs="宋体"/>
          <w:color w:val="auto"/>
          <w:sz w:val="24"/>
          <w:szCs w:val="24"/>
          <w:highlight w:val="none"/>
        </w:rPr>
        <w:t xml:space="preserve">作为本合同的履约保证金。</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6.2乙方如信用评价等级为AA评级及以上（需提供信用管理部门备案的第三方信用报告）的，则免收履约保证金。</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6.3.1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6.3.2 如以履约保函（保险）形式缴纳履约保证金，供应商可通过政府采购电子履约保函（保险）平台（www.jsdzbh.com）在线申请履约保函（保险）。</w:t>
      </w:r>
      <w:r/>
    </w:p>
    <w:p>
      <w:pPr>
        <w:pStyle w:val="87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.2时间</w:t>
      </w:r>
      <w:r>
        <w:rPr>
          <w:rFonts w:hint="eastAsia" w:ascii="宋体" w:hAnsi="宋体" w:eastAsia="宋体" w:cs="宋体"/>
          <w:color w:val="auto"/>
          <w:sz w:val="24"/>
          <w:szCs w:val="24"/>
          <w:highlight w:val="none"/>
          <w:lang w:val="en-US" w:eastAsia="zh-CN"/>
        </w:rPr>
        <w:t xml:space="preserve">及条件</w:t>
      </w:r>
      <w:r>
        <w:rPr>
          <w:rFonts w:hint="eastAsia" w:ascii="宋体" w:hAnsi="宋体" w:eastAsia="宋体" w:cs="宋体"/>
          <w:color w:val="auto"/>
          <w:sz w:val="24"/>
          <w:szCs w:val="24"/>
          <w:highlight w:val="none"/>
        </w:rPr>
        <w:t xml:space="preserve">：委托运营期结束后，经专业厂商检验系统各设备完好无损、符合正常要求后30日内。</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不予退还情形：</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七、合同转包或分包</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7.1乙方不得将合同标的转包给他人履行。</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7.2乙方不得将合同标的分包给他人履行。</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八、考核及付款方式</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8.1 </w:t>
      </w:r>
      <w:r>
        <w:rPr>
          <w:rFonts w:hint="eastAsia" w:ascii="宋体" w:hAnsi="宋体" w:eastAsia="宋体" w:cs="宋体"/>
          <w:color w:val="auto"/>
          <w:highlight w:val="none"/>
        </w:rPr>
        <w:t xml:space="preserve">考核方式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每月</w:t>
      </w:r>
      <w:r>
        <w:rPr>
          <w:rFonts w:hint="eastAsia" w:ascii="宋体" w:hAnsi="宋体" w:eastAsia="宋体" w:cs="宋体"/>
          <w:color w:val="auto"/>
          <w:highlight w:val="none"/>
        </w:rPr>
        <w:t xml:space="preserve">根据东台市环境卫生管理处考核办法进行考核，如乙方考核不通过，则服务费用暂停拨付，直至整改到位。</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8.2 </w:t>
      </w:r>
      <w:r>
        <w:rPr>
          <w:rFonts w:hint="eastAsia" w:ascii="宋体" w:hAnsi="宋体" w:eastAsia="宋体" w:cs="宋体"/>
          <w:color w:val="auto"/>
          <w:highlight w:val="none"/>
        </w:rPr>
        <w:t xml:space="preserve">付款方式：</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8.2.1</w:t>
      </w:r>
      <w:r>
        <w:rPr>
          <w:rFonts w:hint="eastAsia" w:ascii="宋体" w:hAnsi="宋体" w:eastAsia="宋体" w:cs="宋体"/>
          <w:color w:val="auto"/>
          <w:highlight w:val="none"/>
        </w:rPr>
        <w:t xml:space="preserve">合同签订后支付</w:t>
      </w:r>
      <w:r>
        <w:rPr>
          <w:rFonts w:hint="eastAsia" w:ascii="宋体" w:hAnsi="宋体" w:eastAsia="宋体" w:cs="宋体"/>
          <w:color w:val="auto"/>
          <w:highlight w:val="none"/>
          <w:lang w:val="en-US" w:eastAsia="zh-CN"/>
        </w:rPr>
        <w:t xml:space="preserve">预算价款30%的</w:t>
      </w:r>
      <w:r>
        <w:rPr>
          <w:rFonts w:hint="eastAsia" w:ascii="宋体" w:hAnsi="宋体" w:eastAsia="宋体" w:cs="宋体"/>
          <w:color w:val="auto"/>
          <w:highlight w:val="none"/>
        </w:rPr>
        <w:t xml:space="preserve">预付款</w:t>
      </w:r>
      <w:r>
        <w:rPr>
          <w:rFonts w:hint="eastAsia" w:ascii="宋体" w:hAnsi="宋体" w:eastAsia="宋体" w:cs="宋体"/>
          <w:color w:val="auto"/>
          <w:highlight w:val="none"/>
          <w:lang w:eastAsia="zh-CN"/>
        </w:rPr>
        <w:t xml:space="preserve">；</w:t>
      </w:r>
      <w:r/>
    </w:p>
    <w:p>
      <w:pPr>
        <w:pStyle w:val="873"/>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8.2.2 </w:t>
      </w:r>
      <w:r>
        <w:rPr>
          <w:rFonts w:hint="eastAsia" w:ascii="宋体" w:hAnsi="宋体" w:eastAsia="宋体" w:cs="宋体"/>
          <w:color w:val="auto"/>
          <w:highlight w:val="none"/>
          <w:lang w:val="en-US" w:eastAsia="zh-CN"/>
        </w:rPr>
        <w:t xml:space="preserve">服务时间满6个月，支付至合同价的50%（预付款项在结算时优先扣除）。</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8.2.3 服务期满后一次性付清余款。</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8.2.4 </w:t>
      </w:r>
      <w:r>
        <w:rPr>
          <w:rFonts w:hint="eastAsia" w:ascii="宋体" w:hAnsi="宋体" w:eastAsia="宋体" w:cs="宋体"/>
          <w:color w:val="auto"/>
          <w:highlight w:val="none"/>
        </w:rPr>
        <w:t xml:space="preserve">如经上级部门检查不合格或被环保部门处罚，</w:t>
      </w:r>
      <w:r>
        <w:rPr>
          <w:rFonts w:hint="eastAsia" w:ascii="宋体" w:hAnsi="宋体" w:eastAsia="宋体" w:cs="宋体"/>
          <w:color w:val="auto"/>
          <w:highlight w:val="none"/>
          <w:lang w:val="en-US" w:eastAsia="zh-CN"/>
        </w:rPr>
        <w:t xml:space="preserve">甲方</w:t>
      </w:r>
      <w:r>
        <w:rPr>
          <w:rFonts w:hint="eastAsia" w:ascii="宋体" w:hAnsi="宋体" w:eastAsia="宋体" w:cs="宋体"/>
          <w:color w:val="auto"/>
          <w:highlight w:val="none"/>
        </w:rPr>
        <w:t xml:space="preserve">将对</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进行处罚，相关处罚费用直接从应付运行服务费中予以扣除。</w:t>
      </w:r>
      <w:r/>
    </w:p>
    <w:p>
      <w:pPr>
        <w:pStyle w:val="87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 以上付款均无银行利息，且乙方需提供相应金额的有效票据。</w:t>
      </w:r>
      <w:r/>
    </w:p>
    <w:p>
      <w:pPr>
        <w:pStyle w:val="87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2.6</w:t>
      </w:r>
      <w:r>
        <w:rPr>
          <w:rFonts w:hint="eastAsia" w:ascii="宋体" w:hAnsi="宋体" w:eastAsia="宋体" w:cs="宋体"/>
          <w:color w:val="auto"/>
          <w:highlight w:val="none"/>
        </w:rPr>
        <w:t xml:space="preserve"> 在签订合同时，乙方明确表示无需预付款或者主动要求降低预付款比例的，甲方可不适用上述关于预付款的规定。</w:t>
      </w:r>
      <w:r/>
    </w:p>
    <w:p>
      <w:pPr>
        <w:pStyle w:val="87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 甲方原则上自收到发票后10个工作日内将资金支付到乙方账户。</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九、双方的权利与义务</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 甲方依据招标文件要求及本合同约定的服务绩效考核办法对乙方提供的服务进行绩效考核。当绩效考核结果未达到标准时，根据绩效考核办法约定的费率系数扣除相应的服务费。</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甲方负责检查监督乙方工作的实施及制度的执行情况。</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.3 甲方须为乙方进驻小区服务提供必要的协调及政策支持。</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.4 在服务期间，甲方为保障乙方在小区的运营服务提供必要的支持。</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.5 国家法律法规所规定由甲方承担的其他责任。</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.6 乙方必须严格按照住建部《生活垃圾分类制度实施方案》中的相关规定，及时高效地维护各小区再生资源与垃圾分类设备。</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.7 乙方应保证所提供的服务或其任何一部分均不会侵犯任何第三方的专利权、商标权或著作权，由此产生的一切责任由乙方负责。</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.8 乙方需及时向甲方通告本项目服务范围内有关服务的重大事项，及时配合处理投诉。</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.9 乙方需及时做好本项目的数据统计、宣传展示等工作。</w:t>
      </w:r>
      <w:r/>
    </w:p>
    <w:p>
      <w:pPr>
        <w:pStyle w:val="87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.10 国家法律法规所规定由乙方承担的其他责任。</w:t>
      </w:r>
      <w:r/>
    </w:p>
    <w:p>
      <w:pPr>
        <w:pStyle w:val="873"/>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十、违约责任</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10.1 甲方不按合同规定支付合同款，将按银行同期利率加倍罚息。</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10.2 甲方在乙方存在如下违约情况时，有权单方面终止全部或部分合同，并保留进一步追究乙方责任的权利（包括经济赔偿）。</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（1）乙方未能履行合同规定义务的；</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（2）乙方考核服务质量达不到要求的；</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（3）与招标文件不符合做法的，或不履行其投标文件承诺的。</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（4）对甲方整改意见未及时整改或不服从甲方管理等情况。</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10.3 除法律另有规定及本合同另有约定外，如甲乙双方中任何一方单方面终止合同，视为违约，违约方应向守约方支付违约金，并承担因合同终止给对方造成的全部经济损失。</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lang w:val="en-US" w:eastAsia="zh-CN"/>
        </w:rPr>
        <w:t xml:space="preserve">十一、</w:t>
      </w:r>
      <w:r>
        <w:rPr>
          <w:rFonts w:hint="eastAsia" w:ascii="宋体" w:hAnsi="宋体" w:eastAsia="宋体" w:cs="宋体"/>
          <w:b/>
          <w:color w:val="auto"/>
          <w:highlight w:val="none"/>
        </w:rPr>
        <w:t xml:space="preserve">项目验收</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 </w:t>
      </w:r>
      <w:r>
        <w:rPr>
          <w:rFonts w:hint="eastAsia" w:ascii="宋体" w:hAnsi="宋体" w:eastAsia="宋体" w:cs="宋体"/>
          <w:color w:val="auto"/>
          <w:highlight w:val="none"/>
          <w:lang w:val="en-US" w:eastAsia="zh-CN"/>
        </w:rPr>
        <w:t xml:space="preserve">履约期满后甲方将根据东台市环境卫生管理处考核办法对乙方进行考核</w:t>
      </w:r>
      <w:r>
        <w:rPr>
          <w:rFonts w:hint="eastAsia" w:ascii="宋体" w:hAnsi="宋体" w:eastAsia="宋体" w:cs="宋体"/>
          <w:color w:val="auto"/>
          <w:highlight w:val="none"/>
        </w:rPr>
        <w:t xml:space="preserve">。</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 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》。乙方在履约过程中有政府采购法律法规规定的违法违规情形的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甲方将及时报告本级财政部门。</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873"/>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 不可抗力事件发生后，应立即通知对方，并寄送有关权威机构出具的证明。</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 不可抗力事件延续120天以上，双方应通过友好协商，确定是否继续履行合同。</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873"/>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合同经双方法定代表人或授权委托代表人签字并加盖单位公章后生效。</w:t>
      </w:r>
      <w:r/>
    </w:p>
    <w:p>
      <w:pPr>
        <w:pStyle w:val="873"/>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.2本合同未尽事宜，遵照《</w:t>
      </w:r>
      <w:r>
        <w:rPr>
          <w:rFonts w:hint="eastAsia" w:ascii="宋体" w:hAnsi="宋体" w:eastAsia="宋体" w:cs="宋体"/>
          <w:color w:val="auto"/>
          <w:highlight w:val="none"/>
          <w:lang w:eastAsia="zh-CN"/>
        </w:rPr>
        <w:t xml:space="preserve">中华人民共和国民法典》《中华人民共和国政府采购法》等</w:t>
      </w:r>
      <w:r>
        <w:rPr>
          <w:rFonts w:hint="eastAsia" w:ascii="宋体" w:hAnsi="宋体" w:eastAsia="宋体" w:cs="宋体"/>
          <w:color w:val="auto"/>
          <w:highlight w:val="none"/>
        </w:rPr>
        <w:t xml:space="preserve">有关条文执行。</w:t>
      </w:r>
      <w:r/>
    </w:p>
    <w:p>
      <w:pPr>
        <w:pStyle w:val="873"/>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p>
    <w:p>
      <w:pPr>
        <w:pStyle w:val="873"/>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7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87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87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73"/>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73"/>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p>
      <w:pPr>
        <w:pStyle w:val="873"/>
        <w:jc w:val="center"/>
        <w:keepLines w:val="0"/>
        <w:keepNext w:val="0"/>
        <w:pageBreakBefore w:val="0"/>
        <w:spacing w:before="120" w:beforeAutospacing="0" w:after="120" w:afterAutospacing="0" w:line="500" w:lineRule="exact"/>
        <w:widowControl w:val="off"/>
        <w:rPr>
          <w:color w:val="auto"/>
          <w:highlight w:val="none"/>
        </w:rPr>
      </w:pPr>
      <w:r>
        <w:rPr>
          <w:rFonts w:hint="eastAsia" w:ascii="宋体" w:hAnsi="宋体" w:eastAsia="宋体" w:cs="宋体"/>
          <w:color w:val="auto"/>
          <w:sz w:val="24"/>
          <w:szCs w:val="24"/>
          <w:highlight w:val="none"/>
        </w:rPr>
        <w:t xml:space="preserve"> 签订日期：      年    月   日</w:t>
      </w:r>
      <w:bookmarkStart w:id="171" w:name="_Toc479757211"/>
      <w:r/>
      <w:bookmarkStart w:id="172" w:name="_Toc20823346"/>
      <w:r/>
      <w:bookmarkStart w:id="173" w:name="_Toc120614244"/>
      <w:r/>
      <w:bookmarkStart w:id="174" w:name="_Toc462564139"/>
      <w:r/>
      <w:bookmarkStart w:id="175" w:name="_Hlt16619350"/>
      <w:r/>
      <w:bookmarkStart w:id="176" w:name="_Toc16938590"/>
      <w:r/>
      <w:bookmarkStart w:id="177" w:name="_Hlt16619369"/>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87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bookmarkStart w:id="178" w:name="_Toc49090575"/>
      <w:r/>
      <w:bookmarkStart w:id="179"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bookmarkEnd w:id="178"/>
      <w:r/>
      <w:bookmarkEnd w:id="179"/>
      <w:r/>
      <w:r/>
    </w:p>
    <w:p>
      <w:pPr>
        <w:pStyle w:val="873"/>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val="en-US" w:eastAsia="zh-CN"/>
        </w:rPr>
        <w:t xml:space="preserve">技术要求</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1.服务范围及内容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本项目为东台市环境卫生管理处2026年度垃圾房亭运营服务，具体范围与内容如下：</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1.1 设施运营管理</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负责东台市93个小区内共183座垃圾分类设施的日常运营管理，具体包括：</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设施构成：包含90座大型垃圾分类房、63座小型垃圾分类房及</w:t>
      </w:r>
      <w:r>
        <w:rPr>
          <w:rFonts w:hint="eastAsia" w:ascii="宋体" w:hAnsi="宋体" w:eastAsia="宋体" w:cs="宋体"/>
          <w:color w:val="auto"/>
          <w:sz w:val="24"/>
          <w:szCs w:val="32"/>
          <w:highlight w:val="none"/>
          <w:lang w:eastAsia="zh-CN"/>
        </w:rPr>
        <w:t xml:space="preserve">30座</w:t>
      </w:r>
      <w:r>
        <w:rPr>
          <w:rFonts w:hint="eastAsia" w:ascii="宋体" w:hAnsi="宋体" w:eastAsia="宋体" w:cs="宋体"/>
          <w:color w:val="auto"/>
          <w:sz w:val="24"/>
          <w:szCs w:val="32"/>
          <w:highlight w:val="none"/>
        </w:rPr>
        <w:t xml:space="preserve">无人值守垃圾分类亭。</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运营内容：开展可回收物回收、现场分类投放督导、分类收集管理，以及有害垃圾的集中分类与合规处置。</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撤桶并点：在93个小区中，完成5个小区的就近撤桶并点工作，优化分类投放布局。</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1.2 设施维护与安全保障</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日常维护：承担全部183座垃圾房（亭）设施设备的日常维护、维修</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安全管护</w:t>
      </w:r>
      <w:r>
        <w:rPr>
          <w:rFonts w:hint="eastAsia" w:ascii="宋体" w:hAnsi="宋体" w:eastAsia="宋体" w:cs="宋体"/>
          <w:color w:val="auto"/>
          <w:sz w:val="24"/>
          <w:szCs w:val="32"/>
          <w:highlight w:val="none"/>
          <w:lang w:val="en-US" w:eastAsia="zh-CN"/>
        </w:rPr>
        <w:t xml:space="preserve">及宣传标志标识牌的更换、更新等工作</w:t>
      </w:r>
      <w:r>
        <w:rPr>
          <w:rFonts w:hint="eastAsia" w:ascii="宋体" w:hAnsi="宋体" w:eastAsia="宋体" w:cs="宋体"/>
          <w:color w:val="auto"/>
          <w:sz w:val="24"/>
          <w:szCs w:val="32"/>
          <w:highlight w:val="none"/>
        </w:rPr>
        <w:t xml:space="preserve">，确保各点位正常运行。</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远程监控：负责153座设施的远程监控数据流量卡统一支付与费用结算</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费用为64000元/年，该部分费用不可调整</w:t>
      </w:r>
      <w:r>
        <w:rPr>
          <w:rFonts w:hint="eastAsia" w:ascii="宋体" w:hAnsi="宋体" w:eastAsia="宋体" w:cs="宋体"/>
          <w:color w:val="auto"/>
          <w:sz w:val="24"/>
          <w:szCs w:val="32"/>
          <w:highlight w:val="none"/>
        </w:rPr>
        <w:t xml:space="preserve">。</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1.3 台账资料管理</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运营小区台账：负责108个运营管理小区垃圾分类台账资料的收集、整理，汇总，胶装。按照厚度不同，预计1-3本。</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自管小区台账：同步完成采购人单位自管的15个小区垃圾分类台账工作。</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1.4 宣传与公众教育</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专项宣传活动：组织开展1场“城管开放日”宣传活动。</w:t>
      </w:r>
      <w:r/>
    </w:p>
    <w:p>
      <w:pPr>
        <w:pStyle w:val="873"/>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迎检展示配合：配合采购人完成108个小区各类迎检、考核所需的专项宣传与现场布置展示。</w:t>
      </w:r>
      <w:r/>
    </w:p>
    <w:p>
      <w:pPr>
        <w:ind w:firstLine="420"/>
        <w:keepLines w:val="0"/>
        <w:keepNext w:val="0"/>
        <w:pageBreakBefore w:val="0"/>
        <w:spacing w:line="480" w:lineRule="exact"/>
        <w:widowControl w:val="off"/>
        <w:rPr>
          <w:rFonts w:ascii="SimSun" w:hAnsi="SimSun" w:eastAsia="SimSun" w:cs="SimSun"/>
          <w:color w:val="000000"/>
          <w:sz w:val="24"/>
          <w:szCs w:val="24"/>
          <w14:ligatures w14:val="none"/>
        </w:rPr>
      </w:pPr>
      <w:r>
        <w:rPr>
          <w:rFonts w:ascii="SimSun" w:hAnsi="SimSun" w:eastAsia="SimSun" w:cs="SimSun"/>
          <w:color w:val="000000"/>
          <w:sz w:val="24"/>
          <w:szCs w:val="24"/>
          <w:lang w:val="en-US" w:eastAsia="zh-CN"/>
        </w:rPr>
        <w:t xml:space="preserve">宣传设施维护：负责108个小区内垃圾分类设施的维护，</w:t>
      </w:r>
      <w:r>
        <w:rPr>
          <w:rFonts w:ascii="SimSun" w:hAnsi="SimSun" w:eastAsia="SimSun" w:cs="SimSun"/>
          <w:color w:val="000000"/>
          <w:sz w:val="24"/>
          <w:szCs w:val="24"/>
        </w:rPr>
        <w:t xml:space="preserve">以及</w:t>
      </w:r>
      <w:r>
        <w:rPr>
          <w:rFonts w:ascii="SimSun" w:hAnsi="SimSun" w:eastAsia="SimSun" w:cs="SimSun"/>
          <w:color w:val="000000"/>
          <w:sz w:val="24"/>
          <w:szCs w:val="24"/>
        </w:rPr>
        <w:t xml:space="preserve">市区所有分类设施</w:t>
      </w:r>
      <w:r>
        <w:rPr>
          <w:rFonts w:ascii="SimSun" w:hAnsi="SimSun" w:eastAsia="SimSun" w:cs="SimSun"/>
          <w:color w:val="000000"/>
          <w:sz w:val="24"/>
          <w:szCs w:val="24"/>
        </w:rPr>
        <w:t xml:space="preserve">宣传栏宣传氛围的破损更换。</w:t>
      </w:r>
      <w:r>
        <w:rPr>
          <w:rFonts w:ascii="SimSun" w:hAnsi="SimSun" w:eastAsia="SimSun" w:cs="SimSun"/>
          <w:color w:val="000000"/>
          <w:sz w:val="24"/>
          <w:szCs w:val="24"/>
          <w:lang w:val="en-US" w:eastAsia="zh-CN"/>
        </w:rPr>
      </w:r>
      <w:r>
        <w:rPr>
          <w:rFonts w:ascii="SimSun" w:hAnsi="SimSun" w:eastAsia="SimSun" w:cs="SimSun"/>
          <w:color w:val="000000"/>
          <w:sz w:val="24"/>
          <w:szCs w:val="24"/>
        </w:rP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1.5 其他相关服务</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可回收物及</w:t>
      </w:r>
      <w:r>
        <w:rPr>
          <w:rFonts w:hint="eastAsia" w:ascii="宋体" w:hAnsi="宋体" w:eastAsia="宋体" w:cs="宋体"/>
          <w:color w:val="auto"/>
          <w:sz w:val="24"/>
          <w:szCs w:val="32"/>
          <w:highlight w:val="none"/>
        </w:rPr>
        <w:t xml:space="preserve">有害垃圾</w:t>
      </w:r>
      <w:r>
        <w:rPr>
          <w:rFonts w:hint="eastAsia" w:ascii="宋体" w:hAnsi="宋体" w:eastAsia="宋体" w:cs="宋体"/>
          <w:color w:val="auto"/>
          <w:sz w:val="24"/>
          <w:szCs w:val="32"/>
          <w:highlight w:val="none"/>
          <w:lang w:val="en-US" w:eastAsia="zh-CN"/>
        </w:rPr>
        <w:t xml:space="preserve">清运与</w:t>
      </w:r>
      <w:r>
        <w:rPr>
          <w:rFonts w:hint="eastAsia" w:ascii="宋体" w:hAnsi="宋体" w:eastAsia="宋体" w:cs="宋体"/>
          <w:color w:val="auto"/>
          <w:sz w:val="24"/>
          <w:szCs w:val="32"/>
          <w:highlight w:val="none"/>
        </w:rPr>
        <w:t xml:space="preserve">处置：按照规范要求，做好有害垃圾的</w:t>
      </w:r>
      <w:r>
        <w:rPr>
          <w:rFonts w:hint="eastAsia" w:ascii="宋体" w:hAnsi="宋体" w:eastAsia="宋体" w:cs="宋体"/>
          <w:color w:val="auto"/>
          <w:sz w:val="24"/>
          <w:szCs w:val="32"/>
          <w:highlight w:val="none"/>
          <w:lang w:val="en-US" w:eastAsia="zh-CN"/>
        </w:rPr>
        <w:t xml:space="preserve">分类清运</w:t>
      </w:r>
      <w:r>
        <w:rPr>
          <w:rFonts w:hint="eastAsia" w:ascii="宋体" w:hAnsi="宋体" w:eastAsia="宋体" w:cs="宋体"/>
          <w:color w:val="auto"/>
          <w:sz w:val="24"/>
          <w:szCs w:val="32"/>
          <w:highlight w:val="none"/>
        </w:rPr>
        <w:t xml:space="preserve">与合规处置工作。</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临时性工作：配合采购人完成与本项目运营相关的其他临时性工作。</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1.6 服务范围明细</w:t>
      </w:r>
      <w:r/>
    </w:p>
    <w:tbl>
      <w:tblPr>
        <w:tblStyle w:val="866"/>
        <w:tblpPr w:horzAnchor="page" w:tblpXSpec="center" w:vertAnchor="text" w:tblpY="279" w:leftFromText="180" w:topFromText="0" w:rightFromText="180" w:bottomFromText="0"/>
        <w:tblW w:w="76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20"/>
        <w:gridCol w:w="2439"/>
        <w:gridCol w:w="1296"/>
        <w:gridCol w:w="1350"/>
        <w:gridCol w:w="1215"/>
      </w:tblGrid>
      <w:tr>
        <w:trPr>
          <w:jc w:val="center"/>
          <w:trHeight w:val="27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小区名称</w:t>
            </w:r>
            <w:r/>
          </w:p>
        </w:tc>
        <w:tc>
          <w:tcPr>
            <w:shd w:val="clear" w:color="auto" w:fill="auto"/>
            <w:tcBorders>
              <w:top w:val="single" w:color="000000" w:sz="4" w:space="0"/>
              <w:left w:val="none" w:color="000000" w:sz="4" w:space="0"/>
              <w:bottom w:val="single" w:color="000000" w:sz="4" w:space="0"/>
              <w:right w:val="single" w:color="000000" w:sz="4" w:space="0"/>
            </w:tcBorders>
            <w:tcW w:w="129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大分类房</w:t>
            </w:r>
            <w:r/>
          </w:p>
        </w:tc>
        <w:tc>
          <w:tcPr>
            <w:shd w:val="clear" w:color="auto" w:fill="auto"/>
            <w:tcBorders>
              <w:top w:val="single" w:color="000000" w:sz="4" w:space="0"/>
              <w:left w:val="none" w:color="000000" w:sz="4" w:space="0"/>
              <w:bottom w:val="single" w:color="000000" w:sz="4" w:space="0"/>
              <w:right w:val="single" w:color="000000" w:sz="4" w:space="0"/>
            </w:tcBorders>
            <w:tcW w:w="135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小分类房</w:t>
            </w:r>
            <w:r/>
          </w:p>
        </w:tc>
        <w:tc>
          <w:tcPr>
            <w:shd w:val="clear" w:color="auto" w:fill="auto"/>
            <w:tcBorders>
              <w:top w:val="single" w:color="000000" w:sz="4" w:space="0"/>
              <w:left w:val="none" w:color="000000" w:sz="4" w:space="0"/>
              <w:bottom w:val="single" w:color="000000" w:sz="4" w:space="0"/>
              <w:right w:val="single" w:color="000000" w:sz="4" w:space="0"/>
            </w:tcBorders>
            <w:tcW w:w="121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无人值守</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虹润华府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润洋一品</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明星港湾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富丽名苑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君豪华庭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八林一期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八林二期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上海丽苑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金水湾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金鹰盛世花园（东区）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金鹰盛世花园（西区）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东园路美食街</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金地盛大</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东坝小区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红兰花园（南区）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红兰花园（北区）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金地不夜城</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怡和花园（西区）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怡和花园（南区）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南城花园西区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南城花园东区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建设公寓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华汇骏景</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林城花园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茶城花园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水景湾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龙晶河滨花园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金鹰御龙湾</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柏盛苑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秀峰美墅</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万水清华</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秀峰华庭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和平小区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新桥小区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中亚城市花园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新坝小区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窦楼小区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望海小区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东亭一村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景范小区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西湖花园南东区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西湖花园北区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景泰花园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阳光华庭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金鹰百合</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中江泓盛</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红兰名苑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东方一品</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金海康城</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金色佳园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圆融广场东区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圆融广场西区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德驰华府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大地盛世和苑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滨河壹号</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时代豪庭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滨河花园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聚诚文正苑（南区）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聚诚文正苑（北区）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国宾府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文林新村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唯城七号公馆</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博爱家园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红兰景苑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北海花园（南区）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北海花园（北区）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中瑞华府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城中花园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书香名府</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森活绿郡</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通新一期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通新二期</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人才公寓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正方上林苑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凯帝京都</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聚龙双苑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翰林院（西区）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汇龙大厦</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金海西苑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天赐良缘</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厦门华苑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西海华庭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紫苑公馆</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仙湖花园</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鑫光公寓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新宁小区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商业新村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金阳广场</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站前公寓</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盛大华都</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兴城国际</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黄海花苑</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r>
      <w:tr>
        <w:trPr>
          <w:jc w:val="center"/>
          <w:trHeight w:val="311"/>
        </w:trPr>
        <w:tc>
          <w:tcPr>
            <w:shd w:val="clear" w:color="auto" w:fill="auto"/>
            <w:tcBorders>
              <w:top w:val="single" w:color="000000" w:sz="4" w:space="0"/>
              <w:left w:val="single" w:color="000000" w:sz="4" w:space="0"/>
              <w:bottom w:val="single" w:color="auto" w:sz="4" w:space="0"/>
              <w:right w:val="single" w:color="000000" w:sz="4" w:space="0"/>
            </w:tcBorders>
            <w:tcW w:w="13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p>
        </w:tc>
        <w:tc>
          <w:tcPr>
            <w:shd w:val="clear" w:color="auto" w:fill="auto"/>
            <w:tcBorders>
              <w:top w:val="single" w:color="000000" w:sz="4" w:space="0"/>
              <w:left w:val="single" w:color="000000" w:sz="4" w:space="0"/>
              <w:bottom w:val="single" w:color="auto" w:sz="4" w:space="0"/>
              <w:right w:val="single" w:color="000000" w:sz="4" w:space="0"/>
            </w:tcBorders>
            <w:tcW w:w="24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嘉和名城</w:t>
            </w:r>
            <w:r/>
          </w:p>
        </w:tc>
        <w:tc>
          <w:tcPr>
            <w:shd w:val="clear" w:color="auto" w:fill="auto"/>
            <w:tcBorders>
              <w:top w:val="single" w:color="000000" w:sz="4" w:space="0"/>
              <w:left w:val="single" w:color="000000" w:sz="4" w:space="0"/>
              <w:bottom w:val="single" w:color="auto" w:sz="4" w:space="0"/>
              <w:right w:val="single" w:color="000000" w:sz="4" w:space="0"/>
            </w:tcBorders>
            <w:tcW w:w="12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13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12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r>
      <w:tr>
        <w:trPr>
          <w:jc w:val="center"/>
          <w:trHeight w:val="311"/>
        </w:trPr>
        <w:tc>
          <w:tcPr>
            <w:gridSpan w:val="2"/>
            <w:shd w:val="clear" w:color="auto" w:fill="auto"/>
            <w:tcBorders>
              <w:top w:val="single" w:color="auto" w:sz="4" w:space="0"/>
              <w:left w:val="single" w:color="auto" w:sz="4" w:space="0"/>
              <w:bottom w:val="single" w:color="auto" w:sz="4" w:space="0"/>
              <w:right w:val="single" w:color="auto" w:sz="4" w:space="0"/>
            </w:tcBorders>
            <w:tcW w:w="3759"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r>
    </w:tbl>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2.服务内容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将本小区居民家庭产生的生活垃圾按照厨余垃圾、可回收物、有害垃圾和其他垃圾四大类，在垃圾房亭内集中分类。</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垃圾分类人员要对居民进行宣传指导，如果居民投放不准确，要对错误投放垃圾的居民进行指导，并宣传到位。必要时对投放垃圾进行二次分类，保证小区垃圾准确分类。</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做好垃圾分类红黑榜每月的张贴工作，积极配合垃圾分类办公室对小区四分类情况进行每周的定期抽查和平常运营过程中的突击检查，以及配合宣传服务公司做好“两定一撤 ”的撤桶并点工作。</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负责服务区域内所有垃圾分类相关宣传品的日常巡查与维护。及时修复</w:t>
      </w:r>
      <w:r>
        <w:rPr>
          <w:rFonts w:hint="eastAsia" w:ascii="宋体" w:hAnsi="宋体" w:eastAsia="宋体" w:cs="宋体"/>
          <w:color w:val="auto"/>
          <w:sz w:val="24"/>
          <w:szCs w:val="32"/>
          <w:highlight w:val="none"/>
          <w:lang w:val="en-US" w:eastAsia="zh-CN"/>
        </w:rPr>
        <w:t xml:space="preserve">并更换破损宣传品</w:t>
      </w:r>
      <w:r>
        <w:rPr>
          <w:rFonts w:hint="eastAsia" w:ascii="宋体" w:hAnsi="宋体" w:eastAsia="宋体" w:cs="宋体"/>
          <w:color w:val="auto"/>
          <w:sz w:val="24"/>
          <w:szCs w:val="32"/>
          <w:highlight w:val="none"/>
        </w:rPr>
        <w:t xml:space="preserve">，确保宣传阵地整洁、有效。</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安排巡检员对93个小区的垃圾房（亭）设施设备进行日常巡查，重点检查设施完好性、运行状态及卫生情况，发现故障或问题及时处理或上报，保障所有设施正常运营。</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负责对各收集点的有害垃圾进行集中清运，并交由具有相应资质的专业处置单位进行规范处理，确保全过程合规，同时建立完善的有害垃圾收集、移交及处置台账。</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负责各点位可回收物的及时分类清运，做到日产日清或按实际需求增加清运频次，避免堆积满溢，保持收集点及周边环境整洁，并做好可回收物清运记录。</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rPr>
        <w:t xml:space="preserve">3.人员配备要求</w:t>
      </w:r>
      <w:r>
        <w:rPr>
          <w:rFonts w:hint="eastAsia" w:ascii="宋体" w:hAnsi="宋体" w:eastAsia="宋体" w:cs="宋体"/>
          <w:b/>
          <w:bCs/>
          <w:color w:val="auto"/>
          <w:sz w:val="24"/>
          <w:szCs w:val="32"/>
          <w:highlight w:val="none"/>
          <w:lang w:val="en-US" w:eastAsia="zh-CN"/>
        </w:rPr>
        <w:t xml:space="preserve">及工作内容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本项目至少需配备项目经理1人，文员1人，巡检员1人，</w:t>
      </w:r>
      <w:r>
        <w:rPr>
          <w:rFonts w:hint="eastAsia" w:ascii="宋体" w:hAnsi="宋体" w:eastAsia="宋体" w:cs="宋体"/>
          <w:color w:val="auto"/>
          <w:sz w:val="24"/>
          <w:szCs w:val="32"/>
          <w:highlight w:val="none"/>
          <w:lang w:val="en-US" w:eastAsia="zh-CN"/>
        </w:rPr>
        <w:t xml:space="preserve">驾驶员1人，</w:t>
      </w:r>
      <w:r>
        <w:rPr>
          <w:rFonts w:hint="eastAsia" w:ascii="宋体" w:hAnsi="宋体" w:eastAsia="宋体" w:cs="宋体"/>
          <w:color w:val="auto"/>
          <w:sz w:val="24"/>
          <w:szCs w:val="32"/>
          <w:highlight w:val="none"/>
        </w:rPr>
        <w:t xml:space="preserve">垃圾房分拣员不得低于70</w:t>
      </w:r>
      <w:r>
        <w:rPr>
          <w:rFonts w:hint="eastAsia" w:ascii="宋体" w:hAnsi="宋体" w:eastAsia="宋体" w:cs="宋体"/>
          <w:color w:val="auto"/>
          <w:sz w:val="24"/>
          <w:szCs w:val="32"/>
          <w:highlight w:val="none"/>
          <w:lang w:eastAsia="zh-CN"/>
        </w:rPr>
        <w:t xml:space="preserve">人</w:t>
      </w:r>
      <w:r>
        <w:rPr>
          <w:rFonts w:hint="eastAsia" w:ascii="宋体" w:hAnsi="宋体" w:eastAsia="宋体" w:cs="宋体"/>
          <w:color w:val="auto"/>
          <w:sz w:val="24"/>
          <w:szCs w:val="32"/>
          <w:highlight w:val="none"/>
        </w:rPr>
        <w:t xml:space="preserve">，并向乙方提供具体人员信息名单（包含姓名、小区、联系方式）。</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垃圾分类配备工作人员应为经过专业培训、职业道德素质良好、操控能力强、身体健康的人员；</w:t>
      </w:r>
      <w:r>
        <w:rPr>
          <w:rFonts w:hint="eastAsia" w:ascii="宋体" w:hAnsi="宋体" w:eastAsia="宋体" w:cs="宋体"/>
          <w:color w:val="auto"/>
          <w:sz w:val="24"/>
          <w:szCs w:val="32"/>
          <w:highlight w:val="none"/>
          <w:lang w:val="en-US" w:eastAsia="zh-CN"/>
        </w:rPr>
        <w:t xml:space="preserve">中标公司</w:t>
      </w:r>
      <w:r>
        <w:rPr>
          <w:rFonts w:hint="eastAsia" w:ascii="宋体" w:hAnsi="宋体" w:eastAsia="宋体" w:cs="宋体"/>
          <w:color w:val="auto"/>
          <w:sz w:val="24"/>
          <w:szCs w:val="32"/>
          <w:highlight w:val="none"/>
        </w:rPr>
        <w:t xml:space="preserve">应对垃圾分类人员进行安全教育和上岗培训，并承担人员的安全管理职责，包括支付补贴、处理工伤赔偿等事宜。工作人员应着装统一，且有明显所属单位标志</w:t>
      </w:r>
      <w:r>
        <w:rPr>
          <w:rFonts w:hint="eastAsia" w:ascii="宋体" w:hAnsi="宋体" w:eastAsia="宋体" w:cs="宋体"/>
          <w:color w:val="auto"/>
          <w:sz w:val="24"/>
          <w:szCs w:val="32"/>
          <w:highlight w:val="none"/>
          <w:lang w:eastAsia="zh-CN"/>
        </w:rPr>
        <w:t xml:space="preserve">。</w:t>
      </w:r>
      <w:r/>
    </w:p>
    <w:p>
      <w:pPr>
        <w:ind w:firstLine="482"/>
        <w:keepLines w:val="0"/>
        <w:keepNext w:val="0"/>
        <w:pageBreakBefore w:val="0"/>
        <w:spacing w:line="48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b/>
          <w:bCs/>
          <w:color w:val="auto"/>
          <w:sz w:val="24"/>
          <w:szCs w:val="32"/>
          <w:highlight w:val="none"/>
          <w:lang w:val="en-US" w:eastAsia="zh-CN"/>
        </w:rPr>
        <w:t xml:space="preserve">4.</w:t>
      </w:r>
      <w:r>
        <w:rPr>
          <w:rFonts w:hint="eastAsia" w:ascii="宋体" w:hAnsi="宋体" w:eastAsia="宋体" w:cs="宋体"/>
          <w:b/>
          <w:bCs/>
          <w:color w:val="auto"/>
          <w:sz w:val="24"/>
          <w:szCs w:val="32"/>
          <w:highlight w:val="none"/>
          <w:lang w:eastAsia="zh-CN"/>
        </w:rPr>
        <w:t xml:space="preserve">工作时间要求</w:t>
      </w:r>
      <w:r>
        <w:rPr>
          <w:rFonts w:hint="eastAsia" w:ascii="宋体" w:hAnsi="宋体" w:eastAsia="宋体" w:cs="宋体"/>
          <w:b/>
          <w:bCs/>
          <w:color w:val="auto"/>
          <w:sz w:val="24"/>
          <w:szCs w:val="32"/>
          <w:highlight w:val="none"/>
          <w:lang w:eastAsia="zh-CN"/>
        </w:rPr>
        <w:br/>
      </w:r>
      <w:r>
        <w:rPr>
          <w:rFonts w:hint="eastAsia" w:ascii="宋体" w:hAnsi="宋体" w:eastAsia="宋体" w:cs="宋体"/>
          <w:color w:val="auto"/>
          <w:sz w:val="24"/>
          <w:szCs w:val="32"/>
          <w:highlight w:val="none"/>
        </w:rPr>
        <w:t xml:space="preserve">督导分拣员的配备与上岗时间由中标公司根据各小区实际人流量、分类投放情况等因素自行合理安排，确保垃圾分类准确、现场环境整洁有序。中标公司应将具体的人员排班与上岗时间安排书面告知采购人。如后续投放安排需作调整，以招标人书面通知为准。</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val="en-US" w:eastAsia="zh-CN"/>
        </w:rPr>
        <w:t xml:space="preserve">5.</w:t>
      </w:r>
      <w:r>
        <w:rPr>
          <w:rFonts w:hint="eastAsia" w:ascii="宋体" w:hAnsi="宋体" w:eastAsia="宋体" w:cs="宋体"/>
          <w:b/>
          <w:bCs/>
          <w:color w:val="auto"/>
          <w:sz w:val="24"/>
          <w:szCs w:val="32"/>
          <w:highlight w:val="none"/>
          <w:lang w:eastAsia="zh-CN"/>
        </w:rPr>
        <w:t xml:space="preserve">各类垃圾的收集、清运要求</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有害垃圾：中标公司应负责有害垃圾的收集与清运工作，确保及时将有害垃圾运送至</w:t>
      </w:r>
      <w:r>
        <w:rPr>
          <w:rFonts w:hint="eastAsia" w:ascii="宋体" w:hAnsi="宋体" w:eastAsia="宋体" w:cs="宋体"/>
          <w:color w:val="auto"/>
          <w:sz w:val="24"/>
          <w:szCs w:val="32"/>
          <w:highlight w:val="none"/>
          <w:lang w:val="en-US" w:eastAsia="zh-CN"/>
        </w:rPr>
        <w:t xml:space="preserve">采购人</w:t>
      </w:r>
      <w:r>
        <w:rPr>
          <w:rFonts w:hint="eastAsia" w:ascii="宋体" w:hAnsi="宋体" w:eastAsia="宋体" w:cs="宋体"/>
          <w:color w:val="auto"/>
          <w:sz w:val="24"/>
          <w:szCs w:val="32"/>
          <w:highlight w:val="none"/>
          <w:lang w:eastAsia="zh-CN"/>
        </w:rPr>
        <w:t xml:space="preserve">指定的有害垃圾收集点，并交由具有相应处理资质的单位进行规范处置。中标公司应至少每年组织一次集中清运。年度清运总量在1吨（含）以内的，所有收集、运输及处置费用均由中标公司承担，并须向采购人提供相应的付款收据或有效凭证；若年度清运总量超过1吨，超出部分的费用，中标公司可凭有效凭证向采购人申请作为增项另行支付。</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可回收物：由中标公司自行分类收集清运，并做好相关台账记录。</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厨余垃圾及其他垃圾由环卫处统一收集处理。</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文明作业，在收集、运输、处置与兑换过程中，不得对场地及周边造成二次污染；</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定期对垃圾房亭及室内设施、周边环境等进行维护、清洗，保持完好、整洁并摆放有序；</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做好每日垃圾数据登记统计及相关数据分析，做好台账数据工作。</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中标公司</w:t>
      </w:r>
      <w:r>
        <w:rPr>
          <w:rFonts w:hint="eastAsia" w:ascii="宋体" w:hAnsi="宋体" w:eastAsia="宋体" w:cs="宋体"/>
          <w:color w:val="auto"/>
          <w:sz w:val="24"/>
          <w:szCs w:val="32"/>
          <w:highlight w:val="none"/>
        </w:rPr>
        <w:t xml:space="preserve">需保证分类房的整体结构，若遇到火灾等因素造成的损失，由</w:t>
      </w:r>
      <w:r>
        <w:rPr>
          <w:rFonts w:hint="eastAsia" w:ascii="宋体" w:hAnsi="宋体" w:eastAsia="宋体" w:cs="宋体"/>
          <w:color w:val="auto"/>
          <w:sz w:val="24"/>
          <w:szCs w:val="32"/>
          <w:highlight w:val="none"/>
          <w:lang w:val="en-US" w:eastAsia="zh-CN"/>
        </w:rPr>
        <w:t xml:space="preserve">中标公司</w:t>
      </w:r>
      <w:r>
        <w:rPr>
          <w:rFonts w:hint="eastAsia" w:ascii="宋体" w:hAnsi="宋体" w:eastAsia="宋体" w:cs="宋体"/>
          <w:color w:val="auto"/>
          <w:sz w:val="24"/>
          <w:szCs w:val="32"/>
          <w:highlight w:val="none"/>
        </w:rPr>
        <w:t xml:space="preserve">自行承担。</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6</w:t>
      </w:r>
      <w:r>
        <w:rPr>
          <w:rFonts w:hint="eastAsia" w:ascii="宋体" w:hAnsi="宋体" w:eastAsia="宋体" w:cs="宋体"/>
          <w:b/>
          <w:bCs/>
          <w:color w:val="auto"/>
          <w:sz w:val="24"/>
          <w:szCs w:val="32"/>
          <w:highlight w:val="none"/>
        </w:rPr>
        <w:t xml:space="preserve">.服务期限</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合同签订之日起计</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年。（如服务期满，</w:t>
      </w:r>
      <w:r>
        <w:rPr>
          <w:rFonts w:hint="eastAsia" w:ascii="宋体" w:hAnsi="宋体" w:eastAsia="宋体" w:cs="宋体"/>
          <w:color w:val="auto"/>
          <w:sz w:val="24"/>
          <w:szCs w:val="32"/>
          <w:highlight w:val="none"/>
          <w:lang w:val="en-US" w:eastAsia="zh-CN"/>
        </w:rPr>
        <w:t xml:space="preserve">招标人</w:t>
      </w:r>
      <w:r>
        <w:rPr>
          <w:rFonts w:hint="eastAsia" w:ascii="宋体" w:hAnsi="宋体" w:eastAsia="宋体" w:cs="宋体"/>
          <w:color w:val="auto"/>
          <w:sz w:val="24"/>
          <w:szCs w:val="32"/>
          <w:highlight w:val="none"/>
        </w:rPr>
        <w:t xml:space="preserve">仍未确定承接后续服务的中标供应商，则合同延续至新的中标供应商确定为止，结算以本合同中标价为基础结算）</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注：</w:t>
      </w:r>
      <w:r>
        <w:rPr>
          <w:rFonts w:hint="eastAsia" w:ascii="宋体" w:hAnsi="宋体" w:eastAsia="宋体" w:cs="宋体"/>
          <w:color w:val="auto"/>
          <w:sz w:val="24"/>
          <w:szCs w:val="32"/>
          <w:highlight w:val="none"/>
        </w:rPr>
        <w:t xml:space="preserve">如遇政策调整导致服务内容发生较大变化的，招标人可无条件终止合同并无需支付任何赔偿，已履约部分按中标总价折算成日单价进行结算。</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7</w:t>
      </w:r>
      <w:r>
        <w:rPr>
          <w:rFonts w:hint="eastAsia" w:ascii="宋体" w:hAnsi="宋体" w:eastAsia="宋体" w:cs="宋体"/>
          <w:b/>
          <w:bCs/>
          <w:color w:val="auto"/>
          <w:sz w:val="24"/>
          <w:szCs w:val="32"/>
          <w:highlight w:val="none"/>
        </w:rPr>
        <w:t xml:space="preserve">.履约地点</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东台市市区。</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8</w:t>
      </w:r>
      <w:r>
        <w:rPr>
          <w:rFonts w:hint="eastAsia" w:ascii="宋体" w:hAnsi="宋体" w:eastAsia="宋体" w:cs="宋体"/>
          <w:b/>
          <w:bCs/>
          <w:color w:val="auto"/>
          <w:sz w:val="24"/>
          <w:szCs w:val="32"/>
          <w:highlight w:val="none"/>
        </w:rPr>
        <w:t xml:space="preserve">.服务质量</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合格，符合国家发改委、住建部《生活垃圾分类制度实施方案》中的相关规定及《东台市区垃圾四分类考核办法》及国家、江苏省及盐城市主管部门出台的相关考核标准。</w:t>
      </w:r>
      <w:r/>
    </w:p>
    <w:p>
      <w:p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9</w:t>
      </w:r>
      <w:r>
        <w:rPr>
          <w:rFonts w:hint="eastAsia" w:ascii="宋体" w:hAnsi="宋体" w:eastAsia="宋体" w:cs="宋体"/>
          <w:b/>
          <w:bCs/>
          <w:color w:val="auto"/>
          <w:sz w:val="24"/>
          <w:szCs w:val="32"/>
          <w:highlight w:val="none"/>
        </w:rPr>
        <w:t xml:space="preserve">.采购标的对应的中小企业划分标准所属行业一览表</w:t>
      </w:r>
      <w:r/>
    </w:p>
    <w:p>
      <w:pPr>
        <w:spacing w:line="94" w:lineRule="auto"/>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885"/>
        <w:tblW w:w="8052" w:type="dxa"/>
        <w:tblInd w:w="1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4978"/>
        <w:gridCol w:w="2282"/>
      </w:tblGrid>
      <w:tr>
        <w:trPr>
          <w:trHeight w:val="631"/>
        </w:trPr>
        <w:tc>
          <w:tcPr>
            <w:tcW w:w="792" w:type="dxa"/>
            <w:vAlign w:val="top"/>
            <w:textDirection w:val="lrTb"/>
            <w:noWrap w:val="false"/>
          </w:tcPr>
          <w:p>
            <w:pPr>
              <w:pStyle w:val="884"/>
              <w:ind w:left="160"/>
              <w:spacing w:before="195"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序号</w:t>
            </w:r>
            <w:r/>
          </w:p>
        </w:tc>
        <w:tc>
          <w:tcPr>
            <w:tcW w:w="4978" w:type="dxa"/>
            <w:vAlign w:val="top"/>
            <w:textDirection w:val="lrTb"/>
            <w:noWrap w:val="false"/>
          </w:tcPr>
          <w:p>
            <w:pPr>
              <w:pStyle w:val="884"/>
              <w:ind w:left="2015"/>
              <w:spacing w:before="195" w:line="219"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采购标的</w:t>
            </w:r>
            <w:r/>
          </w:p>
        </w:tc>
        <w:tc>
          <w:tcPr>
            <w:tcW w:w="2282" w:type="dxa"/>
            <w:vAlign w:val="top"/>
            <w:textDirection w:val="lrTb"/>
            <w:noWrap w:val="false"/>
          </w:tcPr>
          <w:p>
            <w:pPr>
              <w:pStyle w:val="884"/>
              <w:ind w:left="311" w:right="177" w:hanging="123"/>
              <w:spacing w:before="41" w:line="223"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对应中小微企业划分标准所属行业</w:t>
            </w:r>
            <w:r/>
          </w:p>
        </w:tc>
      </w:tr>
      <w:tr>
        <w:trPr>
          <w:trHeight w:val="641"/>
        </w:trPr>
        <w:tc>
          <w:tcPr>
            <w:tcW w:w="792" w:type="dxa"/>
            <w:vAlign w:val="top"/>
            <w:textDirection w:val="lrTb"/>
            <w:noWrap w:val="false"/>
          </w:tcPr>
          <w:p>
            <w:pPr>
              <w:pStyle w:val="884"/>
              <w:ind w:left="358"/>
              <w:spacing w:before="205" w:line="24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978" w:type="dxa"/>
            <w:vAlign w:val="top"/>
            <w:textDirection w:val="lrTb"/>
            <w:noWrap w:val="false"/>
          </w:tcPr>
          <w:p>
            <w:pPr>
              <w:pStyle w:val="884"/>
              <w:ind w:left="190"/>
              <w:spacing w:before="205"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lang w:eastAsia="zh-CN"/>
              </w:rPr>
              <w:t xml:space="preserve">2026</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2"/>
                <w:highlight w:val="none"/>
              </w:rPr>
              <w:t xml:space="preserve">年东台市垃圾分类房运营服务采购项目</w:t>
            </w:r>
            <w:r/>
          </w:p>
        </w:tc>
        <w:tc>
          <w:tcPr>
            <w:tcW w:w="2282" w:type="dxa"/>
            <w:vAlign w:val="top"/>
            <w:textDirection w:val="lrTb"/>
            <w:noWrap w:val="false"/>
          </w:tcPr>
          <w:p>
            <w:pPr>
              <w:pStyle w:val="884"/>
              <w:ind w:left="310"/>
              <w:spacing w:before="206"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其他未列明行业</w:t>
            </w:r>
            <w:r/>
          </w:p>
        </w:tc>
      </w:tr>
    </w:tbl>
    <w:p>
      <w:pPr>
        <w:pStyle w:val="871"/>
        <w:rPr>
          <w:rFonts w:hint="eastAsia" w:ascii="宋体" w:hAnsi="宋体" w:eastAsia="宋体" w:cs="宋体"/>
          <w:color w:val="auto"/>
          <w:highlight w:val="none"/>
        </w:rPr>
        <w:sectPr>
          <w:footerReference w:type="default" r:id="rId9"/>
          <w:footnotePr/>
          <w:endnotePr/>
          <w:type w:val="nextPage"/>
          <w:pgSz w:w="11906" w:h="16839" w:orient="portrait"/>
          <w:pgMar w:top="1431" w:right="1625" w:bottom="1145" w:left="1785" w:header="0" w:footer="980" w:gutter="0"/>
          <w:cols w:num="1" w:sep="0" w:space="720" w:equalWidth="1"/>
          <w:docGrid w:linePitch="360"/>
        </w:sectPr>
      </w:pPr>
      <w:r>
        <w:rPr>
          <w:rFonts w:hint="eastAsia" w:ascii="宋体" w:hAnsi="宋体" w:eastAsia="宋体" w:cs="宋体"/>
          <w:color w:val="auto"/>
          <w:highlight w:val="none"/>
        </w:rPr>
      </w:r>
      <w:r/>
    </w:p>
    <w:p>
      <w:pPr>
        <w:pStyle w:val="873"/>
        <w:jc w:val="center"/>
        <w:keepNext/>
        <w:spacing w:beforeAutospacing="0" w:afterAutospacing="0"/>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73"/>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73"/>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878"/>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3"/>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849"/>
        <w:gridCol w:w="744"/>
        <w:gridCol w:w="429"/>
        <w:gridCol w:w="6074"/>
      </w:tblGrid>
      <w:tr>
        <w:trPr>
          <w:trHeight w:val="336"/>
        </w:trPr>
        <w:tc>
          <w:tcPr>
            <w:shd w:val="clear" w:color="auto" w:fill="auto"/>
            <w:tcW w:w="42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序号</w:t>
            </w:r>
            <w:r/>
          </w:p>
        </w:tc>
        <w:tc>
          <w:tcPr>
            <w:shd w:val="clear" w:color="auto" w:fill="auto"/>
            <w:tcW w:w="660" w:type="dxa"/>
            <w:vAlign w:val="center"/>
            <w:textDirection w:val="lrTb"/>
            <w:noWrap w:val="false"/>
          </w:tcPr>
          <w:p>
            <w:pPr>
              <w:jc w:val="center"/>
              <w:rPr>
                <w:rFonts w:hint="eastAsia"/>
                <w:color w:val="auto"/>
                <w:highlight w:val="none"/>
              </w:rPr>
            </w:pPr>
            <w:r>
              <w:rPr>
                <w:rFonts w:hint="eastAsia"/>
                <w:color w:val="auto"/>
                <w:highlight w:val="none"/>
              </w:rPr>
              <w:t xml:space="preserve">分部</w:t>
            </w:r>
            <w:r/>
          </w:p>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内容</w:t>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分项内容</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分值</w:t>
            </w:r>
            <w:r/>
          </w:p>
        </w:tc>
        <w:tc>
          <w:tcPr>
            <w:shd w:val="clear" w:color="auto" w:fill="auto"/>
            <w:tcW w:w="6251"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打分要求</w:t>
            </w:r>
            <w:r/>
          </w:p>
        </w:tc>
      </w:tr>
      <w:tr>
        <w:trPr/>
        <w:tc>
          <w:tcPr>
            <w:shd w:val="clear" w:color="auto" w:fill="auto"/>
            <w:tcW w:w="42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一</w:t>
            </w:r>
            <w:r/>
          </w:p>
        </w:tc>
        <w:tc>
          <w:tcPr>
            <w:shd w:val="clear" w:color="auto" w:fill="auto"/>
            <w:tcW w:w="660" w:type="dxa"/>
            <w:vAlign w:val="center"/>
            <w:textDirection w:val="lrTb"/>
            <w:noWrap w:val="false"/>
          </w:tcPr>
          <w:p>
            <w:pPr>
              <w:jc w:val="center"/>
              <w:rPr>
                <w:rFonts w:hint="eastAsia"/>
                <w:color w:val="auto"/>
                <w:highlight w:val="none"/>
              </w:rPr>
            </w:pPr>
            <w:r>
              <w:rPr>
                <w:rFonts w:hint="eastAsia"/>
                <w:color w:val="auto"/>
                <w:highlight w:val="none"/>
              </w:rPr>
              <w:t xml:space="preserve">价格</w:t>
            </w:r>
            <w:r/>
          </w:p>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部分</w:t>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投标报价</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10</w:t>
            </w:r>
            <w:r/>
          </w:p>
        </w:tc>
        <w:tc>
          <w:tcPr>
            <w:shd w:val="clear" w:color="auto" w:fill="auto"/>
            <w:tcW w:w="6251" w:type="dxa"/>
            <w:vAlign w:val="center"/>
            <w:textDirection w:val="lrTb"/>
            <w:noWrap w:val="false"/>
          </w:tcPr>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ascii="宋体" w:hAnsi="宋体" w:eastAsia="宋体" w:cs="宋体"/>
                <w:color w:val="auto"/>
                <w:sz w:val="21"/>
                <w:szCs w:val="21"/>
                <w:highlight w:val="none"/>
                <w14:ligatures w14:val="none"/>
              </w:rPr>
              <w:t xml:space="preserve">满足招标文件要求且投标价格最低的投标报价为基准价，其价格分为满分。报价得分=（评标基准价/投标报价）×</w:t>
            </w:r>
            <w:r>
              <w:rPr>
                <w:rFonts w:hint="eastAsia" w:ascii="宋体" w:hAnsi="宋体" w:eastAsia="宋体" w:cs="宋体"/>
                <w:color w:val="auto"/>
                <w:sz w:val="21"/>
                <w:szCs w:val="21"/>
                <w:highlight w:val="none"/>
                <w:lang w:val="en-US" w:eastAsia="zh-CN"/>
                <w14:ligatures w14:val="none"/>
              </w:rPr>
              <w:t xml:space="preserve">10</w:t>
            </w:r>
            <w:r>
              <w:rPr>
                <w:rFonts w:hint="eastAsia" w:ascii="宋体" w:hAnsi="宋体" w:eastAsia="宋体" w:cs="宋体"/>
                <w:color w:val="auto"/>
                <w:sz w:val="21"/>
                <w:szCs w:val="21"/>
                <w:highlight w:val="none"/>
                <w14:ligatures w14:val="none"/>
              </w:rPr>
              <w:t xml:space="preserve">。</w:t>
            </w:r>
            <w:r/>
          </w:p>
        </w:tc>
      </w:tr>
      <w:tr>
        <w:trPr/>
        <w:tc>
          <w:tcPr>
            <w:shd w:val="clear" w:color="auto" w:fill="auto"/>
            <w:tcW w:w="426" w:type="dxa"/>
            <w:vAlign w:val="center"/>
            <w:vMerge w:val="restart"/>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二</w:t>
            </w:r>
            <w:r/>
          </w:p>
        </w:tc>
        <w:tc>
          <w:tcPr>
            <w:shd w:val="clear" w:color="auto" w:fill="auto"/>
            <w:tcW w:w="660"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技术</w:t>
            </w:r>
            <w:r/>
          </w:p>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部分</w:t>
            </w:r>
            <w:r>
              <w:rPr>
                <w:rFonts w:hint="eastAsia"/>
                <w:color w:val="auto"/>
                <w:highlight w:val="none"/>
                <w:lang w:eastAsia="zh-CN"/>
              </w:rPr>
              <w:t xml:space="preserve">（</w:t>
            </w:r>
            <w:r>
              <w:rPr>
                <w:rFonts w:hint="eastAsia"/>
                <w:color w:val="auto"/>
                <w:highlight w:val="none"/>
                <w:lang w:val="en-US" w:eastAsia="zh-CN"/>
              </w:rPr>
              <w:t xml:space="preserve">50</w:t>
            </w:r>
            <w:r>
              <w:rPr>
                <w:rFonts w:hint="eastAsia"/>
                <w:color w:val="auto"/>
                <w:highlight w:val="none"/>
                <w:lang w:eastAsia="zh-CN"/>
              </w:rPr>
              <w:t xml:space="preserve">）</w:t>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项目总体实施方案</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10</w:t>
            </w:r>
            <w:r/>
          </w:p>
        </w:tc>
        <w:tc>
          <w:tcPr>
            <w:shd w:val="clear" w:color="auto" w:fill="auto"/>
            <w:tcW w:w="6251" w:type="dxa"/>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投标人提供的项目总体实施方案包含但不限于进场前准备，项目管理机构岗位设置，人员配置、培训与管理方案等内容。</w:t>
            </w:r>
            <w:r/>
          </w:p>
          <w:p>
            <w:pPr>
              <w:ind w:firstLine="420"/>
              <w:jc w:val="left"/>
              <w:rPr>
                <w:rFonts w:hint="eastAsia"/>
                <w:color w:val="auto"/>
                <w:highlight w:val="none"/>
              </w:rPr>
            </w:pPr>
            <w:r>
              <w:rPr>
                <w:rFonts w:hint="eastAsia"/>
                <w:color w:val="auto"/>
                <w:highlight w:val="none"/>
              </w:rPr>
              <w:t xml:space="preserve">满足以上4项要求最多得10分；满足任意一项最多得2.5分；其余情况不得分。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方案完整详尽，专业性、可行性强，考虑周全，思路清晰，符合项目需求该项得2.5分；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2.对项目总体有一定的认识，方案较为完整、细致，思路较清晰，基本符合项目需求，该项得1.5分；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3.方案不细致，欠完善，与项目需求响应度低，项目理解思路一般该项得0.5分。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4.不提供或者经评标委员会不认可的不得分。2.对项目总体有一定的认识，方案较为完整、细致，思路较清晰，基本符合项目需求，该项得1.5分；</w:t>
            </w:r>
            <w:r/>
          </w:p>
        </w:tc>
      </w:tr>
      <w:tr>
        <w:trPr/>
        <w:tc>
          <w:tcPr>
            <w:shd w:val="clear" w:color="auto" w:fill="auto"/>
            <w:tcW w:w="426"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shd w:val="clear" w:color="auto" w:fill="auto"/>
            <w:tcW w:w="660" w:type="dxa"/>
            <w:vAlign w:val="center"/>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756"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垃圾分类清运方案</w:t>
            </w:r>
            <w:r/>
          </w:p>
        </w:tc>
        <w:tc>
          <w:tcPr>
            <w:shd w:val="clear" w:color="auto" w:fill="auto"/>
            <w:tcW w:w="429"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6251" w:type="dxa"/>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投标人提供的垃圾分类清运实施方案包含但不限于清运设备情况、收运路线、频次、服务标准等内容。</w:t>
            </w:r>
            <w:r/>
          </w:p>
          <w:p>
            <w:pPr>
              <w:ind w:firstLine="420"/>
              <w:jc w:val="left"/>
              <w:rPr>
                <w:rFonts w:hint="eastAsia"/>
                <w:color w:val="auto"/>
                <w:highlight w:val="none"/>
              </w:rPr>
            </w:pPr>
            <w:r>
              <w:rPr>
                <w:rFonts w:hint="eastAsia"/>
                <w:color w:val="auto"/>
                <w:highlight w:val="none"/>
              </w:rPr>
              <w:t xml:space="preserve">满足以上4项要求最多得9分；满足任意一项最多得2.5分；其余情况不得分。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1.方案完整详尽，专业性、可行性强，考虑周全，思路清晰，符合项目需求该项得2.5分；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w:t>
            </w:r>
            <w:r>
              <w:rPr>
                <w:rFonts w:hint="eastAsia"/>
                <w:color w:val="auto"/>
                <w:highlight w:val="none"/>
                <w:lang w:eastAsia="zh-CN"/>
              </w:rPr>
              <w:t xml:space="preserve">较为</w:t>
            </w:r>
            <w:r>
              <w:rPr>
                <w:rFonts w:hint="eastAsia"/>
                <w:color w:val="auto"/>
                <w:highlight w:val="none"/>
              </w:rPr>
              <w:t xml:space="preserve">清晰，基本符合项目需求，该项得</w:t>
            </w:r>
            <w:r/>
          </w:p>
          <w:p>
            <w:pPr>
              <w:ind w:firstLine="420"/>
              <w:jc w:val="left"/>
              <w:rPr>
                <w:rFonts w:hint="eastAsia"/>
                <w:color w:val="auto"/>
                <w:highlight w:val="none"/>
              </w:rPr>
            </w:pPr>
            <w:r>
              <w:rPr>
                <w:rFonts w:hint="eastAsia"/>
                <w:color w:val="auto"/>
                <w:highlight w:val="none"/>
              </w:rPr>
              <w:t xml:space="preserve">1.5分；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3.方案不细致，欠完善，与项目需求响应度低，项目理解思路一般该项得0.5分。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4.不提供或者经评标委员会不认可的不得分。</w:t>
            </w:r>
            <w:r/>
          </w:p>
        </w:tc>
      </w:tr>
      <w:tr>
        <w:trPr/>
        <w:tc>
          <w:tcPr>
            <w:tcW w:w="426" w:type="dxa"/>
            <w:vMerge w:val="continue"/>
            <w:textDirection w:val="lrTb"/>
            <w:noWrap w:val="false"/>
          </w:tcPr>
          <w:p>
            <w:pPr>
              <w:jc w:val="center"/>
              <w:rPr>
                <w:rFonts w:hint="eastAsia"/>
                <w:color w:val="auto"/>
                <w:highlight w:val="none"/>
              </w:rPr>
            </w:pPr>
            <w:r>
              <w:rPr>
                <w:rFonts w:hint="eastAsia"/>
                <w:color w:val="auto"/>
                <w:highlight w:val="none"/>
              </w:rPr>
            </w:r>
            <w:r/>
          </w:p>
        </w:tc>
        <w:tc>
          <w:tcPr>
            <w:tcW w:w="660" w:type="dxa"/>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质量保证措施方案</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投标人提供的质量保证措施方案包含但不限于企业制度、自控体系、主要工序的质量技术保证等内容。</w:t>
            </w:r>
            <w:r/>
          </w:p>
          <w:p>
            <w:pPr>
              <w:ind w:firstLine="420"/>
              <w:jc w:val="left"/>
              <w:rPr>
                <w:rFonts w:hint="eastAsia"/>
                <w:color w:val="auto"/>
                <w:highlight w:val="none"/>
              </w:rPr>
            </w:pPr>
            <w:r>
              <w:rPr>
                <w:rFonts w:hint="eastAsia"/>
                <w:color w:val="auto"/>
                <w:highlight w:val="none"/>
              </w:rPr>
              <w:t xml:space="preserve">满足以上3项要求最多得9分；满足任意一项最多得3分；其余情况不得分。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1.方案完整详尽，专业性、可行性强，考虑周全，思路清晰，符合项目需求该项得3分；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2.对项目总体有一定的认识，方案较为完整、细致，思路较清晰，基本符合项目需求，该项得2分；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3.方案不细致，欠完善，与项目需求响应度低，项目理解思路一般该项得1分。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4.不提供或者经评标委员会不认可的不得分。</w:t>
            </w:r>
            <w:r/>
          </w:p>
        </w:tc>
      </w:tr>
      <w:tr>
        <w:trPr/>
        <w:tc>
          <w:tcPr>
            <w:tcW w:w="426" w:type="dxa"/>
            <w:vMerge w:val="continue"/>
            <w:textDirection w:val="lrTb"/>
            <w:noWrap w:val="false"/>
          </w:tcPr>
          <w:p>
            <w:pPr>
              <w:jc w:val="center"/>
              <w:rPr>
                <w:rFonts w:hint="eastAsia"/>
                <w:color w:val="auto"/>
                <w:highlight w:val="none"/>
              </w:rPr>
            </w:pPr>
            <w:r>
              <w:rPr>
                <w:rFonts w:hint="eastAsia"/>
                <w:color w:val="auto"/>
                <w:highlight w:val="none"/>
              </w:rPr>
            </w:r>
            <w:r/>
          </w:p>
        </w:tc>
        <w:tc>
          <w:tcPr>
            <w:tcW w:w="660" w:type="dxa"/>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服务保证措施方案</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投标人提供的服务保证措施方案包含但不限于服务响应时间、服务措施、专业售后服务人员、培训等内容。</w:t>
            </w:r>
            <w:r/>
          </w:p>
          <w:p>
            <w:pPr>
              <w:ind w:firstLine="420"/>
              <w:jc w:val="left"/>
              <w:rPr>
                <w:rFonts w:hint="eastAsia"/>
                <w:color w:val="auto"/>
                <w:highlight w:val="none"/>
              </w:rPr>
            </w:pPr>
            <w:r>
              <w:rPr>
                <w:rFonts w:hint="eastAsia"/>
                <w:color w:val="auto"/>
                <w:highlight w:val="none"/>
              </w:rPr>
              <w:t xml:space="preserve">满足以上4项要求最多得9分；满足任意一项最多得2.5分；其余情况不得分。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注：评审委员会根据各供应商的具体响应内容按照以下量化的评审因素指标对各项要求进行满足性判断：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1.方案完整详尽，专业性、可行性强，考虑周全，思路清晰，符合项目需求该项得2.5分；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2.对项目总体有一定的认识，方案较为完整、细致，思路较清晰，基本符合项目需求，该项得1.5分；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3.方案不细致，欠完善，与项目需求响应度低，项目理解思路一般该项得0.5分。</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4.不提供或者经评标委员会不认可的不得分。</w:t>
            </w:r>
            <w:r/>
          </w:p>
        </w:tc>
      </w:tr>
      <w:tr>
        <w:trPr/>
        <w:tc>
          <w:tcPr>
            <w:tcW w:w="426" w:type="dxa"/>
            <w:vMerge w:val="continue"/>
            <w:textDirection w:val="lrTb"/>
            <w:noWrap w:val="false"/>
          </w:tcPr>
          <w:p>
            <w:pPr>
              <w:jc w:val="center"/>
              <w:rPr>
                <w:rFonts w:hint="eastAsia"/>
                <w:color w:val="auto"/>
                <w:highlight w:val="none"/>
              </w:rPr>
            </w:pPr>
            <w:r>
              <w:rPr>
                <w:rFonts w:hint="eastAsia"/>
                <w:color w:val="auto"/>
                <w:highlight w:val="none"/>
              </w:rPr>
            </w:r>
            <w:r/>
          </w:p>
        </w:tc>
        <w:tc>
          <w:tcPr>
            <w:tcW w:w="660" w:type="dxa"/>
            <w:vMerge w:val="continue"/>
            <w:textDirection w:val="lrTb"/>
            <w:noWrap w:val="false"/>
          </w:tcPr>
          <w:p>
            <w:pPr>
              <w:jc w:val="center"/>
              <w:rPr>
                <w:rFonts w:hint="eastAsia"/>
                <w:color w:val="auto"/>
                <w:highlight w:val="none"/>
                <w:lang w:eastAsia="zh-CN"/>
              </w:rPr>
            </w:pPr>
            <w:r>
              <w:rPr>
                <w:rFonts w:hint="eastAsia"/>
                <w:color w:val="auto"/>
                <w:highlight w:val="none"/>
                <w:lang w:eastAsia="zh-CN"/>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应急响应方案</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投标人提供的应急响应方案包含但不限于突发事件处理、紧急情况补救等内容。</w:t>
            </w:r>
            <w:r/>
          </w:p>
          <w:p>
            <w:pPr>
              <w:ind w:firstLine="420"/>
              <w:jc w:val="left"/>
              <w:rPr>
                <w:rFonts w:hint="eastAsia"/>
                <w:color w:val="auto"/>
                <w:highlight w:val="none"/>
              </w:rPr>
            </w:pPr>
            <w:r>
              <w:rPr>
                <w:rFonts w:hint="eastAsia"/>
                <w:color w:val="auto"/>
                <w:highlight w:val="none"/>
              </w:rPr>
              <w:t xml:space="preserve">满足以上2项要求最多得9分；满足任意一项最多得5分；其余情况不得分。</w:t>
            </w:r>
            <w:r/>
          </w:p>
          <w:p>
            <w:pPr>
              <w:ind w:firstLine="420"/>
              <w:jc w:val="left"/>
              <w:rPr>
                <w:rFonts w:hint="eastAsia"/>
                <w:color w:val="auto"/>
                <w:highlight w:val="none"/>
              </w:rPr>
            </w:pPr>
            <w:r>
              <w:rPr>
                <w:rFonts w:hint="eastAsia"/>
                <w:color w:val="auto"/>
                <w:highlight w:val="none"/>
              </w:rPr>
              <w:t xml:space="preserve">注：评审委员会根据各供应商的具体响应内容</w:t>
            </w:r>
            <w:r/>
          </w:p>
          <w:p>
            <w:pPr>
              <w:ind w:firstLine="420"/>
              <w:jc w:val="left"/>
              <w:rPr>
                <w:rFonts w:hint="eastAsia"/>
                <w:color w:val="auto"/>
                <w:highlight w:val="none"/>
              </w:rPr>
            </w:pPr>
            <w:r>
              <w:rPr>
                <w:rFonts w:hint="eastAsia"/>
                <w:color w:val="auto"/>
                <w:highlight w:val="none"/>
              </w:rPr>
              <w:t xml:space="preserve">按照以下量化的评审因素指标对各项要求进</w:t>
            </w:r>
            <w:r>
              <w:rPr>
                <w:rFonts w:hint="eastAsia"/>
                <w:color w:val="auto"/>
                <w:highlight w:val="none"/>
                <w:lang w:eastAsia="zh-CN"/>
              </w:rPr>
              <w:t xml:space="preserve">行</w:t>
            </w:r>
            <w:r>
              <w:rPr>
                <w:rFonts w:hint="eastAsia"/>
                <w:color w:val="auto"/>
                <w:highlight w:val="none"/>
              </w:rPr>
              <w:t xml:space="preserve">满足性判断：</w:t>
            </w:r>
            <w:r/>
          </w:p>
          <w:p>
            <w:pPr>
              <w:ind w:firstLine="420"/>
              <w:jc w:val="left"/>
              <w:rPr>
                <w:rFonts w:hint="eastAsia"/>
                <w:color w:val="auto"/>
                <w:highlight w:val="none"/>
              </w:rPr>
            </w:pPr>
            <w:r>
              <w:rPr>
                <w:rFonts w:hint="eastAsia"/>
                <w:color w:val="auto"/>
                <w:highlight w:val="none"/>
              </w:rPr>
              <w:t xml:space="preserve">1.方案完整详尽，专业性、可行性强，考虑周全，思路清晰，符合项目需求该项得5分；</w:t>
            </w:r>
            <w:r/>
          </w:p>
          <w:p>
            <w:pPr>
              <w:ind w:firstLine="420"/>
              <w:jc w:val="left"/>
              <w:rPr>
                <w:rFonts w:hint="eastAsia"/>
                <w:color w:val="auto"/>
                <w:highlight w:val="none"/>
              </w:rPr>
            </w:pPr>
            <w:r>
              <w:rPr>
                <w:rFonts w:hint="eastAsia"/>
                <w:color w:val="auto"/>
                <w:highlight w:val="none"/>
              </w:rPr>
              <w:t xml:space="preserve">2.对项目总体有一定的认识，方案较为完整、细致，思路较清晰，基本符合项目需求，该项得3分；</w:t>
            </w:r>
            <w:r/>
          </w:p>
          <w:p>
            <w:pPr>
              <w:ind w:firstLine="420"/>
              <w:jc w:val="left"/>
              <w:rPr>
                <w:rFonts w:hint="eastAsia"/>
                <w:color w:val="auto"/>
                <w:highlight w:val="none"/>
              </w:rPr>
            </w:pPr>
            <w:r>
              <w:rPr>
                <w:rFonts w:hint="eastAsia"/>
                <w:color w:val="auto"/>
                <w:highlight w:val="none"/>
              </w:rPr>
              <w:t xml:space="preserve">3.方案不细致，欠完善，与项目需求响应度低，项目理解思路一般该项得1分。</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4.不提供或者经评标委员会不认可的不得分。</w:t>
            </w:r>
            <w:r/>
          </w:p>
        </w:tc>
      </w:tr>
      <w:tr>
        <w:trPr/>
        <w:tc>
          <w:tcPr>
            <w:shd w:val="clear" w:color="auto" w:fill="auto"/>
            <w:tcW w:w="426" w:type="dxa"/>
            <w:vAlign w:val="center"/>
            <w:vMerge w:val="restart"/>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三</w:t>
            </w:r>
            <w:r/>
          </w:p>
        </w:tc>
        <w:tc>
          <w:tcPr>
            <w:shd w:val="clear" w:color="auto" w:fill="auto"/>
            <w:tcW w:w="660" w:type="dxa"/>
            <w:vAlign w:val="center"/>
            <w:vMerge w:val="restart"/>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商务</w:t>
            </w:r>
            <w:r/>
          </w:p>
          <w:p>
            <w:pPr>
              <w:jc w:val="center"/>
              <w:rPr>
                <w:rFonts w:hint="default"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部分（40）</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清运车辆</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4</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投标人具有可回收及有害垃圾收运车辆的，每台得</w:t>
            </w:r>
            <w:r>
              <w:rPr>
                <w:rFonts w:hint="eastAsia"/>
                <w:color w:val="auto"/>
                <w:highlight w:val="none"/>
                <w:lang w:val="en-US" w:eastAsia="zh-CN"/>
              </w:rPr>
              <w:t xml:space="preserve">2</w:t>
            </w:r>
            <w:r>
              <w:rPr>
                <w:rFonts w:hint="eastAsia"/>
                <w:color w:val="auto"/>
                <w:highlight w:val="none"/>
              </w:rPr>
              <w:t xml:space="preserve">分，本项最多得</w:t>
            </w:r>
            <w:r>
              <w:rPr>
                <w:rFonts w:hint="eastAsia"/>
                <w:color w:val="auto"/>
                <w:highlight w:val="none"/>
                <w:lang w:val="en-US" w:eastAsia="zh-CN"/>
              </w:rPr>
              <w:t xml:space="preserve">4</w:t>
            </w:r>
            <w:r>
              <w:rPr>
                <w:rFonts w:hint="eastAsia"/>
                <w:color w:val="auto"/>
                <w:highlight w:val="none"/>
              </w:rPr>
              <w:t xml:space="preserve">分。</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rPr>
              <w:t xml:space="preserve">注：提供有效期内的车辆行驶证、购置发票（或租赁合同）、车辆保单复印件及车辆照片</w:t>
            </w:r>
            <w:r>
              <w:rPr>
                <w:rFonts w:hint="eastAsia"/>
                <w:color w:val="auto"/>
                <w:highlight w:val="none"/>
                <w:lang w:eastAsia="zh-CN"/>
              </w:rPr>
              <w:t xml:space="preserve">，</w:t>
            </w:r>
            <w:r>
              <w:rPr>
                <w:rFonts w:hint="eastAsia"/>
                <w:color w:val="auto"/>
                <w:highlight w:val="none"/>
                <w:lang w:val="en-US" w:eastAsia="zh-CN"/>
              </w:rPr>
              <w:t xml:space="preserve">或提供《承诺函》，承诺在合同签订后20日内到位，承诺函格式均自拟，未提供材料不得分。</w:t>
            </w:r>
            <w:r/>
          </w:p>
        </w:tc>
      </w:tr>
      <w:tr>
        <w:trPr/>
        <w:tc>
          <w:tcPr>
            <w:shd w:val="clear" w:color="auto" w:fill="auto"/>
            <w:tcW w:w="426"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asciiTheme="minorHAnsi" w:hAnsiTheme="minorHAnsi" w:eastAsiaTheme="minorEastAsia" w:cstheme="minorBidi"/>
                <w:color w:val="auto"/>
                <w:sz w:val="21"/>
                <w:szCs w:val="24"/>
                <w:highlight w:val="none"/>
                <w:lang w:val="en-US" w:eastAsia="en-US" w:bidi="ar-SA"/>
              </w:rPr>
            </w:r>
            <w:r/>
          </w:p>
        </w:tc>
        <w:tc>
          <w:tcPr>
            <w:shd w:val="clear" w:color="auto" w:fill="auto"/>
            <w:tcW w:w="660" w:type="dxa"/>
            <w:vAlign w:val="center"/>
            <w:vMerge w:val="continue"/>
            <w:textDirection w:val="lrTb"/>
            <w:noWrap w:val="false"/>
          </w:tcPr>
          <w:p>
            <w:pPr>
              <w:jc w:val="center"/>
              <w:rPr>
                <w:rFonts w:hint="default" w:asciiTheme="minorHAnsi" w:hAnsiTheme="minorHAnsi" w:eastAsiaTheme="minorEastAsia" w:cstheme="minorBidi"/>
                <w:color w:val="auto"/>
                <w:sz w:val="21"/>
                <w:szCs w:val="24"/>
                <w:highlight w:val="none"/>
                <w:lang w:val="en-US" w:eastAsia="zh-CN" w:bidi="ar-SA"/>
              </w:rPr>
            </w:pPr>
            <w:r>
              <w:rPr>
                <w:rFonts w:hint="default" w:asciiTheme="minorHAnsi" w:hAnsiTheme="minorHAnsi" w:eastAsiaTheme="minorEastAsia" w:cstheme="minorBidi"/>
                <w:color w:val="auto"/>
                <w:sz w:val="21"/>
                <w:szCs w:val="24"/>
                <w:highlight w:val="none"/>
                <w:lang w:val="en-US" w:eastAsia="zh-CN" w:bidi="ar-SA"/>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团队人员</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6</w:t>
            </w:r>
            <w:r/>
          </w:p>
        </w:tc>
        <w:tc>
          <w:tcPr>
            <w:shd w:val="clear" w:color="auto" w:fill="auto"/>
            <w:tcW w:w="0" w:type="auto"/>
            <w:vAlign w:val="center"/>
            <w:textDirection w:val="lrTb"/>
            <w:noWrap w:val="false"/>
          </w:tcPr>
          <w:p>
            <w:pPr>
              <w:numPr>
                <w:ilvl w:val="0"/>
                <w:numId w:val="0"/>
              </w:numPr>
              <w:ind w:firstLine="420"/>
              <w:jc w:val="left"/>
              <w:rPr>
                <w:rFonts w:hint="eastAsia"/>
                <w:color w:val="auto"/>
                <w:highlight w:val="none"/>
              </w:rPr>
            </w:pPr>
            <w:r>
              <w:rPr>
                <w:rFonts w:hint="eastAsia" w:asciiTheme="minorHAnsi" w:hAnsiTheme="minorHAnsi" w:eastAsiaTheme="minorEastAsia" w:cstheme="minorBidi"/>
                <w:color w:val="auto"/>
                <w:sz w:val="21"/>
                <w:szCs w:val="24"/>
                <w:highlight w:val="none"/>
                <w:lang w:val="en-US" w:eastAsia="zh-CN" w:bidi="ar-SA"/>
              </w:rPr>
              <w:t xml:space="preserve">1</w:t>
            </w:r>
            <w:r>
              <w:rPr>
                <w:rFonts w:hint="eastAsia" w:cstheme="minorBidi"/>
                <w:color w:val="auto"/>
                <w:sz w:val="21"/>
                <w:szCs w:val="24"/>
                <w:highlight w:val="none"/>
                <w:lang w:val="en-US" w:eastAsia="zh-CN" w:bidi="ar-SA"/>
              </w:rPr>
              <w:t xml:space="preserve">.</w:t>
            </w:r>
            <w:r>
              <w:rPr>
                <w:rFonts w:hint="eastAsia"/>
                <w:color w:val="auto"/>
                <w:highlight w:val="none"/>
                <w:lang w:val="en-US" w:eastAsia="zh-CN"/>
              </w:rPr>
              <w:t xml:space="preserve">拥有B照或以上驾驶证的驾驶员，每提供1名得1分，</w:t>
            </w:r>
            <w:r>
              <w:rPr>
                <w:rFonts w:hint="eastAsia"/>
                <w:color w:val="auto"/>
                <w:highlight w:val="none"/>
              </w:rPr>
              <w:t xml:space="preserve">本项最多得</w:t>
            </w:r>
            <w:r>
              <w:rPr>
                <w:rFonts w:hint="eastAsia"/>
                <w:color w:val="auto"/>
                <w:highlight w:val="none"/>
                <w:lang w:val="en-US" w:eastAsia="zh-CN"/>
              </w:rPr>
              <w:t xml:space="preserve">2</w:t>
            </w:r>
            <w:r>
              <w:rPr>
                <w:rFonts w:hint="eastAsia"/>
                <w:color w:val="auto"/>
                <w:highlight w:val="none"/>
              </w:rPr>
              <w:t xml:space="preserve">分</w:t>
            </w:r>
            <w:r>
              <w:rPr>
                <w:rFonts w:hint="eastAsia"/>
                <w:color w:val="auto"/>
                <w:highlight w:val="none"/>
                <w:lang w:val="en-US" w:eastAsia="zh-CN"/>
              </w:rPr>
              <w:t xml:space="preserve">。</w:t>
            </w:r>
            <w:r/>
          </w:p>
          <w:p>
            <w:pPr>
              <w:numPr>
                <w:ilvl w:val="0"/>
                <w:numId w:val="0"/>
              </w:numPr>
              <w:ind w:firstLine="420"/>
              <w:jc w:val="left"/>
              <w:rPr>
                <w:rFonts w:hint="eastAsia"/>
                <w:color w:val="auto"/>
                <w:highlight w:val="none"/>
                <w:lang w:val="en-US" w:eastAsia="zh-CN"/>
              </w:rPr>
            </w:pPr>
            <w:r>
              <w:rPr>
                <w:rFonts w:hint="eastAsia" w:asciiTheme="minorHAnsi" w:hAnsiTheme="minorHAnsi" w:eastAsiaTheme="minorEastAsia" w:cstheme="minorBidi"/>
                <w:color w:val="auto"/>
                <w:sz w:val="21"/>
                <w:szCs w:val="24"/>
                <w:highlight w:val="none"/>
                <w:lang w:val="en-US" w:eastAsia="zh-CN" w:bidi="ar-SA"/>
              </w:rPr>
              <w:t xml:space="preserve">2</w:t>
            </w:r>
            <w:r>
              <w:rPr>
                <w:rFonts w:hint="eastAsia" w:cstheme="minorBidi"/>
                <w:color w:val="auto"/>
                <w:sz w:val="21"/>
                <w:szCs w:val="24"/>
                <w:highlight w:val="none"/>
                <w:lang w:val="en-US" w:eastAsia="zh-CN" w:bidi="ar-SA"/>
              </w:rPr>
              <w:t xml:space="preserve">.</w:t>
            </w:r>
            <w:r>
              <w:rPr>
                <w:rFonts w:hint="eastAsia"/>
                <w:color w:val="auto"/>
                <w:highlight w:val="none"/>
                <w:lang w:val="en-US" w:eastAsia="zh-CN"/>
              </w:rPr>
              <w:t xml:space="preserve">具有应急管理部颁发的中级及以上注册安全工程师（道路运输安全专业）证书得2分，本项最多得2分。</w:t>
            </w:r>
            <w:r/>
          </w:p>
          <w:p>
            <w:pPr>
              <w:numPr>
                <w:ilvl w:val="0"/>
                <w:numId w:val="0"/>
              </w:numPr>
              <w:ind w:firstLine="420"/>
              <w:jc w:val="left"/>
              <w:rPr>
                <w:rFonts w:hint="eastAsia"/>
                <w:color w:val="auto"/>
                <w:highlight w:val="none"/>
                <w:lang w:val="en-US" w:eastAsia="zh-CN"/>
              </w:rPr>
            </w:pPr>
            <w:r>
              <w:rPr>
                <w:rFonts w:hint="eastAsia" w:asciiTheme="minorHAnsi" w:hAnsiTheme="minorHAnsi" w:eastAsiaTheme="minorEastAsia" w:cstheme="minorBidi"/>
                <w:color w:val="auto"/>
                <w:sz w:val="21"/>
                <w:szCs w:val="24"/>
                <w:highlight w:val="none"/>
                <w:lang w:val="en-US" w:eastAsia="zh-CN" w:bidi="ar-SA"/>
              </w:rPr>
              <w:t xml:space="preserve">3</w:t>
            </w:r>
            <w:r>
              <w:rPr>
                <w:rFonts w:hint="eastAsia" w:cstheme="minorBidi"/>
                <w:color w:val="auto"/>
                <w:sz w:val="21"/>
                <w:szCs w:val="24"/>
                <w:highlight w:val="none"/>
                <w:lang w:val="en-US" w:eastAsia="zh-CN" w:bidi="ar-SA"/>
              </w:rPr>
              <w:t xml:space="preserve">.</w:t>
            </w:r>
            <w:r>
              <w:rPr>
                <w:rFonts w:hint="eastAsia"/>
                <w:color w:val="auto"/>
                <w:highlight w:val="none"/>
                <w:lang w:val="en-US" w:eastAsia="zh-CN"/>
              </w:rPr>
              <w:t xml:space="preserve">具有人社部颁发的企业人力资源管理师职业资格（职业技能一级及以上）证书得2分，本项最多得2分。</w:t>
            </w:r>
            <w:r/>
          </w:p>
          <w:p>
            <w:pPr>
              <w:ind w:firstLine="420"/>
              <w:jc w:val="left"/>
              <w:rPr>
                <w:rFonts w:hint="eastAsia"/>
                <w:color w:val="auto"/>
                <w:highlight w:val="none"/>
              </w:rPr>
            </w:pPr>
            <w:r>
              <w:rPr>
                <w:rFonts w:hint="eastAsia"/>
                <w:color w:val="auto"/>
                <w:highlight w:val="none"/>
              </w:rPr>
              <w:t xml:space="preserve">注：（1）投标文件中须提供相关人员证</w:t>
            </w:r>
            <w:r>
              <w:rPr>
                <w:rFonts w:hint="eastAsia"/>
                <w:color w:val="auto"/>
                <w:highlight w:val="none"/>
                <w:lang w:val="en-US" w:eastAsia="zh-CN"/>
              </w:rPr>
              <w:t xml:space="preserve">明材料</w:t>
            </w:r>
            <w:r>
              <w:rPr>
                <w:rFonts w:hint="eastAsia"/>
                <w:color w:val="auto"/>
                <w:highlight w:val="none"/>
              </w:rPr>
              <w:t xml:space="preserve">扫描件及有效期内劳动合同复印件加盖公章，否则不予计分。</w:t>
            </w:r>
            <w:r/>
          </w:p>
          <w:p>
            <w:pPr>
              <w:ind w:firstLine="420"/>
              <w:jc w:val="left"/>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投标文件中须提供投标人近半年内其中一个月为相关人员缴纳社保的证明材料（</w:t>
            </w:r>
            <w:r>
              <w:rPr>
                <w:rFonts w:hint="eastAsia"/>
                <w:color w:val="auto"/>
                <w:highlight w:val="none"/>
                <w:lang w:val="en-US" w:eastAsia="zh-CN"/>
              </w:rPr>
              <w:t xml:space="preserve">社保</w:t>
            </w:r>
            <w:r>
              <w:rPr>
                <w:rFonts w:hint="eastAsia"/>
                <w:color w:val="auto"/>
                <w:highlight w:val="none"/>
              </w:rPr>
              <w:t xml:space="preserve">须明确缴费月份、个人姓名、缴费单位，且加盖社保中心或社保中心参保缴费证明电子专用章），否则不予计分。</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lang w:eastAsia="zh-CN"/>
              </w:rPr>
              <w:t xml:space="preserve">（3）</w:t>
            </w:r>
            <w:r>
              <w:rPr>
                <w:rFonts w:hint="eastAsia"/>
                <w:color w:val="auto"/>
                <w:highlight w:val="none"/>
              </w:rPr>
              <w:t xml:space="preserve">补缴社保不予认可。</w:t>
            </w:r>
            <w:r/>
          </w:p>
        </w:tc>
      </w:tr>
      <w:tr>
        <w:trPr>
          <w:trHeight w:val="2101"/>
        </w:trPr>
        <w:tc>
          <w:tcPr>
            <w:shd w:val="clear" w:color="auto" w:fill="auto"/>
            <w:tcW w:w="426"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asciiTheme="minorHAnsi" w:hAnsiTheme="minorHAnsi" w:eastAsiaTheme="minorEastAsia" w:cstheme="minorBidi"/>
                <w:color w:val="auto"/>
                <w:sz w:val="21"/>
                <w:szCs w:val="24"/>
                <w:highlight w:val="none"/>
                <w:lang w:val="en-US" w:eastAsia="en-US" w:bidi="ar-SA"/>
              </w:rPr>
            </w:r>
            <w:r/>
          </w:p>
        </w:tc>
        <w:tc>
          <w:tcPr>
            <w:shd w:val="clear" w:color="auto" w:fill="auto"/>
            <w:tcW w:w="660"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rPr>
              <w:t xml:space="preserve">类似业绩</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10</w:t>
            </w:r>
            <w:r/>
          </w:p>
        </w:tc>
        <w:tc>
          <w:tcPr>
            <w:shd w:val="clear" w:color="auto" w:fill="auto"/>
            <w:tcW w:w="0" w:type="auto"/>
            <w:vAlign w:val="center"/>
            <w:textDirection w:val="lrTb"/>
            <w:noWrap w:val="false"/>
          </w:tcPr>
          <w:p>
            <w:pPr>
              <w:ind w:firstLine="420"/>
              <w:jc w:val="left"/>
              <w:rPr>
                <w:rFonts w:hint="eastAsia"/>
                <w:color w:val="auto"/>
                <w:highlight w:val="none"/>
              </w:rPr>
            </w:pPr>
            <w:r>
              <w:rPr>
                <w:rFonts w:hint="eastAsia"/>
                <w:color w:val="auto"/>
                <w:highlight w:val="none"/>
              </w:rPr>
              <w:t xml:space="preserve">投标人自2022年1月1日</w:t>
            </w:r>
            <w:r>
              <w:rPr>
                <w:rFonts w:hint="eastAsia"/>
                <w:color w:val="auto"/>
                <w:highlight w:val="none"/>
                <w:lang w:eastAsia="zh-CN"/>
              </w:rPr>
              <w:t xml:space="preserve">（</w:t>
            </w:r>
            <w:r>
              <w:rPr>
                <w:rFonts w:hint="eastAsia"/>
                <w:color w:val="auto"/>
                <w:highlight w:val="none"/>
              </w:rPr>
              <w:t xml:space="preserve">以签订合同时间为准</w:t>
            </w:r>
            <w:r>
              <w:rPr>
                <w:rFonts w:hint="eastAsia"/>
                <w:color w:val="auto"/>
                <w:highlight w:val="none"/>
                <w:lang w:eastAsia="zh-CN"/>
              </w:rPr>
              <w:t xml:space="preserve">）</w:t>
            </w:r>
            <w:r>
              <w:rPr>
                <w:rFonts w:hint="eastAsia"/>
                <w:color w:val="auto"/>
                <w:highlight w:val="none"/>
              </w:rPr>
              <w:t xml:space="preserve">以来具有垃圾分类相关业绩的，</w:t>
            </w:r>
            <w:r>
              <w:rPr>
                <w:rFonts w:hint="eastAsia"/>
                <w:color w:val="auto"/>
                <w:highlight w:val="none"/>
                <w:lang w:val="en-US" w:eastAsia="zh-CN"/>
              </w:rPr>
              <w:t xml:space="preserve">每提供一份业绩得5分，最高得10分</w:t>
            </w:r>
            <w:r>
              <w:rPr>
                <w:rFonts w:hint="eastAsia"/>
                <w:color w:val="auto"/>
                <w:highlight w:val="none"/>
              </w:rPr>
              <w:t xml:space="preserve">。</w:t>
            </w:r>
            <w:r/>
          </w:p>
          <w:p>
            <w:pPr>
              <w:ind w:firstLine="420"/>
              <w:jc w:val="left"/>
              <w:rPr>
                <w:rFonts w:hint="eastAsia" w:eastAsiaTheme="minorEastAsia"/>
                <w:color w:val="auto"/>
                <w:highlight w:val="none"/>
                <w:lang w:eastAsia="zh-CN"/>
              </w:rPr>
            </w:pPr>
            <w:r>
              <w:rPr>
                <w:rFonts w:hint="eastAsia"/>
                <w:color w:val="auto"/>
                <w:highlight w:val="none"/>
              </w:rPr>
              <w:t xml:space="preserve">注：</w:t>
            </w:r>
            <w:r>
              <w:rPr>
                <w:rFonts w:hint="eastAsia"/>
                <w:color w:val="auto"/>
                <w:highlight w:val="none"/>
                <w:lang w:eastAsia="zh-CN"/>
              </w:rPr>
              <w:t xml:space="preserve">（1）</w:t>
            </w:r>
            <w:r>
              <w:rPr>
                <w:rFonts w:hint="eastAsia"/>
                <w:color w:val="auto"/>
                <w:highlight w:val="none"/>
              </w:rPr>
              <w:t xml:space="preserve">投标文件中须同时提供合同扫描件</w:t>
            </w:r>
            <w:r>
              <w:rPr>
                <w:rFonts w:hint="eastAsia"/>
                <w:color w:val="auto"/>
                <w:highlight w:val="none"/>
                <w:lang w:eastAsia="zh-CN"/>
              </w:rPr>
              <w:t xml:space="preserve">；</w:t>
            </w:r>
            <w:r/>
          </w:p>
          <w:p>
            <w:pPr>
              <w:ind w:firstLine="420"/>
              <w:jc w:val="left"/>
              <w:rPr>
                <w:rFonts w:hint="eastAsia" w:asciiTheme="minorHAnsi" w:hAnsiTheme="minorHAnsi" w:eastAsiaTheme="minorEastAsia" w:cstheme="minorBidi"/>
                <w:color w:val="auto"/>
                <w:sz w:val="21"/>
                <w:szCs w:val="24"/>
                <w:highlight w:val="none"/>
                <w:lang w:val="en-US" w:eastAsia="en-US" w:bidi="ar-SA"/>
              </w:rPr>
            </w:pPr>
            <w:r>
              <w:rPr>
                <w:rFonts w:hint="eastAsia"/>
                <w:color w:val="auto"/>
                <w:highlight w:val="none"/>
                <w:lang w:eastAsia="zh-CN"/>
              </w:rPr>
              <w:t xml:space="preserve">（2）</w:t>
            </w:r>
            <w:r>
              <w:rPr>
                <w:rFonts w:hint="eastAsia"/>
                <w:color w:val="auto"/>
                <w:highlight w:val="none"/>
              </w:rPr>
              <w:t xml:space="preserve">若合同中未能清楚地反映业绩标的，投标文件中</w:t>
            </w:r>
            <w:r>
              <w:rPr>
                <w:rFonts w:hint="eastAsia"/>
                <w:color w:val="auto"/>
                <w:highlight w:val="none"/>
                <w:lang w:eastAsia="zh-CN"/>
              </w:rPr>
              <w:t xml:space="preserve">需</w:t>
            </w:r>
            <w:r>
              <w:rPr>
                <w:rFonts w:hint="eastAsia"/>
                <w:color w:val="auto"/>
                <w:highlight w:val="none"/>
              </w:rPr>
              <w:t xml:space="preserve">提供合同甲方出具的证明材料扫描件。证明材料须含合同甲方公章及合同甲方经办人姓名、联系电话，公章名称与合同甲方名称一致，且符合以上要求，否则评委会不予计分。证明材料格式自拟。</w:t>
            </w:r>
            <w:r/>
          </w:p>
        </w:tc>
      </w:tr>
      <w:tr>
        <w:trPr/>
        <w:tc>
          <w:tcPr>
            <w:shd w:val="clear" w:color="auto" w:fill="auto"/>
            <w:tcW w:w="426"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en-US" w:bidi="ar-SA"/>
              </w:rPr>
            </w:pPr>
            <w:r>
              <w:rPr>
                <w:rFonts w:hint="eastAsia" w:asciiTheme="minorHAnsi" w:hAnsiTheme="minorHAnsi" w:eastAsiaTheme="minorEastAsia" w:cstheme="minorBidi"/>
                <w:color w:val="auto"/>
                <w:sz w:val="21"/>
                <w:szCs w:val="24"/>
                <w:highlight w:val="none"/>
                <w:lang w:val="en-US" w:eastAsia="en-US" w:bidi="ar-SA"/>
              </w:rPr>
            </w:r>
            <w:r/>
          </w:p>
        </w:tc>
        <w:tc>
          <w:tcPr>
            <w:shd w:val="clear" w:color="auto" w:fill="auto"/>
            <w:tcW w:w="660" w:type="dxa"/>
            <w:vAlign w:val="center"/>
            <w:vMerge w:val="continue"/>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承诺函</w:t>
            </w:r>
            <w:r/>
          </w:p>
        </w:tc>
        <w:tc>
          <w:tcPr>
            <w:shd w:val="clear" w:color="auto" w:fill="auto"/>
            <w:tcW w:w="0" w:type="auto"/>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20</w:t>
            </w:r>
            <w:r/>
          </w:p>
        </w:tc>
        <w:tc>
          <w:tcPr>
            <w:shd w:val="clear" w:color="auto" w:fill="auto"/>
            <w:tcW w:w="0" w:type="auto"/>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应急资源储备承诺：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建立基础应急保障能力。承诺针对垃圾爆仓、设备突发故障等常见运营问题，储备必要的应急工具及临时人员，并明确应急资源调用时效，形成基础应急兜底方案，降低突发情况对服务的影响。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车辆合规与适配性承诺：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确保清运车辆基础合规与功能适配。承诺为项目配备的垃圾清运车辆符合国家及地方道路运输安全标准，并与东台市</w:t>
            </w:r>
            <w:r>
              <w:rPr>
                <w:rFonts w:ascii="Calibri" w:hAnsi="Calibri" w:eastAsia="Calibri" w:cs="Calibri"/>
                <w:color w:val="000000"/>
                <w:sz w:val="21"/>
              </w:rPr>
              <w:t xml:space="preserve">93</w:t>
            </w:r>
            <w:r>
              <w:rPr>
                <w:rFonts w:ascii="SimSun" w:hAnsi="SimSun" w:eastAsia="SimSun" w:cs="SimSun"/>
                <w:color w:val="000000"/>
                <w:sz w:val="21"/>
              </w:rPr>
              <w:t xml:space="preserve">个小区的实际清运需求相匹配，杜绝超载、违规改装等行为，保障清运过程合法合规。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人员稳定性与培训承诺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保障服务团队基础稳定性与基础能力。承诺核心服务人员在合同期内保持相对稳定，并为团队提供基础岗前培训，确保人员具备履行合同的基本职业素养与操作能力。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数据基础记录与配合承诺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履行垃圾清运基础数据记录与配合义务。承诺对服务范围内各垃圾房亭的清运量、清运频次等基础数据进行定期记录与定期汇总，配合采购人或监管部门完成基础数据核查，确保服务过程留痕、可追溯。</w:t>
            </w:r>
            <w:r/>
          </w:p>
          <w:p>
            <w:pPr>
              <w:ind w:firstLine="420"/>
              <w:jc w:val="left"/>
              <w:rPr>
                <w:rFonts w:hint="eastAsia" w:asciiTheme="minorHAnsi" w:hAnsiTheme="minorHAnsi" w:eastAsiaTheme="minorEastAsia" w:cstheme="minorBidi"/>
                <w:color w:val="auto"/>
                <w:sz w:val="21"/>
                <w:szCs w:val="24"/>
                <w:highlight w:val="none"/>
                <w:lang w:val="en-US" w:eastAsia="zh-CN" w:bidi="ar-SA"/>
              </w:rPr>
            </w:pPr>
            <w:r>
              <w:rPr>
                <w:rFonts w:ascii="SimSun" w:hAnsi="SimSun" w:eastAsia="SimSun" w:cs="SimSun"/>
                <w:color w:val="000000"/>
                <w:sz w:val="21"/>
              </w:rPr>
              <w:t xml:space="preserve">注：投标文件中需提供承诺函并加盖公章，承诺函格式自拟，未提供承诺函或承诺函承诺内容不全的不得分。</w:t>
            </w:r>
            <w:r>
              <w:rPr>
                <w:rFonts w:hint="eastAsia"/>
                <w:color w:val="auto"/>
                <w:highlight w:val="none"/>
                <w:lang w:val="en-US" w:eastAsia="zh-CN"/>
              </w:rPr>
            </w:r>
            <w:r/>
          </w:p>
        </w:tc>
      </w:tr>
    </w:tbl>
    <w:p>
      <w:pPr>
        <w:pStyle w:val="873"/>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每部分的得分保留小数点后两位，合计得分保留小数点后两位。</w:t>
      </w:r>
      <w:r/>
    </w:p>
    <w:p>
      <w:pPr>
        <w:pStyle w:val="873"/>
        <w:numPr>
          <w:ilvl w:val="0"/>
          <w:numId w:val="0"/>
        </w:numPr>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highlight w:val="none"/>
        </w:rPr>
        <w:t xml:space="preserve">所有提供的材料复印件应清晰。若证明材料复印件因模糊等原因，导致评标专家无法判定，最终造成得分不</w:t>
      </w:r>
      <w:r>
        <w:rPr>
          <w:rFonts w:hint="eastAsia" w:ascii="宋体" w:hAnsi="宋体" w:eastAsia="宋体" w:cs="宋体"/>
          <w:color w:val="auto"/>
          <w:highlight w:val="none"/>
          <w:lang w:eastAsia="zh-CN"/>
        </w:rPr>
        <w:t xml:space="preserve">予</w:t>
      </w:r>
      <w:r>
        <w:rPr>
          <w:rFonts w:hint="eastAsia" w:ascii="宋体" w:hAnsi="宋体" w:eastAsia="宋体" w:cs="宋体"/>
          <w:color w:val="auto"/>
          <w:highlight w:val="none"/>
        </w:rPr>
        <w:t xml:space="preserve">计取的后果由投标供应商自行承担。</w:t>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jc w:val="center"/>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numPr>
          <w:ilvl w:val="0"/>
          <w:numId w:val="0"/>
        </w:numPr>
        <w:jc w:val="center"/>
        <w:keepLines w:val="0"/>
        <w:keepNext w:val="0"/>
        <w:pageBreakBefore w:val="0"/>
        <w:spacing w:beforeAutospacing="0" w:afterAutospacing="0" w:line="480" w:lineRule="exact"/>
        <w:widowControl w:val="off"/>
        <w:rPr>
          <w:color w:val="auto"/>
          <w:highlight w:val="none"/>
        </w:rPr>
      </w:pPr>
      <w:r>
        <w:rPr>
          <w:rFonts w:hint="eastAsia" w:ascii="黑体" w:hAnsi="宋体" w:eastAsia="黑体" w:cs="黑体"/>
          <w:color w:val="auto"/>
          <w:sz w:val="44"/>
          <w:szCs w:val="44"/>
          <w:highlight w:val="none"/>
        </w:rPr>
        <w:t xml:space="preserve">第六章  投标文件格式</w:t>
      </w:r>
      <w:r/>
    </w:p>
    <w:p>
      <w:pPr>
        <w:pStyle w:val="873"/>
        <w:jc w:val="center"/>
        <w:spacing w:beforeAutospacing="0" w:afterAutospacing="0"/>
        <w:rPr>
          <w:rFonts w:hint="eastAsia" w:ascii="宋体" w:hAnsi="宋体" w:eastAsia="宋体" w:cs="宋体"/>
          <w:b/>
          <w:color w:val="auto"/>
          <w:sz w:val="72"/>
          <w:szCs w:val="72"/>
          <w:highlight w:val="none"/>
        </w:rPr>
      </w:pPr>
      <w:r/>
      <w:bookmarkStart w:id="181" w:name="_Hlt26671244"/>
      <w:r/>
      <w:bookmarkEnd w:id="181"/>
      <w:r/>
      <w:bookmarkStart w:id="182" w:name="_Hlt26955039"/>
      <w:r/>
      <w:bookmarkEnd w:id="182"/>
      <w:r/>
      <w:bookmarkStart w:id="183" w:name="_Toc26554094"/>
      <w:r/>
      <w:bookmarkEnd w:id="183"/>
      <w:r/>
      <w:bookmarkStart w:id="184" w:name="_Toc49090576"/>
      <w:r/>
      <w:bookmarkStart w:id="185" w:name="_Toc120614282"/>
      <w:r/>
      <w:r/>
    </w:p>
    <w:p>
      <w:pPr>
        <w:pStyle w:val="873"/>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7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7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87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both"/>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二、上一年度或上上年度的财务状况报表（至少提供资产负债表、利润表、现金流量表，投标人成立不满一年无需提供）</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3"/>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六、供应商法定代表人身份证明和</w:t>
      </w:r>
      <w:r>
        <w:rPr>
          <w:rFonts w:hint="eastAsia" w:ascii="宋体" w:hAnsi="宋体" w:eastAsia="宋体" w:cs="宋体"/>
          <w:i w:val="0"/>
          <w:iCs/>
          <w:color w:val="auto"/>
          <w:highlight w:val="none"/>
          <w:u w:val="none"/>
          <w:lang w:eastAsia="zh-CN"/>
        </w:rPr>
        <w:t xml:space="preserve">投标文件</w:t>
      </w:r>
      <w:r>
        <w:rPr>
          <w:rFonts w:hint="eastAsia" w:ascii="宋体" w:hAnsi="宋体" w:eastAsia="宋体" w:cs="宋体"/>
          <w:i w:val="0"/>
          <w:iCs/>
          <w:color w:val="auto"/>
          <w:highlight w:val="none"/>
          <w:u w:val="none"/>
        </w:rPr>
        <w:t xml:space="preserve">签署授权委托书（另附法定代表人和被授权人的身份证复印件）</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七、供应商为被授权人缴纳的社会养老保险证明</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、投标报价表</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、盐城市政府采购事前信用承诺书</w:t>
      </w:r>
      <w:r/>
    </w:p>
    <w:p>
      <w:pPr>
        <w:pStyle w:val="873"/>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、与评审有关的其他资料</w:t>
      </w:r>
      <w:r/>
    </w:p>
    <w:p>
      <w:pPr>
        <w:pStyle w:val="87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7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t xml:space="preserve"> </w:t>
      </w:r>
      <w:r/>
    </w:p>
    <w:p>
      <w:pPr>
        <w:pStyle w:val="873"/>
        <w:ind w:firstLine="480"/>
        <w:jc w:val="both"/>
        <w:spacing w:beforeAutospacing="0" w:afterAutospacing="0" w:line="0" w:lineRule="atLeast"/>
        <w:rPr>
          <w:color w:val="auto"/>
          <w:highlight w:val="none"/>
        </w:rPr>
      </w:pPr>
      <w:r>
        <w:rPr>
          <w:color w:val="auto"/>
          <w:highlight w:val="none"/>
        </w:rPr>
        <w:t xml:space="preserve"> </w:t>
      </w:r>
      <w:r/>
    </w:p>
    <w:p>
      <w:pPr>
        <w:pStyle w:val="873"/>
        <w:ind w:firstLine="480"/>
        <w:jc w:val="both"/>
        <w:spacing w:beforeAutospacing="0" w:afterAutospacing="0" w:line="0" w:lineRule="atLeast"/>
        <w:rPr>
          <w:color w:val="auto"/>
          <w:highlight w:val="none"/>
        </w:rPr>
      </w:pPr>
      <w:r>
        <w:rPr>
          <w:color w:val="auto"/>
          <w:highlight w:val="none"/>
        </w:rPr>
        <w:t xml:space="preserve"> </w:t>
      </w:r>
      <w:r/>
    </w:p>
    <w:p>
      <w:pPr>
        <w:pStyle w:val="873"/>
        <w:ind w:firstLine="480"/>
        <w:jc w:val="both"/>
        <w:spacing w:beforeAutospacing="0" w:afterAutospacing="0" w:line="0" w:lineRule="atLeast"/>
        <w:rPr>
          <w:color w:val="auto"/>
          <w:highlight w:val="none"/>
        </w:rPr>
      </w:pPr>
      <w:r>
        <w:rPr>
          <w:color w:val="auto"/>
          <w:highlight w:val="none"/>
        </w:rPr>
        <w:t xml:space="preserve"> </w:t>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73"/>
        <w:ind w:firstLine="480"/>
        <w:jc w:val="both"/>
        <w:spacing w:beforeAutospacing="0" w:afterAutospacing="0" w:line="0" w:lineRule="atLeast"/>
        <w:rPr>
          <w:color w:val="auto"/>
          <w:highlight w:val="none"/>
        </w:rPr>
      </w:pPr>
      <w:r>
        <w:rPr>
          <w:color w:val="auto"/>
          <w:highlight w:val="none"/>
        </w:rPr>
        <w:t xml:space="preserve"> </w:t>
      </w:r>
      <w:r/>
    </w:p>
    <w:p>
      <w:pPr>
        <w:pStyle w:val="873"/>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87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7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7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7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7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73"/>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87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73"/>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73"/>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73"/>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73"/>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73"/>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73"/>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73"/>
        <w:jc w:val="both"/>
        <w:spacing w:beforeAutospacing="0" w:afterAutospacing="0"/>
        <w:rPr>
          <w:rFonts w:hint="eastAsia" w:ascii="宋体" w:hAnsi="宋体" w:eastAsia="宋体" w:cs="宋体"/>
          <w:color w:val="auto"/>
          <w:highlight w:val="none"/>
        </w:rPr>
      </w:pPr>
      <w:r/>
      <w:bookmarkStart w:id="187" w:name="_格式3__银行出具的资信证明"/>
      <w:r/>
      <w:bookmarkStart w:id="188" w:name="_Hlt26671380"/>
      <w:r/>
      <w:bookmarkStart w:id="189" w:name="_Hlt26955070"/>
      <w:r>
        <w:rPr>
          <w:rFonts w:hint="eastAsia" w:ascii="宋体" w:hAnsi="宋体" w:eastAsia="宋体" w:cs="宋体"/>
          <w:i/>
          <w:color w:val="auto"/>
          <w:sz w:val="32"/>
          <w:szCs w:val="32"/>
          <w:highlight w:val="none"/>
          <w:u w:val="single"/>
        </w:rPr>
        <w:t xml:space="preserve">六、</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rPr>
          <w:rFonts w:hint="eastAsia" w:ascii="宋体" w:hAnsi="宋体" w:eastAsia="宋体" w:cs="宋体"/>
          <w:color w:val="auto"/>
          <w:sz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873"/>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873"/>
        <w:numPr>
          <w:ilvl w:val="0"/>
          <w:numId w:val="0"/>
        </w:numPr>
        <w:jc w:val="center"/>
        <w:spacing w:beforeAutospacing="0" w:afterAutospacing="0" w:line="0" w:lineRule="atLeas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八、</w:t>
      </w:r>
      <w:r>
        <w:rPr>
          <w:rFonts w:hint="eastAsia" w:ascii="黑体" w:hAnsi="宋体" w:eastAsia="黑体" w:cs="黑体"/>
          <w:b/>
          <w:color w:val="auto"/>
          <w:sz w:val="32"/>
          <w:szCs w:val="32"/>
          <w:highlight w:val="none"/>
        </w:rPr>
        <w:t xml:space="preserve">投标函</w:t>
      </w:r>
      <w:r/>
    </w:p>
    <w:p>
      <w:pPr>
        <w:pStyle w:val="873"/>
        <w:keepLines w:val="0"/>
        <w:keepNext w:val="0"/>
        <w:pageBreakBefore w:val="0"/>
        <w:spacing w:beforeAutospacing="0" w:afterAutospacing="0" w:line="48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73"/>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87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地          址：</w:t>
      </w:r>
      <w:r/>
    </w:p>
    <w:p>
      <w:pPr>
        <w:pStyle w:val="87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邮          编：</w:t>
      </w:r>
      <w:r/>
    </w:p>
    <w:p>
      <w:pPr>
        <w:pStyle w:val="87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电          话：</w:t>
      </w:r>
      <w:r/>
    </w:p>
    <w:p>
      <w:pPr>
        <w:pStyle w:val="87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传          真：</w:t>
      </w:r>
      <w:r/>
    </w:p>
    <w:p>
      <w:pPr>
        <w:pStyle w:val="87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87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账          号： </w:t>
      </w:r>
      <w:r/>
    </w:p>
    <w:p>
      <w:pPr>
        <w:pStyle w:val="873"/>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873"/>
        <w:ind w:firstLine="240"/>
        <w:jc w:val="center"/>
        <w:spacing w:beforeAutospacing="0" w:afterAutospacing="0" w:line="0" w:lineRule="atLeast"/>
        <w:rPr>
          <w:color w:val="auto"/>
          <w:highlight w:val="none"/>
        </w:rPr>
      </w:pPr>
      <w:r>
        <w:rPr>
          <w:color w:val="auto"/>
          <w:highlight w:val="none"/>
        </w:rPr>
        <w:t xml:space="preserve"> </w:t>
      </w:r>
      <w:r/>
    </w:p>
    <w:p>
      <w:pPr>
        <w:pStyle w:val="873"/>
        <w:ind w:firstLine="240"/>
        <w:jc w:val="center"/>
        <w:spacing w:beforeAutospacing="0" w:afterAutospacing="0" w:line="0" w:lineRule="atLeast"/>
        <w:rPr>
          <w:color w:val="auto"/>
          <w:highlight w:val="none"/>
        </w:rPr>
      </w:pPr>
      <w:r>
        <w:rPr>
          <w:color w:val="auto"/>
          <w:highlight w:val="none"/>
        </w:rPr>
        <w:t xml:space="preserve"> </w:t>
      </w:r>
      <w:r/>
    </w:p>
    <w:p>
      <w:pPr>
        <w:pStyle w:val="873"/>
        <w:ind w:firstLine="240"/>
        <w:jc w:val="center"/>
        <w:spacing w:beforeAutospacing="0" w:afterAutospacing="0" w:line="0" w:lineRule="atLeast"/>
        <w:rPr>
          <w:color w:val="auto"/>
          <w:highlight w:val="none"/>
        </w:rPr>
      </w:pPr>
      <w:r>
        <w:rPr>
          <w:color w:val="auto"/>
          <w:highlight w:val="none"/>
        </w:rPr>
        <w:t xml:space="preserve"> </w:t>
      </w:r>
      <w:r/>
    </w:p>
    <w:p>
      <w:pPr>
        <w:pStyle w:val="873"/>
        <w:ind w:firstLine="240"/>
        <w:jc w:val="center"/>
        <w:spacing w:beforeAutospacing="0" w:afterAutospacing="0" w:line="0" w:lineRule="atLeast"/>
        <w:rPr>
          <w:color w:val="auto"/>
          <w:highlight w:val="none"/>
        </w:rPr>
      </w:pPr>
      <w:r>
        <w:rPr>
          <w:color w:val="auto"/>
          <w:highlight w:val="none"/>
        </w:rPr>
        <w:t xml:space="preserve"> </w:t>
      </w:r>
      <w:r/>
    </w:p>
    <w:p>
      <w:pPr>
        <w:pStyle w:val="873"/>
        <w:ind w:firstLine="240"/>
        <w:jc w:val="center"/>
        <w:spacing w:beforeAutospacing="0" w:afterAutospacing="0" w:line="0" w:lineRule="atLeast"/>
        <w:rPr>
          <w:color w:val="auto"/>
          <w:highlight w:val="none"/>
        </w:rPr>
      </w:pPr>
      <w:r>
        <w:rPr>
          <w:color w:val="auto"/>
          <w:highlight w:val="none"/>
        </w:rPr>
        <w:t xml:space="preserve"> </w:t>
      </w:r>
      <w:r/>
    </w:p>
    <w:p>
      <w:pPr>
        <w:pStyle w:val="873"/>
        <w:ind w:firstLine="240"/>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（采购人名称） </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73"/>
        <w:ind w:right="72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73"/>
        <w:ind w:right="180" w:firstLine="360"/>
        <w:jc w:val="right"/>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873"/>
        <w:ind w:right="480" w:firstLine="540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w:t>
      </w:r>
      <w:r/>
    </w:p>
    <w:p>
      <w:pPr>
        <w:pStyle w:val="873"/>
        <w:ind w:firstLine="24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7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7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7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7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7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73"/>
        <w:ind w:firstLine="48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73"/>
        <w:ind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73"/>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873"/>
        <w:ind w:firstLine="624"/>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73"/>
        <w:ind w:right="1560" w:firstLine="624"/>
        <w:jc w:val="center"/>
        <w:keepLines w:val="0"/>
        <w:keepNext w:val="0"/>
        <w:pageBreakBefore w:val="0"/>
        <w:spacing w:beforeAutospacing="0" w:afterAutospacing="0" w:line="480" w:lineRule="exact"/>
        <w:widowControl w:val="off"/>
        <w:tabs>
          <w:tab w:val="left" w:pos="4864" w:leader="none"/>
        </w:tabs>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rPr>
        <w:t xml:space="preserve">           </w:t>
      </w:r>
      <w:r>
        <w:rPr>
          <w:color w:val="auto"/>
          <w:highlight w:val="none"/>
        </w:rPr>
      </w:r>
      <w:r/>
    </w:p>
    <w:p>
      <w:pPr>
        <w:pStyle w:val="873"/>
        <w:ind w:right="1560" w:firstLine="624"/>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ascii="仿宋_GB2312" w:eastAsia="仿宋_GB2312" w:cs="仿宋_GB2312"/>
          <w:color w:val="auto"/>
          <w:sz w:val="30"/>
          <w:szCs w:val="30"/>
          <w:highlight w:val="none"/>
        </w:rPr>
      </w:r>
      <w:r>
        <w:rPr>
          <w:rFonts w:hint="eastAsia" w:ascii="宋体" w:hAnsi="宋体" w:eastAsia="宋体" w:cs="宋体"/>
          <w:color w:val="auto"/>
          <w:highlight w:val="none"/>
        </w:rPr>
        <w:t xml:space="preserve">      供应商全称（加盖CA电子公章）：</w:t>
      </w:r>
      <w:r/>
    </w:p>
    <w:p>
      <w:pPr>
        <w:pStyle w:val="873"/>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73"/>
        <w:ind w:right="1560" w:firstLine="480"/>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color w:val="auto"/>
          <w:highlight w:val="none"/>
        </w:rPr>
      </w:pPr>
      <w:r>
        <w:rPr>
          <w:color w:val="auto"/>
          <w:highlight w:val="none"/>
        </w:rPr>
      </w:r>
      <w:r/>
    </w:p>
    <w:p>
      <w:pPr>
        <w:pStyle w:val="873"/>
        <w:jc w:val="center"/>
        <w:spacing w:beforeAutospacing="0" w:afterAutospacing="0" w:line="0" w:lineRule="atLeast"/>
        <w:rPr>
          <w:rFonts w:hint="default"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w:t>
      </w:r>
      <w:bookmarkStart w:id="190" w:name="_Toc462564146"/>
      <w:r/>
      <w:bookmarkStart w:id="191" w:name="_格式2__法定代表人授权书"/>
      <w:r/>
      <w:bookmarkStart w:id="192" w:name="_Hlt26955066"/>
      <w:r/>
      <w:bookmarkStart w:id="193" w:name="_Hlt26609389"/>
      <w:r/>
      <w:bookmarkStart w:id="194" w:name="_Hlt26671374"/>
      <w:r/>
      <w:bookmarkStart w:id="195" w:name="_Hlt26955054"/>
      <w:r>
        <w:rPr>
          <w:rFonts w:hint="eastAsia" w:ascii="黑体" w:hAnsi="宋体" w:eastAsia="黑体" w:cs="黑体"/>
          <w:b/>
          <w:color w:val="auto"/>
          <w:sz w:val="32"/>
          <w:szCs w:val="32"/>
          <w:highlight w:val="none"/>
          <w:lang w:val="en-US" w:eastAsia="zh-CN"/>
        </w:rPr>
        <w:t xml:space="preserve">投标报价表</w:t>
      </w:r>
      <w:r/>
    </w:p>
    <w:p>
      <w:pPr>
        <w:pStyle w:val="873"/>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873"/>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7"/>
        <w:gridCol w:w="1524"/>
        <w:gridCol w:w="2400"/>
        <w:gridCol w:w="2401"/>
      </w:tblGrid>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p>
        </w:tc>
        <w:tc>
          <w:tcPr>
            <w:tcW w:w="1524"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数量</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单价（元）</w:t>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合价（元）</w:t>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垃圾分类</w:t>
            </w:r>
            <w:r>
              <w:rPr>
                <w:rFonts w:hint="eastAsia" w:ascii="宋体" w:hAnsi="宋体" w:eastAsia="宋体" w:cs="宋体"/>
                <w:bCs/>
                <w:color w:val="auto"/>
                <w:sz w:val="24"/>
                <w:szCs w:val="24"/>
                <w:highlight w:val="none"/>
                <w:lang w:val="en-US" w:eastAsia="zh-CN"/>
              </w:rPr>
              <w:t xml:space="preserve">房运营</w:t>
            </w:r>
            <w:r/>
          </w:p>
        </w:tc>
        <w:tc>
          <w:tcPr>
            <w:tcW w:w="1524"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90座</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垃圾分类亭运营</w:t>
            </w:r>
            <w:r/>
          </w:p>
        </w:tc>
        <w:tc>
          <w:tcPr>
            <w:tcW w:w="1524"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63座</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无人值守分类亭</w:t>
            </w:r>
            <w:r/>
          </w:p>
        </w:tc>
        <w:tc>
          <w:tcPr>
            <w:tcW w:w="1524" w:type="dxa"/>
            <w:vAlign w:val="center"/>
            <w:textDirection w:val="lrTb"/>
            <w:noWrap w:val="false"/>
          </w:tcPr>
          <w:p>
            <w:pPr>
              <w:jc w:val="center"/>
              <w:spacing w:line="240" w:lineRule="auto"/>
              <w:widowControl/>
              <w:tabs>
                <w:tab w:val="left" w:pos="90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30座</w:t>
            </w:r>
            <w:r/>
          </w:p>
        </w:tc>
        <w:tc>
          <w:tcPr>
            <w:tcW w:w="2400"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W w:w="2401"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r>
      <w:tr>
        <w:trPr>
          <w:jc w:val="center"/>
          <w:trHeight w:val="845"/>
        </w:trPr>
        <w:tc>
          <w:tcPr>
            <w:tcW w:w="2197" w:type="dxa"/>
            <w:vAlign w:val="center"/>
            <w:textDirection w:val="lrTb"/>
            <w:noWrap w:val="false"/>
          </w:tcPr>
          <w:p>
            <w:pPr>
              <w:jc w:val="center"/>
              <w:spacing w:line="240" w:lineRule="auto"/>
              <w:widowControl/>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p>
        </w:tc>
        <w:tc>
          <w:tcPr>
            <w:gridSpan w:val="3"/>
            <w:tcW w:w="6325" w:type="dxa"/>
            <w:vAlign w:val="center"/>
            <w:textDirection w:val="lrTb"/>
            <w:noWrap w:val="false"/>
          </w:tcPr>
          <w:p>
            <w:pPr>
              <w:jc w:val="center"/>
              <w:spacing w:line="24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bl>
    <w:p>
      <w:pPr>
        <w:pStyle w:val="873"/>
        <w:ind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总价</w:t>
      </w:r>
      <w:r>
        <w:rPr>
          <w:rFonts w:hint="eastAsia" w:ascii="宋体" w:hAnsi="宋体" w:eastAsia="宋体" w:cs="宋体"/>
          <w:color w:val="auto"/>
          <w:sz w:val="24"/>
          <w:highlight w:val="none"/>
        </w:rPr>
        <w:t xml:space="preserve">除标的物的价款外还应包括人员、</w:t>
      </w:r>
      <w:r>
        <w:rPr>
          <w:rFonts w:hint="eastAsia" w:ascii="宋体" w:hAnsi="宋体" w:eastAsia="宋体" w:cs="宋体"/>
          <w:color w:val="auto"/>
          <w:sz w:val="24"/>
          <w:highlight w:val="none"/>
          <w:lang w:eastAsia="zh-CN"/>
        </w:rPr>
        <w:t xml:space="preserve">垃圾房（</w:t>
      </w:r>
      <w:r>
        <w:rPr>
          <w:rFonts w:hint="eastAsia" w:ascii="宋体" w:hAnsi="宋体" w:eastAsia="宋体" w:cs="宋体"/>
          <w:color w:val="auto"/>
          <w:sz w:val="24"/>
          <w:highlight w:val="none"/>
          <w:lang w:val="en-US" w:eastAsia="zh-CN"/>
        </w:rPr>
        <w:t xml:space="preserve">亭</w:t>
      </w:r>
      <w:r>
        <w:rPr>
          <w:rFonts w:hint="eastAsia" w:ascii="宋体" w:hAnsi="宋体" w:eastAsia="宋体" w:cs="宋体"/>
          <w:color w:val="auto"/>
          <w:sz w:val="24"/>
          <w:highlight w:val="none"/>
          <w:lang w:eastAsia="zh-CN"/>
        </w:rPr>
        <w:t xml:space="preserve">）水电费、</w:t>
      </w:r>
      <w:r>
        <w:rPr>
          <w:rFonts w:hint="eastAsia" w:ascii="宋体" w:hAnsi="宋体" w:eastAsia="宋体" w:cs="宋体"/>
          <w:color w:val="auto"/>
          <w:sz w:val="24"/>
          <w:highlight w:val="none"/>
        </w:rPr>
        <w:t xml:space="preserve">设备维护、耗材、人员培训、税费等全部项目的费用。</w:t>
      </w:r>
      <w:r>
        <w:rPr>
          <w:rFonts w:hint="eastAsia" w:ascii="宋体" w:hAnsi="宋体" w:eastAsia="宋体" w:cs="宋体"/>
          <w:color w:val="auto"/>
          <w:highlight w:val="none"/>
        </w:rPr>
        <w:t xml:space="preserve">   </w:t>
      </w:r>
      <w:r/>
    </w:p>
    <w:p>
      <w:pPr>
        <w:pStyle w:val="8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ind w:firstLine="3902"/>
        <w:jc w:val="both"/>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73"/>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75"/>
        <w:rPr>
          <w:color w:val="auto"/>
          <w:highlight w:val="none"/>
        </w:rPr>
      </w:pPr>
      <w:r>
        <w:rPr>
          <w:color w:val="auto"/>
          <w:highlight w:val="none"/>
        </w:rPr>
      </w:r>
      <w:r/>
    </w:p>
    <w:p>
      <w:pPr>
        <w:pStyle w:val="875"/>
        <w:rPr>
          <w:color w:val="auto"/>
          <w:highlight w:val="none"/>
        </w:rPr>
      </w:pPr>
      <w:r>
        <w:rPr>
          <w:color w:val="auto"/>
          <w:highlight w:val="none"/>
        </w:rPr>
      </w:r>
      <w:r/>
    </w:p>
    <w:p>
      <w:pPr>
        <w:pStyle w:val="875"/>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75"/>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w:t>
      </w:r>
      <w:r>
        <w:rPr>
          <w:rFonts w:hint="eastAsia" w:ascii="宋体" w:hAnsi="宋体" w:eastAsia="宋体" w:cs="宋体"/>
          <w:color w:val="auto"/>
          <w:sz w:val="24"/>
          <w:highlight w:val="none"/>
          <w:lang w:val="en-US" w:eastAsia="zh-CN"/>
        </w:rPr>
        <w:t xml:space="preserve">名或</w:t>
      </w:r>
      <w:r>
        <w:rPr>
          <w:rFonts w:hint="eastAsia" w:ascii="宋体" w:hAnsi="宋体" w:eastAsia="宋体" w:cs="宋体"/>
          <w:color w:val="auto"/>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4"/>
      <w:r/>
      <w:bookmarkEnd w:id="185"/>
      <w:r/>
      <w:bookmarkEnd w:id="187"/>
      <w:r/>
      <w:bookmarkEnd w:id="188"/>
      <w:r/>
      <w:bookmarkEnd w:id="189"/>
      <w:r/>
      <w:bookmarkEnd w:id="190"/>
      <w:r/>
      <w:bookmarkEnd w:id="191"/>
      <w:r/>
      <w:bookmarkEnd w:id="192"/>
      <w:r/>
      <w:bookmarkEnd w:id="193"/>
      <w:r/>
      <w:bookmarkEnd w:id="194"/>
      <w:r/>
      <w:bookmarkEnd w:id="195"/>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十三、</w:t>
      </w:r>
      <w:r>
        <w:rPr>
          <w:rFonts w:hint="eastAsia" w:ascii="宋体" w:hAnsi="宋体" w:eastAsia="宋体" w:cs="宋体"/>
          <w:b/>
          <w:bCs/>
          <w:color w:val="auto"/>
          <w:sz w:val="32"/>
          <w:szCs w:val="32"/>
          <w:highlight w:val="none"/>
        </w:rPr>
        <w:t xml:space="preserve">与评审有关的其他资料</w:t>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73"/>
        <w:numPr>
          <w:ilvl w:val="0"/>
          <w:numId w:val="0"/>
        </w:numPr>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73"/>
        <w:jc w:val="both"/>
        <w:keepLines w:val="0"/>
        <w:keepNext w:val="0"/>
        <w:pageBreakBefore w:val="0"/>
        <w:spacing w:before="290"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73"/>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73"/>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7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7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7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7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73"/>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3"/>
      <w:spacing w:line="169" w:lineRule="auto"/>
      <w:rPr>
        <w:rFonts w:ascii="Calibri" w:hAnsi="Calibri" w:eastAsia="Calibri" w:cs="Calibri"/>
        <w:sz w:val="18"/>
        <w:szCs w:val="18"/>
      </w:rPr>
    </w:pPr>
    <w:r>
      <w:rPr>
        <w:rFonts w:ascii="Calibri" w:hAnsi="Calibri" w:eastAsia="Calibri" w:cs="Calibri"/>
        <w:spacing w:val="-5"/>
        <w:sz w:val="18"/>
        <w:szCs w:val="18"/>
      </w:rPr>
      <w:t xml:space="preserve">30</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3"/>
    <w:next w:val="863"/>
    <w:link w:val="690"/>
    <w:uiPriority w:val="9"/>
    <w:qFormat/>
    <w:pPr>
      <w:keepLines/>
      <w:keepNext/>
      <w:spacing w:before="480" w:after="200"/>
      <w:outlineLvl w:val="0"/>
    </w:pPr>
    <w:rPr>
      <w:rFonts w:ascii="Arial" w:hAnsi="Arial" w:eastAsia="Arial" w:cs="Arial"/>
      <w:sz w:val="40"/>
      <w:szCs w:val="40"/>
    </w:rPr>
  </w:style>
  <w:style w:type="character" w:styleId="690">
    <w:name w:val="Heading 1 Char"/>
    <w:basedOn w:val="865"/>
    <w:link w:val="689"/>
    <w:uiPriority w:val="9"/>
    <w:rPr>
      <w:rFonts w:ascii="Arial" w:hAnsi="Arial" w:eastAsia="Arial" w:cs="Arial"/>
      <w:sz w:val="40"/>
      <w:szCs w:val="40"/>
    </w:rPr>
  </w:style>
  <w:style w:type="character" w:styleId="691">
    <w:name w:val="Heading 2 Char"/>
    <w:basedOn w:val="865"/>
    <w:link w:val="864"/>
    <w:uiPriority w:val="9"/>
    <w:rPr>
      <w:rFonts w:ascii="Arial" w:hAnsi="Arial" w:eastAsia="Arial" w:cs="Arial"/>
      <w:sz w:val="34"/>
    </w:rPr>
  </w:style>
  <w:style w:type="paragraph" w:styleId="692">
    <w:name w:val="Heading 3"/>
    <w:basedOn w:val="863"/>
    <w:next w:val="863"/>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basedOn w:val="865"/>
    <w:link w:val="692"/>
    <w:uiPriority w:val="9"/>
    <w:rPr>
      <w:rFonts w:ascii="Arial" w:hAnsi="Arial" w:eastAsia="Arial" w:cs="Arial"/>
      <w:sz w:val="30"/>
      <w:szCs w:val="30"/>
    </w:rPr>
  </w:style>
  <w:style w:type="paragraph" w:styleId="694">
    <w:name w:val="Heading 4"/>
    <w:basedOn w:val="863"/>
    <w:next w:val="863"/>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basedOn w:val="865"/>
    <w:link w:val="694"/>
    <w:uiPriority w:val="9"/>
    <w:rPr>
      <w:rFonts w:ascii="Arial" w:hAnsi="Arial" w:eastAsia="Arial" w:cs="Arial"/>
      <w:b/>
      <w:bCs/>
      <w:sz w:val="26"/>
      <w:szCs w:val="26"/>
    </w:rPr>
  </w:style>
  <w:style w:type="paragraph" w:styleId="696">
    <w:name w:val="Heading 5"/>
    <w:basedOn w:val="863"/>
    <w:next w:val="863"/>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5"/>
    <w:link w:val="696"/>
    <w:uiPriority w:val="9"/>
    <w:rPr>
      <w:rFonts w:ascii="Arial" w:hAnsi="Arial" w:eastAsia="Arial" w:cs="Arial"/>
      <w:b/>
      <w:bCs/>
      <w:sz w:val="24"/>
      <w:szCs w:val="24"/>
    </w:rPr>
  </w:style>
  <w:style w:type="paragraph" w:styleId="698">
    <w:name w:val="Heading 6"/>
    <w:basedOn w:val="863"/>
    <w:next w:val="863"/>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5"/>
    <w:link w:val="698"/>
    <w:uiPriority w:val="9"/>
    <w:rPr>
      <w:rFonts w:ascii="Arial" w:hAnsi="Arial" w:eastAsia="Arial" w:cs="Arial"/>
      <w:b/>
      <w:bCs/>
      <w:sz w:val="22"/>
      <w:szCs w:val="22"/>
    </w:rPr>
  </w:style>
  <w:style w:type="paragraph" w:styleId="700">
    <w:name w:val="Heading 7"/>
    <w:basedOn w:val="863"/>
    <w:next w:val="863"/>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5"/>
    <w:link w:val="700"/>
    <w:uiPriority w:val="9"/>
    <w:rPr>
      <w:rFonts w:ascii="Arial" w:hAnsi="Arial" w:eastAsia="Arial" w:cs="Arial"/>
      <w:b/>
      <w:bCs/>
      <w:i/>
      <w:iCs/>
      <w:sz w:val="22"/>
      <w:szCs w:val="22"/>
    </w:rPr>
  </w:style>
  <w:style w:type="paragraph" w:styleId="702">
    <w:name w:val="Heading 8"/>
    <w:basedOn w:val="863"/>
    <w:next w:val="863"/>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5"/>
    <w:link w:val="702"/>
    <w:uiPriority w:val="9"/>
    <w:rPr>
      <w:rFonts w:ascii="Arial" w:hAnsi="Arial" w:eastAsia="Arial" w:cs="Arial"/>
      <w:i/>
      <w:iCs/>
      <w:sz w:val="22"/>
      <w:szCs w:val="22"/>
    </w:rPr>
  </w:style>
  <w:style w:type="paragraph" w:styleId="704">
    <w:name w:val="Heading 9"/>
    <w:basedOn w:val="863"/>
    <w:next w:val="863"/>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5"/>
    <w:link w:val="704"/>
    <w:uiPriority w:val="9"/>
    <w:rPr>
      <w:rFonts w:ascii="Arial" w:hAnsi="Arial" w:eastAsia="Arial" w:cs="Arial"/>
      <w:i/>
      <w:iCs/>
      <w:sz w:val="21"/>
      <w:szCs w:val="21"/>
    </w:rPr>
  </w:style>
  <w:style w:type="paragraph" w:styleId="706">
    <w:name w:val="List Paragraph"/>
    <w:basedOn w:val="863"/>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3"/>
    <w:next w:val="863"/>
    <w:link w:val="709"/>
    <w:uiPriority w:val="10"/>
    <w:qFormat/>
    <w:pPr>
      <w:contextualSpacing/>
      <w:spacing w:before="300" w:after="200"/>
    </w:pPr>
    <w:rPr>
      <w:sz w:val="48"/>
      <w:szCs w:val="48"/>
    </w:rPr>
  </w:style>
  <w:style w:type="character" w:styleId="709">
    <w:name w:val="Title Char"/>
    <w:basedOn w:val="865"/>
    <w:link w:val="708"/>
    <w:uiPriority w:val="10"/>
    <w:rPr>
      <w:sz w:val="48"/>
      <w:szCs w:val="48"/>
    </w:rPr>
  </w:style>
  <w:style w:type="paragraph" w:styleId="710">
    <w:name w:val="Subtitle"/>
    <w:basedOn w:val="863"/>
    <w:next w:val="863"/>
    <w:link w:val="711"/>
    <w:uiPriority w:val="11"/>
    <w:qFormat/>
    <w:pPr>
      <w:spacing w:before="200" w:after="200"/>
    </w:pPr>
    <w:rPr>
      <w:sz w:val="24"/>
      <w:szCs w:val="24"/>
    </w:rPr>
  </w:style>
  <w:style w:type="character" w:styleId="711">
    <w:name w:val="Subtitle Char"/>
    <w:basedOn w:val="865"/>
    <w:link w:val="710"/>
    <w:uiPriority w:val="11"/>
    <w:rPr>
      <w:sz w:val="24"/>
      <w:szCs w:val="24"/>
    </w:rPr>
  </w:style>
  <w:style w:type="paragraph" w:styleId="712">
    <w:name w:val="Quote"/>
    <w:basedOn w:val="863"/>
    <w:next w:val="863"/>
    <w:link w:val="713"/>
    <w:uiPriority w:val="29"/>
    <w:qFormat/>
    <w:pPr>
      <w:ind w:left="720" w:right="720"/>
    </w:pPr>
    <w:rPr>
      <w:i/>
    </w:rPr>
  </w:style>
  <w:style w:type="character" w:styleId="713">
    <w:name w:val="Quote Char"/>
    <w:link w:val="712"/>
    <w:uiPriority w:val="29"/>
    <w:rPr>
      <w:i/>
    </w:rPr>
  </w:style>
  <w:style w:type="paragraph" w:styleId="714">
    <w:name w:val="Intense Quote"/>
    <w:basedOn w:val="863"/>
    <w:next w:val="863"/>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5"/>
    <w:link w:val="872"/>
    <w:uiPriority w:val="99"/>
  </w:style>
  <w:style w:type="character" w:styleId="717">
    <w:name w:val="Footer Char"/>
    <w:basedOn w:val="865"/>
    <w:link w:val="871"/>
    <w:uiPriority w:val="99"/>
  </w:style>
  <w:style w:type="paragraph" w:styleId="718">
    <w:name w:val="Caption"/>
    <w:basedOn w:val="863"/>
    <w:next w:val="863"/>
    <w:uiPriority w:val="35"/>
    <w:semiHidden/>
    <w:unhideWhenUsed/>
    <w:qFormat/>
    <w:pPr>
      <w:spacing w:line="276" w:lineRule="auto"/>
    </w:pPr>
    <w:rPr>
      <w:b/>
      <w:bCs/>
      <w:color w:val="4f81bd" w:themeColor="accent1"/>
      <w:sz w:val="18"/>
      <w:szCs w:val="18"/>
    </w:rPr>
  </w:style>
  <w:style w:type="character" w:styleId="719">
    <w:name w:val="Caption Char"/>
    <w:basedOn w:val="718"/>
    <w:link w:val="871"/>
    <w:uiPriority w:val="99"/>
  </w:style>
  <w:style w:type="table" w:styleId="720">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6">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7">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8">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9">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0">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1">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2">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3">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4">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5">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6">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8">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9">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0">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1">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2">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3">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2">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3">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4">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5">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6">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7">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9">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0">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1">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2">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3">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4">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3">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7">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5"/>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5"/>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4">
    <w:name w:val="Heading 2"/>
    <w:basedOn w:val="863"/>
    <w:next w:val="86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annotation text"/>
    <w:basedOn w:val="863"/>
    <w:uiPriority w:val="0"/>
    <w:qFormat/>
    <w:pPr>
      <w:jc w:val="left"/>
    </w:pPr>
  </w:style>
  <w:style w:type="paragraph" w:styleId="868">
    <w:name w:val="Body Text"/>
    <w:basedOn w:val="863"/>
    <w:uiPriority w:val="0"/>
    <w:qFormat/>
    <w:pPr>
      <w:spacing w:after="120"/>
    </w:pPr>
  </w:style>
  <w:style w:type="paragraph" w:styleId="869">
    <w:name w:val="Body Text Indent"/>
    <w:basedOn w:val="863"/>
    <w:next w:val="870"/>
    <w:uiPriority w:val="0"/>
    <w:qFormat/>
    <w:pPr>
      <w:ind w:firstLine="600"/>
      <w:spacing w:line="360" w:lineRule="auto"/>
    </w:pPr>
    <w:rPr>
      <w:rFonts w:ascii="仿宋_GB2312" w:eastAsia="仿宋_GB2312"/>
      <w:sz w:val="30"/>
    </w:rPr>
  </w:style>
  <w:style w:type="paragraph" w:styleId="870">
    <w:name w:val="envelope return"/>
    <w:basedOn w:val="863"/>
    <w:uiPriority w:val="0"/>
    <w:qFormat/>
    <w:rPr>
      <w:rFonts w:ascii="Arial" w:hAnsi="Arial"/>
    </w:rPr>
  </w:style>
  <w:style w:type="paragraph" w:styleId="871">
    <w:name w:val="Footer"/>
    <w:basedOn w:val="863"/>
    <w:link w:val="877"/>
    <w:uiPriority w:val="0"/>
    <w:qFormat/>
    <w:pPr>
      <w:jc w:val="left"/>
      <w:tabs>
        <w:tab w:val="center" w:pos="4153" w:leader="none"/>
        <w:tab w:val="right" w:pos="8306" w:leader="none"/>
      </w:tabs>
    </w:pPr>
    <w:rPr>
      <w:sz w:val="18"/>
      <w:szCs w:val="18"/>
    </w:rPr>
  </w:style>
  <w:style w:type="paragraph" w:styleId="872">
    <w:name w:val="Header"/>
    <w:basedOn w:val="863"/>
    <w:link w:val="876"/>
    <w:uiPriority w:val="0"/>
    <w:qFormat/>
    <w:pPr>
      <w:jc w:val="center"/>
      <w:tabs>
        <w:tab w:val="center" w:pos="4153" w:leader="none"/>
        <w:tab w:val="right" w:pos="8306" w:leader="none"/>
      </w:tabs>
      <w:pBdr>
        <w:bottom w:val="single" w:color="auto" w:sz="6" w:space="1"/>
      </w:pBdr>
    </w:pPr>
    <w:rPr>
      <w:sz w:val="18"/>
      <w:szCs w:val="18"/>
    </w:rPr>
  </w:style>
  <w:style w:type="paragraph" w:styleId="873">
    <w:name w:val="Normal (Web)"/>
    <w:basedOn w:val="863"/>
    <w:uiPriority w:val="0"/>
    <w:qFormat/>
    <w:pPr>
      <w:jc w:val="left"/>
      <w:spacing w:beforeAutospacing="1" w:afterAutospacing="1"/>
    </w:pPr>
    <w:rPr>
      <w:rFonts w:cs="Times New Roman"/>
      <w:sz w:val="24"/>
    </w:rPr>
  </w:style>
  <w:style w:type="table" w:styleId="874">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5" w:customStyle="1">
    <w:name w:val="Default"/>
    <w:basedOn w:val="863"/>
    <w:uiPriority w:val="0"/>
    <w:semiHidden/>
    <w:qFormat/>
    <w:pPr>
      <w:jc w:val="left"/>
    </w:pPr>
    <w:rPr>
      <w:rFonts w:ascii="宋体" w:hAnsi="Calibri" w:cs="宋体"/>
      <w:color w:val="000000"/>
      <w:sz w:val="24"/>
    </w:rPr>
  </w:style>
  <w:style w:type="character" w:styleId="876" w:customStyle="1">
    <w:name w:val="页眉 Char"/>
    <w:basedOn w:val="865"/>
    <w:link w:val="872"/>
    <w:uiPriority w:val="0"/>
    <w:qFormat/>
    <w:rPr>
      <w:rFonts w:asciiTheme="minorHAnsi" w:hAnsiTheme="minorHAnsi" w:eastAsiaTheme="minorEastAsia" w:cstheme="minorBidi"/>
      <w:sz w:val="18"/>
      <w:szCs w:val="18"/>
    </w:rPr>
  </w:style>
  <w:style w:type="character" w:styleId="877" w:customStyle="1">
    <w:name w:val="页脚 Char"/>
    <w:basedOn w:val="865"/>
    <w:link w:val="871"/>
    <w:uiPriority w:val="0"/>
    <w:qFormat/>
    <w:rPr>
      <w:rFonts w:asciiTheme="minorHAnsi" w:hAnsiTheme="minorHAnsi" w:eastAsiaTheme="minorEastAsia" w:cstheme="minorBidi"/>
      <w:sz w:val="18"/>
      <w:szCs w:val="18"/>
    </w:rPr>
  </w:style>
  <w:style w:type="paragraph" w:styleId="878" w:customStyle="1">
    <w:name w:val="普通正文"/>
    <w:basedOn w:val="863"/>
    <w:uiPriority w:val="0"/>
    <w:qFormat/>
    <w:pPr>
      <w:ind w:firstLine="480"/>
      <w:jc w:val="left"/>
      <w:spacing w:before="120" w:after="120" w:line="360" w:lineRule="auto"/>
    </w:pPr>
    <w:rPr>
      <w:rFonts w:ascii="Arial" w:hAnsi="Arial" w:eastAsia="等线" w:cs="Arial"/>
      <w:sz w:val="24"/>
      <w:szCs w:val="24"/>
    </w:rPr>
  </w:style>
  <w:style w:type="paragraph" w:styleId="879" w:customStyle="1">
    <w:name w:val="正文首行缩进 21"/>
    <w:basedOn w:val="880"/>
    <w:uiPriority w:val="0"/>
    <w:qFormat/>
    <w:pPr>
      <w:ind w:firstLine="420"/>
    </w:pPr>
  </w:style>
  <w:style w:type="paragraph" w:styleId="880" w:customStyle="1">
    <w:name w:val="正文文本缩进1"/>
    <w:basedOn w:val="863"/>
    <w:uiPriority w:val="0"/>
    <w:qFormat/>
    <w:pPr>
      <w:ind w:left="420"/>
      <w:spacing w:after="120"/>
    </w:pPr>
  </w:style>
  <w:style w:type="paragraph" w:styleId="881" w:customStyle="1">
    <w:name w:val="正文首行缩进1"/>
    <w:basedOn w:val="868"/>
    <w:uiPriority w:val="0"/>
    <w:qFormat/>
    <w:pPr>
      <w:ind w:firstLine="200"/>
      <w:spacing w:line="360" w:lineRule="auto"/>
    </w:pPr>
    <w:rPr>
      <w:rFonts w:ascii="仿宋_GB2312" w:hAnsi="仿宋_GB2312" w:eastAsia="仿宋_GB2312"/>
      <w:sz w:val="30"/>
      <w:szCs w:val="30"/>
    </w:rPr>
  </w:style>
  <w:style w:type="paragraph" w:styleId="882" w:customStyle="1">
    <w:name w:val="小节标题"/>
    <w:basedOn w:val="863"/>
    <w:next w:val="863"/>
    <w:uiPriority w:val="0"/>
    <w:qFormat/>
    <w:pPr>
      <w:spacing w:before="175" w:after="102" w:line="351" w:lineRule="atLeast"/>
      <w:widowControl/>
    </w:pPr>
    <w:rPr>
      <w:rFonts w:eastAsia="黑体"/>
      <w:color w:val="000000"/>
    </w:rPr>
  </w:style>
  <w:style w:type="paragraph" w:styleId="883" w:customStyle="1">
    <w:name w:val="正文1"/>
    <w:next w:val="863"/>
    <w:uiPriority w:val="0"/>
    <w:qFormat/>
    <w:pPr>
      <w:jc w:val="both"/>
    </w:pPr>
    <w:rPr>
      <w:rFonts w:ascii="Times New Roman" w:hAnsi="Times New Roman" w:eastAsia="宋体" w:cs="Times New Roman"/>
      <w:sz w:val="21"/>
      <w:szCs w:val="21"/>
      <w:lang w:val="en-US" w:eastAsia="zh-CN" w:bidi="ar-SA"/>
    </w:rPr>
  </w:style>
  <w:style w:type="paragraph" w:styleId="884" w:customStyle="1">
    <w:name w:val="Table Text"/>
    <w:basedOn w:val="863"/>
    <w:uiPriority w:val="0"/>
    <w:semiHidden/>
    <w:qFormat/>
    <w:rPr>
      <w:rFonts w:ascii="宋体" w:hAnsi="宋体" w:eastAsia="宋体" w:cs="宋体"/>
      <w:sz w:val="24"/>
      <w:szCs w:val="24"/>
      <w:lang w:val="en-US" w:eastAsia="en-US" w:bidi="ar-SA"/>
    </w:rPr>
  </w:style>
  <w:style w:type="table" w:styleId="885" w:customStyle="1">
    <w:name w:val="Table Normal"/>
    <w:uiPriority w:val="0"/>
    <w:semiHidden/>
    <w:unhideWhenUsed/>
    <w:qFormat/>
    <w:tblPr>
      <w:tblCellMar>
        <w:left w:w="0" w:type="dxa"/>
        <w:top w:w="0" w:type="dxa"/>
        <w:right w:w="0" w:type="dxa"/>
        <w:bottom w:w="0" w:type="dxa"/>
      </w:tblCellMar>
    </w:tbl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8c5b5e26-1660-43dc-8afc-66cd7eed5b70</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9004017c-7940-4857-be60-938d9a8ec975</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54ca6bc1-b13e-4853-9d0c-39009b25fb6f</errorID>
      <errorWord>“.</errorWord>
      <group>L1_Punc</group>
      <groupName>标点问题</groupName>
      <ability>L2_Punc</ability>
      <abilityName>标点符号检查</abilityName>
      <candidateList>
        <item>“</item>
      </candidateList>
      <explain/>
      <paraID>32A21B87</paraID>
      <start>57</start>
      <end>59</end>
      <status>ignored</status>
      <modifiedWord/>
      <trackRevisions>false</trackRevisions>
    </reviewItem>
    <reviewItem>
      <errorID>014259d7-5fa6-4ee1-8522-2b2a8295a96f</errorID>
      <errorWord>“.</errorWord>
      <group>L1_Punc</group>
      <groupName>标点问题</groupName>
      <ability>L2_Punc</ability>
      <abilityName>标点符号检查</abilityName>
      <candidateList>
        <item>“</item>
      </candidateList>
      <explain/>
      <paraID>32A21B87</paraID>
      <start>72</start>
      <end>74</end>
      <status>ignored</status>
      <modifiedWord/>
      <trackRevisions>false</trackRevisions>
    </reviewItem>
    <reviewItem>
      <errorID>532fc6c4-4938-48f6-bc91-e69ea7b0f01d</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92481ce0-efeb-4e8c-a73a-9a669ed05801</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c91c167d-d7b3-4bcc-afbb-f124d59c0941</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95c0af18-dd82-4555-a25a-5a0ffb60c439</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29067f43-bec9-4abf-bb11-01e470945267</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c17a1899-a76b-43f3-b329-212b01eaa002</errorID>
      <errorWord>-</errorWord>
      <group>L1_Format</group>
      <groupName>格式问题</groupName>
      <ability>L2_HalfPunc</ability>
      <abilityName>全半角检查</abilityName>
      <candidateList>
        <item>－</item>
      </candidateList>
      <explain>文本全半角错误。</explain>
      <paraID>26A03879</paraID>
      <start>31</start>
      <end>32</end>
      <status>ignored</status>
      <modifiedWord/>
      <trackRevisions>false</trackRevisions>
    </reviewItem>
    <reviewItem>
      <errorID>1b63ebb4-6567-4920-8c5c-6941a1817b28</errorID>
      <errorWord>“.</errorWord>
      <group>L1_Punc</group>
      <groupName>标点问题</groupName>
      <ability>L2_Punc</ability>
      <abilityName>标点符号检查</abilityName>
      <candidateList>
        <item>“</item>
      </candidateList>
      <explain/>
      <paraID>5B5DA349</paraID>
      <start>13</start>
      <end>15</end>
      <status>ignored</status>
      <modifiedWord/>
      <trackRevisions>false</trackRevisions>
    </reviewItem>
    <reviewItem>
      <errorID>87d01c7e-b61f-487f-b457-44f62e4086ab</errorID>
      <errorWord>&lt;</errorWord>
      <group>L1_Format</group>
      <groupName>格式问题</groupName>
      <ability>L2_HalfPunc</ability>
      <abilityName>全半角检查</abilityName>
      <candidateList>
        <item>〈</item>
      </candidateList>
      <explain>文本全半角错误。</explain>
      <paraID>56593D64</paraID>
      <start>37</start>
      <end>38</end>
      <status>ignored</status>
      <modifiedWord/>
      <trackRevisions>false</trackRevisions>
    </reviewItem>
    <reviewItem>
      <errorID>9d4e7226-7c2e-428a-b379-15398f3000c7</errorID>
      <errorWord>&lt;</errorWord>
      <group>L1_Format</group>
      <groupName>格式问题</groupName>
      <ability>L2_HalfPunc</ability>
      <abilityName>全半角检查</abilityName>
      <candidateList>
        <item>〈</item>
      </candidateList>
      <explain>文本全半角错误。</explain>
      <paraID>1FF1541A</paraID>
      <start>37</start>
      <end>38</end>
      <status>ignored</status>
      <modifiedWord/>
      <trackRevisions>false</trackRevisions>
    </reviewItem>
    <reviewItem>
      <errorID>0cf0b565-d673-41b4-9293-43cd690dceaf</errorID>
      <errorWord>&lt;</errorWord>
      <group>L1_Format</group>
      <groupName>格式问题</groupName>
      <ability>L2_HalfPunc</ability>
      <abilityName>全半角检查</abilityName>
      <candidateList>
        <item>〈</item>
      </candidateList>
      <explain>文本全半角错误。</explain>
      <paraID>4DAB9A50</paraID>
      <start>26</start>
      <end>27</end>
      <status>ignored</status>
      <modifiedWord/>
      <trackRevisions>false</trackRevisions>
    </reviewItem>
    <reviewItem>
      <errorID>c63e2204-3ed5-4734-af5b-7d5682b4b0cf</errorID>
      <errorWord>&lt;</errorWord>
      <group>L1_Format</group>
      <groupName>格式问题</groupName>
      <ability>L2_HalfPunc</ability>
      <abilityName>全半角检查</abilityName>
      <candidateList>
        <item>〈</item>
      </candidateList>
      <explain>文本全半角错误。</explain>
      <paraID>7831DEFD</paraID>
      <start>22</start>
      <end>23</end>
      <status>ignored</status>
      <modifiedWord/>
      <trackRevisions>false</trackRevisions>
    </reviewItem>
    <reviewItem>
      <errorID>85d7511f-b5f3-4efc-8c99-23ce97f8607c</errorID>
      <errorWord>个人</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 92E074D</paraID>
      <start>44</start>
      <end>45</end>
      <status>modified</status>
      <modifiedWord>人</modifiedWord>
      <trackRevisions>false</trackRevisions>
    </reviewItem>
    <reviewItem>
      <errorID>e13aeb9f-157c-4249-aea0-653474136461</errorID>
      <errorWord>较</errorWord>
      <group>L1_Word</group>
      <groupName>字词问题</groupName>
      <ability>L2_Typo</ability>
      <abilityName>字词错误</abilityName>
      <candidateList>
        <item>较为</item>
      </candidateList>
      <explain/>
      <paraID>6678E3D3</paraID>
      <start>26</start>
      <end>28</end>
      <status>modified</status>
      <modifiedWord>较为</modifiedWord>
      <trackRevisions>false</trackRevisions>
    </reviewItem>
    <reviewItem>
      <errorID>b3fee60c-76e2-4b77-8714-da8541c34fe2</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7F1E5D4-0142-42B8-A397-5D25C31223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274</cp:revision>
  <dcterms:created xsi:type="dcterms:W3CDTF">2014-10-29T12:08:00Z</dcterms:created>
  <dcterms:modified xsi:type="dcterms:W3CDTF">2026-05-07T03:22:09Z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01CD6B31084448DD879BB19D01157987_13</vt:lpwstr>
  </property>
  <property fmtid="{D5CDD505-2E9C-101B-9397-08002B2CF9AE}" pid="4" name="KSOTemplateDocerSaveRecord">
    <vt:lpwstr>eyJoZGlkIjoiYjA5ZGM2ZWEzZTFmMTNmZjQ5MzY5NzkxNDYyYzFhMTYiLCJ1c2VySWQiOiIxMzA2NDU5MDMyIn0=</vt:lpwstr>
  </property>
</Properties>
</file>