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4"/>
        <w:jc w:val="both"/>
        <w:spacing w:line="920" w:lineRule="exact"/>
        <w:rPr>
          <w:rFonts w:hint="eastAsia" w:ascii="宋体" w:hAnsi="宋体" w:eastAsia="宋体"/>
          <w:b/>
          <w:bCs/>
          <w:sz w:val="48"/>
        </w:rPr>
      </w:pPr>
      <w:r>
        <w:rPr>
          <w:rFonts w:hint="eastAsia" w:ascii="宋体" w:hAnsi="宋体" w:eastAsia="宋体"/>
          <w:b/>
          <w:bCs/>
          <w:sz w:val="48"/>
        </w:rPr>
      </w:r>
      <w:r/>
    </w:p>
    <w:p>
      <w:pPr>
        <w:pStyle w:val="655"/>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5"/>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pStyle w:val="655"/>
        <w:ind w:left="241" w:firstLine="1785"/>
        <w:spacing w:line="1040" w:lineRule="exact"/>
        <w:rPr>
          <w:rFonts w:hint="eastAsia" w:ascii="黑体" w:hAnsi="黑体" w:eastAsia="黑体"/>
          <w:b/>
          <w:sz w:val="72"/>
          <w:szCs w:val="72"/>
        </w:rPr>
      </w:pPr>
      <w:r>
        <w:rPr>
          <w:rFonts w:hint="eastAsia" w:ascii="黑体" w:hAnsi="黑体" w:eastAsia="黑体"/>
          <w:b/>
          <w:sz w:val="72"/>
          <w:szCs w:val="72"/>
        </w:rPr>
        <w:t xml:space="preserve">竞争性磋商文件</w:t>
      </w:r>
      <w:r>
        <w:rPr>
          <w:rFonts w:hint="eastAsia" w:ascii="黑体" w:hAnsi="黑体" w:eastAsia="黑体"/>
          <w:b/>
          <w:sz w:val="72"/>
          <w:szCs w:val="72"/>
        </w:rPr>
      </w:r>
      <w:r/>
    </w:p>
    <w:p>
      <w:pPr>
        <w:pStyle w:val="655"/>
        <w:ind w:firstLine="2862"/>
        <w:rPr>
          <w:rFonts w:hint="eastAsia" w:ascii="宋体" w:hAnsi="宋体"/>
          <w:bCs/>
          <w:sz w:val="36"/>
        </w:rPr>
      </w:pPr>
      <w:r>
        <w:rPr>
          <w:rFonts w:hint="eastAsia" w:ascii="宋体" w:hAnsi="宋体"/>
          <w:bCs/>
          <w:sz w:val="36"/>
        </w:rPr>
      </w:r>
      <w:r/>
    </w:p>
    <w:p>
      <w:pPr>
        <w:pStyle w:val="655"/>
        <w:ind w:firstLine="2862"/>
        <w:rPr>
          <w:rFonts w:hint="eastAsia" w:ascii="宋体" w:hAnsi="宋体"/>
          <w:bCs/>
          <w:sz w:val="36"/>
        </w:rPr>
      </w:pPr>
      <w:r>
        <w:rPr>
          <w:rFonts w:hint="eastAsia" w:ascii="宋体" w:hAnsi="宋体"/>
          <w:bCs/>
          <w:sz w:val="36"/>
        </w:rPr>
      </w:r>
      <w:r/>
    </w:p>
    <w:p>
      <w:pPr>
        <w:pStyle w:val="655"/>
        <w:ind w:firstLine="2862"/>
        <w:rPr>
          <w:rFonts w:hint="eastAsia" w:ascii="宋体" w:hAnsi="宋体"/>
          <w:bCs/>
          <w:sz w:val="36"/>
        </w:rPr>
      </w:pPr>
      <w:r>
        <w:rPr>
          <w:rFonts w:hint="eastAsia" w:ascii="宋体" w:hAnsi="宋体"/>
          <w:bCs/>
          <w:sz w:val="36"/>
        </w:rPr>
      </w:r>
      <w:r/>
    </w:p>
    <w:p>
      <w:pPr>
        <w:pStyle w:val="655"/>
        <w:ind w:firstLine="716"/>
        <w:spacing w:line="760" w:lineRule="exact"/>
        <w:rPr>
          <w:rFonts w:hint="eastAsia" w:ascii="黑体" w:hAnsi="黑体" w:eastAsia="黑体"/>
          <w:b/>
          <w:sz w:val="36"/>
          <w:szCs w:val="36"/>
        </w:rPr>
      </w:pPr>
      <w:r>
        <w:rPr>
          <w:rFonts w:hint="eastAsia" w:ascii="黑体" w:hAnsi="黑体" w:eastAsia="黑体"/>
          <w:b/>
          <w:sz w:val="36"/>
          <w:szCs w:val="36"/>
        </w:rPr>
        <w:t xml:space="preserve">项目名称: 2025年度区域水污染物平衡核算项目</w:t>
      </w:r>
      <w:r>
        <w:rPr>
          <w:rFonts w:hint="eastAsia" w:ascii="黑体" w:hAnsi="黑体" w:eastAsia="黑体"/>
          <w:b/>
          <w:sz w:val="36"/>
          <w:szCs w:val="36"/>
        </w:rPr>
      </w:r>
      <w:r/>
    </w:p>
    <w:p>
      <w:pPr>
        <w:pStyle w:val="655"/>
        <w:spacing w:line="760" w:lineRule="exact"/>
        <w:rPr>
          <w:rFonts w:hint="eastAsia" w:ascii="黑体" w:hAnsi="黑体" w:eastAsia="黑体"/>
          <w:b/>
          <w:sz w:val="36"/>
        </w:rPr>
      </w:pPr>
      <w:r>
        <w:rPr>
          <w:rFonts w:hint="eastAsia" w:ascii="黑体" w:hAnsi="黑体" w:eastAsia="黑体"/>
          <w:b/>
          <w:sz w:val="36"/>
        </w:rPr>
      </w:r>
      <w:r/>
    </w:p>
    <w:p>
      <w:pPr>
        <w:pStyle w:val="655"/>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bCs/>
          <w:sz w:val="36"/>
          <w:szCs w:val="36"/>
        </w:rPr>
      </w:pPr>
      <w:r>
        <w:rPr>
          <w:rFonts w:hint="eastAsia" w:ascii="黑体" w:hAnsi="黑体" w:eastAsia="黑体"/>
          <w:b/>
          <w:sz w:val="36"/>
        </w:rPr>
      </w:r>
      <w:r>
        <w:rPr>
          <w:rFonts w:hint="eastAsia" w:ascii="黑体" w:hAnsi="黑体" w:eastAsia="黑体"/>
          <w:b/>
          <w:sz w:val="36"/>
        </w:rPr>
      </w:r>
    </w:p>
    <w:p>
      <w:pPr>
        <w:pStyle w:val="655"/>
        <w:spacing w:line="760" w:lineRule="exact"/>
        <w:rPr>
          <w:rFonts w:hint="eastAsia" w:ascii="黑体" w:hAnsi="黑体" w:eastAsia="黑体"/>
          <w:b/>
          <w:bCs/>
          <w:sz w:val="36"/>
          <w:szCs w:val="36"/>
        </w:rPr>
      </w:pPr>
      <w:r>
        <w:rPr>
          <w:rFonts w:hint="eastAsia" w:ascii="黑体" w:hAnsi="黑体" w:eastAsia="黑体"/>
          <w:b/>
          <w:sz w:val="36"/>
        </w:rPr>
      </w:r>
      <w:r/>
    </w:p>
    <w:p>
      <w:pPr>
        <w:pStyle w:val="655"/>
        <w:ind w:firstLine="716"/>
        <w:spacing w:line="760" w:lineRule="exact"/>
        <w:rPr>
          <w:rFonts w:ascii="黑体" w:hAnsi="黑体" w:eastAsia="黑体"/>
          <w:b/>
          <w:sz w:val="36"/>
        </w:rPr>
      </w:pPr>
      <w:r>
        <w:rPr>
          <w:rFonts w:hint="eastAsia" w:ascii="黑体" w:hAnsi="黑体" w:eastAsia="黑体"/>
          <w:b/>
          <w:sz w:val="36"/>
        </w:rPr>
        <w:t xml:space="preserve">项目编号:JSZC-320800-JZCG-C2026-0029</w:t>
      </w:r>
      <w:r>
        <w:rPr>
          <w:rFonts w:ascii="黑体" w:hAnsi="黑体" w:eastAsia="黑体"/>
          <w:b/>
          <w:sz w:val="36"/>
        </w:rPr>
      </w:r>
      <w:r/>
    </w:p>
    <w:p>
      <w:pPr>
        <w:pStyle w:val="655"/>
        <w:ind w:left="-359" w:firstLine="360"/>
        <w:rPr>
          <w:rFonts w:ascii="黑体" w:hAnsi="黑体" w:eastAsia="黑体"/>
          <w:b/>
          <w:sz w:val="32"/>
        </w:rPr>
      </w:pPr>
      <w:r>
        <w:rPr>
          <w:rFonts w:ascii="黑体" w:hAnsi="黑体" w:eastAsia="黑体"/>
          <w:b/>
          <w:sz w:val="32"/>
        </w:rPr>
      </w:r>
      <w:r/>
    </w:p>
    <w:p>
      <w:pPr>
        <w:pStyle w:val="655"/>
        <w:rPr>
          <w:rFonts w:ascii="黑体" w:hAnsi="黑体" w:eastAsia="黑体"/>
          <w:b/>
          <w:sz w:val="32"/>
        </w:rPr>
      </w:pPr>
      <w:r>
        <w:rPr>
          <w:rFonts w:ascii="黑体" w:hAnsi="黑体" w:eastAsia="黑体"/>
          <w:b/>
          <w:sz w:val="32"/>
        </w:rPr>
      </w:r>
      <w:r/>
    </w:p>
    <w:p>
      <w:pPr>
        <w:rPr>
          <w:rFonts w:hint="eastAsia" w:ascii="黑体" w:hAnsi="黑体" w:eastAsia="黑体"/>
          <w:b/>
          <w:bCs/>
          <w:sz w:val="32"/>
          <w:szCs w:val="32"/>
        </w:rPr>
      </w:pPr>
      <w:r>
        <w:rPr>
          <w:rFonts w:hint="eastAsia" w:ascii="黑体" w:hAnsi="黑体" w:eastAsia="黑体"/>
          <w:b/>
          <w:sz w:val="32"/>
        </w:rPr>
      </w:r>
      <w:r>
        <w:rPr>
          <w:rFonts w:hint="eastAsia" w:ascii="黑体" w:hAnsi="黑体" w:eastAsia="黑体"/>
          <w:b/>
          <w:sz w:val="32"/>
        </w:rPr>
      </w:r>
    </w:p>
    <w:p>
      <w:pPr>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p>
    <w:p>
      <w:pPr>
        <w:pStyle w:val="655"/>
        <w:rPr>
          <w:rFonts w:hint="eastAsia" w:ascii="黑体" w:hAnsi="黑体" w:eastAsia="黑体"/>
          <w:b/>
          <w:bCs/>
          <w:sz w:val="32"/>
          <w:szCs w:val="32"/>
        </w:rPr>
      </w:pPr>
      <w:r>
        <w:rPr>
          <w:rFonts w:hint="eastAsia" w:ascii="黑体" w:hAnsi="黑体" w:eastAsia="黑体"/>
          <w:b/>
          <w:sz w:val="32"/>
        </w:rPr>
      </w:r>
      <w:r/>
    </w:p>
    <w:p>
      <w:pPr>
        <w:pStyle w:val="655"/>
        <w:rPr>
          <w:rFonts w:hint="eastAsia" w:ascii="黑体" w:hAnsi="黑体" w:eastAsia="黑体"/>
          <w:b/>
          <w:sz w:val="32"/>
        </w:rPr>
      </w:pPr>
      <w:r>
        <w:rPr>
          <w:rFonts w:hint="eastAsia" w:ascii="黑体" w:hAnsi="黑体" w:eastAsia="黑体"/>
          <w:b/>
          <w:sz w:val="32"/>
        </w:rPr>
      </w:r>
      <w:r/>
    </w:p>
    <w:p>
      <w:pPr>
        <w:pStyle w:val="655"/>
        <w:jc w:val="center"/>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55"/>
        <w:jc w:val="center"/>
        <w:tabs>
          <w:tab w:val="center" w:pos="5215" w:leader="none"/>
        </w:tabs>
        <w:rPr>
          <w:rFonts w:hint="eastAsia" w:ascii="黑体" w:hAnsi="黑体" w:eastAsia="黑体"/>
          <w:b/>
          <w:sz w:val="36"/>
          <w:szCs w:val="36"/>
        </w:rPr>
      </w:pPr>
      <w:r>
        <w:rPr>
          <w:rFonts w:hint="eastAsia" w:ascii="黑体" w:hAnsi="黑体" w:eastAsia="黑体"/>
          <w:b/>
          <w:sz w:val="36"/>
          <w:szCs w:val="36"/>
          <w:lang w:eastAsia="zh-CN"/>
        </w:rPr>
        <w:t xml:space="preserve">二〇二六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五</w:t>
      </w:r>
      <w:r>
        <w:rPr>
          <w:rFonts w:hint="eastAsia" w:ascii="黑体" w:hAnsi="黑体" w:eastAsia="黑体"/>
          <w:b/>
          <w:sz w:val="36"/>
          <w:szCs w:val="36"/>
        </w:rPr>
        <w:t xml:space="preserve">月</w:t>
      </w:r>
      <w:r>
        <w:rPr>
          <w:rFonts w:hint="eastAsia" w:ascii="黑体" w:hAnsi="黑体" w:eastAsia="黑体"/>
          <w:b/>
          <w:sz w:val="36"/>
          <w:szCs w:val="36"/>
          <w:lang w:eastAsia="zh-CN"/>
        </w:rPr>
        <w:t xml:space="preserve">九</w:t>
      </w:r>
      <w:r>
        <w:rPr>
          <w:rFonts w:hint="eastAsia" w:ascii="黑体" w:hAnsi="黑体" w:eastAsia="黑体"/>
          <w:b/>
          <w:sz w:val="36"/>
          <w:szCs w:val="36"/>
        </w:rPr>
        <w:t xml:space="preserve">日</w:t>
      </w:r>
      <w:r>
        <w:rPr>
          <w:rFonts w:hint="eastAsia" w:ascii="黑体" w:hAnsi="黑体" w:eastAsia="黑体"/>
          <w:b/>
          <w:sz w:val="36"/>
          <w:szCs w:val="36"/>
        </w:rPr>
      </w:r>
      <w:r/>
    </w:p>
    <w:p>
      <w:pPr>
        <w:pStyle w:val="655"/>
        <w:ind w:firstLine="3054"/>
        <w:spacing w:line="520" w:lineRule="exact"/>
        <w:rPr>
          <w:rFonts w:hint="eastAsia" w:ascii="仿宋" w:hAnsi="仿宋" w:eastAsia="仿宋"/>
          <w:b/>
          <w:bCs/>
          <w:sz w:val="36"/>
          <w:szCs w:val="36"/>
        </w:rPr>
      </w:pPr>
      <w:r>
        <w:rPr>
          <w:rFonts w:hint="eastAsia" w:ascii="仿宋" w:hAnsi="仿宋" w:eastAsia="仿宋"/>
          <w:b/>
          <w:bCs/>
          <w:sz w:val="36"/>
          <w:szCs w:val="36"/>
        </w:rPr>
        <w:t xml:space="preserve">第一章   磋商邀请</w:t>
      </w:r>
      <w:r>
        <w:rPr>
          <w:rFonts w:hint="eastAsia" w:ascii="仿宋" w:hAnsi="仿宋" w:eastAsia="仿宋"/>
          <w:b/>
          <w:bCs/>
          <w:sz w:val="36"/>
          <w:szCs w:val="36"/>
        </w:rPr>
      </w:r>
      <w:r/>
    </w:p>
    <w:p>
      <w:pPr>
        <w:pStyle w:val="655"/>
        <w:ind w:firstLine="548"/>
        <w:spacing w:line="520" w:lineRule="exact"/>
        <w:rPr>
          <w:rFonts w:ascii="仿宋" w:hAnsi="仿宋" w:eastAsia="仿宋"/>
          <w:sz w:val="28"/>
        </w:rPr>
      </w:pPr>
      <w:r>
        <w:rPr>
          <w:rFonts w:hint="eastAsia" w:ascii="仿宋" w:hAnsi="仿宋" w:eastAsia="仿宋"/>
          <w:sz w:val="28"/>
        </w:rPr>
        <w:t xml:space="preserve">受淮安市生态环境局的委托，淮安市政府采购中心就2025年度区域水污染物平衡核算服务政府采购项目进行竞争性磋商采购，现邀请符合条件的供应商参加竞争性磋商。</w:t>
      </w:r>
      <w:r>
        <w:rPr>
          <w:rFonts w:ascii="仿宋" w:hAnsi="仿宋" w:eastAsia="仿宋"/>
          <w:sz w:val="28"/>
        </w:rPr>
      </w:r>
      <w:r/>
    </w:p>
    <w:p>
      <w:pPr>
        <w:pStyle w:val="655"/>
        <w:ind w:left="1" w:firstLine="537"/>
        <w:spacing w:line="52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-19049</wp:posOffset>
                </wp:positionH>
                <wp:positionV relativeFrom="paragraph">
                  <wp:posOffset>88900</wp:posOffset>
                </wp:positionV>
                <wp:extent cx="6124575" cy="161607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124575" cy="1616075"/>
                        </a:xfrm>
                        <a:prstGeom prst="rect">
                          <a:avLst/>
                        </a:prstGeom>
                        <a:solidFill>
                          <a:srgbClr val="FFFFFF"/>
                        </a:solidFill>
                        <a:ln>
                          <a:solidFill>
                            <a:srgbClr val="000000"/>
                          </a:solidFill>
                        </a:ln>
                      </wps:spPr>
                      <wps:txbx>
                        <w:txbxContent>
                          <w:p>
                            <w:pPr>
                              <w:pStyle w:val="655"/>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2025年度区域水污染物平衡核算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5"/>
                            </w:pPr>
                            <w:r/>
                            <w:r/>
                          </w:p>
                          <w:p>
                            <w:pPr>
                              <w:pStyle w:val="655"/>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text;margin-left:-1.5pt;mso-position-horizontal:absolute;mso-position-vertical-relative:text;margin-top:7.0pt;mso-position-vertical:absolute;width:482.2pt;height:127.2pt;mso-wrap-distance-left:9.0pt;mso-wrap-distance-top:0.0pt;mso-wrap-distance-right:9.0pt;mso-wrap-distance-bottom:0.0pt;visibility:visible;" fillcolor="#FFFFFF" strokecolor="#000000">
                <v:textbox inset="0,0,0,0">
                  <w:txbxContent>
                    <w:p>
                      <w:pPr>
                        <w:pStyle w:val="655"/>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2025年度区域水污染物平衡核算 </w:t>
                      </w:r>
                      <w:r>
                        <w:rPr>
                          <w:rFonts w:hint="eastAsia" w:ascii="仿宋" w:hAnsi="仿宋" w:eastAsia="仿宋"/>
                          <w:sz w:val="28"/>
                          <w:szCs w:val="28"/>
                        </w:rPr>
                        <w:t xml:space="preserve">采购项目的潜在供应商应在淮安市政府采购网（</w:t>
                      </w:r>
                      <w:r>
                        <w:rPr>
                          <w:rFonts w:hint="eastAsia" w:ascii="仿宋" w:hAnsi="仿宋" w:eastAsia="仿宋"/>
                          <w:sz w:val="28"/>
                          <w:szCs w:val="28"/>
                        </w:rPr>
                        <w:fldChar w:fldCharType="begin"/>
                      </w:r>
                      <w:r>
                        <w:rPr>
                          <w:rFonts w:ascii="仿宋" w:hAnsi="仿宋" w:eastAsia="仿宋"/>
                          <w:sz w:val="28"/>
                          <w:szCs w:val="28"/>
                        </w:rPr>
                        <w:instrText xml:space="preserve"> HYPERLINK "http://czj.huaian.gov.cn/col/13924_326175/index.html"</w:instrText>
                      </w:r>
                      <w:r>
                        <w:rPr>
                          <w:rFonts w:hint="eastAsia" w:ascii="仿宋" w:hAnsi="仿宋" w:eastAsia="仿宋"/>
                          <w:sz w:val="28"/>
                          <w:szCs w:val="28"/>
                        </w:rPr>
                        <w:fldChar w:fldCharType="separate"/>
                      </w:r>
                      <w:r>
                        <w:rPr>
                          <w:rFonts w:hint="eastAsia" w:ascii="仿宋" w:hAnsi="仿宋" w:eastAsia="仿宋"/>
                          <w:sz w:val="28"/>
                          <w:szCs w:val="28"/>
                        </w:rPr>
                        <w:t xml:space="preserve">http://czj.huaian.gov.cn/col/13924_326175/index.html</w:t>
                      </w:r>
                      <w:r>
                        <w:rPr>
                          <w:rFonts w:hint="eastAsia" w:ascii="仿宋" w:hAnsi="仿宋" w:eastAsia="仿宋"/>
                          <w:sz w:val="28"/>
                          <w:szCs w:val="28"/>
                        </w:rPr>
                        <w:fldChar w:fldCharType="end"/>
                      </w:r>
                      <w:r>
                        <w:rPr>
                          <w:rFonts w:hint="eastAsia" w:ascii="仿宋" w:hAnsi="仿宋" w:eastAsia="仿宋"/>
                          <w:sz w:val="28"/>
                          <w:szCs w:val="28"/>
                        </w:rPr>
                        <w:t xml:space="preserve">）自行免费下载磋商文件，并于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22</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分（北京时间）前提交响应文件。</w:t>
                      </w:r>
                      <w:r>
                        <w:rPr>
                          <w:rFonts w:hint="eastAsia" w:ascii="仿宋" w:hAnsi="仿宋" w:eastAsia="仿宋"/>
                          <w:sz w:val="28"/>
                          <w:szCs w:val="28"/>
                        </w:rPr>
                      </w:r>
                      <w:r/>
                    </w:p>
                    <w:p>
                      <w:pPr>
                        <w:pStyle w:val="655"/>
                      </w:pPr>
                      <w:r/>
                      <w:r/>
                    </w:p>
                    <w:p>
                      <w:pPr>
                        <w:pStyle w:val="655"/>
                      </w:pPr>
                      <w:r/>
                      <w:r/>
                    </w:p>
                  </w:txbxContent>
                </v:textbox>
              </v:shape>
            </w:pict>
          </mc:Fallback>
        </mc:AlternateContent>
      </w: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（一）项目编号:JSZC-320800-JZCG-C2026-0029 </w:t>
      </w:r>
      <w:r>
        <w:rPr>
          <w:rFonts w:ascii="仿宋" w:hAnsi="仿宋" w:eastAsia="仿宋"/>
          <w:sz w:val="28"/>
          <w:szCs w:val="28"/>
        </w:rPr>
      </w:r>
      <w:r/>
    </w:p>
    <w:p>
      <w:pPr>
        <w:pStyle w:val="655"/>
        <w:ind w:firstLine="565"/>
        <w:spacing w:line="520" w:lineRule="exact"/>
        <w:rPr>
          <w:rFonts w:hint="eastAsia" w:ascii="仿宋" w:hAnsi="仿宋" w:eastAsia="仿宋"/>
          <w:bCs/>
          <w:sz w:val="28"/>
          <w:szCs w:val="28"/>
        </w:rPr>
      </w:pPr>
      <w:r>
        <w:rPr>
          <w:rFonts w:hint="eastAsia" w:ascii="仿宋" w:hAnsi="仿宋" w:eastAsia="仿宋"/>
          <w:sz w:val="28"/>
          <w:szCs w:val="28"/>
        </w:rPr>
        <w:t xml:space="preserve">（二）项目名称:2025年度区域水污染物平衡核算项目 </w:t>
      </w:r>
      <w:r>
        <w:rPr>
          <w:rFonts w:hint="eastAsia" w:ascii="仿宋" w:hAnsi="仿宋" w:eastAsia="仿宋"/>
          <w:bCs/>
          <w:sz w:val="28"/>
          <w:szCs w:val="28"/>
        </w:rPr>
        <w:t xml:space="preserve"> </w:t>
      </w:r>
      <w:r>
        <w:rPr>
          <w:rFonts w:hint="eastAsia" w:ascii="仿宋" w:hAnsi="仿宋" w:eastAsia="仿宋"/>
          <w:bCs/>
          <w:sz w:val="28"/>
          <w:szCs w:val="28"/>
        </w:rPr>
      </w:r>
      <w:r/>
    </w:p>
    <w:p>
      <w:pPr>
        <w:pStyle w:val="655"/>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111</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（五）最高限价:</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108</w:t>
      </w:r>
      <w:r>
        <w:rPr>
          <w:rFonts w:hint="eastAsia" w:ascii="仿宋" w:hAnsi="仿宋" w:eastAsia="仿宋"/>
          <w:sz w:val="28"/>
          <w:szCs w:val="28"/>
          <w:u w:val="single"/>
        </w:rPr>
        <w:t xml:space="preserve"> </w:t>
      </w:r>
      <w:r>
        <w:rPr>
          <w:rFonts w:hint="eastAsia" w:ascii="仿宋" w:hAnsi="仿宋" w:eastAsia="仿宋"/>
          <w:sz w:val="28"/>
          <w:szCs w:val="28"/>
        </w:rPr>
        <w:t xml:space="preserve">万元</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（六）采购需求:2025年度城市、乡镇区域水污染物平衡核算县级核算、市级审核和评估报告编制</w:t>
      </w:r>
      <w:r>
        <w:rPr>
          <w:rFonts w:hint="eastAsia" w:ascii="仿宋" w:hAnsi="仿宋" w:eastAsia="仿宋"/>
          <w:sz w:val="28"/>
          <w:szCs w:val="28"/>
          <w:lang w:eastAsia="zh-CN"/>
        </w:rPr>
        <w:t xml:space="preserve">，</w:t>
      </w:r>
      <w:r>
        <w:rPr>
          <w:rFonts w:hint="eastAsia" w:ascii="仿宋" w:hAnsi="仿宋" w:eastAsia="仿宋"/>
          <w:sz w:val="28"/>
          <w:szCs w:val="28"/>
        </w:rPr>
        <w:t xml:space="preserve">详见磋商文件第</w:t>
      </w:r>
      <w:r>
        <w:rPr>
          <w:rFonts w:hint="eastAsia" w:ascii="仿宋" w:hAnsi="仿宋" w:eastAsia="仿宋"/>
          <w:sz w:val="28"/>
          <w:szCs w:val="28"/>
          <w:lang w:eastAsia="zh-CN"/>
        </w:rPr>
        <w:t xml:space="preserve">五</w:t>
      </w:r>
      <w:r>
        <w:rPr>
          <w:rFonts w:hint="eastAsia" w:ascii="仿宋" w:hAnsi="仿宋" w:eastAsia="仿宋"/>
          <w:sz w:val="28"/>
          <w:szCs w:val="28"/>
        </w:rPr>
        <w:t xml:space="preserve">章项目采购需求。</w:t>
      </w:r>
      <w:r>
        <w:rPr>
          <w:rFonts w:ascii="仿宋" w:hAnsi="仿宋" w:eastAsia="仿宋"/>
          <w:sz w:val="28"/>
          <w:szCs w:val="28"/>
        </w:rPr>
      </w:r>
      <w:r/>
    </w:p>
    <w:p>
      <w:pPr>
        <w:pStyle w:val="655"/>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（七）合同履行期限:合同签订之日起至2027年6月底。</w:t>
      </w:r>
      <w:r>
        <w:rPr>
          <w:rFonts w:ascii="仿宋" w:hAnsi="仿宋" w:eastAsia="仿宋"/>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（八）本项目（□是</w:t>
      </w:r>
      <w:r>
        <w:rPr>
          <w:rFonts w:hint="eastAsia" w:ascii="仿宋" w:hAnsi="仿宋" w:eastAsia="仿宋"/>
          <w:sz w:val="28"/>
          <w:szCs w:val="28"/>
          <w:lang w:eastAsia="zh-CN"/>
        </w:rPr>
        <w:t xml:space="preserve">☑</w:t>
      </w:r>
      <w:r>
        <w:rPr>
          <w:rFonts w:hint="eastAsia" w:ascii="仿宋" w:hAnsi="仿宋" w:eastAsia="仿宋"/>
          <w:sz w:val="28"/>
          <w:szCs w:val="28"/>
        </w:rPr>
        <w:t xml:space="preserve">否）接受联合体竞争性磋商。</w:t>
      </w:r>
      <w:r>
        <w:rPr>
          <w:rFonts w:hint="eastAsia" w:ascii="仿宋" w:hAnsi="仿宋" w:eastAsia="仿宋"/>
          <w:sz w:val="28"/>
          <w:szCs w:val="28"/>
        </w:rPr>
      </w:r>
      <w:r/>
    </w:p>
    <w:p>
      <w:pPr>
        <w:pStyle w:val="655"/>
        <w:ind w:firstLine="565"/>
        <w:spacing w:line="520" w:lineRule="exact"/>
        <w:rPr>
          <w:rFonts w:ascii="仿宋" w:hAnsi="仿宋" w:eastAsia="仿宋"/>
          <w:sz w:val="28"/>
          <w:szCs w:val="28"/>
          <w:u w:val="single"/>
        </w:rPr>
      </w:pPr>
      <w:r>
        <w:rPr>
          <w:rFonts w:hint="eastAsia" w:ascii="仿宋" w:hAnsi="仿宋" w:eastAsia="仿宋"/>
          <w:sz w:val="28"/>
          <w:szCs w:val="28"/>
        </w:rPr>
        <w:t xml:space="preserve">（九）本项目采购标的对应的中小企业划分标准所属行业为</w:t>
      </w:r>
      <w:r>
        <w:rPr>
          <w:rFonts w:ascii="Times New Roman" w:hAnsi="Times New Roman" w:eastAsia="仿宋" w:cs="Times New Roman"/>
          <w:bCs/>
          <w:color w:val="000000"/>
          <w:sz w:val="28"/>
          <w:szCs w:val="28"/>
          <w:highlight w:val="none"/>
          <w:u w:val="single"/>
        </w:rPr>
        <w:t xml:space="preserve">其他未列明行业</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55"/>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rPr>
          <w:rFonts w:ascii="仿宋" w:hAnsi="仿宋" w:eastAsia="仿宋"/>
          <w:b/>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w:t>
      </w:r>
      <w:r>
        <w:rPr>
          <w:rFonts w:hint="eastAsia" w:ascii="仿宋" w:hAnsi="仿宋" w:eastAsia="仿宋"/>
          <w:sz w:val="28"/>
          <w:szCs w:val="28"/>
          <w:u w:val="single"/>
          <w:lang w:val="en-US" w:eastAsia="zh-CN"/>
        </w:rPr>
        <w:t xml:space="preserve">1</w:t>
      </w:r>
      <w:r>
        <w:rPr>
          <w:rFonts w:hint="eastAsia" w:ascii="仿宋" w:hAnsi="仿宋" w:eastAsia="仿宋"/>
          <w:sz w:val="28"/>
          <w:szCs w:val="28"/>
          <w:u w:val="single"/>
        </w:rPr>
        <w:t xml:space="preserve">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对小微企业报价给予扣除，用扣除后的价格参加评审，具体详见第二章“供应商须知”第3</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55"/>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55"/>
        <w:ind w:firstLine="560"/>
        <w:spacing w:line="520" w:lineRule="exact"/>
        <w:rPr>
          <w:rFonts w:hint="eastAsia" w:ascii="仿宋" w:hAnsi="仿宋" w:eastAsia="仿宋"/>
          <w:color w:val="000000"/>
          <w:sz w:val="28"/>
          <w:szCs w:val="28"/>
          <w:lang w:val="zh-CN" w:eastAsia="zh-CN"/>
        </w:rPr>
      </w:pPr>
      <w:r>
        <w:rPr>
          <w:rFonts w:hint="eastAsia" w:ascii="仿宋" w:hAnsi="仿宋" w:eastAsia="仿宋"/>
          <w:sz w:val="28"/>
          <w:szCs w:val="28"/>
        </w:rPr>
        <w:t xml:space="preserve">（三）本项目的特定资格要求:</w:t>
      </w:r>
      <w:r>
        <w:rPr>
          <w:rFonts w:hint="eastAsia" w:ascii="仿宋" w:hAnsi="仿宋" w:eastAsia="仿宋"/>
          <w:sz w:val="28"/>
          <w:szCs w:val="28"/>
          <w:lang w:eastAsia="zh-CN"/>
        </w:rPr>
        <w:t xml:space="preserve">无。</w:t>
      </w:r>
      <w:r>
        <w:rPr>
          <w:rFonts w:hint="eastAsia" w:ascii="仿宋" w:hAnsi="仿宋" w:eastAsia="仿宋"/>
          <w:color w:val="000000"/>
          <w:sz w:val="28"/>
          <w:szCs w:val="28"/>
          <w:lang w:val="zh-CN" w:eastAsia="zh-CN"/>
        </w:rPr>
      </w:r>
      <w:r/>
    </w:p>
    <w:p>
      <w:pPr>
        <w:pStyle w:val="655"/>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rPr>
          <w:rFonts w:ascii="仿宋" w:hAnsi="仿宋" w:eastAsia="仿宋"/>
          <w:sz w:val="28"/>
          <w:szCs w:val="28"/>
        </w:rPr>
      </w:r>
      <w:r/>
    </w:p>
    <w:p>
      <w:pPr>
        <w:pStyle w:val="655"/>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55"/>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55"/>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55"/>
        <w:ind w:firstLine="565"/>
        <w:spacing w:line="520" w:lineRule="exact"/>
        <w:rPr>
          <w:rFonts w:hint="eastAsia" w:ascii="仿宋" w:hAnsi="仿宋" w:eastAsia="仿宋"/>
          <w:sz w:val="28"/>
          <w:szCs w:val="28"/>
        </w:rPr>
      </w:pPr>
      <w:r>
        <w:rPr>
          <w:rFonts w:hint="eastAsia" w:ascii="仿宋" w:hAnsi="仿宋" w:eastAsia="仿宋"/>
          <w:sz w:val="28"/>
          <w:szCs w:val="28"/>
        </w:rPr>
        <w:t xml:space="preserve">三、获取磋商文件</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rPr>
          <w:rFonts w:hint="eastAsia" w:ascii="仿宋" w:hAnsi="仿宋" w:eastAsia="仿宋"/>
          <w:sz w:val="28"/>
          <w:szCs w:val="28"/>
          <w:highlight w:val="yellow"/>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w:t>
      </w:r>
      <w:r>
        <w:rPr>
          <w:rFonts w:ascii="仿宋" w:hAnsi="仿宋" w:eastAsia="仿宋"/>
          <w:sz w:val="28"/>
          <w:szCs w:val="28"/>
        </w:rPr>
      </w:r>
      <w:r/>
    </w:p>
    <w:p>
      <w:pPr>
        <w:pStyle w:val="655"/>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rPr>
          <w:rFonts w:ascii="仿宋" w:hAnsi="仿宋" w:eastAsia="仿宋"/>
          <w:sz w:val="28"/>
          <w:szCs w:val="28"/>
        </w:rPr>
      </w:r>
      <w:r/>
    </w:p>
    <w:p>
      <w:pPr>
        <w:pStyle w:val="655"/>
        <w:ind w:firstLine="565"/>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（一）电子响应文件提交截止时间及磋商时间:202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月</w:t>
      </w:r>
      <w:r>
        <w:rPr>
          <w:rFonts w:hint="eastAsia" w:ascii="仿宋" w:hAnsi="仿宋" w:eastAsia="仿宋"/>
          <w:sz w:val="28"/>
          <w:szCs w:val="28"/>
          <w:highlight w:val="none"/>
          <w:lang w:val="en-US" w:eastAsia="zh-CN"/>
        </w:rPr>
        <w:t xml:space="preserve">22</w:t>
      </w:r>
      <w:r>
        <w:rPr>
          <w:rFonts w:hint="eastAsia" w:ascii="仿宋" w:hAnsi="仿宋" w:eastAsia="仿宋"/>
          <w:sz w:val="28"/>
          <w:szCs w:val="28"/>
          <w:highlight w:val="none"/>
        </w:rPr>
        <w:t xml:space="preserve">日上</w:t>
      </w:r>
      <w:r>
        <w:rPr>
          <w:rFonts w:hint="eastAsia" w:ascii="仿宋" w:hAnsi="仿宋" w:eastAsia="仿宋"/>
          <w:sz w:val="28"/>
          <w:szCs w:val="28"/>
        </w:rPr>
        <w:t xml:space="preserve">午</w:t>
      </w:r>
      <w:r>
        <w:rPr>
          <w:rFonts w:hint="eastAsia" w:ascii="仿宋" w:hAnsi="仿宋" w:eastAsia="仿宋"/>
          <w:sz w:val="28"/>
          <w:szCs w:val="28"/>
          <w:lang w:val="en-US" w:eastAsia="zh-CN"/>
        </w:rPr>
        <w:t xml:space="preserve">9:30。</w:t>
      </w:r>
      <w:r>
        <w:rPr>
          <w:rFonts w:hint="eastAsia" w:ascii="仿宋" w:hAnsi="仿宋" w:eastAsia="仿宋"/>
          <w:sz w:val="28"/>
          <w:szCs w:val="28"/>
          <w:lang w:val="en-US" w:eastAsia="zh-CN"/>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55"/>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自本公告发布之日起</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个工作日。</w:t>
      </w:r>
      <w:r>
        <w:rPr>
          <w:rFonts w:ascii="仿宋" w:hAnsi="仿宋" w:eastAsia="仿宋"/>
          <w:sz w:val="28"/>
          <w:szCs w:val="28"/>
          <w:highlight w:val="none"/>
        </w:rPr>
      </w:r>
      <w:r/>
    </w:p>
    <w:p>
      <w:pPr>
        <w:pStyle w:val="655"/>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六</w:t>
      </w:r>
      <w:r>
        <w:rPr>
          <w:rFonts w:hint="eastAsia" w:ascii="仿宋" w:hAnsi="仿宋" w:eastAsia="仿宋"/>
          <w:sz w:val="28"/>
          <w:szCs w:val="28"/>
        </w:rPr>
        <w:t xml:space="preserve">、其他补充事宜</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lang w:val="en-US" w:eastAsia="zh-CN"/>
        </w:rPr>
        <w:t xml:space="preserve">七</w:t>
      </w:r>
      <w:r>
        <w:rPr>
          <w:rFonts w:hint="eastAsia" w:ascii="仿宋" w:hAnsi="仿宋" w:eastAsia="仿宋"/>
          <w:sz w:val="28"/>
          <w:szCs w:val="28"/>
        </w:rPr>
        <w:t xml:space="preserve">、对本次采购提出询问，请按以下方式联系。</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名称:淮安市生态环境局</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地址:淮安市清江浦区健康西路77号</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联系方式:顾主任  0517-83678002</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55"/>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55"/>
        <w:ind w:firstLine="560"/>
        <w:spacing w:line="520" w:lineRule="exact"/>
        <w:rPr>
          <w:rFonts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eastAsia="zh-CN"/>
        </w:rPr>
        <w:t xml:space="preserve">顾诗仪</w:t>
      </w:r>
      <w:r>
        <w:rPr>
          <w:rFonts w:hint="eastAsia" w:ascii="仿宋" w:hAnsi="仿宋" w:eastAsia="仿宋"/>
          <w:sz w:val="28"/>
          <w:szCs w:val="28"/>
          <w:lang w:val="en-US" w:eastAsia="zh-CN"/>
        </w:rPr>
        <w:t xml:space="preserve">  0517-83638392</w:t>
      </w:r>
      <w:r>
        <w:rPr>
          <w:rFonts w:ascii="仿宋" w:hAnsi="仿宋" w:eastAsia="仿宋"/>
          <w:sz w:val="28"/>
          <w:szCs w:val="28"/>
          <w:lang w:val="en-US" w:eastAsia="zh-CN"/>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55"/>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55"/>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有关本次磋商活动的事项若存在变动或修改，敬请及时关注淮安市政府采购中心在“淮安市政府采购网”发布的更正公告。</w:t>
      </w:r>
      <w:r>
        <w:rPr>
          <w:rFonts w:hint="eastAsia" w:ascii="仿宋" w:hAnsi="仿宋" w:eastAsia="仿宋"/>
          <w:sz w:val="28"/>
          <w:szCs w:val="28"/>
        </w:rPr>
      </w:r>
      <w:r/>
    </w:p>
    <w:p>
      <w:pPr>
        <w:pStyle w:val="655"/>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rPr>
          <w:rFonts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55"/>
        <w:jc w:val="center"/>
        <w:rPr>
          <w:rFonts w:hint="eastAsia" w:ascii="宋体" w:hAnsi="宋体"/>
          <w:bCs/>
          <w:sz w:val="32"/>
        </w:rPr>
      </w:pPr>
      <w:r>
        <w:rPr>
          <w:rFonts w:hint="eastAsia" w:ascii="宋体" w:hAnsi="宋体"/>
          <w:bCs/>
          <w:sz w:val="32"/>
        </w:rPr>
      </w:r>
      <w:r/>
    </w:p>
    <w:p>
      <w:pPr>
        <w:pStyle w:val="655"/>
        <w:spacing w:line="440" w:lineRule="exact"/>
        <w:rPr>
          <w:rFonts w:hint="eastAsia" w:ascii="宋体" w:hAnsi="宋体"/>
          <w:bCs/>
          <w:sz w:val="32"/>
          <w:szCs w:val="32"/>
        </w:rPr>
      </w:pPr>
      <w:r>
        <w:rPr>
          <w:rFonts w:hint="eastAsia" w:ascii="宋体" w:hAnsi="宋体"/>
          <w:bCs/>
          <w:sz w:val="32"/>
          <w:szCs w:val="32"/>
        </w:rPr>
        <w:t xml:space="preserve">               </w:t>
      </w: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spacing w:line="440" w:lineRule="exact"/>
        <w:rPr>
          <w:rFonts w:hint="eastAsia" w:ascii="宋体" w:hAnsi="宋体"/>
          <w:bCs/>
          <w:sz w:val="32"/>
          <w:szCs w:val="32"/>
        </w:rPr>
      </w:pPr>
      <w:r>
        <w:rPr>
          <w:rFonts w:hint="eastAsia" w:ascii="宋体" w:hAnsi="宋体"/>
          <w:bCs/>
          <w:sz w:val="32"/>
          <w:szCs w:val="32"/>
        </w:rPr>
      </w:r>
      <w:r/>
    </w:p>
    <w:p>
      <w:pPr>
        <w:pStyle w:val="655"/>
        <w:ind w:firstLine="2692"/>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rPr>
          <w:rFonts w:hint="eastAsia" w:ascii="仿宋" w:hAnsi="仿宋" w:eastAsia="仿宋"/>
          <w:b/>
          <w:bCs/>
          <w:sz w:val="36"/>
          <w:szCs w:val="36"/>
        </w:rPr>
      </w:r>
      <w:r/>
    </w:p>
    <w:p>
      <w:pPr>
        <w:pStyle w:val="655"/>
        <w:spacing w:line="520" w:lineRule="exact"/>
        <w:rPr>
          <w:rFonts w:hint="eastAsia" w:ascii="仿宋" w:hAnsi="仿宋" w:eastAsia="仿宋"/>
          <w:b/>
          <w:bCs/>
          <w:sz w:val="32"/>
          <w:szCs w:val="32"/>
        </w:rPr>
      </w:pPr>
      <w:r>
        <w:rPr>
          <w:rFonts w:hint="eastAsia" w:ascii="仿宋" w:hAnsi="仿宋" w:eastAsia="仿宋"/>
          <w:b/>
          <w:bCs/>
          <w:sz w:val="32"/>
          <w:szCs w:val="32"/>
        </w:rPr>
        <w:t xml:space="preserve">一、总则</w:t>
      </w:r>
      <w:r>
        <w:rPr>
          <w:rFonts w:hint="eastAsia" w:ascii="仿宋" w:hAnsi="仿宋" w:eastAsia="仿宋"/>
          <w:b/>
          <w:bCs/>
          <w:sz w:val="32"/>
          <w:szCs w:val="32"/>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rPr>
          <w:rFonts w:hint="eastAsia" w:ascii="仿宋" w:hAnsi="仿宋" w:eastAsia="仿宋"/>
          <w:sz w:val="28"/>
          <w:szCs w:val="28"/>
        </w:rPr>
      </w:r>
      <w:r/>
    </w:p>
    <w:p>
      <w:pPr>
        <w:pStyle w:val="655"/>
        <w:spacing w:line="520" w:lineRule="exact"/>
        <w:rPr>
          <w:rFonts w:hint="eastAsia" w:ascii="仿宋" w:hAnsi="仿宋" w:eastAsia="仿宋"/>
          <w:bCs/>
          <w:sz w:val="28"/>
        </w:rPr>
      </w:pPr>
      <w:r>
        <w:rPr>
          <w:rFonts w:hint="eastAsia" w:ascii="仿宋" w:hAnsi="仿宋" w:eastAsia="仿宋"/>
          <w:bCs/>
          <w:sz w:val="28"/>
        </w:rPr>
        <w:t xml:space="preserve">2.合格的供应商</w:t>
      </w:r>
      <w:r>
        <w:rPr>
          <w:rFonts w:hint="eastAsia" w:ascii="仿宋" w:hAnsi="仿宋" w:eastAsia="仿宋"/>
          <w:bCs/>
          <w:sz w:val="28"/>
        </w:rPr>
      </w:r>
      <w:r/>
    </w:p>
    <w:p>
      <w:pPr>
        <w:pStyle w:val="655"/>
        <w:ind w:left="-359" w:firstLine="915"/>
        <w:spacing w:line="520" w:lineRule="exact"/>
        <w:rPr>
          <w:rFonts w:hint="eastAsia"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rPr>
          <w:rFonts w:hint="eastAsia" w:ascii="仿宋" w:hAnsi="仿宋" w:eastAsia="仿宋"/>
          <w:sz w:val="28"/>
          <w:szCs w:val="28"/>
        </w:rPr>
      </w:r>
      <w:r/>
    </w:p>
    <w:p>
      <w:pPr>
        <w:pStyle w:val="655"/>
        <w:ind w:firstLine="566"/>
        <w:spacing w:line="520" w:lineRule="exact"/>
        <w:rPr>
          <w:rFonts w:hint="eastAsia"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w:t>
      </w:r>
      <w:r>
        <w:rPr>
          <w:rFonts w:hint="eastAsia" w:ascii="仿宋" w:hAnsi="仿宋" w:eastAsia="仿宋"/>
          <w:sz w:val="28"/>
          <w:szCs w:val="28"/>
          <w:highlight w:val="none"/>
        </w:rPr>
        <w:t xml:space="preserve">实质性条款</w:t>
      </w:r>
      <w:r>
        <w:rPr>
          <w:rFonts w:hint="eastAsia" w:ascii="仿宋" w:hAnsi="仿宋" w:eastAsia="仿宋"/>
          <w:sz w:val="28"/>
          <w:szCs w:val="28"/>
        </w:rPr>
        <w:t xml:space="preserve">的规定。</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3.1《中华人民共和国政府采购法》、《中华人民共和国政府采购法实施条例》、《政府采购竞争性磋商采购方式管理暂行办法》等有关法律、规章和规定等。</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4.磋商费用</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4.1供应商应自行承担所有与参加磋商有关的费用。不论磋商的结果如何，淮安市政府采购中心（以下简称采购中心）在任何情况下均无义务和责任承担这些费用。</w:t>
      </w:r>
      <w:r>
        <w:rPr>
          <w:rFonts w:hint="eastAsia" w:ascii="仿宋" w:hAnsi="仿宋" w:eastAsia="仿宋"/>
          <w:sz w:val="28"/>
          <w:szCs w:val="28"/>
        </w:rPr>
      </w:r>
      <w:r/>
    </w:p>
    <w:p>
      <w:pPr>
        <w:pStyle w:val="655"/>
        <w:ind w:firstLine="562"/>
        <w:spacing w:line="520" w:lineRule="exact"/>
        <w:rPr>
          <w:rFonts w:hint="eastAsia" w:ascii="仿宋" w:hAnsi="仿宋" w:eastAsia="仿宋"/>
          <w:b/>
          <w:bCs/>
          <w:sz w:val="28"/>
          <w:szCs w:val="28"/>
        </w:rPr>
      </w:pPr>
      <w:r>
        <w:rPr>
          <w:rFonts w:hint="eastAsia" w:ascii="仿宋" w:hAnsi="仿宋" w:eastAsia="仿宋"/>
          <w:b/>
          <w:bCs/>
          <w:sz w:val="28"/>
          <w:szCs w:val="28"/>
        </w:rPr>
        <w:t xml:space="preserve">4.2本次采购项目不得以任何形式向</w:t>
      </w:r>
      <w:r>
        <w:rPr>
          <w:rFonts w:hint="eastAsia" w:ascii="仿宋" w:hAnsi="仿宋" w:eastAsia="仿宋"/>
          <w:b/>
          <w:bCs/>
          <w:sz w:val="28"/>
          <w:szCs w:val="28"/>
          <w:lang w:eastAsia="zh-CN"/>
        </w:rPr>
        <w:t xml:space="preserve">供应商</w:t>
      </w:r>
      <w:r>
        <w:rPr>
          <w:rFonts w:hint="eastAsia" w:ascii="仿宋" w:hAnsi="仿宋" w:eastAsia="仿宋"/>
          <w:b/>
          <w:bCs/>
          <w:sz w:val="28"/>
          <w:szCs w:val="28"/>
        </w:rPr>
        <w:t xml:space="preserve">收取标书工本费及专家评审费。</w:t>
      </w:r>
      <w:r>
        <w:rPr>
          <w:rFonts w:hint="eastAsia" w:ascii="仿宋" w:hAnsi="仿宋" w:eastAsia="仿宋"/>
          <w:b/>
          <w:bCs/>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5、磋商文件的约束力</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rPr>
          <w:rFonts w:hint="eastAsia" w:ascii="仿宋" w:hAnsi="仿宋" w:eastAsia="仿宋"/>
          <w:sz w:val="28"/>
          <w:szCs w:val="28"/>
        </w:rPr>
      </w:r>
      <w:r/>
    </w:p>
    <w:p>
      <w:pPr>
        <w:pStyle w:val="655"/>
        <w:spacing w:line="520" w:lineRule="exact"/>
        <w:rPr>
          <w:rFonts w:hint="eastAsia" w:ascii="仿宋" w:hAnsi="仿宋" w:eastAsia="仿宋"/>
          <w:b/>
          <w:bCs/>
          <w:sz w:val="32"/>
          <w:szCs w:val="32"/>
        </w:rPr>
      </w:pPr>
      <w:r>
        <w:rPr>
          <w:rFonts w:hint="eastAsia" w:ascii="仿宋" w:hAnsi="仿宋" w:eastAsia="仿宋"/>
          <w:b/>
          <w:bCs/>
          <w:sz w:val="32"/>
          <w:szCs w:val="32"/>
        </w:rPr>
        <w:t xml:space="preserve">二、磋商文件</w:t>
      </w:r>
      <w:r>
        <w:rPr>
          <w:rFonts w:hint="eastAsia" w:ascii="仿宋" w:hAnsi="仿宋" w:eastAsia="仿宋"/>
          <w:b/>
          <w:bCs/>
          <w:sz w:val="32"/>
          <w:szCs w:val="32"/>
        </w:rPr>
      </w:r>
      <w:r/>
    </w:p>
    <w:p>
      <w:pPr>
        <w:pStyle w:val="655"/>
        <w:spacing w:line="520" w:lineRule="exact"/>
        <w:rPr>
          <w:rFonts w:hint="eastAsia" w:ascii="仿宋" w:hAnsi="仿宋" w:eastAsia="仿宋" w:cs="Times New Roman"/>
          <w:sz w:val="28"/>
          <w:szCs w:val="28"/>
          <w:lang w:eastAsia="zh-CN"/>
        </w:rPr>
      </w:pPr>
      <w:r>
        <w:rPr>
          <w:rFonts w:hint="eastAsia" w:ascii="仿宋" w:hAnsi="仿宋" w:eastAsia="仿宋" w:cs="Times New Roman"/>
          <w:sz w:val="28"/>
          <w:szCs w:val="28"/>
          <w:lang w:val="en-US" w:eastAsia="zh-CN"/>
        </w:rPr>
        <w:t xml:space="preserve">6</w:t>
      </w:r>
      <w:r>
        <w:rPr>
          <w:rFonts w:hint="eastAsia" w:ascii="仿宋" w:hAnsi="仿宋" w:eastAsia="仿宋" w:cs="Times New Roman"/>
          <w:sz w:val="28"/>
          <w:szCs w:val="28"/>
        </w:rPr>
        <w:t xml:space="preserve">.</w:t>
      </w:r>
      <w:r>
        <w:rPr>
          <w:rFonts w:hint="eastAsia" w:ascii="仿宋" w:hAnsi="仿宋" w:eastAsia="仿宋" w:cs="Times New Roman"/>
          <w:sz w:val="28"/>
          <w:szCs w:val="28"/>
          <w:lang w:eastAsia="zh-CN"/>
        </w:rPr>
        <w:t xml:space="preserve">磋商文件构成</w:t>
      </w:r>
      <w:r>
        <w:rPr>
          <w:rFonts w:hint="eastAsia" w:ascii="仿宋" w:hAnsi="仿宋" w:eastAsia="仿宋" w:cs="Times New Roman"/>
          <w:sz w:val="28"/>
          <w:szCs w:val="28"/>
          <w:lang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bCs/>
          <w:sz w:val="28"/>
          <w:lang w:val="en-US" w:eastAsia="zh-CN"/>
        </w:rPr>
        <w:t xml:space="preserve">6.1</w:t>
      </w:r>
      <w:r>
        <w:rPr>
          <w:rFonts w:hint="eastAsia" w:ascii="仿宋" w:hAnsi="仿宋" w:eastAsia="仿宋"/>
          <w:bCs/>
          <w:sz w:val="28"/>
        </w:rPr>
        <w:t xml:space="preserve">磋商文件</w:t>
      </w:r>
      <w:r>
        <w:rPr>
          <w:rFonts w:hint="eastAsia" w:ascii="仿宋" w:hAnsi="仿宋" w:eastAsia="仿宋"/>
          <w:sz w:val="28"/>
          <w:szCs w:val="28"/>
        </w:rPr>
        <w:t xml:space="preserve">由以下部分组成:</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磋商邀请</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供应商须知</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采购需求</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响应文件</w:t>
      </w:r>
      <w:r>
        <w:rPr>
          <w:rFonts w:hint="eastAsia" w:ascii="仿宋" w:hAnsi="仿宋" w:eastAsia="仿宋"/>
          <w:sz w:val="28"/>
          <w:szCs w:val="28"/>
          <w:lang w:eastAsia="zh-CN"/>
        </w:rPr>
        <w:t xml:space="preserve">格式</w:t>
      </w:r>
      <w:r>
        <w:rPr>
          <w:rFonts w:hint="eastAsia" w:ascii="仿宋" w:hAnsi="仿宋" w:eastAsia="仿宋"/>
          <w:sz w:val="28"/>
          <w:szCs w:val="28"/>
          <w:lang w:eastAsia="zh-CN"/>
        </w:rPr>
      </w:r>
      <w:r/>
    </w:p>
    <w:p>
      <w:pPr>
        <w:pStyle w:val="655"/>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7.磋商文件的澄清和修改</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淮安市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7.2采购中心可以视采购项目的具体情况，组织供应商进行现场考察或召开磋商前答疑会，但不单独或分别组织只有一个供应商参加的现场考察和答疑会。</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b/>
          <w:bCs/>
          <w:sz w:val="32"/>
          <w:szCs w:val="32"/>
        </w:rPr>
      </w:pPr>
      <w:r>
        <w:rPr>
          <w:rFonts w:hint="eastAsia" w:ascii="仿宋" w:hAnsi="仿宋" w:eastAsia="仿宋"/>
          <w:b/>
          <w:bCs/>
          <w:sz w:val="32"/>
          <w:szCs w:val="32"/>
        </w:rPr>
        <w:t xml:space="preserve">三、响应文件的编制</w:t>
      </w:r>
      <w:r>
        <w:rPr>
          <w:rFonts w:hint="eastAsia" w:ascii="仿宋" w:hAnsi="仿宋" w:eastAsia="仿宋"/>
          <w:b/>
          <w:bCs/>
          <w:sz w:val="32"/>
          <w:szCs w:val="32"/>
        </w:rPr>
      </w:r>
      <w:r/>
    </w:p>
    <w:p>
      <w:pPr>
        <w:pStyle w:val="655"/>
        <w:spacing w:line="520" w:lineRule="exact"/>
        <w:rPr>
          <w:rFonts w:hint="eastAsia" w:ascii="仿宋" w:hAnsi="仿宋" w:eastAsia="仿宋" w:cs="Times New Roman"/>
          <w:sz w:val="28"/>
          <w:szCs w:val="28"/>
          <w:lang w:val="en-US" w:eastAsia="zh-CN"/>
        </w:rPr>
      </w:pPr>
      <w:r/>
      <w:bookmarkStart w:id="0" w:name="_Toc20823286"/>
      <w:r/>
      <w:bookmarkStart w:id="1" w:name="_Toc513029214"/>
      <w:r/>
      <w:bookmarkStart w:id="2" w:name="_Toc16938530"/>
      <w:r/>
      <w:bookmarkStart w:id="3" w:name="_Toc462564073"/>
      <w:r>
        <w:rPr>
          <w:rFonts w:hint="eastAsia" w:ascii="仿宋" w:hAnsi="仿宋" w:eastAsia="仿宋" w:cs="Times New Roman"/>
          <w:sz w:val="28"/>
          <w:szCs w:val="28"/>
          <w:lang w:val="en-US" w:eastAsia="zh-CN"/>
        </w:rPr>
        <w:t xml:space="preserve">8．响应文件的语言及度量衡单位</w:t>
      </w:r>
      <w:bookmarkEnd w:id="0"/>
      <w:r/>
      <w:bookmarkEnd w:id="1"/>
      <w:r/>
      <w:bookmarkEnd w:id="2"/>
      <w:r/>
      <w:bookmarkEnd w:id="3"/>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8.1供应商提交的响应文件以及供应商与采购中心就有关磋商的所有来往通知、函件和文件均应使用简体中文。</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8.2 除技术性能另有规定外，响应文件所使用的度量衡单位，均须采用国家法定计量单位。</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bookmarkStart w:id="4" w:name="_Toc16938531"/>
      <w:r/>
      <w:bookmarkStart w:id="5" w:name="_Toc513029215"/>
      <w:r/>
      <w:bookmarkStart w:id="6" w:name="_Toc462564074"/>
      <w:r/>
      <w:bookmarkStart w:id="7" w:name="_Toc20823287"/>
      <w:r>
        <w:rPr>
          <w:rFonts w:hint="eastAsia" w:ascii="仿宋" w:hAnsi="仿宋" w:eastAsia="仿宋" w:cs="Times New Roman"/>
          <w:sz w:val="28"/>
          <w:szCs w:val="28"/>
          <w:lang w:val="en-US" w:eastAsia="zh-CN"/>
        </w:rPr>
        <w:t xml:space="preserve">9．响应文件构成</w:t>
      </w:r>
      <w:bookmarkEnd w:id="4"/>
      <w:r/>
      <w:bookmarkEnd w:id="5"/>
      <w:r/>
      <w:bookmarkEnd w:id="6"/>
      <w:r/>
      <w:bookmarkEnd w:id="7"/>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9.1供应商编写的响应文件应包括资格证明文件、符合性证明文件、分项报价表、技术要求</w:t>
      </w:r>
      <w:r>
        <w:rPr>
          <w:rFonts w:hint="eastAsia" w:ascii="仿宋" w:hAnsi="仿宋" w:eastAsia="仿宋"/>
          <w:sz w:val="28"/>
          <w:szCs w:val="28"/>
        </w:rPr>
        <w:t xml:space="preserve">响应及偏离表、商务要求响应及偏离表、其他证明文件、磋商响应函等部分。请</w:t>
      </w:r>
      <w:r>
        <w:rPr>
          <w:rFonts w:hint="eastAsia" w:ascii="仿宋" w:hAnsi="仿宋" w:eastAsia="仿宋"/>
          <w:sz w:val="28"/>
          <w:szCs w:val="28"/>
          <w:lang w:val="en-US" w:eastAsia="zh-CN"/>
        </w:rPr>
        <w:t xml:space="preserve">供应商</w:t>
      </w:r>
      <w:r>
        <w:rPr>
          <w:rFonts w:hint="eastAsia" w:ascii="仿宋" w:hAnsi="仿宋" w:eastAsia="仿宋"/>
          <w:sz w:val="28"/>
          <w:szCs w:val="28"/>
        </w:rPr>
        <w:t xml:space="preserve">根据本</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文件的要求在指定模块中上传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材料，未按</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文件要求在指定模块上传</w:t>
      </w:r>
      <w:r>
        <w:rPr>
          <w:rFonts w:hint="eastAsia" w:ascii="仿宋" w:hAnsi="仿宋" w:eastAsia="仿宋"/>
          <w:sz w:val="28"/>
          <w:szCs w:val="28"/>
          <w:lang w:val="en-US" w:eastAsia="zh-CN"/>
        </w:rPr>
        <w:t xml:space="preserve">相应</w:t>
      </w:r>
      <w:r>
        <w:rPr>
          <w:rFonts w:hint="eastAsia" w:ascii="仿宋" w:hAnsi="仿宋" w:eastAsia="仿宋"/>
          <w:sz w:val="28"/>
          <w:szCs w:val="28"/>
        </w:rPr>
        <w:t xml:space="preserve">材料的，视同未提交该</w:t>
      </w:r>
      <w:r>
        <w:rPr>
          <w:rFonts w:hint="eastAsia" w:ascii="仿宋" w:hAnsi="仿宋" w:eastAsia="仿宋"/>
          <w:sz w:val="28"/>
          <w:szCs w:val="28"/>
          <w:lang w:val="en-US" w:eastAsia="zh-CN"/>
        </w:rPr>
        <w:t xml:space="preserve">响应</w:t>
      </w:r>
      <w:r>
        <w:rPr>
          <w:rFonts w:hint="eastAsia" w:ascii="仿宋" w:hAnsi="仿宋" w:eastAsia="仿宋"/>
          <w:sz w:val="28"/>
          <w:szCs w:val="28"/>
        </w:rPr>
        <w:t xml:space="preserve">材料处理。</w:t>
      </w:r>
      <w:r>
        <w:rPr>
          <w:rFonts w:hint="eastAsia" w:ascii="仿宋" w:hAnsi="仿宋" w:eastAsia="仿宋"/>
          <w:sz w:val="28"/>
          <w:szCs w:val="28"/>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9.2 如响应文件制作工具中格式和内容与“江苏政府采购网”、“淮安市政府采购网”发布的磋商文件不一致，请以“江苏政府采购网”、“淮安市政府采购网”发布的磋商文件为准。</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bookmarkStart w:id="8" w:name="_Toc513029219"/>
      <w:r/>
      <w:bookmarkStart w:id="9" w:name="_Toc49090509"/>
      <w:r/>
      <w:bookmarkStart w:id="10" w:name="_Toc14577357"/>
      <w:r/>
      <w:bookmarkStart w:id="11" w:name="_Toc513029216"/>
      <w:r/>
      <w:bookmarkStart w:id="12" w:name="_Toc14577354"/>
      <w:r/>
      <w:bookmarkStart w:id="13" w:name="_Toc49090507"/>
      <w:r/>
      <w:bookmarkStart w:id="14" w:name="_Toc49090508"/>
      <w:r/>
      <w:bookmarkStart w:id="15" w:name="_Toc14577355"/>
      <w:r>
        <w:rPr>
          <w:rFonts w:hint="eastAsia" w:ascii="仿宋" w:hAnsi="仿宋" w:eastAsia="仿宋" w:cs="Times New Roman"/>
          <w:sz w:val="28"/>
          <w:szCs w:val="28"/>
          <w:lang w:val="en-US" w:eastAsia="zh-CN"/>
        </w:rPr>
        <w:t xml:space="preserve">10．证明磋商响应标的符合磋商文件规定的文件</w:t>
      </w:r>
      <w:bookmarkEnd w:id="8"/>
      <w:r/>
      <w:bookmarkEnd w:id="9"/>
      <w:r/>
      <w:bookmarkEnd w:id="10"/>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bookmarkEnd w:id="11"/>
      <w:r/>
      <w:bookmarkEnd w:id="12"/>
      <w:r/>
      <w:bookmarkEnd w:id="13"/>
      <w:r>
        <w:rPr>
          <w:rFonts w:hint="eastAsia" w:ascii="仿宋" w:hAnsi="仿宋" w:eastAsia="仿宋" w:cs="Times New Roman"/>
          <w:sz w:val="28"/>
          <w:szCs w:val="28"/>
          <w:lang w:val="en-US" w:eastAsia="zh-CN"/>
        </w:rPr>
        <w:t xml:space="preserve">10.1供应商应按照磋商文件要求提交证明文件，证明其及磋商响应标的符合磋商文件规定。</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10.2磋商文件对证明文件无明确形式要求的，证明文件可以以文字资料、图纸和数据等形式提交。</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bookmarkEnd w:id="14"/>
      <w:r/>
      <w:bookmarkEnd w:id="15"/>
      <w:r>
        <w:rPr>
          <w:rFonts w:hint="eastAsia" w:ascii="仿宋" w:hAnsi="仿宋" w:eastAsia="仿宋" w:cs="Times New Roman"/>
          <w:sz w:val="28"/>
          <w:szCs w:val="28"/>
          <w:lang w:val="en-US" w:eastAsia="zh-CN"/>
        </w:rPr>
        <w:t xml:space="preserve">11．分项报价表</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11.1供应商应按照磋商文件规定格式填报分项报价表。</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rPr>
          <w:rFonts w:hint="eastAsia" w:ascii="仿宋" w:hAnsi="仿宋" w:eastAsia="仿宋"/>
          <w:sz w:val="28"/>
          <w:szCs w:val="28"/>
        </w:rPr>
      </w:r>
      <w:r/>
    </w:p>
    <w:p>
      <w:pPr>
        <w:pStyle w:val="655"/>
        <w:spacing w:line="520" w:lineRule="exact"/>
        <w:rPr>
          <w:rFonts w:hint="eastAsia" w:ascii="仿宋" w:hAnsi="仿宋" w:eastAsia="仿宋" w:cs="Times New Roman"/>
          <w:sz w:val="28"/>
          <w:szCs w:val="28"/>
          <w:lang w:val="en-US" w:eastAsia="zh-CN"/>
        </w:rPr>
      </w:pPr>
      <w:r/>
      <w:bookmarkStart w:id="16" w:name="_Hlt26670482"/>
      <w:r/>
      <w:bookmarkEnd w:id="16"/>
      <w:r/>
      <w:bookmarkStart w:id="17" w:name="_Hlt26954848"/>
      <w:r/>
      <w:bookmarkEnd w:id="17"/>
      <w:r/>
      <w:bookmarkStart w:id="18" w:name="_Hlt26954846"/>
      <w:r/>
      <w:bookmarkEnd w:id="18"/>
      <w:r/>
      <w:bookmarkStart w:id="19" w:name="_Hlt26670486"/>
      <w:r/>
      <w:bookmarkEnd w:id="19"/>
      <w:r/>
      <w:bookmarkStart w:id="20" w:name="_Hlt26954731"/>
      <w:r/>
      <w:bookmarkEnd w:id="20"/>
      <w:r>
        <w:rPr>
          <w:rFonts w:hint="eastAsia" w:ascii="仿宋" w:hAnsi="仿宋" w:eastAsia="仿宋" w:cs="Times New Roman"/>
          <w:sz w:val="28"/>
          <w:szCs w:val="28"/>
          <w:lang w:val="en-US" w:eastAsia="zh-CN"/>
        </w:rPr>
        <w:t xml:space="preserve">12.技术要求响应及偏离表、商务要求响应及偏离表（如有）</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12.1供应商需对磋商文件中的技术要求与商务要求逐项作出响应或偏离，并说明原因。</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rPr>
          <w:rFonts w:hint="eastAsia" w:ascii="仿宋" w:hAnsi="仿宋" w:eastAsia="仿宋"/>
          <w:sz w:val="28"/>
          <w:szCs w:val="28"/>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13.服务承诺、培训计划、人员安排及其他（如有）</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13.1供应商需根据磋商文件要求提供有关售后服务的管理制度，售后服务机构的分布情况，售后服务人员的数量、素质、技术水平及售后服务的反应能力等。</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13.2供应商需根据磋商文件要求提供培训计划。</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13.3供应商需根据磋商文件要求提供磋商响应标的的主要组成部分、功能设计、实现思路及关键技术等。</w:t>
      </w:r>
      <w:r>
        <w:rPr>
          <w:rFonts w:hint="eastAsia" w:ascii="仿宋" w:hAnsi="仿宋" w:eastAsia="仿宋"/>
          <w:sz w:val="28"/>
          <w:szCs w:val="28"/>
          <w:highlight w:val="none"/>
        </w:rPr>
      </w:r>
      <w:r/>
    </w:p>
    <w:p>
      <w:pPr>
        <w:pStyle w:val="655"/>
        <w:spacing w:line="520" w:lineRule="exact"/>
        <w:rPr>
          <w:rFonts w:hint="eastAsia" w:ascii="仿宋" w:hAnsi="仿宋" w:eastAsia="仿宋" w:cs="Times New Roman"/>
          <w:sz w:val="28"/>
          <w:szCs w:val="28"/>
          <w:lang w:val="en-US" w:eastAsia="zh-CN"/>
        </w:rPr>
      </w:pPr>
      <w:r/>
      <w:bookmarkStart w:id="21" w:name="_Toc49090510"/>
      <w:r/>
      <w:bookmarkStart w:id="22" w:name="_Toc14577359"/>
      <w:r>
        <w:rPr>
          <w:rFonts w:hint="eastAsia" w:ascii="仿宋" w:hAnsi="仿宋" w:eastAsia="仿宋" w:cs="Times New Roman"/>
          <w:sz w:val="28"/>
          <w:szCs w:val="28"/>
          <w:lang w:val="en-US" w:eastAsia="zh-CN"/>
        </w:rPr>
        <w:t xml:space="preserve">14.磋商响应函</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14.1供应商应按照磋商文件中提供的格式完整、正确填写磋商响应函。</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bookmarkEnd w:id="21"/>
      <w:r/>
      <w:bookmarkEnd w:id="22"/>
      <w:r>
        <w:rPr>
          <w:rFonts w:hint="eastAsia" w:ascii="仿宋" w:hAnsi="仿宋" w:eastAsia="仿宋" w:cs="Times New Roman"/>
          <w:sz w:val="28"/>
          <w:szCs w:val="28"/>
          <w:lang w:val="en-US" w:eastAsia="zh-CN"/>
        </w:rPr>
        <w:t xml:space="preserve">15.方案部分（如本项目涉及的话）</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15.1本项目评标标准中的方案部分采用暗标方式进行评审。</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15.2编制要求：</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方案内容、文字均不得出现供应商名称、相关人员姓名和其他可识别供应商身份的字符、徽标、人员名称等内容，不得出现以前所承担过的项目名称，不得作任何标识或暗示该供应商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15.3供应商需按15.2的要求编制方案，否则按未提供方案处理。</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16.磋商有效期</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16.1磋商有效期为从磋商之日起计算的九十天。磋商有效期比规定短的将被视为</w:t>
      </w:r>
      <w:r>
        <w:rPr>
          <w:rFonts w:hint="eastAsia" w:ascii="仿宋" w:hAnsi="仿宋" w:eastAsia="仿宋" w:cs="Times New Roman"/>
          <w:sz w:val="28"/>
          <w:szCs w:val="28"/>
          <w:lang w:val="zh-CN" w:eastAsia="zh-CN"/>
        </w:rPr>
        <w:t xml:space="preserve">非响应磋商而予以拒绝。</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16.2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17.响应文件的签署</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b/>
          <w:bCs/>
          <w:sz w:val="32"/>
          <w:szCs w:val="32"/>
        </w:rPr>
      </w:pPr>
      <w:r>
        <w:rPr>
          <w:rFonts w:hint="eastAsia" w:ascii="仿宋" w:hAnsi="仿宋" w:eastAsia="仿宋"/>
          <w:b/>
          <w:bCs/>
          <w:sz w:val="32"/>
          <w:szCs w:val="32"/>
        </w:rPr>
        <w:t xml:space="preserve">四、响应文件上传</w:t>
      </w:r>
      <w:r>
        <w:rPr>
          <w:rFonts w:hint="eastAsia" w:ascii="仿宋" w:hAnsi="仿宋" w:eastAsia="仿宋"/>
          <w:b/>
          <w:bCs/>
          <w:sz w:val="32"/>
          <w:szCs w:val="32"/>
        </w:rPr>
      </w:r>
      <w:r/>
    </w:p>
    <w:p>
      <w:pPr>
        <w:pStyle w:val="65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18.响应文件的上传</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18.1供应商应当按照《操作手册》规定，在提交响应文件截止时间前制作并上传电子响应文件。 </w:t>
      </w:r>
      <w:r>
        <w:rPr>
          <w:rFonts w:hint="eastAsia" w:ascii="仿宋" w:hAnsi="仿宋" w:eastAsia="仿宋" w:cs="Times New Roman"/>
          <w:sz w:val="28"/>
          <w:szCs w:val="28"/>
          <w:lang w:val="en-US" w:eastAsia="zh-CN"/>
        </w:rPr>
      </w:r>
      <w:r/>
    </w:p>
    <w:p>
      <w:pPr>
        <w:pStyle w:val="655"/>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19.提交响应文件截止时间</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19.1供应商上传电子响应文件的时间不得迟于磋商公告中规定的提交响应文件截止时间。</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19.2供应商应充分考虑网络环境、网络带宽等风险因素，如因供应商自身原因造成的电子响应文件上传不成功的按照本磋商文</w:t>
      </w:r>
      <w:r>
        <w:rPr>
          <w:rFonts w:hint="eastAsia" w:ascii="仿宋" w:hAnsi="仿宋" w:eastAsia="仿宋" w:cs="Times New Roman"/>
          <w:sz w:val="28"/>
          <w:szCs w:val="28"/>
          <w:highlight w:val="none"/>
          <w:lang w:val="en-US" w:eastAsia="zh-CN"/>
        </w:rPr>
        <w:t xml:space="preserve">件第二章第26.3.2条</w:t>
      </w:r>
      <w:r>
        <w:rPr>
          <w:rFonts w:hint="eastAsia" w:ascii="仿宋" w:hAnsi="仿宋" w:eastAsia="仿宋" w:cs="Times New Roman"/>
          <w:sz w:val="28"/>
          <w:szCs w:val="28"/>
          <w:lang w:val="en-US" w:eastAsia="zh-CN"/>
        </w:rPr>
        <w:t xml:space="preserve">规定做无效响应处理。</w:t>
      </w:r>
      <w:r>
        <w:rPr>
          <w:rFonts w:hint="eastAsia" w:ascii="仿宋" w:hAnsi="仿宋" w:eastAsia="仿宋" w:cs="Times New Roman"/>
          <w:sz w:val="28"/>
          <w:szCs w:val="28"/>
          <w:lang w:val="en-US"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cs="Times New Roman"/>
          <w:sz w:val="28"/>
          <w:szCs w:val="28"/>
          <w:lang w:val="en-US" w:eastAsia="zh-CN"/>
        </w:rPr>
        <w:t xml:space="preserve">19.3 采购中心可以按照规定，通过修改磋商文件酌情延长提交响应文件截止日期，在此情况下，供应商的所有权利和义务以及供应商受制的截止日期均应以延长后新的截止日期为准。</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响应文件被拒绝接收的情形</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20.1在磋商文件规定的提交响应文件截止时间后上传的</w:t>
      </w:r>
      <w:r>
        <w:rPr>
          <w:rFonts w:hint="eastAsia" w:ascii="仿宋" w:hAnsi="仿宋" w:eastAsia="仿宋"/>
          <w:sz w:val="28"/>
          <w:szCs w:val="28"/>
          <w:lang w:eastAsia="zh-CN"/>
        </w:rPr>
        <w:t xml:space="preserve">任何</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bCs/>
          <w:sz w:val="28"/>
        </w:rPr>
        <w:t xml:space="preserve">21.响应文件的</w:t>
      </w:r>
      <w:r>
        <w:rPr>
          <w:rFonts w:hint="eastAsia" w:ascii="仿宋" w:hAnsi="仿宋" w:eastAsia="仿宋"/>
          <w:bCs/>
          <w:sz w:val="28"/>
        </w:rPr>
        <w:t xml:space="preserve">撤回和</w:t>
      </w:r>
      <w:r>
        <w:rPr>
          <w:rFonts w:hint="eastAsia" w:ascii="仿宋" w:hAnsi="仿宋" w:eastAsia="仿宋"/>
          <w:bCs/>
          <w:sz w:val="28"/>
        </w:rPr>
        <w:t xml:space="preserve">修改</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21.1</w:t>
      </w:r>
      <w:r>
        <w:rPr>
          <w:rFonts w:hint="eastAsia" w:ascii="仿宋" w:hAnsi="仿宋" w:eastAsia="仿宋"/>
          <w:sz w:val="28"/>
          <w:szCs w:val="28"/>
          <w:lang w:eastAsia="zh-CN"/>
        </w:rPr>
        <w:t xml:space="preserve">响应文件的撤回</w:t>
      </w:r>
      <w:r>
        <w:rPr>
          <w:rFonts w:hint="eastAsia" w:ascii="仿宋" w:hAnsi="仿宋" w:eastAsia="仿宋"/>
          <w:sz w:val="28"/>
          <w:szCs w:val="28"/>
          <w:lang w:eastAsia="zh-CN"/>
        </w:rPr>
      </w:r>
      <w:r/>
    </w:p>
    <w:p>
      <w:pPr>
        <w:pStyle w:val="655"/>
        <w:ind w:firstLine="560"/>
        <w:spacing w:line="520" w:lineRule="exact"/>
        <w:rPr>
          <w:rFonts w:hint="eastAsia" w:ascii="仿宋" w:hAnsi="仿宋" w:eastAsia="仿宋"/>
          <w:sz w:val="28"/>
          <w:szCs w:val="28"/>
          <w:lang w:eastAsia="zh-CN"/>
        </w:rPr>
      </w:pPr>
      <w:r>
        <w:rPr>
          <w:rFonts w:hint="eastAsia" w:ascii="仿宋" w:hAnsi="仿宋" w:eastAsia="仿宋"/>
          <w:sz w:val="28"/>
          <w:szCs w:val="28"/>
          <w:lang w:val="en-US" w:eastAsia="zh-CN"/>
        </w:rPr>
        <w:t xml:space="preserve">21.1.1</w:t>
      </w:r>
      <w:r>
        <w:rPr>
          <w:rFonts w:hint="eastAsia" w:ascii="仿宋" w:hAnsi="仿宋" w:eastAsia="仿宋"/>
          <w:sz w:val="28"/>
          <w:szCs w:val="28"/>
        </w:rPr>
        <w:t xml:space="preserve">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rPr>
        <w:t xml:space="preserve">撤回电子响应文件</w:t>
      </w:r>
      <w:r>
        <w:rPr>
          <w:rFonts w:hint="eastAsia" w:ascii="仿宋" w:hAnsi="仿宋" w:eastAsia="仿宋"/>
          <w:sz w:val="28"/>
          <w:szCs w:val="28"/>
          <w:lang w:eastAsia="zh-CN"/>
        </w:rPr>
        <w:t xml:space="preserve">。</w:t>
      </w:r>
      <w:r>
        <w:rPr>
          <w:rFonts w:hint="eastAsia" w:ascii="仿宋" w:hAnsi="仿宋" w:eastAsia="仿宋"/>
          <w:sz w:val="28"/>
          <w:szCs w:val="28"/>
          <w:lang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21.1.2</w:t>
      </w:r>
      <w:r>
        <w:rPr>
          <w:rFonts w:hint="eastAsia" w:ascii="仿宋" w:hAnsi="仿宋" w:eastAsia="仿宋"/>
          <w:sz w:val="28"/>
          <w:szCs w:val="28"/>
        </w:rPr>
        <w:t xml:space="preserve">供应商在提交响应文件截止时间前撤回电子响应文件，</w:t>
      </w:r>
      <w:r>
        <w:rPr>
          <w:rFonts w:hint="eastAsia" w:ascii="仿宋" w:hAnsi="仿宋" w:eastAsia="仿宋"/>
          <w:sz w:val="28"/>
          <w:szCs w:val="28"/>
          <w:lang w:eastAsia="zh-CN"/>
        </w:rPr>
        <w:t xml:space="preserve">且未重新上传的，</w:t>
      </w:r>
      <w:r>
        <w:rPr>
          <w:rFonts w:hint="eastAsia" w:ascii="仿宋" w:hAnsi="仿宋" w:eastAsia="仿宋"/>
          <w:sz w:val="28"/>
          <w:szCs w:val="28"/>
        </w:rPr>
        <w:t xml:space="preserve">则认为其不再参与本项目磋商活动。</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21.</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响应文件的</w:t>
      </w:r>
      <w:r>
        <w:rPr>
          <w:rFonts w:hint="eastAsia" w:ascii="仿宋" w:hAnsi="仿宋" w:eastAsia="仿宋"/>
          <w:sz w:val="28"/>
          <w:szCs w:val="28"/>
          <w:lang w:eastAsia="zh-CN"/>
        </w:rPr>
        <w:t xml:space="preserve">修改</w:t>
      </w:r>
      <w:r>
        <w:rPr>
          <w:rFonts w:hint="eastAsia" w:ascii="仿宋" w:hAnsi="仿宋" w:eastAsia="仿宋"/>
          <w:sz w:val="28"/>
          <w:szCs w:val="28"/>
          <w:lang w:eastAsia="zh-CN"/>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21.2.1供应商可在提交响应文件截止时间前，登录</w:t>
      </w:r>
      <w:r>
        <w:rPr>
          <w:rFonts w:hint="eastAsia" w:ascii="仿宋" w:hAnsi="仿宋" w:eastAsia="仿宋"/>
          <w:sz w:val="28"/>
          <w:szCs w:val="28"/>
          <w:lang w:eastAsia="zh-CN"/>
        </w:rPr>
        <w:t xml:space="preserve">“苏采云”</w:t>
      </w:r>
      <w:r>
        <w:rPr>
          <w:rFonts w:hint="eastAsia" w:ascii="仿宋" w:hAnsi="仿宋" w:eastAsia="仿宋"/>
          <w:sz w:val="28"/>
          <w:szCs w:val="28"/>
          <w:lang w:val="en-US" w:eastAsia="zh-CN"/>
        </w:rPr>
        <w:t xml:space="preserve">修改电子响应文件，</w:t>
      </w:r>
      <w:r>
        <w:rPr>
          <w:rFonts w:hint="eastAsia" w:ascii="仿宋" w:hAnsi="仿宋" w:eastAsia="仿宋"/>
          <w:sz w:val="28"/>
          <w:szCs w:val="28"/>
        </w:rPr>
        <w:t xml:space="preserve">电子响应文件以最终完成上传的为准。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21.2.</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供应商不得在提交响应文件截止时间之后修改电子响应文件。</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w:t>
      </w:r>
      <w:r>
        <w:rPr>
          <w:rFonts w:hint="eastAsia" w:ascii="仿宋" w:hAnsi="仿宋" w:eastAsia="仿宋"/>
          <w:sz w:val="28"/>
          <w:szCs w:val="28"/>
          <w:lang w:eastAsia="zh-CN"/>
        </w:rPr>
        <w:t xml:space="preserve">、修改</w:t>
      </w:r>
      <w:r>
        <w:rPr>
          <w:rFonts w:hint="eastAsia" w:ascii="仿宋" w:hAnsi="仿宋" w:eastAsia="仿宋"/>
          <w:sz w:val="28"/>
          <w:szCs w:val="28"/>
        </w:rPr>
        <w:t xml:space="preserve">电子响应文件。</w:t>
      </w:r>
      <w:r>
        <w:rPr>
          <w:rFonts w:hint="eastAsia" w:ascii="仿宋" w:hAnsi="仿宋" w:eastAsia="仿宋"/>
          <w:sz w:val="28"/>
          <w:szCs w:val="28"/>
        </w:rPr>
      </w:r>
      <w:r/>
    </w:p>
    <w:p>
      <w:pPr>
        <w:pStyle w:val="65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五、响应文件的解密与评审</w:t>
      </w:r>
      <w:r>
        <w:rPr>
          <w:rFonts w:hint="eastAsia" w:ascii="仿宋" w:hAnsi="仿宋" w:eastAsia="仿宋"/>
          <w:b/>
          <w:bCs/>
          <w:sz w:val="32"/>
          <w:szCs w:val="32"/>
          <w:highlight w:val="none"/>
        </w:rPr>
      </w:r>
      <w:r/>
    </w:p>
    <w:p>
      <w:pPr>
        <w:pStyle w:val="655"/>
        <w:spacing w:line="520" w:lineRule="exact"/>
        <w:rPr>
          <w:rFonts w:hint="eastAsia" w:ascii="仿宋" w:hAnsi="仿宋" w:eastAsia="仿宋"/>
          <w:sz w:val="28"/>
          <w:szCs w:val="28"/>
        </w:rPr>
      </w:pPr>
      <w:r/>
      <w:bookmarkStart w:id="23" w:name="_Toc513029230"/>
      <w:r/>
      <w:bookmarkStart w:id="24" w:name="_Toc16938546"/>
      <w:r/>
      <w:bookmarkStart w:id="25" w:name="_Toc20823302"/>
      <w:r>
        <w:rPr>
          <w:rFonts w:hint="eastAsia" w:ascii="仿宋" w:hAnsi="仿宋" w:eastAsia="仿宋"/>
          <w:sz w:val="28"/>
          <w:szCs w:val="28"/>
        </w:rPr>
        <w:t xml:space="preserve">2</w:t>
      </w:r>
      <w:bookmarkEnd w:id="23"/>
      <w:r/>
      <w:bookmarkEnd w:id="24"/>
      <w:r/>
      <w:bookmarkEnd w:id="25"/>
      <w:r>
        <w:rPr>
          <w:rFonts w:hint="eastAsia" w:ascii="仿宋" w:hAnsi="仿宋" w:eastAsia="仿宋"/>
          <w:sz w:val="28"/>
          <w:szCs w:val="28"/>
        </w:rPr>
        <w:t xml:space="preserve">2.响应文件解密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23.磋商小组</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   23.1采购中心将组织磋商小组对响应文件进行评审。磋商小组由采购人代表和有关技术、经济等方面的专家组成，且人员构成符合政府采购有关规定。</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   23.2磋商小组独立工作，负责评审所有响应文件并确定成交</w:t>
      </w:r>
      <w:r>
        <w:rPr>
          <w:rFonts w:hint="eastAsia" w:ascii="仿宋" w:hAnsi="仿宋" w:eastAsia="仿宋"/>
          <w:sz w:val="28"/>
          <w:szCs w:val="28"/>
          <w:lang w:val="en-US" w:eastAsia="zh-CN"/>
        </w:rPr>
        <w:t xml:space="preserve">候选</w:t>
      </w:r>
      <w:r>
        <w:rPr>
          <w:rFonts w:hint="eastAsia" w:ascii="仿宋" w:hAnsi="仿宋" w:eastAsia="仿宋"/>
          <w:sz w:val="28"/>
          <w:szCs w:val="28"/>
        </w:rPr>
        <w:t xml:space="preserve">人。</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24.评审过程的保密与公正</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24.1磋商小组、采购人和采购中心工作人员、相关监督人员等与评审工作有关的人员，对评审情况以及在评审过程中获悉的国家秘密、商业秘密负有保密责任。</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24.3在项目评审期间，采购中心将设专门人员与供应商联系。</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采购中心和磋商小组不向未成交的供应商解释未成交原因，也不公布评审过程中的相关细节。</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bookmarkStart w:id="26" w:name="_Toc513029232"/>
      <w:r/>
      <w:bookmarkStart w:id="27" w:name="_Toc20823304"/>
      <w:r/>
      <w:bookmarkStart w:id="28" w:name="_Toc16938548"/>
      <w:r>
        <w:rPr>
          <w:rFonts w:hint="eastAsia" w:ascii="仿宋" w:hAnsi="仿宋" w:eastAsia="仿宋"/>
          <w:sz w:val="28"/>
          <w:szCs w:val="28"/>
        </w:rPr>
        <w:t xml:space="preserve">25.评审过程中的澄清</w:t>
      </w:r>
      <w:bookmarkEnd w:id="26"/>
      <w:r/>
      <w:bookmarkEnd w:id="27"/>
      <w:r/>
      <w:bookmarkEnd w:id="28"/>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接到磋商小组澄清、说明和更正要求的供应商如未按规定</w:t>
      </w:r>
      <w:r>
        <w:rPr>
          <w:rFonts w:hint="eastAsia" w:ascii="仿宋" w:hAnsi="仿宋" w:eastAsia="仿宋"/>
          <w:sz w:val="28"/>
          <w:szCs w:val="28"/>
          <w:lang w:val="en-US" w:eastAsia="zh-CN"/>
        </w:rPr>
        <w:t xml:space="preserve">作</w:t>
      </w:r>
      <w:r>
        <w:rPr>
          <w:rFonts w:hint="eastAsia" w:ascii="仿宋" w:hAnsi="仿宋" w:eastAsia="仿宋"/>
          <w:sz w:val="28"/>
          <w:szCs w:val="28"/>
        </w:rPr>
        <w:t xml:space="preserve">出澄清、说明和更正，其风险由供应商自行承担。</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bookmarkStart w:id="29" w:name="_Toc20823305"/>
      <w:r/>
      <w:bookmarkStart w:id="30" w:name="_Toc16938549"/>
      <w:r/>
      <w:bookmarkStart w:id="31" w:name="_Toc513029233"/>
      <w:r>
        <w:rPr>
          <w:rFonts w:hint="eastAsia" w:ascii="仿宋" w:hAnsi="仿宋" w:eastAsia="仿宋"/>
          <w:sz w:val="28"/>
          <w:szCs w:val="28"/>
        </w:rPr>
        <w:t xml:space="preserve">26.对响应文件的审</w:t>
      </w:r>
      <w:bookmarkEnd w:id="29"/>
      <w:r/>
      <w:bookmarkEnd w:id="30"/>
      <w:r/>
      <w:bookmarkEnd w:id="31"/>
      <w:r>
        <w:rPr>
          <w:rFonts w:hint="eastAsia" w:ascii="仿宋" w:hAnsi="仿宋" w:eastAsia="仿宋"/>
          <w:sz w:val="28"/>
          <w:szCs w:val="28"/>
        </w:rPr>
        <w:t xml:space="preserve">查</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26.1响应文件审查分为资格审查和符合性审查。</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rPr>
          <w:rFonts w:hint="eastAsia" w:ascii="仿宋" w:hAnsi="仿宋" w:eastAsia="仿宋"/>
          <w:sz w:val="28"/>
          <w:szCs w:val="28"/>
        </w:rPr>
      </w:r>
      <w:r/>
    </w:p>
    <w:p>
      <w:pPr>
        <w:pStyle w:val="655"/>
        <w:spacing w:line="520" w:lineRule="exact"/>
        <w:rPr>
          <w:rFonts w:hint="eastAsia"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w:t>
      </w:r>
      <w:r>
        <w:rPr>
          <w:rFonts w:hint="eastAsia" w:ascii="仿宋" w:hAnsi="仿宋" w:eastAsia="仿宋"/>
          <w:sz w:val="28"/>
          <w:szCs w:val="28"/>
          <w:lang w:eastAsia="zh-CN"/>
        </w:rPr>
        <w:t xml:space="preserve">应该</w:t>
      </w:r>
      <w:r>
        <w:rPr>
          <w:rFonts w:hint="eastAsia" w:ascii="仿宋" w:hAnsi="仿宋" w:eastAsia="仿宋"/>
          <w:sz w:val="28"/>
          <w:szCs w:val="28"/>
        </w:rPr>
        <w:t xml:space="preserve">与磋商文件要求的条款、条件和规格相符，没有重大偏离或保留。</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26.3未实质性响应磋商文件的情形</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26.3.2供应商未按照磋商文件要求上传电子响应文件的。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26.3.4供应商不具备磋商文件中规定资格要求的。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26.3.5供应商的最后报价超过了采购预算。</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26.3.6</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认为</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的报价属于《财政部关于推动解决政府采购异常低价问题的通知》（财库〔2026〕2 号）异常低价情形的，将通过苏采云系统，按照财库〔2026〕2 号文件要求启动异常低价</w:t>
      </w:r>
      <w:r>
        <w:rPr>
          <w:rFonts w:hint="eastAsia" w:ascii="仿宋" w:hAnsi="仿宋" w:eastAsia="仿宋"/>
          <w:sz w:val="28"/>
          <w:szCs w:val="28"/>
          <w:lang w:eastAsia="zh-CN"/>
        </w:rPr>
        <w:t xml:space="preserve">响应</w:t>
      </w:r>
      <w:r>
        <w:rPr>
          <w:rFonts w:hint="eastAsia" w:ascii="仿宋" w:hAnsi="仿宋" w:eastAsia="仿宋"/>
          <w:sz w:val="28"/>
          <w:szCs w:val="28"/>
        </w:rPr>
        <w:t xml:space="preserve">审查程序，要求其在合理的时间内提供说明，必要时提交相关证明材料；</w:t>
      </w:r>
      <w:r>
        <w:rPr>
          <w:rFonts w:hint="eastAsia" w:ascii="仿宋" w:hAnsi="仿宋" w:eastAsia="仿宋"/>
          <w:sz w:val="28"/>
          <w:szCs w:val="28"/>
          <w:lang w:eastAsia="zh-CN"/>
        </w:rPr>
        <w:t xml:space="preserve">供应商</w:t>
      </w:r>
      <w:r>
        <w:rPr>
          <w:rFonts w:hint="eastAsia" w:ascii="仿宋" w:hAnsi="仿宋" w:eastAsia="仿宋"/>
          <w:sz w:val="28"/>
          <w:szCs w:val="28"/>
        </w:rPr>
        <w:t xml:space="preserve">不能证明其报价合理性的，</w:t>
      </w:r>
      <w:r>
        <w:rPr>
          <w:rFonts w:hint="eastAsia" w:ascii="仿宋" w:hAnsi="仿宋" w:eastAsia="仿宋"/>
          <w:sz w:val="28"/>
          <w:szCs w:val="28"/>
          <w:lang w:eastAsia="zh-CN"/>
        </w:rPr>
        <w:t xml:space="preserve">磋商小组</w:t>
      </w:r>
      <w:r>
        <w:rPr>
          <w:rFonts w:hint="eastAsia" w:ascii="仿宋" w:hAnsi="仿宋" w:eastAsia="仿宋"/>
          <w:sz w:val="28"/>
          <w:szCs w:val="28"/>
        </w:rPr>
        <w:t xml:space="preserve">应当将其作为无效</w:t>
      </w:r>
      <w:r>
        <w:rPr>
          <w:rFonts w:hint="eastAsia" w:ascii="仿宋" w:hAnsi="仿宋" w:eastAsia="仿宋"/>
          <w:sz w:val="28"/>
          <w:szCs w:val="28"/>
          <w:lang w:eastAsia="zh-CN"/>
        </w:rPr>
        <w:t xml:space="preserve">响应文件</w:t>
      </w:r>
      <w:r>
        <w:rPr>
          <w:rFonts w:hint="eastAsia" w:ascii="仿宋" w:hAnsi="仿宋" w:eastAsia="仿宋"/>
          <w:sz w:val="28"/>
          <w:szCs w:val="28"/>
        </w:rPr>
        <w:t xml:space="preserve">处理。</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26.3.7</w:t>
      </w:r>
      <w:r>
        <w:rPr>
          <w:rFonts w:hint="eastAsia" w:ascii="仿宋" w:hAnsi="仿宋" w:eastAsia="仿宋"/>
          <w:sz w:val="28"/>
          <w:szCs w:val="28"/>
        </w:rPr>
        <w:t xml:space="preserve">不符合磋商文件中规定的实质性要求和条件的（实质性要求和条件是指本</w:t>
      </w:r>
      <w:r>
        <w:rPr>
          <w:rFonts w:hint="eastAsia" w:ascii="仿宋" w:hAnsi="仿宋" w:eastAsia="仿宋"/>
          <w:sz w:val="28"/>
          <w:szCs w:val="28"/>
          <w:lang w:eastAsia="zh-CN"/>
        </w:rPr>
        <w:t xml:space="preserve">磋商</w:t>
      </w:r>
      <w:r>
        <w:rPr>
          <w:rFonts w:hint="eastAsia" w:ascii="仿宋" w:hAnsi="仿宋" w:eastAsia="仿宋"/>
          <w:sz w:val="28"/>
          <w:szCs w:val="28"/>
        </w:rPr>
        <w:t xml:space="preserve">文件中用带星号（“★”）的商务和技术要求）。</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 响应文件含有采购人不能接受的附加条件的。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rPr>
      </w:pPr>
      <w:r>
        <w:rPr>
          <w:rFonts w:hint="eastAsia" w:ascii="仿宋" w:hAnsi="仿宋" w:eastAsia="仿宋"/>
          <w:sz w:val="28"/>
          <w:szCs w:val="28"/>
        </w:rPr>
        <w:t xml:space="preserve">26.3.</w:t>
      </w:r>
      <w:r>
        <w:rPr>
          <w:rFonts w:hint="eastAsia" w:ascii="仿宋" w:hAnsi="仿宋" w:eastAsia="仿宋"/>
          <w:sz w:val="28"/>
          <w:szCs w:val="28"/>
          <w:lang w:val="en-US" w:eastAsia="zh-CN"/>
        </w:rPr>
        <w:t xml:space="preserve">10</w:t>
      </w:r>
      <w:r>
        <w:rPr>
          <w:rFonts w:hint="eastAsia" w:ascii="仿宋" w:hAnsi="仿宋" w:eastAsia="仿宋"/>
          <w:sz w:val="28"/>
          <w:szCs w:val="28"/>
        </w:rPr>
        <w:t xml:space="preserve">按照第</w:t>
      </w:r>
      <w:r>
        <w:rPr>
          <w:rFonts w:hint="eastAsia" w:ascii="仿宋" w:hAnsi="仿宋" w:eastAsia="仿宋"/>
          <w:sz w:val="28"/>
          <w:szCs w:val="28"/>
          <w:highlight w:val="none"/>
        </w:rPr>
        <w:t xml:space="preserve">37.4</w:t>
      </w:r>
      <w:r>
        <w:rPr>
          <w:rFonts w:hint="eastAsia" w:ascii="仿宋" w:hAnsi="仿宋" w:eastAsia="仿宋"/>
          <w:sz w:val="28"/>
          <w:szCs w:val="28"/>
        </w:rPr>
        <w:t xml:space="preserve">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55"/>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响应文件未按</w:t>
      </w:r>
      <w:r>
        <w:rPr>
          <w:rFonts w:hint="eastAsia" w:ascii="仿宋" w:hAnsi="仿宋" w:eastAsia="仿宋"/>
          <w:sz w:val="28"/>
          <w:szCs w:val="28"/>
          <w:highlight w:val="none"/>
        </w:rPr>
        <w:t xml:space="preserve">照磋商文件要求加盖CA电子公章的</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eastAsia="zh-CN"/>
        </w:rPr>
      </w:r>
      <w:r/>
    </w:p>
    <w:p>
      <w:pPr>
        <w:pStyle w:val="655"/>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26.3.12其他法律法规及本磋商文件规定的属无效响应的情形；</w:t>
      </w:r>
      <w:r>
        <w:rPr>
          <w:rFonts w:hint="eastAsia" w:ascii="仿宋" w:hAnsi="仿宋" w:eastAsia="仿宋"/>
          <w:sz w:val="28"/>
          <w:szCs w:val="28"/>
          <w:highlight w:val="none"/>
          <w:lang w:val="en-US" w:eastAsia="zh-CN"/>
        </w:rPr>
      </w:r>
      <w:r/>
    </w:p>
    <w:p>
      <w:pPr>
        <w:pStyle w:val="655"/>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26.3.13供应商未按照磋商文件第五章项目采购需求“★五、人员要求”提供相关承诺的。</w:t>
      </w:r>
      <w:r>
        <w:rPr>
          <w:rFonts w:ascii="仿宋" w:hAnsi="仿宋" w:eastAsia="仿宋"/>
          <w:sz w:val="28"/>
          <w:szCs w:val="28"/>
          <w:highlight w:val="none"/>
          <w:lang w:val="en-US" w:eastAsia="zh-CN"/>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26.4未实质性响应磋商文件的响应文件按无效响应处理。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26.5如果响应文件实质上没有响应磋商文件的要求，磋商小组将予以拒绝，供应商不得通过修改或撤销不合要求的偏离或保留而使其成为实质性响应的文件。</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26.6供应商在项目评审全过程中应保持通讯畅通，并安排专人与采购中心及磋商小组联系。</w:t>
      </w:r>
      <w:r>
        <w:rPr>
          <w:rFonts w:hint="eastAsia" w:ascii="仿宋" w:hAnsi="仿宋" w:eastAsia="仿宋"/>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27.磋商程序及评审方法和评审标准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27.1磋商程序</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rPr>
          <w:rFonts w:hint="eastAsia" w:ascii="仿宋" w:hAnsi="仿宋" w:eastAsia="仿宋"/>
          <w:sz w:val="28"/>
          <w:szCs w:val="28"/>
          <w:highlight w:val="none"/>
        </w:rPr>
      </w:r>
      <w:r/>
    </w:p>
    <w:p>
      <w:pPr>
        <w:pStyle w:val="655"/>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highlight w:val="none"/>
        </w:rPr>
        <w:t xml:space="preserve">已提交响应文件的供应商，在提交最后报价之前，可以根据磋商情况退出磋商</w:t>
      </w:r>
      <w:r>
        <w:rPr>
          <w:rFonts w:hint="eastAsia" w:ascii="仿宋" w:hAnsi="仿宋" w:eastAsia="仿宋"/>
          <w:sz w:val="28"/>
          <w:szCs w:val="28"/>
          <w:highlight w:val="none"/>
        </w:rPr>
        <w:t xml:space="preserve">，并在苏采云系统中提交“退出磋商函”并加盖CA电子公章</w:t>
      </w:r>
      <w:r>
        <w:rPr>
          <w:rFonts w:ascii="仿宋" w:hAnsi="仿宋" w:eastAsia="仿宋"/>
          <w:sz w:val="28"/>
          <w:szCs w:val="28"/>
          <w:highlight w:val="none"/>
        </w:rPr>
        <w:t xml:space="preserve">。</w:t>
      </w:r>
      <w:r>
        <w:rPr>
          <w:rFonts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 评审方法和评审标准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27.2.2评审标准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见本磋商文件第三章规定。</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27.3采购活动终止的情况</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出现下列情形之一的，本次竞争性磋商采购活动将被终止：</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27.3.1因情况变化，不再符合规定的竞争性磋商采购方式适用情形的。</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27.3.2出现影响采购公正的违法、违规行为的。</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27.3.3除本磋商文件第二章第27.1.2条第三款规定的情形外，在采购过程中符合要求的供应商或者最后报价未超过采购预算的供应商不足3家的。</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27.3.4在苏采云系统规定时间内成功解密电子响应文件的供应商不足3家的。</w:t>
      </w:r>
      <w:r>
        <w:rPr>
          <w:rFonts w:hint="eastAsia" w:ascii="仿宋" w:hAnsi="仿宋" w:eastAsia="仿宋"/>
          <w:sz w:val="28"/>
          <w:szCs w:val="28"/>
          <w:highlight w:val="none"/>
        </w:rPr>
      </w:r>
      <w:r/>
    </w:p>
    <w:p>
      <w:pPr>
        <w:pStyle w:val="655"/>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28.推荐成交候选供应商</w:t>
      </w:r>
      <w:r>
        <w:rPr>
          <w:rFonts w:hint="eastAsia" w:ascii="仿宋" w:hAnsi="仿宋" w:eastAsia="仿宋"/>
          <w:bCs/>
          <w:sz w:val="28"/>
          <w:highlight w:val="none"/>
        </w:rPr>
      </w:r>
      <w:r/>
    </w:p>
    <w:p>
      <w:pPr>
        <w:pStyle w:val="655"/>
        <w:ind w:firstLine="539"/>
        <w:spacing w:line="520" w:lineRule="exact"/>
        <w:rPr>
          <w:rFonts w:hint="eastAsia" w:ascii="仿宋" w:hAnsi="仿宋" w:eastAsia="仿宋"/>
          <w:sz w:val="28"/>
          <w:highlight w:val="none"/>
        </w:rPr>
      </w:pPr>
      <w:r>
        <w:rPr>
          <w:rFonts w:hint="eastAsia" w:ascii="仿宋" w:hAnsi="仿宋" w:eastAsia="仿宋"/>
          <w:sz w:val="28"/>
          <w:highlight w:val="none"/>
        </w:rPr>
        <w:t xml:space="preserve">28.1磋商小组将对通过资格性审查和符合性审查的响应文件进行评价和比较。</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28.2磋商小组</w:t>
      </w:r>
      <w:r>
        <w:rPr>
          <w:rFonts w:hint="eastAsia" w:ascii="仿宋" w:hAnsi="仿宋" w:eastAsia="仿宋"/>
          <w:sz w:val="28"/>
          <w:szCs w:val="28"/>
          <w:highlight w:val="none"/>
        </w:rPr>
        <w:t xml:space="preserve">按磋商文件第三章中公布的评标标准对每份合格响应文件进行评审，推荐3名成交候选供应商</w:t>
      </w:r>
      <w:r>
        <w:rPr>
          <w:rFonts w:hint="eastAsia" w:ascii="仿宋" w:hAnsi="仿宋" w:eastAsia="仿宋" w:cs="楷体"/>
          <w:sz w:val="28"/>
          <w:szCs w:val="28"/>
          <w:highlight w:val="none"/>
        </w:rPr>
        <w:t xml:space="preserve">。</w:t>
      </w:r>
      <w:r>
        <w:rPr>
          <w:rFonts w:ascii="仿宋" w:hAnsi="仿宋" w:eastAsia="仿宋" w:cs="楷体"/>
          <w:sz w:val="28"/>
          <w:szCs w:val="28"/>
          <w:highlight w:val="none"/>
        </w:rPr>
        <w:t xml:space="preserve"> </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磋商小组发现磋商文件存在歧义、重大缺陷导致评审工作无法进行，或者磋商文件内容存在违反国家有关规定的，评审工作停止，采购中心修改磋商文件后重新组织采购活动。</w:t>
      </w:r>
      <w:r>
        <w:rPr>
          <w:rFonts w:hint="eastAsia" w:ascii="仿宋" w:hAnsi="仿宋" w:eastAsia="仿宋"/>
          <w:sz w:val="28"/>
          <w:szCs w:val="28"/>
          <w:highlight w:val="none"/>
        </w:rPr>
      </w:r>
      <w:r/>
    </w:p>
    <w:p>
      <w:pPr>
        <w:pStyle w:val="655"/>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29.磋商过程保密</w:t>
      </w:r>
      <w:r>
        <w:rPr>
          <w:rFonts w:hint="eastAsia" w:ascii="仿宋" w:hAnsi="仿宋" w:eastAsia="仿宋"/>
          <w:bCs/>
          <w:sz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29.1在宣布成交结果前，凡属于审查、澄清、磋商、评审响应文件和确定成交等相关信息，</w:t>
      </w:r>
      <w:r>
        <w:rPr>
          <w:rFonts w:hint="eastAsia" w:ascii="仿宋" w:hAnsi="仿宋" w:eastAsia="仿宋"/>
          <w:sz w:val="28"/>
          <w:szCs w:val="28"/>
          <w:highlight w:val="none"/>
        </w:rPr>
        <w:t xml:space="preserve">均不得泄露给任何供应商或与评审工作无关的人员。</w:t>
      </w:r>
      <w:r>
        <w:rPr>
          <w:rFonts w:hint="eastAsia" w:ascii="仿宋" w:hAnsi="仿宋" w:eastAsia="仿宋"/>
          <w:sz w:val="28"/>
          <w:szCs w:val="28"/>
          <w:highlight w:val="none"/>
        </w:rPr>
      </w:r>
      <w:r/>
    </w:p>
    <w:p>
      <w:pPr>
        <w:pStyle w:val="655"/>
        <w:ind w:firstLine="540"/>
        <w:spacing w:line="520" w:lineRule="exact"/>
        <w:rPr>
          <w:rFonts w:hint="eastAsia" w:ascii="仿宋" w:hAnsi="仿宋" w:eastAsia="仿宋"/>
          <w:sz w:val="28"/>
          <w:highlight w:val="none"/>
        </w:rPr>
      </w:pPr>
      <w:r>
        <w:rPr>
          <w:rFonts w:hint="eastAsia" w:ascii="仿宋" w:hAnsi="仿宋" w:eastAsia="仿宋" w:cs="楷体"/>
          <w:sz w:val="28"/>
          <w:szCs w:val="28"/>
          <w:highlight w:val="none"/>
        </w:rPr>
        <w:t xml:space="preserve">29</w:t>
      </w:r>
      <w:r>
        <w:rPr>
          <w:rFonts w:ascii="仿宋" w:hAnsi="仿宋" w:eastAsia="仿宋" w:cs="楷体"/>
          <w:sz w:val="28"/>
          <w:szCs w:val="28"/>
          <w:highlight w:val="none"/>
        </w:rPr>
        <w:t xml:space="preserve">.</w:t>
      </w:r>
      <w:r>
        <w:rPr>
          <w:rFonts w:hint="eastAsia" w:ascii="仿宋" w:hAnsi="仿宋" w:eastAsia="仿宋" w:cs="楷体"/>
          <w:sz w:val="28"/>
          <w:szCs w:val="28"/>
          <w:highlight w:val="none"/>
        </w:rPr>
        <w:t xml:space="preserve">2</w:t>
      </w:r>
      <w:r>
        <w:rPr>
          <w:rFonts w:hint="eastAsia" w:ascii="仿宋" w:hAnsi="仿宋" w:eastAsia="仿宋"/>
          <w:sz w:val="28"/>
          <w:highlight w:val="none"/>
        </w:rPr>
        <w:t xml:space="preserve">供应商不得探听上述信息，不得以任何行为影响磋商过程，否则将被取消成交资格。</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29.3 磋商小组名单在磋商前确定，并在磋商结果确定前保密。</w:t>
      </w:r>
      <w:r>
        <w:rPr>
          <w:rFonts w:hint="eastAsia" w:ascii="仿宋" w:hAnsi="仿宋" w:eastAsia="仿宋"/>
          <w:sz w:val="28"/>
          <w:szCs w:val="28"/>
          <w:highlight w:val="none"/>
        </w:rPr>
      </w:r>
      <w:r/>
    </w:p>
    <w:p>
      <w:pPr>
        <w:pStyle w:val="655"/>
        <w:ind w:right="-634"/>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六、确定成交及签订合同</w:t>
      </w:r>
      <w:r>
        <w:rPr>
          <w:rFonts w:hint="eastAsia" w:ascii="仿宋" w:hAnsi="仿宋" w:eastAsia="仿宋"/>
          <w:b/>
          <w:bCs/>
          <w:sz w:val="32"/>
          <w:szCs w:val="32"/>
          <w:highlight w:val="none"/>
        </w:rPr>
      </w:r>
      <w:r/>
    </w:p>
    <w:p>
      <w:pPr>
        <w:pStyle w:val="655"/>
        <w:ind w:right="-634"/>
        <w:spacing w:line="520" w:lineRule="exact"/>
        <w:rPr>
          <w:rFonts w:hint="eastAsia" w:ascii="仿宋" w:hAnsi="仿宋" w:eastAsia="仿宋"/>
          <w:bCs/>
          <w:sz w:val="28"/>
          <w:highlight w:val="none"/>
        </w:rPr>
      </w:pPr>
      <w:r>
        <w:rPr>
          <w:rFonts w:hint="eastAsia" w:ascii="仿宋" w:hAnsi="仿宋" w:eastAsia="仿宋"/>
          <w:bCs/>
          <w:sz w:val="28"/>
          <w:highlight w:val="none"/>
        </w:rPr>
        <w:t xml:space="preserve">30.确定成交供应商</w:t>
      </w:r>
      <w:r>
        <w:rPr>
          <w:rFonts w:hint="eastAsia" w:ascii="仿宋" w:hAnsi="仿宋" w:eastAsia="仿宋"/>
          <w:bCs/>
          <w:sz w:val="28"/>
          <w:highlight w:val="none"/>
        </w:rPr>
      </w:r>
      <w:r/>
    </w:p>
    <w:p>
      <w:pPr>
        <w:pStyle w:val="655"/>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30.1采购人将从磋商小组推荐的符合采购需求的成交候选</w:t>
      </w:r>
      <w:r>
        <w:rPr>
          <w:rFonts w:hint="eastAsia" w:ascii="仿宋" w:hAnsi="仿宋" w:eastAsia="仿宋"/>
          <w:sz w:val="28"/>
          <w:szCs w:val="28"/>
          <w:highlight w:val="none"/>
        </w:rPr>
        <w:t xml:space="preserve">供应商</w:t>
      </w:r>
      <w:r>
        <w:rPr>
          <w:rFonts w:hint="eastAsia" w:ascii="仿宋" w:hAnsi="仿宋" w:eastAsia="仿宋"/>
          <w:sz w:val="28"/>
          <w:highlight w:val="none"/>
        </w:rPr>
        <w:t xml:space="preserve">中按排名先后确定成交供应商。</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30.2采购中心将在淮安市政府采购网发布成交结果公告。</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30.3成交候选人在合同签订前，如经查实从参加该成交项目之日起计算所参加的政府采购活动前三年内，在经营活动中有行贿犯罪记录的，采购中心将取消其成交候选人资格。</w:t>
      </w:r>
      <w:r>
        <w:rPr>
          <w:rFonts w:hint="eastAsia" w:ascii="仿宋" w:hAnsi="仿宋" w:eastAsia="仿宋"/>
          <w:sz w:val="28"/>
          <w:szCs w:val="28"/>
          <w:highlight w:val="none"/>
        </w:rPr>
      </w:r>
      <w:r/>
    </w:p>
    <w:p>
      <w:pPr>
        <w:pStyle w:val="655"/>
        <w:spacing w:line="520" w:lineRule="exact"/>
        <w:rPr>
          <w:rFonts w:hint="eastAsia" w:ascii="仿宋" w:hAnsi="仿宋" w:eastAsia="仿宋"/>
          <w:sz w:val="28"/>
          <w:highlight w:val="none"/>
        </w:rPr>
      </w:pPr>
      <w:r>
        <w:rPr>
          <w:rFonts w:hint="eastAsia" w:ascii="仿宋" w:hAnsi="仿宋" w:eastAsia="仿宋"/>
          <w:sz w:val="28"/>
          <w:highlight w:val="none"/>
        </w:rPr>
        <w:t xml:space="preserve">31.成交通知书</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31.1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highlight w:val="none"/>
        </w:rPr>
      </w:pPr>
      <w:r>
        <w:rPr>
          <w:rFonts w:hint="eastAsia" w:ascii="仿宋" w:hAnsi="仿宋" w:eastAsia="仿宋"/>
          <w:sz w:val="28"/>
          <w:highlight w:val="none"/>
        </w:rPr>
        <w:t xml:space="preserve">3</w:t>
      </w:r>
      <w:r>
        <w:rPr>
          <w:rFonts w:hint="eastAsia" w:ascii="仿宋" w:hAnsi="仿宋" w:eastAsia="仿宋"/>
          <w:sz w:val="28"/>
          <w:highlight w:val="none"/>
          <w:lang w:val="en-US" w:eastAsia="zh-CN"/>
        </w:rPr>
        <w:t xml:space="preserve">1</w:t>
      </w:r>
      <w:r>
        <w:rPr>
          <w:rFonts w:hint="eastAsia" w:ascii="仿宋" w:hAnsi="仿宋" w:eastAsia="仿宋"/>
          <w:sz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sz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rPr>
          <w:rFonts w:hint="eastAsia" w:ascii="仿宋" w:hAnsi="仿宋" w:eastAsia="仿宋"/>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rPr>
          <w:rFonts w:hint="eastAsia" w:ascii="仿宋" w:hAnsi="仿宋" w:eastAsia="仿宋"/>
          <w:sz w:val="28"/>
          <w:szCs w:val="28"/>
          <w:highlight w:val="none"/>
        </w:rPr>
      </w:r>
      <w:r/>
    </w:p>
    <w:p>
      <w:pPr>
        <w:pStyle w:val="655"/>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rPr>
          <w:rFonts w:hint="eastAsia" w:ascii="仿宋" w:hAnsi="仿宋" w:eastAsia="仿宋"/>
          <w:sz w:val="28"/>
          <w:szCs w:val="28"/>
          <w:highlight w:val="none"/>
        </w:rPr>
      </w:r>
      <w:r/>
    </w:p>
    <w:p>
      <w:pPr>
        <w:pStyle w:val="655"/>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七、质疑处理</w:t>
      </w:r>
      <w:r>
        <w:rPr>
          <w:rFonts w:hint="eastAsia" w:ascii="仿宋" w:hAnsi="仿宋" w:eastAsia="仿宋"/>
          <w:b/>
          <w:sz w:val="32"/>
          <w:szCs w:val="32"/>
          <w:highlight w:val="none"/>
        </w:rPr>
      </w:r>
      <w:r/>
    </w:p>
    <w:p>
      <w:pPr>
        <w:pStyle w:val="655"/>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34.质疑处理</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34.1供应商认为采购文件、采购过程和成交结果使自己的权益受到损害的，可以在知道或者应知其权益受到损害之日起七个工作日内，以电子文件形式通过“苏采云平台”-&gt;“供应商”登录，从“项目质疑申请”模块提出质疑。未通过交易平台提交的、七个工作日之外以及未按34.5条的要求提供质疑的均不予受理。</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34.2上述应知其权益受到损害之日是指:</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（1）对磋商文件提出质疑的，为采购文件公告期限届满之日起计算；</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（2）对采购过程提出质疑的，为各采购程序环节结束之日起计算；</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（3）对成交结果提出质疑的，为成交结果公告期限届满之日起计算。</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34.3质疑供应商是指直接参加本次磋商活动的供应商，未参加磋商活动的供应商或在磋商活动中自身权益未受到损害的供应商所提出的质疑不予受理。</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34.4质疑供应商在法定质疑期内应当一次性针对同一采购环节提出质疑,若质疑供应商针对同一环节提出两次及两次以上质疑，仅受理第一次提出的质疑。</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34.5质疑函应当包括以下主要内容，附上相关证明材料。否则，采购中心不予受理。</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（1）质疑供应商的名称、地址、邮编、联系人及联系电话；</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（2）质疑项目的名称、编号；</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（3）具体、明确的质疑事项和与质疑事实相关的请求；</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（4）事实依据；</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（5）必要的法律依据；</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（6）提起质疑的日期；</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34.6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34.7采购中心（采购人）收到质疑函后，将对质疑的形式和内容进行审查，如质疑函内容、格式不符合规定，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对于内容、格式符合规定的质疑函，采购中心（采购人）将在七个工作日内以电子文件的形式作出答复，但质疑答复的内容不涉及商业秘密。如果质疑供应商还需要纸质形式回复函的，需主动与采购中心（采购人）联系索取，或者在质疑函中明确提出该要求。</w:t>
      </w:r>
      <w:r>
        <w:rPr>
          <w:rFonts w:hint="eastAsia" w:ascii="仿宋" w:hAnsi="仿宋" w:eastAsia="仿宋" w:cs="Times New Roman"/>
          <w:sz w:val="28"/>
          <w:highlight w:val="none"/>
        </w:rPr>
      </w:r>
      <w:r/>
    </w:p>
    <w:p>
      <w:pPr>
        <w:pStyle w:val="655"/>
        <w:ind w:firstLine="56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34.8供应商提出的质疑必须有理、有据，不得恶意质疑或提交虚假质疑。否则，一经查实，采购中心（采购人）有权依据政府采购的有关规定，报请淮安市财政局政府采购管理处对该供应商列入失信行为或不良行为记录名单，进行相应的行政处罚。</w:t>
      </w:r>
      <w:r>
        <w:rPr>
          <w:rFonts w:hint="eastAsia" w:ascii="仿宋" w:hAnsi="仿宋" w:eastAsia="仿宋" w:cs="Times New Roman"/>
          <w:sz w:val="28"/>
          <w:highlight w:val="none"/>
        </w:rPr>
      </w:r>
      <w:r/>
    </w:p>
    <w:p>
      <w:pPr>
        <w:pStyle w:val="655"/>
        <w:spacing w:line="520" w:lineRule="exact"/>
        <w:rPr>
          <w:rFonts w:hint="eastAsia" w:ascii="仿宋" w:hAnsi="仿宋" w:eastAsia="仿宋"/>
          <w:b/>
          <w:bCs/>
          <w:sz w:val="32"/>
          <w:szCs w:val="28"/>
          <w:highlight w:val="none"/>
        </w:rPr>
      </w:pPr>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.政策功能落实</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.1小微型企业价格扣除</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zh-CN"/>
        </w:rPr>
        <w:t xml:space="preserve">对于未预留份额专门面向中小企业采购的采购项目，供应商提供的货物或者服务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.1.2在货物采购项目中，供应商提供的货物既有中小企业制造货物，也有大型企业制造货物的，不享受本办法规定的中小企业扶持政策。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655"/>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rPr>
          <w:rFonts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rPr>
          <w:rFonts w:hint="eastAsia" w:ascii="仿宋" w:hAnsi="仿宋" w:eastAsia="仿宋"/>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rPr>
          <w:rFonts w:hint="eastAsia" w:ascii="仿宋" w:hAnsi="仿宋" w:eastAsia="仿宋"/>
          <w:sz w:val="28"/>
          <w:szCs w:val="28"/>
          <w:highlight w:val="none"/>
        </w:rPr>
      </w:r>
      <w:r/>
    </w:p>
    <w:p>
      <w:pPr>
        <w:pStyle w:val="655"/>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rPr>
          <w:rFonts w:ascii="仿宋" w:hAnsi="仿宋" w:eastAsia="仿宋"/>
          <w:sz w:val="28"/>
          <w:szCs w:val="28"/>
          <w:highlight w:val="none"/>
        </w:rPr>
      </w:r>
      <w:r/>
    </w:p>
    <w:p>
      <w:pPr>
        <w:pStyle w:val="655"/>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rPr>
          <w:rFonts w:hint="eastAsia" w:ascii="仿宋" w:hAnsi="仿宋" w:eastAsia="仿宋"/>
          <w:sz w:val="28"/>
          <w:highlight w:val="none"/>
        </w:rPr>
      </w:r>
      <w:r/>
    </w:p>
    <w:p>
      <w:pPr>
        <w:pStyle w:val="655"/>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655"/>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655"/>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679"/>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rPr>
          <w:rFonts w:hint="eastAsia" w:ascii="仿宋" w:hAnsi="仿宋" w:eastAsia="仿宋"/>
          <w:sz w:val="28"/>
          <w:szCs w:val="28"/>
          <w:highlight w:val="none"/>
        </w:rPr>
      </w:r>
      <w:r/>
    </w:p>
    <w:p>
      <w:pPr>
        <w:pStyle w:val="679"/>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rPr>
          <w:rFonts w:hint="eastAsia" w:ascii="仿宋" w:hAnsi="仿宋" w:eastAsia="仿宋"/>
          <w:sz w:val="28"/>
          <w:szCs w:val="28"/>
          <w:highlight w:val="none"/>
        </w:rPr>
      </w:r>
      <w:r/>
    </w:p>
    <w:p>
      <w:pPr>
        <w:pStyle w:val="655"/>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rPr>
          <w:rFonts w:hint="eastAsia" w:ascii="仿宋" w:hAnsi="仿宋" w:eastAsia="仿宋"/>
          <w:sz w:val="28"/>
          <w:szCs w:val="28"/>
          <w:highlight w:val="none"/>
        </w:rPr>
      </w:r>
      <w:r/>
    </w:p>
    <w:p>
      <w:pPr>
        <w:pStyle w:val="655"/>
        <w:ind w:firstLine="560"/>
        <w:jc w:val="left"/>
        <w:spacing w:line="520" w:lineRule="exact"/>
        <w:rPr>
          <w:rFonts w:hint="eastAsia" w:ascii="仿宋" w:hAnsi="仿宋" w:eastAsia="仿宋"/>
          <w:sz w:val="28"/>
          <w:szCs w:val="28"/>
          <w:highlight w:val="none"/>
        </w:rP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sz w:val="28"/>
          <w:szCs w:val="28"/>
          <w:highlight w:val="none"/>
        </w:rPr>
      </w:r>
      <w:r/>
    </w:p>
    <w:p>
      <w:pPr>
        <w:pStyle w:val="655"/>
        <w:numPr>
          <w:ilvl w:val="0"/>
          <w:numId w:val="2"/>
        </w:numPr>
        <w:jc w:val="center"/>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 </w:t>
      </w:r>
      <w:r>
        <w:rPr>
          <w:rFonts w:hint="eastAsia" w:ascii="仿宋" w:hAnsi="仿宋" w:eastAsia="仿宋"/>
          <w:b/>
          <w:sz w:val="36"/>
          <w:szCs w:val="36"/>
          <w:highlight w:val="none"/>
          <w:lang w:eastAsia="zh-CN"/>
        </w:rPr>
        <w:t xml:space="preserve">评审方法与评审</w:t>
      </w:r>
      <w:r>
        <w:rPr>
          <w:rFonts w:hint="eastAsia" w:ascii="仿宋" w:hAnsi="仿宋" w:eastAsia="仿宋"/>
          <w:b/>
          <w:sz w:val="36"/>
          <w:szCs w:val="36"/>
          <w:highlight w:val="none"/>
        </w:rPr>
        <w:t xml:space="preserve">标准</w:t>
      </w:r>
      <w:r>
        <w:rPr>
          <w:rFonts w:hint="eastAsia" w:ascii="仿宋" w:hAnsi="仿宋" w:eastAsia="仿宋"/>
          <w:b/>
          <w:sz w:val="36"/>
          <w:szCs w:val="36"/>
          <w:highlight w:val="none"/>
        </w:rPr>
      </w:r>
      <w:r/>
    </w:p>
    <w:p>
      <w:pPr>
        <w:pStyle w:val="655"/>
        <w:numPr>
          <w:ilvl w:val="0"/>
          <w:numId w:val="0"/>
        </w:numPr>
        <w:jc w:val="both"/>
        <w:spacing w:line="520" w:lineRule="exact"/>
        <w:rPr>
          <w:rFonts w:hint="eastAsia" w:ascii="仿宋" w:hAnsi="仿宋" w:eastAsia="仿宋"/>
          <w:b/>
          <w:sz w:val="36"/>
          <w:szCs w:val="36"/>
          <w:highlight w:val="none"/>
        </w:rPr>
      </w:pPr>
      <w:r>
        <w:rPr>
          <w:rFonts w:hint="eastAsia" w:ascii="仿宋" w:hAnsi="仿宋" w:eastAsia="仿宋"/>
          <w:b/>
          <w:sz w:val="36"/>
          <w:szCs w:val="36"/>
          <w:highlight w:val="none"/>
        </w:rPr>
      </w:r>
      <w:r/>
    </w:p>
    <w:p>
      <w:pPr>
        <w:pStyle w:val="655"/>
        <w:ind w:firstLine="539"/>
        <w:spacing w:line="520" w:lineRule="exact"/>
        <w:rPr>
          <w:rFonts w:hint="eastAsia" w:ascii="仿宋" w:hAnsi="仿宋" w:eastAsia="仿宋"/>
          <w:sz w:val="28"/>
          <w:highlight w:val="none"/>
        </w:rPr>
      </w:pPr>
      <w:r>
        <w:rPr>
          <w:rFonts w:hint="eastAsia" w:ascii="仿宋" w:hAnsi="仿宋" w:eastAsia="仿宋"/>
          <w:sz w:val="28"/>
          <w:szCs w:val="28"/>
          <w:highlight w:val="none"/>
          <w:lang w:val="zh-CN"/>
        </w:rPr>
        <w:t xml:space="preserve">一、本项目采用综合评分法进行评审。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二、磋商小组将依据下列</w:t>
      </w:r>
      <w:r>
        <w:rPr>
          <w:rFonts w:hint="eastAsia" w:ascii="仿宋" w:hAnsi="仿宋" w:eastAsia="仿宋"/>
          <w:sz w:val="28"/>
          <w:szCs w:val="28"/>
          <w:highlight w:val="none"/>
          <w:lang w:eastAsia="zh-CN"/>
        </w:rPr>
        <w:t xml:space="preserve">评审</w:t>
      </w:r>
      <w:r>
        <w:rPr>
          <w:rFonts w:hint="eastAsia" w:ascii="仿宋" w:hAnsi="仿宋" w:eastAsia="仿宋"/>
          <w:sz w:val="28"/>
          <w:szCs w:val="28"/>
          <w:highlight w:val="none"/>
        </w:rPr>
        <w:t xml:space="preserve">标准进行评审，本评标标准的总分为100分。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三、具体标准: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1、价格:</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rPr>
        <w:t xml:space="preserve">采用低价优先法计算，</w:t>
      </w:r>
      <w:r>
        <w:rPr>
          <w:rFonts w:hint="eastAsia" w:ascii="仿宋" w:hAnsi="仿宋" w:eastAsia="仿宋"/>
          <w:sz w:val="28"/>
          <w:szCs w:val="28"/>
          <w:highlight w:val="none"/>
        </w:rPr>
        <w:t xml:space="preserve">满足磋商文件要求且最后报价最低为磋商基准价，其价格分为满分。其他供应商的价格分按照下列公式计算（小数点保留两位）: </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磋商报价得分＝（磋商基准价/最后磋商报价）×</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2、方案部分:</w:t>
      </w:r>
      <w:r>
        <w:rPr>
          <w:rFonts w:hint="eastAsia" w:ascii="仿宋" w:hAnsi="仿宋" w:eastAsia="仿宋"/>
          <w:sz w:val="28"/>
          <w:szCs w:val="28"/>
          <w:highlight w:val="none"/>
          <w:lang w:val="en-US" w:eastAsia="zh-CN"/>
        </w:rPr>
        <w:t xml:space="preserve">50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79"/>
        <w:numPr>
          <w:ilvl w:val="0"/>
          <w:numId w:val="0"/>
        </w:numPr>
        <w:ind w:firstLine="560"/>
        <w:keepLines w:val="0"/>
        <w:keepNext w:val="0"/>
        <w:pageBreakBefore w:val="0"/>
        <w:spacing w:line="520" w:lineRule="exact"/>
        <w:widowControl w:val="off"/>
        <w:rPr>
          <w:rFonts w:hint="eastAsia" w:ascii="仿宋" w:hAnsi="仿宋" w:eastAsia="仿宋"/>
          <w:sz w:val="28"/>
          <w:szCs w:val="28"/>
          <w:highlight w:val="none"/>
          <w:lang w:val="en-US" w:eastAsia="zh-CN" w:bidi="ar-SA"/>
        </w:rPr>
      </w:pPr>
      <w:r>
        <w:rPr>
          <w:rFonts w:hint="eastAsia" w:ascii="仿宋" w:hAnsi="仿宋" w:eastAsia="仿宋"/>
          <w:sz w:val="28"/>
          <w:szCs w:val="28"/>
          <w:highlight w:val="none"/>
          <w:lang w:val="en-US" w:eastAsia="zh-CN" w:bidi="ar-SA"/>
        </w:rPr>
        <w:t xml:space="preserve">供应商按照下列要求提供方案，评委会根据供应商提供的方案进行评分，不提供分项方案或经三分之二评委认定分项方案存在重大偏离的，该分项不得分。</w:t>
      </w:r>
      <w:r>
        <w:rPr>
          <w:rFonts w:hint="eastAsia" w:ascii="仿宋" w:hAnsi="仿宋" w:eastAsia="仿宋"/>
          <w:sz w:val="28"/>
          <w:szCs w:val="28"/>
          <w:highlight w:val="none"/>
          <w:lang w:val="en-US" w:eastAsia="zh-CN" w:bidi="ar-SA"/>
        </w:rPr>
      </w:r>
      <w:r/>
    </w:p>
    <w:p>
      <w:pPr>
        <w:pStyle w:val="655"/>
        <w:numPr>
          <w:ilvl w:val="0"/>
          <w:numId w:val="3"/>
        </w:num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eastAsia="zh-CN"/>
        </w:rPr>
        <w:t xml:space="preserve">项目理解认识：</w:t>
      </w:r>
      <w:r>
        <w:rPr>
          <w:rFonts w:hint="eastAsia" w:ascii="仿宋" w:hAnsi="仿宋" w:eastAsia="仿宋"/>
          <w:sz w:val="28"/>
          <w:szCs w:val="28"/>
          <w:highlight w:val="none"/>
          <w:lang w:val="en-US" w:eastAsia="zh-CN"/>
        </w:rPr>
        <w:t xml:space="preserve">10分</w:t>
      </w:r>
      <w:r>
        <w:rPr>
          <w:rFonts w:hint="eastAsia" w:ascii="仿宋" w:hAnsi="仿宋" w:eastAsia="仿宋"/>
          <w:sz w:val="28"/>
          <w:szCs w:val="28"/>
          <w:highlight w:val="none"/>
          <w:lang w:val="en-US" w:eastAsia="zh-CN"/>
        </w:rPr>
      </w:r>
      <w:r/>
    </w:p>
    <w:p>
      <w:pPr>
        <w:pStyle w:val="655"/>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对本项目整体概况、主要工作内容的认识，重点明确、思路准确、内容全面等方面综合评审。结合淮安市情况，阐述建立区域水污染物平衡核算管理制度，加强污水处理全过程环境监管，对推动淮安市水生态环境质量持续改善重要性的认识。能准确、全面概括本项目背景、目标与核心任务，明确列</w:t>
      </w:r>
      <w:r>
        <w:rPr>
          <w:rFonts w:hint="eastAsia" w:ascii="仿宋" w:hAnsi="仿宋" w:eastAsia="仿宋"/>
          <w:sz w:val="28"/>
          <w:szCs w:val="28"/>
          <w:highlight w:val="none"/>
          <w:lang w:val="en-US" w:eastAsia="zh-CN"/>
        </w:rPr>
        <w:t xml:space="preserve">出不少于3项淮安市水生态环境现状关键问题（如水质、管网、处理能力等），明确提出建立核算管理制度与加强全过程监管的至少3条具体重要性解释，逻辑清晰、数据支撑充分，整体认识与采购需求高度一致，无偏差得10分；能概括项目主要内容，认识较为清晰，对淮安市水环境相关问题理解较全面，略有数据或逻辑支撑的得8分；对项目内容有基本认识，未出现重大误解，能结合淮安市情况，但问题分析或重要性阐述较为笼统、缺乏数据或逻辑关联的得6分；对项目理解存在明显偏差或遗漏主要内容，未结合淮安市实际情况，重要性阐述空泛、无实质内容的得4分。</w:t>
      </w:r>
      <w:r>
        <w:rPr>
          <w:rFonts w:hint="eastAsia" w:ascii="仿宋" w:hAnsi="仿宋" w:eastAsia="仿宋"/>
          <w:sz w:val="28"/>
          <w:szCs w:val="28"/>
          <w:highlight w:val="none"/>
          <w:lang w:val="en-US" w:eastAsia="zh-CN"/>
        </w:rPr>
      </w:r>
      <w:r/>
    </w:p>
    <w:p>
      <w:pPr>
        <w:pStyle w:val="655"/>
        <w:numPr>
          <w:ilvl w:val="0"/>
          <w:numId w:val="3"/>
        </w:num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工作原则、思路与流程：10分</w:t>
      </w:r>
      <w:r>
        <w:rPr>
          <w:rFonts w:ascii="仿宋" w:hAnsi="仿宋" w:eastAsia="仿宋"/>
          <w:sz w:val="28"/>
          <w:szCs w:val="28"/>
          <w:highlight w:val="none"/>
          <w:lang w:val="en-US" w:eastAsia="zh-CN"/>
        </w:rPr>
      </w:r>
      <w:r/>
    </w:p>
    <w:p>
      <w:pPr>
        <w:pStyle w:val="655"/>
        <w:numPr>
          <w:ilvl w:val="0"/>
          <w:numId w:val="0"/>
        </w:numPr>
        <w:ind w:firstLine="560"/>
        <w:jc w:val="both"/>
        <w:keepLines w:val="0"/>
        <w:keepNext w:val="0"/>
        <w:pageBreakBefore w:val="0"/>
        <w:spacing w:line="520" w:lineRule="exact"/>
        <w:widowControl w:val="off"/>
        <w:rPr>
          <w:rFonts w:ascii="仿宋" w:hAnsi="仿宋" w:eastAsia="仿宋"/>
          <w:sz w:val="28"/>
          <w:szCs w:val="28"/>
          <w:highlight w:val="none"/>
          <w:lang w:val="en-US" w:eastAsia="zh-CN"/>
        </w:rPr>
      </w:pPr>
      <w:r>
        <w:rPr>
          <w:rFonts w:ascii="仿宋" w:hAnsi="仿宋" w:eastAsia="仿宋"/>
          <w:sz w:val="28"/>
          <w:szCs w:val="28"/>
          <w:highlight w:val="none"/>
          <w:lang w:val="en-US" w:eastAsia="zh-CN"/>
        </w:rPr>
        <w:t xml:space="preserve">对工作原则的规范性、系统性、精准性以及工作思路与流程的可行性等方面进行综合评审。实施流程与计划内容应包含但不限于提供实施流程图或步骤清单，明确各阶段工作内容、责任主体，以表格形式制定实施进度计划并提出可交付成果。优于需求的得10分；完全满足采购需求的得8分；基本满足得6分；缺项漏项或不能满足的得4分。</w:t>
      </w:r>
      <w:r>
        <w:rPr>
          <w:rFonts w:ascii="仿宋" w:hAnsi="仿宋" w:eastAsia="仿宋"/>
          <w:sz w:val="28"/>
          <w:szCs w:val="28"/>
          <w:highlight w:val="none"/>
          <w:lang w:val="en-US" w:eastAsia="zh-CN"/>
        </w:rPr>
      </w:r>
      <w:r/>
    </w:p>
    <w:p>
      <w:pPr>
        <w:pStyle w:val="655"/>
        <w:numPr>
          <w:ilvl w:val="0"/>
          <w:numId w:val="3"/>
        </w:num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技术方案：10分</w:t>
      </w:r>
      <w:r>
        <w:rPr>
          <w:rFonts w:ascii="仿宋" w:hAnsi="仿宋" w:eastAsia="仿宋"/>
          <w:sz w:val="28"/>
          <w:szCs w:val="28"/>
          <w:highlight w:val="none"/>
          <w:lang w:val="en-US" w:eastAsia="zh-CN"/>
        </w:rPr>
      </w:r>
      <w:r/>
    </w:p>
    <w:p>
      <w:pPr>
        <w:pStyle w:val="655"/>
        <w:numPr>
          <w:ilvl w:val="0"/>
          <w:numId w:val="0"/>
        </w:numPr>
        <w:ind w:firstLine="560"/>
        <w:jc w:val="both"/>
        <w:keepLines w:val="0"/>
        <w:keepNext w:val="0"/>
        <w:pageBreakBefore w:val="0"/>
        <w:spacing w:line="520" w:lineRule="exact"/>
        <w:widowControl w:val="off"/>
        <w:rPr>
          <w:rFonts w:ascii="仿宋" w:hAnsi="仿宋" w:eastAsia="仿宋"/>
          <w:sz w:val="28"/>
          <w:szCs w:val="28"/>
          <w:highlight w:val="none"/>
          <w:lang w:val="en-US" w:eastAsia="zh-CN"/>
        </w:rPr>
      </w:pPr>
      <w:r>
        <w:rPr>
          <w:rFonts w:ascii="仿宋" w:hAnsi="仿宋" w:eastAsia="仿宋"/>
          <w:sz w:val="28"/>
          <w:szCs w:val="28"/>
          <w:highlight w:val="none"/>
          <w:lang w:val="en-US" w:eastAsia="zh-CN"/>
        </w:rPr>
        <w:t xml:space="preserve">对可能发生的问题和困难进行准确的预判，熟悉相关法律法规、了解淮安市水环境、水质、污水管网、污水处理厂，以及生活污水集中收集处理率水平等基本现状，对照《江苏省城镇区域水污染物平衡核算方法》（试行），预判可能发生的问题或困难（如数据获取不全、核算边界不清、管网信息缺失等），并对应提出具体应对措施</w:t>
      </w:r>
      <w:r>
        <w:rPr>
          <w:rFonts w:hint="eastAsia" w:ascii="仿宋" w:hAnsi="仿宋" w:eastAsia="仿宋"/>
          <w:sz w:val="28"/>
          <w:szCs w:val="28"/>
          <w:highlight w:val="none"/>
          <w:lang w:val="en-US" w:eastAsia="zh-CN"/>
        </w:rPr>
        <w:t xml:space="preserve">。技术方案逐项对应《核算方法》中规定的全部关键环节，操作路径清晰，方案配备明确的人员分工、数据采集方法、质量控制节点，优于采购需求的得10分</w:t>
      </w:r>
      <w:r>
        <w:rPr>
          <w:rFonts w:ascii="仿宋" w:hAnsi="仿宋" w:eastAsia="仿宋"/>
          <w:sz w:val="28"/>
          <w:szCs w:val="28"/>
          <w:highlight w:val="none"/>
          <w:lang w:val="en-US" w:eastAsia="zh-CN"/>
        </w:rPr>
        <w:t xml:space="preserve">；技术方案覆盖《核算方法》大部分关键环节，操作路径基本明确</w:t>
      </w:r>
      <w:r>
        <w:rPr>
          <w:rFonts w:hint="eastAsia" w:ascii="仿宋" w:hAnsi="仿宋" w:eastAsia="仿宋"/>
          <w:sz w:val="28"/>
          <w:szCs w:val="28"/>
          <w:highlight w:val="none"/>
          <w:lang w:val="en-US" w:eastAsia="zh-CN"/>
        </w:rPr>
        <w:t xml:space="preserve">，与本项目基本相符的得8分；内容与要点基本满足需求，但仅有纲要内容简略，未展开必要阐述的得6分；缺项漏项或不能满足的得4分。</w:t>
      </w:r>
      <w:r>
        <w:rPr>
          <w:rFonts w:ascii="仿宋" w:hAnsi="仿宋" w:eastAsia="仿宋"/>
          <w:sz w:val="28"/>
          <w:szCs w:val="28"/>
          <w:highlight w:val="none"/>
          <w:lang w:val="en-US" w:eastAsia="zh-CN"/>
        </w:rPr>
      </w:r>
      <w:r/>
    </w:p>
    <w:p>
      <w:pPr>
        <w:pStyle w:val="655"/>
        <w:numPr>
          <w:ilvl w:val="0"/>
          <w:numId w:val="3"/>
        </w:num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质量控制方案：10分</w:t>
      </w:r>
      <w:r>
        <w:rPr>
          <w:rFonts w:ascii="仿宋" w:hAnsi="仿宋" w:eastAsia="仿宋"/>
          <w:sz w:val="28"/>
          <w:szCs w:val="28"/>
          <w:highlight w:val="none"/>
          <w:lang w:val="en-US" w:eastAsia="zh-CN"/>
        </w:rPr>
      </w:r>
      <w:r/>
    </w:p>
    <w:p>
      <w:pPr>
        <w:pStyle w:val="655"/>
        <w:numPr>
          <w:ilvl w:val="0"/>
          <w:numId w:val="0"/>
        </w:numPr>
        <w:ind w:firstLine="560"/>
        <w:jc w:val="both"/>
        <w:keepLines w:val="0"/>
        <w:keepNext w:val="0"/>
        <w:pageBreakBefore w:val="0"/>
        <w:spacing w:line="520" w:lineRule="exact"/>
        <w:widowControl w:val="off"/>
        <w:rPr>
          <w:rFonts w:ascii="仿宋" w:hAnsi="仿宋" w:eastAsia="仿宋"/>
          <w:sz w:val="28"/>
          <w:szCs w:val="28"/>
          <w:highlight w:val="none"/>
          <w:lang w:val="en-US" w:eastAsia="zh-CN"/>
        </w:rPr>
      </w:pPr>
      <w:r>
        <w:rPr>
          <w:rFonts w:ascii="仿宋" w:hAnsi="仿宋" w:eastAsia="仿宋"/>
          <w:sz w:val="28"/>
          <w:szCs w:val="28"/>
          <w:highlight w:val="none"/>
          <w:lang w:val="en-US" w:eastAsia="zh-CN"/>
        </w:rPr>
        <w:t xml:space="preserve">对质量控制方案科学性、完整性、详细程度、可操作性等方面综合评审。内容包括但不限于建立内部进度监控、预警与沟通机制，提供问题应急预案或风险管控措施及提出服务结束后的复盘与改进机制等。</w:t>
      </w:r>
      <w:r>
        <w:rPr>
          <w:rFonts w:hint="eastAsia" w:ascii="仿宋" w:hAnsi="仿宋" w:eastAsia="仿宋"/>
          <w:sz w:val="28"/>
          <w:szCs w:val="28"/>
          <w:highlight w:val="none"/>
          <w:lang w:val="en-US" w:eastAsia="zh-CN"/>
        </w:rPr>
        <w:t xml:space="preserve">有完整的</w:t>
      </w:r>
      <w:r>
        <w:rPr>
          <w:rFonts w:ascii="仿宋" w:hAnsi="仿宋" w:eastAsia="仿宋"/>
          <w:sz w:val="28"/>
          <w:szCs w:val="28"/>
          <w:highlight w:val="none"/>
          <w:lang w:val="en-US" w:eastAsia="zh-CN"/>
        </w:rPr>
        <w:t xml:space="preserve">内部进度监控体系，明确监控频率（如每周）、监控指标（如任务完成率、数据准确率）、责任岗位</w:t>
      </w:r>
      <w:r>
        <w:rPr>
          <w:rFonts w:hint="eastAsia" w:ascii="仿宋" w:hAnsi="仿宋" w:eastAsia="仿宋"/>
          <w:sz w:val="28"/>
          <w:szCs w:val="28"/>
          <w:highlight w:val="none"/>
          <w:lang w:val="en-US" w:eastAsia="zh-CN"/>
        </w:rPr>
        <w:t xml:space="preserve">等，提出服务结束后的复盘与改进机制等</w:t>
      </w:r>
      <w:r>
        <w:rPr>
          <w:rFonts w:ascii="仿宋" w:hAnsi="仿宋" w:eastAsia="仿宋"/>
          <w:sz w:val="28"/>
          <w:szCs w:val="28"/>
          <w:highlight w:val="none"/>
          <w:lang w:val="en-US" w:eastAsia="zh-CN"/>
        </w:rPr>
        <w:t xml:space="preserve">。</w:t>
      </w:r>
      <w:r>
        <w:rPr>
          <w:rFonts w:hint="eastAsia" w:ascii="仿宋" w:hAnsi="仿宋" w:eastAsia="仿宋"/>
          <w:sz w:val="28"/>
          <w:szCs w:val="28"/>
          <w:highlight w:val="none"/>
          <w:lang w:val="en-US" w:eastAsia="zh-CN"/>
        </w:rPr>
        <w:t xml:space="preserve">优于需求的得10分；</w:t>
      </w:r>
      <w:r>
        <w:rPr>
          <w:rFonts w:ascii="仿宋" w:hAnsi="仿宋" w:eastAsia="仿宋"/>
          <w:sz w:val="28"/>
          <w:szCs w:val="28"/>
          <w:highlight w:val="none"/>
          <w:lang w:val="en-US" w:eastAsia="zh-CN"/>
        </w:rPr>
        <w:t xml:space="preserve">有进度监控与预警机制，但指标或阈值不够细化</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管控措施</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沟通机制形式较简单</w:t>
      </w:r>
      <w:r>
        <w:rPr>
          <w:rFonts w:hint="eastAsia" w:ascii="仿宋" w:hAnsi="仿宋" w:eastAsia="仿宋"/>
          <w:sz w:val="28"/>
          <w:szCs w:val="28"/>
          <w:highlight w:val="none"/>
          <w:lang w:val="en-US" w:eastAsia="zh-CN"/>
        </w:rPr>
        <w:t xml:space="preserve">的得8分；</w:t>
      </w:r>
      <w:r>
        <w:rPr>
          <w:rFonts w:ascii="仿宋" w:hAnsi="仿宋" w:eastAsia="仿宋"/>
          <w:sz w:val="28"/>
          <w:szCs w:val="28"/>
          <w:highlight w:val="none"/>
          <w:lang w:val="en-US" w:eastAsia="zh-CN"/>
        </w:rPr>
        <w:t xml:space="preserve">风险措施较为空泛</w:t>
      </w:r>
      <w:r>
        <w:rPr>
          <w:rFonts w:hint="eastAsia" w:ascii="仿宋" w:hAnsi="仿宋" w:eastAsia="仿宋"/>
          <w:sz w:val="28"/>
          <w:szCs w:val="28"/>
          <w:highlight w:val="none"/>
          <w:lang w:val="en-US" w:eastAsia="zh-CN"/>
        </w:rPr>
        <w:t xml:space="preserve">，</w:t>
      </w:r>
      <w:r>
        <w:rPr>
          <w:rFonts w:ascii="仿宋" w:hAnsi="仿宋" w:eastAsia="仿宋"/>
          <w:sz w:val="28"/>
          <w:szCs w:val="28"/>
          <w:highlight w:val="none"/>
          <w:lang w:val="en-US" w:eastAsia="zh-CN"/>
        </w:rPr>
        <w:t xml:space="preserve">复盘与改进机制</w:t>
      </w:r>
      <w:r>
        <w:rPr>
          <w:rFonts w:hint="eastAsia" w:ascii="仿宋" w:hAnsi="仿宋" w:eastAsia="仿宋"/>
          <w:sz w:val="28"/>
          <w:szCs w:val="28"/>
          <w:highlight w:val="none"/>
          <w:lang w:val="en-US" w:eastAsia="zh-CN"/>
        </w:rPr>
        <w:t xml:space="preserve">缺少</w:t>
      </w:r>
      <w:r>
        <w:rPr>
          <w:rFonts w:ascii="仿宋" w:hAnsi="仿宋" w:eastAsia="仿宋"/>
          <w:sz w:val="28"/>
          <w:szCs w:val="28"/>
          <w:highlight w:val="none"/>
          <w:lang w:val="en-US" w:eastAsia="zh-CN"/>
        </w:rPr>
        <w:t xml:space="preserve">实质内容的得</w:t>
      </w:r>
      <w:r>
        <w:rPr>
          <w:rFonts w:hint="eastAsia" w:ascii="仿宋" w:hAnsi="仿宋" w:eastAsia="仿宋"/>
          <w:sz w:val="28"/>
          <w:szCs w:val="28"/>
          <w:highlight w:val="none"/>
          <w:lang w:val="en-US" w:eastAsia="zh-CN"/>
        </w:rPr>
        <w:t xml:space="preserve">6</w:t>
      </w:r>
      <w:r>
        <w:rPr>
          <w:rFonts w:ascii="仿宋" w:hAnsi="仿宋" w:eastAsia="仿宋"/>
          <w:sz w:val="28"/>
          <w:szCs w:val="28"/>
          <w:highlight w:val="none"/>
          <w:lang w:val="en-US" w:eastAsia="zh-CN"/>
        </w:rPr>
        <w:t xml:space="preserve">分</w:t>
      </w:r>
      <w:r>
        <w:rPr>
          <w:rFonts w:hint="eastAsia" w:ascii="仿宋" w:hAnsi="仿宋" w:eastAsia="仿宋"/>
          <w:sz w:val="28"/>
          <w:szCs w:val="28"/>
          <w:highlight w:val="none"/>
          <w:lang w:val="en-US" w:eastAsia="zh-CN"/>
        </w:rPr>
        <w:t xml:space="preserve">；缺项漏项或不能满足需求的得4分。</w:t>
      </w:r>
      <w:r>
        <w:rPr>
          <w:rFonts w:ascii="仿宋" w:hAnsi="仿宋" w:eastAsia="仿宋"/>
          <w:sz w:val="28"/>
          <w:szCs w:val="28"/>
          <w:highlight w:val="none"/>
          <w:lang w:val="en-US" w:eastAsia="zh-CN"/>
        </w:rPr>
      </w:r>
      <w:r/>
    </w:p>
    <w:p>
      <w:pPr>
        <w:pStyle w:val="655"/>
        <w:numPr>
          <w:ilvl w:val="0"/>
          <w:numId w:val="3"/>
        </w:numPr>
        <w:ind w:firstLine="560"/>
        <w:spacing w:line="520" w:lineRule="exact"/>
        <w:rPr>
          <w:rFonts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进度计划及成果保证措施：10分</w:t>
      </w:r>
      <w:r>
        <w:rPr>
          <w:rFonts w:ascii="仿宋" w:hAnsi="仿宋" w:eastAsia="仿宋"/>
          <w:sz w:val="28"/>
          <w:szCs w:val="28"/>
          <w:highlight w:val="none"/>
          <w:lang w:val="en-US" w:eastAsia="zh-CN"/>
        </w:rPr>
      </w:r>
      <w:r/>
    </w:p>
    <w:p>
      <w:pPr>
        <w:pStyle w:val="655"/>
        <w:numPr>
          <w:ilvl w:val="0"/>
          <w:numId w:val="0"/>
        </w:numPr>
        <w:ind w:firstLine="560"/>
        <w:jc w:val="both"/>
        <w:keepLines w:val="0"/>
        <w:keepNext w:val="0"/>
        <w:pageBreakBefore w:val="0"/>
        <w:spacing w:line="520" w:lineRule="exact"/>
        <w:widowControl w:val="off"/>
        <w:rPr>
          <w:rFonts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对成果报告提交时间，报告的形成内容完整性、进度安排合理性、科学性，成果保证措施可行性等方面综合评审。进度安排合理，成果保证机制健全的得10分；进度安排基本合理，关键任务间逻辑清晰，成果保证措施完全满足采购需求的得8分；提交时间模糊，分析部分内容比较完整，保证措施单一的得6分；成果提交时间未明确，报告内容缺项且无任何实质性成果保证措施的得4分。</w:t>
      </w:r>
      <w:r>
        <w:rPr>
          <w:rFonts w:ascii="仿宋" w:hAnsi="仿宋" w:eastAsia="仿宋" w:cs="Times New Roman"/>
          <w:sz w:val="28"/>
          <w:szCs w:val="28"/>
          <w:highlight w:val="none"/>
          <w:lang w:val="en-US" w:eastAsia="zh-CN"/>
        </w:rPr>
      </w:r>
      <w:r/>
    </w:p>
    <w:p>
      <w:pPr>
        <w:pStyle w:val="655"/>
        <w:ind w:firstLine="562"/>
        <w:spacing w:line="520" w:lineRule="exact"/>
        <w:rPr>
          <w:rFonts w:hint="eastAsia" w:ascii="仿宋" w:hAnsi="仿宋" w:eastAsia="仿宋"/>
          <w:sz w:val="28"/>
          <w:szCs w:val="28"/>
          <w:highlight w:val="none"/>
        </w:rPr>
      </w:pPr>
      <w:r>
        <w:rPr>
          <w:rFonts w:hint="eastAsia" w:ascii="仿宋" w:hAnsi="仿宋" w:eastAsia="仿宋"/>
          <w:b/>
          <w:bCs/>
          <w:sz w:val="28"/>
          <w:szCs w:val="28"/>
          <w:highlight w:val="none"/>
        </w:rPr>
        <w:t xml:space="preserve">注：本项目的方案部分采用暗标方式进行评审，供应商需按照第二章“</w:t>
      </w:r>
      <w:r>
        <w:rPr>
          <w:rFonts w:hint="eastAsia" w:ascii="仿宋" w:hAnsi="仿宋" w:eastAsia="仿宋"/>
          <w:b/>
          <w:bCs/>
          <w:sz w:val="28"/>
          <w:szCs w:val="28"/>
          <w:highlight w:val="none"/>
          <w:lang w:eastAsia="zh-CN"/>
        </w:rPr>
        <w:t xml:space="preserve">供应商</w:t>
      </w:r>
      <w:r>
        <w:rPr>
          <w:rFonts w:hint="eastAsia" w:ascii="仿宋" w:hAnsi="仿宋" w:eastAsia="仿宋"/>
          <w:b/>
          <w:bCs/>
          <w:sz w:val="28"/>
          <w:szCs w:val="28"/>
          <w:highlight w:val="none"/>
        </w:rPr>
        <w:t xml:space="preserve">须知”第1</w:t>
      </w:r>
      <w:r>
        <w:rPr>
          <w:rFonts w:hint="eastAsia" w:ascii="仿宋" w:hAnsi="仿宋" w:eastAsia="仿宋"/>
          <w:b/>
          <w:bCs/>
          <w:sz w:val="28"/>
          <w:szCs w:val="28"/>
          <w:highlight w:val="none"/>
          <w:lang w:val="en-US" w:eastAsia="zh-CN"/>
        </w:rPr>
        <w:t xml:space="preserve">5</w:t>
      </w:r>
      <w:r>
        <w:rPr>
          <w:rFonts w:hint="eastAsia" w:ascii="仿宋" w:hAnsi="仿宋" w:eastAsia="仿宋"/>
          <w:b/>
          <w:bCs/>
          <w:sz w:val="28"/>
          <w:szCs w:val="28"/>
          <w:highlight w:val="none"/>
        </w:rPr>
        <w:t xml:space="preserve">条的要求编制方案，未按要求编制的本项不得分。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、商务部分:</w:t>
      </w: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lang w:eastAsia="zh-CN"/>
        </w:rPr>
        <w:t xml:space="preserve">）供应商具有有效期内质量管理体系认证证书、环境质量管理体系认证证书的，每提供一个得</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lang w:eastAsia="zh-CN"/>
        </w:rPr>
        <w:t xml:space="preserve">分，本项最多得</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分。（提供证书复印件并加盖供应商电子签章）</w:t>
      </w:r>
      <w:r>
        <w:rPr>
          <w:rFonts w:hint="eastAsia" w:ascii="仿宋" w:hAnsi="仿宋" w:eastAsia="仿宋"/>
          <w:sz w:val="28"/>
          <w:szCs w:val="28"/>
          <w:highlight w:val="none"/>
          <w:lang w:eastAsia="zh-CN"/>
        </w:rPr>
      </w:r>
      <w:r/>
    </w:p>
    <w:p>
      <w:pPr>
        <w:pStyle w:val="655"/>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eastAsia="zh-CN"/>
        </w:rPr>
        <w:t xml:space="preserve">）供应商具有有效期内水和废水（含大气降水）检验检测机构资质认定证书（CMA）的得</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eastAsia="zh-CN"/>
        </w:rPr>
        <w:t xml:space="preserve">分。（提供证书复印件并加盖供应商电子签章）</w:t>
      </w:r>
      <w:r>
        <w:rPr>
          <w:rFonts w:hint="eastAsia" w:ascii="仿宋" w:hAnsi="仿宋" w:eastAsia="仿宋"/>
          <w:sz w:val="28"/>
          <w:szCs w:val="28"/>
          <w:highlight w:val="none"/>
          <w:lang w:eastAsia="zh-CN"/>
        </w:rPr>
      </w:r>
      <w:r/>
    </w:p>
    <w:p>
      <w:pPr>
        <w:pStyle w:val="655"/>
        <w:ind w:firstLine="560"/>
        <w:spacing w:line="520" w:lineRule="exact"/>
        <w:rPr>
          <w:rFonts w:hint="eastAsia" w:ascii="Times New Roman" w:hAnsi="Times New Roman" w:eastAsia="仿宋" w:cs="Times New Roman"/>
          <w:color w:val="000000"/>
          <w:sz w:val="28"/>
          <w:szCs w:val="28"/>
          <w:highlight w:val="none"/>
          <w:lang w:val="en-US" w:eastAsia="zh-CN"/>
        </w:rPr>
      </w:pPr>
      <w:r>
        <w:rPr>
          <w:rFonts w:hint="eastAsia" w:ascii="仿宋" w:hAnsi="仿宋" w:eastAsia="仿宋"/>
          <w:sz w:val="28"/>
          <w:szCs w:val="28"/>
          <w:highlight w:val="none"/>
          <w:lang w:val="en-US" w:eastAsia="zh-CN"/>
        </w:rPr>
        <w:t xml:space="preserve">（3）供应商拟派的项目负责人</w:t>
      </w:r>
      <w:r>
        <w:rPr>
          <w:rFonts w:ascii="Times New Roman" w:hAnsi="Times New Roman" w:eastAsia="仿宋" w:cs="Times New Roman"/>
          <w:color w:val="000000"/>
          <w:sz w:val="28"/>
          <w:szCs w:val="28"/>
          <w:highlight w:val="none"/>
          <w:lang w:val="en-US" w:eastAsia="zh-CN"/>
        </w:rPr>
        <w:t xml:space="preserve">具有环保类研究员级高级工程师的得</w:t>
      </w:r>
      <w:r>
        <w:rPr>
          <w:rFonts w:hint="eastAsia"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en-US" w:eastAsia="zh-CN"/>
        </w:rPr>
        <w:t xml:space="preserve">分；具有注册环评工程师或注册环保工程师的得</w:t>
      </w:r>
      <w:r>
        <w:rPr>
          <w:rFonts w:hint="eastAsia" w:eastAsia="仿宋" w:cs="Times New Roman"/>
          <w:color w:val="000000"/>
          <w:sz w:val="28"/>
          <w:szCs w:val="28"/>
          <w:highlight w:val="none"/>
          <w:lang w:val="en-US" w:eastAsia="zh-CN"/>
        </w:rPr>
        <w:t xml:space="preserve">2</w:t>
      </w:r>
      <w:r>
        <w:rPr>
          <w:rFonts w:ascii="Times New Roman" w:hAnsi="Times New Roman" w:eastAsia="仿宋" w:cs="Times New Roman"/>
          <w:color w:val="000000"/>
          <w:sz w:val="28"/>
          <w:szCs w:val="28"/>
          <w:highlight w:val="none"/>
          <w:lang w:val="en-US" w:eastAsia="zh-CN"/>
        </w:rPr>
        <w:t xml:space="preserve">分，本项最高得</w:t>
      </w:r>
      <w:r>
        <w:rPr>
          <w:rFonts w:hint="eastAsia" w:eastAsia="仿宋" w:cs="Times New Roman"/>
          <w:color w:val="000000"/>
          <w:sz w:val="28"/>
          <w:szCs w:val="28"/>
          <w:highlight w:val="none"/>
          <w:lang w:val="en-US" w:eastAsia="zh-CN"/>
        </w:rPr>
        <w:t xml:space="preserve">4</w:t>
      </w:r>
      <w:r>
        <w:rPr>
          <w:rFonts w:ascii="Times New Roman" w:hAnsi="Times New Roman" w:eastAsia="仿宋" w:cs="Times New Roman"/>
          <w:color w:val="000000"/>
          <w:sz w:val="28"/>
          <w:szCs w:val="28"/>
          <w:highlight w:val="none"/>
          <w:lang w:val="en-US" w:eastAsia="zh-CN"/>
        </w:rPr>
        <w:t xml:space="preserve">分</w:t>
      </w:r>
      <w:r>
        <w:rPr>
          <w:rFonts w:hint="eastAsia" w:ascii="Times New Roman" w:hAnsi="Times New Roman" w:eastAsia="仿宋" w:cs="Times New Roman"/>
          <w:color w:val="000000"/>
          <w:sz w:val="28"/>
          <w:szCs w:val="28"/>
          <w:highlight w:val="none"/>
          <w:lang w:val="en-US" w:eastAsia="zh-CN"/>
        </w:rPr>
        <w:t xml:space="preserve">。（提供证书复印件及供应商为其缴纳的2026年1月以来任意一个月的社保证明</w:t>
      </w:r>
      <w:r>
        <w:rPr>
          <w:rFonts w:hint="eastAsia" w:ascii="仿宋" w:hAnsi="仿宋" w:eastAsia="仿宋"/>
          <w:sz w:val="28"/>
          <w:szCs w:val="28"/>
          <w:highlight w:val="none"/>
          <w:lang w:eastAsia="zh-CN"/>
        </w:rPr>
        <w:t xml:space="preserve">加盖供应商电子签章</w:t>
      </w:r>
      <w:r>
        <w:rPr>
          <w:rFonts w:hint="eastAsia" w:ascii="Times New Roman" w:hAnsi="Times New Roman" w:eastAsia="仿宋" w:cs="Times New Roman"/>
          <w:color w:val="000000"/>
          <w:sz w:val="28"/>
          <w:szCs w:val="28"/>
          <w:highlight w:val="none"/>
          <w:lang w:val="en-US" w:eastAsia="zh-CN"/>
        </w:rPr>
        <w:t xml:space="preserve">）</w:t>
      </w:r>
      <w:r>
        <w:rPr>
          <w:rFonts w:hint="eastAsia" w:ascii="Times New Roman" w:hAnsi="Times New Roman" w:eastAsia="仿宋" w:cs="Times New Roman"/>
          <w:color w:val="000000"/>
          <w:sz w:val="28"/>
          <w:szCs w:val="28"/>
          <w:highlight w:val="none"/>
          <w:lang w:val="en-US" w:eastAsia="zh-CN"/>
        </w:rPr>
      </w:r>
      <w:r/>
    </w:p>
    <w:p>
      <w:pPr>
        <w:pStyle w:val="655"/>
        <w:ind w:firstLine="560"/>
        <w:spacing w:line="520" w:lineRule="exact"/>
        <w:rPr>
          <w:rFonts w:hint="eastAsia" w:ascii="Times New Roman" w:hAnsi="Times New Roman" w:eastAsia="仿宋" w:cs="Times New Roman"/>
          <w:color w:val="000000"/>
          <w:sz w:val="28"/>
          <w:szCs w:val="28"/>
          <w:highlight w:val="none"/>
          <w:lang w:val="en-US" w:eastAsia="zh-CN"/>
        </w:rPr>
      </w:pPr>
      <w:r>
        <w:rPr>
          <w:rFonts w:hint="eastAsia" w:ascii="Times New Roman" w:hAnsi="Times New Roman" w:eastAsia="仿宋" w:cs="Times New Roman"/>
          <w:color w:val="000000"/>
          <w:sz w:val="28"/>
          <w:szCs w:val="28"/>
          <w:highlight w:val="none"/>
          <w:lang w:val="en-US" w:eastAsia="zh-CN"/>
        </w:rPr>
        <w:t xml:space="preserve">（4）</w:t>
      </w:r>
      <w:r>
        <w:rPr>
          <w:rFonts w:hint="eastAsia" w:ascii="仿宋" w:hAnsi="仿宋" w:eastAsia="仿宋"/>
          <w:sz w:val="28"/>
          <w:szCs w:val="28"/>
          <w:highlight w:val="none"/>
          <w:lang w:val="en-US" w:eastAsia="zh-CN"/>
        </w:rPr>
        <w:t xml:space="preserve">供应商拟派的项目组成员（</w:t>
      </w:r>
      <w:r>
        <w:rPr>
          <w:rFonts w:ascii="Times New Roman" w:hAnsi="Times New Roman" w:eastAsia="仿宋" w:cs="Times New Roman"/>
          <w:color w:val="000000"/>
          <w:sz w:val="28"/>
          <w:szCs w:val="28"/>
          <w:highlight w:val="none"/>
          <w:lang w:val="en-US" w:eastAsia="zh-CN"/>
        </w:rPr>
        <w:t xml:space="preserve">项目负责人除外</w:t>
      </w:r>
      <w:r>
        <w:rPr>
          <w:rFonts w:hint="eastAsia" w:ascii="仿宋" w:hAnsi="仿宋" w:eastAsia="仿宋"/>
          <w:sz w:val="28"/>
          <w:szCs w:val="28"/>
          <w:highlight w:val="none"/>
          <w:lang w:val="en-US" w:eastAsia="zh-CN"/>
        </w:rPr>
        <w:t xml:space="preserve">）具有环保类高级工程师职称的得2分，中级的1分，本项最高得10分。（一人多证以高等级计算。提供证书复印件及供应商为其缴纳的2026年1月以来任意一个月的社保证明加盖供应商电子签章）</w:t>
      </w:r>
      <w:r>
        <w:rPr>
          <w:rFonts w:hint="eastAsia" w:ascii="Times New Roman" w:hAnsi="Times New Roman" w:eastAsia="仿宋" w:cs="Times New Roman"/>
          <w:color w:val="000000"/>
          <w:sz w:val="28"/>
          <w:szCs w:val="28"/>
          <w:highlight w:val="none"/>
          <w:lang w:val="en-US" w:eastAsia="zh-CN"/>
        </w:rPr>
      </w:r>
      <w:r/>
    </w:p>
    <w:p>
      <w:pPr>
        <w:pStyle w:val="655"/>
        <w:ind w:firstLine="560"/>
        <w:spacing w:line="520" w:lineRule="exact"/>
        <w:rPr>
          <w:rFonts w:ascii="Times New Roman" w:hAnsi="Times New Roman" w:eastAsia="仿宋" w:cs="Times New Roman"/>
          <w:color w:val="000000"/>
          <w:sz w:val="28"/>
          <w:szCs w:val="28"/>
          <w:highlight w:val="none"/>
          <w:lang w:val="en-US" w:eastAsia="zh-CN"/>
        </w:rPr>
      </w:pPr>
      <w:r>
        <w:rPr>
          <w:rFonts w:hint="eastAsia" w:ascii="Times New Roman" w:hAnsi="Times New Roman" w:eastAsia="仿宋" w:cs="Times New Roman"/>
          <w:color w:val="000000"/>
          <w:sz w:val="28"/>
          <w:szCs w:val="28"/>
          <w:highlight w:val="none"/>
          <w:lang w:val="en-US" w:eastAsia="zh-CN"/>
        </w:rPr>
        <w:t xml:space="preserve">（5）供应商自2021年1月1日以来（以合同签订时间为准）承担过类似业绩（需包含区域水污染物平衡核算）的，每提供一个业绩得3分，本项最高得9分。（提供合同扫描件</w:t>
      </w:r>
      <w:r>
        <w:rPr>
          <w:rFonts w:hint="eastAsia" w:ascii="仿宋" w:hAnsi="仿宋" w:eastAsia="仿宋"/>
          <w:sz w:val="28"/>
          <w:szCs w:val="28"/>
          <w:highlight w:val="none"/>
          <w:lang w:eastAsia="zh-CN"/>
        </w:rPr>
        <w:t xml:space="preserve">加盖供应商电子签章，</w:t>
      </w:r>
      <w:r>
        <w:rPr>
          <w:rFonts w:hint="eastAsia" w:ascii="Times New Roman" w:hAnsi="Times New Roman" w:eastAsia="仿宋" w:cs="Times New Roman"/>
          <w:color w:val="000000"/>
          <w:sz w:val="28"/>
          <w:szCs w:val="28"/>
          <w:highlight w:val="none"/>
          <w:lang w:val="en-US" w:eastAsia="zh-CN"/>
        </w:rPr>
        <w:t xml:space="preserve">合同须清晰反映项目实施内容等关键信息，否则不得分）</w:t>
      </w:r>
      <w:r>
        <w:rPr>
          <w:rFonts w:ascii="Times New Roman" w:hAnsi="Times New Roman" w:eastAsia="仿宋" w:cs="Times New Roman"/>
          <w:color w:val="000000"/>
          <w:sz w:val="28"/>
          <w:szCs w:val="28"/>
          <w:highlight w:val="none"/>
          <w:lang w:val="en-US" w:eastAsia="zh-CN"/>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2711"/>
        <w:rPr>
          <w:rFonts w:hint="eastAsia" w:ascii="仿宋" w:hAnsi="仿宋" w:eastAsia="仿宋"/>
          <w:b/>
          <w:bCs/>
          <w:sz w:val="36"/>
          <w:szCs w:val="36"/>
          <w:highlight w:val="none"/>
        </w:rPr>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第四章  合同格式及条款</w:t>
      </w:r>
      <w:r>
        <w:rPr>
          <w:rFonts w:hint="eastAsia" w:ascii="仿宋" w:hAnsi="仿宋" w:eastAsia="仿宋"/>
          <w:b/>
          <w:bCs/>
          <w:sz w:val="36"/>
          <w:szCs w:val="36"/>
          <w:highlight w:val="none"/>
        </w:rPr>
      </w:r>
      <w:r/>
    </w:p>
    <w:p>
      <w:pPr>
        <w:pStyle w:val="655"/>
        <w:ind w:firstLine="560"/>
        <w:jc w:val="both"/>
        <w:spacing w:line="520" w:lineRule="exact"/>
        <w:tabs>
          <w:tab w:val="center" w:pos="4621" w:leader="none"/>
          <w:tab w:val="left" w:pos="7223" w:leader="none"/>
        </w:tabs>
        <w:rPr>
          <w:rFonts w:hint="eastAsia" w:ascii="仿宋" w:hAnsi="仿宋" w:eastAsia="仿宋"/>
          <w:bCs/>
          <w:sz w:val="28"/>
          <w:szCs w:val="28"/>
          <w:highlight w:val="none"/>
        </w:rPr>
      </w:pPr>
      <w:r>
        <w:rPr>
          <w:rFonts w:hint="eastAsia" w:ascii="仿宋" w:hAnsi="仿宋" w:eastAsia="仿宋"/>
          <w:bCs/>
          <w:sz w:val="28"/>
          <w:szCs w:val="28"/>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rPr>
          <w:rFonts w:hint="eastAsia" w:ascii="仿宋" w:hAnsi="仿宋" w:eastAsia="仿宋"/>
          <w:bCs/>
          <w:sz w:val="28"/>
          <w:szCs w:val="28"/>
          <w:highlight w:val="none"/>
        </w:rPr>
      </w:r>
      <w:r/>
    </w:p>
    <w:p>
      <w:pPr>
        <w:pStyle w:val="655"/>
        <w:ind w:firstLine="560"/>
        <w:jc w:val="both"/>
        <w:spacing w:line="520" w:lineRule="exact"/>
        <w:tabs>
          <w:tab w:val="center" w:pos="4621" w:leader="none"/>
          <w:tab w:val="left" w:pos="7223" w:leader="none"/>
        </w:tabs>
        <w:rPr>
          <w:rFonts w:ascii="Times New Roman" w:hAnsi="Times New Roman" w:eastAsia="方正黑体_GBK" w:cs="Times New Roman"/>
          <w:bCs/>
          <w:color w:val="000000"/>
          <w:sz w:val="28"/>
          <w:szCs w:val="28"/>
          <w:highlight w:val="none"/>
          <w:lang w:eastAsia="zh-CN"/>
        </w:rPr>
      </w:pPr>
      <w:r>
        <w:rPr>
          <w:rFonts w:ascii="仿宋" w:hAnsi="仿宋" w:eastAsia="仿宋" w:cs="Times New Roman"/>
          <w:bCs/>
          <w:sz w:val="28"/>
          <w:szCs w:val="28"/>
          <w:highlight w:val="none"/>
          <w:lang w:eastAsia="zh-CN"/>
        </w:rPr>
        <w:t xml:space="preserve">按照《淮安市生态环境系统第三方服务项目市级统一集中采购管理办法（试行）》有关规定，本项目由淮安市生态环境局统一组织招标采购，确定中标供应商及服务价格、服务规范；根据管理权限，分别由市局和各驻县（区）生态环境局（分局）作为实施主体，按照预算金额占比，依法签订合同、履约管理、验收考核、支付资金。以下为市局合同格式：</w:t>
      </w:r>
      <w:r>
        <w:rPr>
          <w:rFonts w:ascii="Times New Roman" w:hAnsi="Times New Roman" w:eastAsia="方正黑体_GBK" w:cs="Times New Roman"/>
          <w:bCs/>
          <w:color w:val="000000"/>
          <w:sz w:val="28"/>
          <w:szCs w:val="28"/>
          <w:highlight w:val="none"/>
          <w:lang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甲方：</w:t>
      </w:r>
      <w:r>
        <w:rPr>
          <w:rFonts w:ascii="Times New Roman" w:hAnsi="Times New Roman" w:eastAsia="仿宋" w:cs="Times New Roman"/>
          <w:bCs/>
          <w:color w:val="000000"/>
          <w:sz w:val="28"/>
          <w:szCs w:val="28"/>
          <w:highlight w:val="none"/>
          <w:u w:val="single"/>
        </w:rPr>
        <w:t xml:space="preserve">      </w:t>
      </w:r>
      <w:r>
        <w:rPr>
          <w:rFonts w:ascii="Times New Roman" w:hAnsi="Times New Roman" w:eastAsia="仿宋" w:cs="Times New Roman"/>
          <w:bCs/>
          <w:color w:val="000000"/>
          <w:sz w:val="28"/>
          <w:szCs w:val="28"/>
          <w:highlight w:val="none"/>
          <w:u w:val="single"/>
          <w:lang w:val="en-US" w:eastAsia="zh-CN"/>
        </w:rPr>
        <w:t xml:space="preserve">                      </w:t>
      </w:r>
      <w:r>
        <w:rPr>
          <w:rFonts w:ascii="Times New Roman" w:hAnsi="Times New Roman" w:eastAsia="仿宋" w:cs="Times New Roman"/>
          <w:bCs/>
          <w:color w:val="000000"/>
          <w:sz w:val="28"/>
          <w:szCs w:val="28"/>
          <w:highlight w:val="none"/>
          <w:u w:val="single"/>
        </w:rPr>
        <w:t xml:space="preserve">           </w:t>
      </w:r>
      <w:r>
        <w:rPr>
          <w:rFonts w:ascii="Times New Roman" w:hAnsi="Times New Roman" w:eastAsia="仿宋" w:cs="Times New Roman"/>
          <w:bCs/>
          <w:color w:val="000000"/>
          <w:sz w:val="28"/>
          <w:szCs w:val="28"/>
          <w:highlight w:val="none"/>
          <w:u w:val="single"/>
          <w:lang w:val="en-US" w:eastAsia="zh-CN"/>
        </w:rPr>
        <w:t xml:space="preserve"> </w:t>
      </w:r>
      <w:r>
        <w:rPr>
          <w:rFonts w:ascii="Times New Roman" w:hAnsi="Times New Roman" w:eastAsia="仿宋" w:cs="Times New Roman"/>
          <w:bCs/>
          <w:color w:val="000000"/>
          <w:sz w:val="28"/>
          <w:szCs w:val="28"/>
          <w:highlight w:val="none"/>
        </w:rPr>
        <w:t xml:space="preserve">（采购人）</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乙方：</w:t>
      </w:r>
      <w:r>
        <w:rPr>
          <w:rFonts w:ascii="Times New Roman" w:hAnsi="Times New Roman" w:eastAsia="仿宋" w:cs="Times New Roman"/>
          <w:bCs/>
          <w:color w:val="000000"/>
          <w:sz w:val="28"/>
          <w:szCs w:val="28"/>
          <w:highlight w:val="none"/>
          <w:u w:val="single"/>
        </w:rPr>
        <w:t xml:space="preserve">                                        </w:t>
      </w:r>
      <w:r>
        <w:rPr>
          <w:rFonts w:ascii="Times New Roman" w:hAnsi="Times New Roman" w:eastAsia="仿宋" w:cs="Times New Roman"/>
          <w:bCs/>
          <w:color w:val="000000"/>
          <w:sz w:val="28"/>
          <w:szCs w:val="28"/>
          <w:highlight w:val="none"/>
        </w:rPr>
        <w:t xml:space="preserve">（供应商）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根据《中华人民共和国民法典》《中华人民共和国政府采购法》等有关法律法规的规定，甲乙双方就</w:t>
      </w:r>
      <w:r>
        <w:rPr>
          <w:rFonts w:ascii="Times New Roman" w:hAnsi="Times New Roman" w:eastAsia="仿宋" w:cs="Times New Roman"/>
          <w:bCs/>
          <w:color w:val="000000"/>
          <w:sz w:val="28"/>
          <w:szCs w:val="28"/>
          <w:highlight w:val="none"/>
          <w:lang w:eastAsia="zh-CN"/>
        </w:rPr>
        <w:t xml:space="preserve">项目编号</w:t>
      </w:r>
      <w:r>
        <w:rPr>
          <w:rFonts w:ascii="Times New Roman" w:hAnsi="Times New Roman" w:eastAsia="仿宋" w:cs="Times New Roman"/>
          <w:bCs/>
          <w:color w:val="000000"/>
          <w:sz w:val="28"/>
          <w:szCs w:val="28"/>
          <w:highlight w:val="none"/>
          <w:lang w:val="en-US" w:eastAsia="zh-CN"/>
        </w:rPr>
        <w:t xml:space="preserve">    </w:t>
      </w:r>
      <w:r>
        <w:rPr>
          <w:rFonts w:ascii="Times New Roman" w:hAnsi="Times New Roman" w:eastAsia="仿宋" w:cs="Times New Roman"/>
          <w:bCs/>
          <w:color w:val="000000"/>
          <w:sz w:val="28"/>
          <w:szCs w:val="28"/>
          <w:highlight w:val="none"/>
        </w:rPr>
        <w:t xml:space="preserve">的</w:t>
      </w:r>
      <w:r>
        <w:rPr>
          <w:rFonts w:ascii="Times New Roman" w:hAnsi="Times New Roman" w:eastAsia="仿宋" w:cs="Times New Roman"/>
          <w:bCs/>
          <w:color w:val="000000"/>
          <w:sz w:val="28"/>
          <w:szCs w:val="28"/>
          <w:highlight w:val="none"/>
          <w:u w:val="single"/>
          <w:lang w:val="en-US" w:eastAsia="zh-CN"/>
        </w:rPr>
        <w:t xml:space="preserve">2025年度</w:t>
      </w:r>
      <w:r>
        <w:rPr>
          <w:rFonts w:ascii="Times New Roman" w:hAnsi="Times New Roman" w:eastAsia="仿宋" w:cs="Times New Roman"/>
          <w:bCs/>
          <w:color w:val="000000"/>
          <w:sz w:val="28"/>
          <w:szCs w:val="28"/>
          <w:highlight w:val="none"/>
          <w:u w:val="single"/>
          <w:lang w:eastAsia="zh-CN"/>
        </w:rPr>
        <w:t xml:space="preserve">区域水污染物平衡核算项目</w:t>
      </w:r>
      <w:r>
        <w:rPr>
          <w:rFonts w:ascii="Times New Roman" w:hAnsi="Times New Roman" w:eastAsia="仿宋" w:cs="Times New Roman"/>
          <w:bCs/>
          <w:color w:val="000000"/>
          <w:sz w:val="28"/>
          <w:szCs w:val="28"/>
          <w:highlight w:val="none"/>
        </w:rPr>
        <w:t xml:space="preserve">竞争性磋商采购结果及磋商文件的要求，经双方协商一致，签订本合同。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1.合同金额</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rPr>
        <w:t xml:space="preserve">1.1本合同的总金额</w:t>
      </w:r>
      <w:r>
        <w:rPr>
          <w:rFonts w:ascii="Times New Roman" w:hAnsi="Times New Roman" w:eastAsia="仿宋" w:cs="Times New Roman"/>
          <w:bCs/>
          <w:color w:val="000000"/>
          <w:sz w:val="28"/>
          <w:szCs w:val="28"/>
          <w:highlight w:val="none"/>
          <w:lang w:eastAsia="zh-CN"/>
        </w:rPr>
        <w:t xml:space="preserve">为</w:t>
      </w:r>
      <w:r>
        <w:rPr>
          <w:rFonts w:ascii="Times New Roman" w:hAnsi="Times New Roman" w:eastAsia="仿宋" w:cs="Times New Roman"/>
          <w:bCs/>
          <w:color w:val="000000"/>
          <w:sz w:val="28"/>
          <w:szCs w:val="28"/>
          <w:highlight w:val="none"/>
        </w:rPr>
        <w:t xml:space="preserve">人民币（大写）___________元</w:t>
      </w:r>
      <w:r>
        <w:rPr>
          <w:rFonts w:ascii="Times New Roman" w:hAnsi="Times New Roman" w:eastAsia="仿宋" w:cs="Times New Roman"/>
          <w:bCs/>
          <w:color w:val="000000"/>
          <w:sz w:val="28"/>
          <w:szCs w:val="28"/>
          <w:highlight w:val="none"/>
          <w:lang w:eastAsia="zh-CN"/>
        </w:rPr>
        <w:t xml:space="preserve">（小写）</w:t>
      </w:r>
      <w:r>
        <w:rPr>
          <w:rFonts w:ascii="Times New Roman" w:hAnsi="Times New Roman" w:eastAsia="仿宋" w:cs="Times New Roman"/>
          <w:bCs/>
          <w:color w:val="000000"/>
          <w:sz w:val="28"/>
          <w:szCs w:val="28"/>
          <w:highlight w:val="none"/>
          <w:u w:val="single"/>
          <w:lang w:val="en-US" w:eastAsia="zh-CN"/>
        </w:rPr>
        <w:t xml:space="preserve">             </w:t>
      </w:r>
      <w:r>
        <w:rPr>
          <w:rFonts w:ascii="Times New Roman" w:hAnsi="Times New Roman" w:eastAsia="仿宋" w:cs="Times New Roman"/>
          <w:bCs/>
          <w:color w:val="000000"/>
          <w:sz w:val="28"/>
          <w:szCs w:val="28"/>
          <w:highlight w:val="none"/>
          <w:lang w:val="en-US" w:eastAsia="zh-CN"/>
        </w:rPr>
        <w:t xml:space="preserve">。</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2.服务时间和地点</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2.1服务时间：合同签订之日起至2027年6月底</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rPr>
        <w:t xml:space="preserve">2.2服务地点：</w:t>
      </w:r>
      <w:r>
        <w:rPr>
          <w:rFonts w:ascii="Times New Roman" w:hAnsi="Times New Roman" w:eastAsia="仿宋" w:cs="Times New Roman"/>
          <w:bCs/>
          <w:color w:val="000000"/>
          <w:sz w:val="28"/>
          <w:szCs w:val="28"/>
          <w:highlight w:val="none"/>
          <w:lang w:val="en-US" w:eastAsia="zh-CN"/>
        </w:rPr>
        <w:t xml:space="preserve">淮安市</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3.付款方式</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3.1完成2025年度城市、乡镇区域水污染物平衡核算市级审核，完成评估报告，按照省级时间要求及时提交相关成果，通过采购人组织的专家审查并修改完善后30日内，采购人向成交人支付2.5万元；</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3.2项目成果通过采购人组织的验收合格后30日内，采购人向成交人支付剩余合同款。</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注：</w:t>
      </w:r>
      <w:r>
        <w:rPr>
          <w:rFonts w:ascii="Times New Roman" w:hAnsi="Times New Roman" w:eastAsia="仿宋" w:cs="Times New Roman"/>
          <w:bCs/>
          <w:color w:val="000000"/>
          <w:sz w:val="28"/>
          <w:szCs w:val="28"/>
          <w:highlight w:val="none"/>
          <w:lang w:eastAsia="zh-CN"/>
        </w:rPr>
        <w:t xml:space="preserve">采购人每期</w:t>
      </w:r>
      <w:r>
        <w:rPr>
          <w:rFonts w:ascii="Times New Roman" w:hAnsi="Times New Roman" w:eastAsia="仿宋" w:cs="Times New Roman"/>
          <w:bCs/>
          <w:color w:val="000000"/>
          <w:sz w:val="28"/>
          <w:szCs w:val="28"/>
          <w:highlight w:val="none"/>
        </w:rPr>
        <w:t xml:space="preserve">付款</w:t>
      </w:r>
      <w:r>
        <w:rPr>
          <w:rFonts w:hint="eastAsia" w:eastAsia="仿宋" w:cs="Times New Roman"/>
          <w:bCs/>
          <w:color w:val="000000"/>
          <w:sz w:val="28"/>
          <w:szCs w:val="28"/>
          <w:highlight w:val="none"/>
          <w:lang w:eastAsia="zh-CN"/>
        </w:rPr>
        <w:t xml:space="preserve">前</w:t>
      </w:r>
      <w:r>
        <w:rPr>
          <w:rFonts w:ascii="Times New Roman" w:hAnsi="Times New Roman" w:eastAsia="仿宋" w:cs="Times New Roman"/>
          <w:bCs/>
          <w:color w:val="000000"/>
          <w:sz w:val="28"/>
          <w:szCs w:val="28"/>
          <w:highlight w:val="none"/>
        </w:rPr>
        <w:t xml:space="preserve">，</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须</w:t>
      </w:r>
      <w:r>
        <w:rPr>
          <w:rFonts w:ascii="Times New Roman" w:hAnsi="Times New Roman" w:eastAsia="仿宋" w:cs="Times New Roman"/>
          <w:bCs/>
          <w:color w:val="000000"/>
          <w:sz w:val="28"/>
          <w:szCs w:val="28"/>
          <w:highlight w:val="none"/>
          <w:lang w:eastAsia="zh-CN"/>
        </w:rPr>
        <w:t xml:space="preserve">向采购人</w:t>
      </w:r>
      <w:r>
        <w:rPr>
          <w:rFonts w:ascii="Times New Roman" w:hAnsi="Times New Roman" w:eastAsia="仿宋" w:cs="Times New Roman"/>
          <w:bCs/>
          <w:color w:val="000000"/>
          <w:sz w:val="28"/>
          <w:szCs w:val="28"/>
          <w:highlight w:val="none"/>
        </w:rPr>
        <w:t xml:space="preserve">提供正规发票，因发票问题而导致无法正常付款的，责任由</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自己承担。</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3.3乙方账户信息</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u w:val="single"/>
          <w:lang w:val="en-US" w:eastAsia="zh-CN"/>
        </w:rPr>
      </w:pPr>
      <w:r>
        <w:rPr>
          <w:rFonts w:ascii="Times New Roman" w:hAnsi="Times New Roman" w:eastAsia="仿宋" w:cs="Times New Roman"/>
          <w:bCs/>
          <w:color w:val="000000"/>
          <w:sz w:val="28"/>
          <w:szCs w:val="28"/>
          <w:highlight w:val="none"/>
          <w:lang w:val="en-US" w:eastAsia="zh-CN"/>
        </w:rPr>
        <w:t xml:space="preserve">账户名称：</w:t>
      </w:r>
      <w:r>
        <w:rPr>
          <w:rFonts w:ascii="Times New Roman" w:hAnsi="Times New Roman" w:eastAsia="仿宋" w:cs="Times New Roman"/>
          <w:bCs/>
          <w:color w:val="000000"/>
          <w:sz w:val="28"/>
          <w:szCs w:val="28"/>
          <w:highlight w:val="none"/>
          <w:u w:val="singl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开户行：</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lang w:val="en-US" w:eastAsia="zh-CN"/>
        </w:rPr>
      </w:pPr>
      <w:r>
        <w:rPr>
          <w:rFonts w:ascii="Times New Roman" w:hAnsi="Times New Roman" w:eastAsia="仿宋" w:cs="Times New Roman"/>
          <w:bCs/>
          <w:color w:val="000000"/>
          <w:sz w:val="28"/>
          <w:szCs w:val="28"/>
          <w:highlight w:val="none"/>
          <w:lang w:val="en-US" w:eastAsia="zh-CN"/>
        </w:rPr>
        <w:t xml:space="preserve">账号：</w:t>
      </w:r>
      <w:r>
        <w:rPr>
          <w:rFonts w:ascii="Times New Roman" w:hAnsi="Times New Roman" w:eastAsia="仿宋" w:cs="Times New Roman"/>
          <w:bCs/>
          <w:color w:val="000000"/>
          <w:sz w:val="28"/>
          <w:szCs w:val="28"/>
          <w:highlight w:val="none"/>
          <w:lang w:val="en-US"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en-US" w:eastAsia="zh-CN"/>
        </w:rPr>
        <w:t xml:space="preserve">注：</w:t>
      </w:r>
      <w:r>
        <w:rPr>
          <w:rFonts w:ascii="Times New Roman" w:hAnsi="Times New Roman" w:eastAsia="仿宋" w:cs="Times New Roman"/>
          <w:bCs/>
          <w:color w:val="000000"/>
          <w:sz w:val="28"/>
          <w:szCs w:val="28"/>
          <w:highlight w:val="none"/>
        </w:rPr>
        <w:t xml:space="preserve">付款时，乙方须提供正规发票，因发票问题而导致无法正常付款的，责任由乙方自己承担。</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4.服务范围、标准</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eastAsia="zh-CN"/>
        </w:rPr>
      </w:pPr>
      <w:r>
        <w:rPr>
          <w:rFonts w:ascii="Times New Roman" w:hAnsi="Times New Roman" w:eastAsia="仿宋" w:cs="Times New Roman"/>
          <w:bCs/>
          <w:color w:val="000000"/>
          <w:sz w:val="28"/>
          <w:szCs w:val="28"/>
          <w:highlight w:val="none"/>
        </w:rPr>
        <w:t xml:space="preserve">4.1服务范围：</w:t>
      </w:r>
      <w:r>
        <w:rPr>
          <w:rFonts w:ascii="Times New Roman" w:hAnsi="Times New Roman" w:eastAsia="仿宋" w:cs="Times New Roman"/>
          <w:bCs/>
          <w:color w:val="000000"/>
          <w:sz w:val="28"/>
          <w:szCs w:val="28"/>
          <w:highlight w:val="none"/>
          <w:lang w:eastAsia="zh-CN"/>
        </w:rPr>
        <w:t xml:space="preserve">按照磋商文件执行。</w:t>
      </w:r>
      <w:r>
        <w:rPr>
          <w:rFonts w:ascii="Times New Roman" w:hAnsi="Times New Roman" w:eastAsia="仿宋" w:cs="Times New Roman"/>
          <w:bCs/>
          <w:color w:val="000000"/>
          <w:sz w:val="28"/>
          <w:szCs w:val="28"/>
          <w:highlight w:val="none"/>
          <w:lang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4.2服务标准</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根据《江苏省城镇区域水污染物平衡核算方法（试行）》以及省有关文件规范要求</w:t>
      </w:r>
      <w:r>
        <w:rPr>
          <w:rFonts w:ascii="Times New Roman" w:hAnsi="Times New Roman" w:eastAsia="仿宋" w:cs="Times New Roman"/>
          <w:bCs/>
          <w:color w:val="000000"/>
          <w:sz w:val="28"/>
          <w:szCs w:val="28"/>
          <w:highlight w:val="none"/>
          <w:lang w:eastAsia="zh-CN"/>
        </w:rPr>
        <w:t xml:space="preserve">开展</w:t>
      </w:r>
      <w:r>
        <w:rPr>
          <w:rFonts w:ascii="Times New Roman" w:hAnsi="Times New Roman" w:eastAsia="仿宋" w:cs="Times New Roman"/>
          <w:bCs/>
          <w:color w:val="000000"/>
          <w:sz w:val="28"/>
          <w:szCs w:val="28"/>
          <w:highlight w:val="none"/>
        </w:rPr>
        <w:t xml:space="preserve">2025年度城市、乡镇区域水污染物平衡核算县级核算、市级审核</w:t>
      </w:r>
      <w:r>
        <w:rPr>
          <w:rFonts w:ascii="Times New Roman" w:hAnsi="Times New Roman" w:eastAsia="仿宋" w:cs="Times New Roman"/>
          <w:bCs/>
          <w:color w:val="000000"/>
          <w:sz w:val="28"/>
          <w:szCs w:val="28"/>
          <w:highlight w:val="none"/>
          <w:lang w:eastAsia="zh-CN"/>
        </w:rPr>
        <w:t xml:space="preserve">，编制县（区）核算报告、市级</w:t>
      </w:r>
      <w:r>
        <w:rPr>
          <w:rFonts w:ascii="Times New Roman" w:hAnsi="Times New Roman" w:eastAsia="仿宋" w:cs="Times New Roman"/>
          <w:bCs/>
          <w:color w:val="000000"/>
          <w:sz w:val="28"/>
          <w:szCs w:val="28"/>
          <w:highlight w:val="none"/>
        </w:rPr>
        <w:t xml:space="preserve">评估报告，相关成果满足省级审查要求。</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4.3提交成果日期：</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根据省级时间要求及时提交相关成果。</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en-US" w:eastAsia="zh-CN"/>
        </w:rPr>
        <w:t xml:space="preserve">注：</w:t>
      </w:r>
      <w:r>
        <w:rPr>
          <w:rFonts w:ascii="Times New Roman" w:hAnsi="Times New Roman" w:eastAsia="仿宋" w:cs="Times New Roman"/>
          <w:bCs/>
          <w:color w:val="000000"/>
          <w:sz w:val="28"/>
          <w:szCs w:val="28"/>
          <w:highlight w:val="none"/>
        </w:rPr>
        <w:t xml:space="preserve">如果有特殊项目，可具体协商。</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5.双方权利和义务</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5.1甲方的权利和义务</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（1）根据项目的具体情况和技术要求，确定工作周期，并按本合同有关规定及时支付相关服务的费用；</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（2）协调提供开展</w:t>
      </w:r>
      <w:r>
        <w:rPr>
          <w:rFonts w:ascii="Times New Roman" w:hAnsi="Times New Roman" w:eastAsia="仿宋" w:cs="Times New Roman"/>
          <w:bCs/>
          <w:color w:val="000000"/>
          <w:sz w:val="28"/>
          <w:szCs w:val="28"/>
          <w:highlight w:val="none"/>
          <w:lang w:val="en-US" w:eastAsia="zh-CN"/>
        </w:rPr>
        <w:t xml:space="preserve">编制报告</w:t>
      </w:r>
      <w:r>
        <w:rPr>
          <w:rFonts w:ascii="Times New Roman" w:hAnsi="Times New Roman" w:eastAsia="仿宋" w:cs="Times New Roman"/>
          <w:bCs/>
          <w:color w:val="000000"/>
          <w:sz w:val="28"/>
          <w:szCs w:val="28"/>
          <w:highlight w:val="none"/>
        </w:rPr>
        <w:t xml:space="preserve">所需要的文件、资料等；</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（3）乙方开展</w:t>
      </w:r>
      <w:r>
        <w:rPr>
          <w:rFonts w:ascii="Times New Roman" w:hAnsi="Times New Roman" w:eastAsia="仿宋" w:cs="Times New Roman"/>
          <w:bCs/>
          <w:color w:val="000000"/>
          <w:sz w:val="28"/>
          <w:szCs w:val="28"/>
          <w:highlight w:val="none"/>
          <w:lang w:val="en-US" w:eastAsia="zh-CN"/>
        </w:rPr>
        <w:t xml:space="preserve">工作</w:t>
      </w:r>
      <w:r>
        <w:rPr>
          <w:rFonts w:ascii="Times New Roman" w:hAnsi="Times New Roman" w:eastAsia="仿宋" w:cs="Times New Roman"/>
          <w:bCs/>
          <w:color w:val="000000"/>
          <w:sz w:val="28"/>
          <w:szCs w:val="28"/>
          <w:highlight w:val="none"/>
        </w:rPr>
        <w:t xml:space="preserve">时，对乙方与地方政府部门及相关企业的协调工作提供必要的协助</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val="en-US" w:eastAsia="zh-CN"/>
        </w:rPr>
        <w:t xml:space="preserve">如需</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rPr>
        <w:t xml:space="preserve">，但不免除乙方根据本合同规定应负的责任。</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5.2乙方的权利和义务</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（1）在甲方规定的时间内完成本合同的服务工作。</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（2）乙方提供的服务符合国家、江苏省、淮安市对本项目的法律法规、规范和相关文件等要求。</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（3）按相关规定做好质量管理工作，建立健全质量保证体系，加强全过程的质量控制，建立完整的审查和批准制度，明确各阶段的责任人，并对本合同的专业咨询服务质量负责。</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（4）按甲方要求提供服务成果，接受甲方、相关主管部门的审查，并对相关问题做出澄清和解答。</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（5）不得向他人转让项目，也不得将项目肢解后分别向他人转让。</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val="en-US" w:eastAsia="zh-CN"/>
        </w:rPr>
        <w:t xml:space="preserve">6</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rPr>
        <w:t xml:space="preserve">配合完成甲方针对本项目需要的其他工作。</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6.项目验收</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lang w:val="zh-TW"/>
        </w:rPr>
        <w:t xml:space="preserve">本项目为服务类项目，由甲方</w:t>
      </w:r>
      <w:r>
        <w:rPr>
          <w:rFonts w:ascii="Times New Roman" w:hAnsi="Times New Roman" w:eastAsia="仿宋" w:cs="Times New Roman"/>
          <w:bCs/>
          <w:color w:val="000000"/>
          <w:sz w:val="28"/>
          <w:szCs w:val="28"/>
          <w:highlight w:val="none"/>
        </w:rPr>
        <w:t xml:space="preserve">根据磋商文件、成交供应商的响应文件、双方签订的合同文件、附件以及国家、省对相关工作的要求对乙方提供的服务进行验收。因乙方提供的服务不符合标准导致重复支出的验收费用，由乙方承担。</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7.服务质量保证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7.1乙方应保证所提供的服务，符合合同规定的要求。如不符时，乙方应负全责并尽快处理解决，由此造成的损失和相关费用由乙方负责，甲方保留终止合同及索赔的权利。</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7.2乙方应保证通过执行合同中全部方案后，可以取得本合同规定的结果，达到本合同规定的预期目标。对任何情况下出现问题的，应尽快提出解决方案。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7.3如果乙方提供的服务和解决方案不符合甲方要求，或在规定的时间内没有弥补缺陷，甲方有权采取一切必要的补救措施，由此产生的费用全部由乙方负责。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8.违约责任</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8.1服务缺陷的补救措施和索赔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（1）如果乙方提供的服务不符合本合同约定以及磋商文件、响应文件关于服务的要求和承诺，乙方应按照甲方同意的下列一种或几种方式结合起来解决索赔事宜：</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①乙方同意将剩余未履行部分的服务款项退还给甲方，由此发生的一切费用和损失由乙方承担。如甲方以适当的条件和方法购买与未履约标的相类似的服务，乙方应负担新购买类似服务所超出的费用。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②根据服务的质量状况以及甲方所遭受的损失，经过甲乙双方商定降低服务的价格。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如果在甲方发出索赔通知后10日内乙方未作答复，上述索赔应视为已被乙方接受。如果乙方未能在甲方发出索赔通知后10日内或甲方同意延长的期限内，按照上述规定的任何一种方法采取补救措施，甲方有权从应付服务款中扣除索赔金额，如不足以弥补甲方损失的，甲方有权进一步要求乙方赔偿。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8.2迟延履约的违约责任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（1）乙方应按照本合同规定的时间、地点提供服务。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在履行合同过程中，如果乙方遇到可能妨碍按时提供服务的情形时，应及时以书面形式将迟延的事实、可能迟延的期限和理由通知甲方。甲方在收到乙方通知后，应尽快对情况进行评价，并确定是否同意延期提供服务。</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除甲乙双方另有约定外，如果乙方没有按照合同规定的时间提供服务，且没有在甲方同意的延长的期限内进行补救时，甲方有权从服务款中扣除或要求乙方另行支付误期赔偿费而不影响合同项下的其他补救方法。赔偿费按每日加收合同金额的0.5%计收，直至提供服务为止。但误期赔偿费的最高限额不超过合同价的</w:t>
      </w:r>
      <w:r>
        <w:rPr>
          <w:rFonts w:hint="eastAsia" w:eastAsia="仿宋" w:cs="Times New Roman"/>
          <w:bCs/>
          <w:color w:val="000000"/>
          <w:sz w:val="28"/>
          <w:szCs w:val="28"/>
          <w:highlight w:val="none"/>
          <w:lang w:val="en-US" w:eastAsia="zh-CN"/>
        </w:rPr>
        <w:t xml:space="preserve">30</w:t>
      </w:r>
      <w:r>
        <w:rPr>
          <w:rFonts w:ascii="Times New Roman" w:hAnsi="Times New Roman" w:eastAsia="仿宋" w:cs="Times New Roman"/>
          <w:bCs/>
          <w:color w:val="000000"/>
          <w:sz w:val="28"/>
          <w:szCs w:val="28"/>
          <w:highlight w:val="none"/>
        </w:rPr>
        <w:t xml:space="preserve">%。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（4）如果乙方延迟履约超过7日，甲方有权终止全部或部分合同，并依其认为适当的条件和方法购买与未履约类似的服务，乙方应负担购买类似服务所超出的费用，且乙方应继续执行合同中未终止的部分。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8.3</w:t>
      </w:r>
      <w:r>
        <w:rPr>
          <w:rFonts w:hint="eastAsia" w:eastAsia="仿宋" w:cs="Times New Roman"/>
          <w:bCs/>
          <w:color w:val="000000"/>
          <w:sz w:val="28"/>
          <w:szCs w:val="28"/>
          <w:highlight w:val="none"/>
          <w:lang w:eastAsia="zh-CN"/>
        </w:rPr>
        <w:t xml:space="preserve">乙方</w:t>
      </w:r>
      <w:r>
        <w:rPr>
          <w:rFonts w:ascii="Times New Roman" w:hAnsi="Times New Roman" w:eastAsia="仿宋" w:cs="Times New Roman"/>
          <w:bCs/>
          <w:color w:val="000000"/>
          <w:sz w:val="28"/>
          <w:szCs w:val="28"/>
          <w:highlight w:val="none"/>
        </w:rPr>
        <w:t xml:space="preserve">未履行合同义务的违约责任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（1）甲方有权终止全部或部分合同。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（2）乙方应向甲方支付违约金，违约金金额为合同成交价的30%。</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（3）本条约定的违约金低于给甲方造成的实际损失的，乙方还应赔偿其差额部分。乙方的赔偿责任包括甲方的直接损失及合同履行后可以获得的可得利益等间接损失。</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9.知识产权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乙方应保证所提供的服务免受第三方提出侵犯其知识产权（专利权、商标权、版权等）的起诉。因侵害他人知识产权而产生的法律责任，导致该第三方追究责任的，均由乙方负责解决并赔偿。</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10.保密条款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10.1 甲乙双方应对在本合同签订或履行过程中所接触的对方信息，包括但不限于知识产权、技术资料、技术诀窍、内部管理及其他相关信息，负有保密义务。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10.2乙方在使用甲方为乙方及其工作人员提供的数据、程序、用户名、口令、资料及甲方相关的业务和技术文档时，应遵循以下规定：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（1）应以审慎态度避免泄露、公开或传播甲方的信息；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（2）未经甲方许可，不得对有关信息进行修改、补充、复制；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（3）未经甲方许可，不得将信息以任何方式（如 E－mail）携带出甲方场所；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（4）未经甲方许可，不得将信息透露给任何其他人；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（5）甲方以书面形式提出的其他保密措施。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10.3 保密期限不受合同有效期的限制，在合同有效期结束后信息接收方仍应承担保密义务。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10.4 甲乙双方如出现泄密行为，泄密方应承担相关的法律责任，包括但不限于对由此给对方造成的经济损失进行赔偿。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11.争议的解决</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本合同执行过程中发生纠纷，由甲乙双方协商解决，若协商15日不能解决，可提起诉讼。约定由甲方所在地法院管辖。</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12.不可抗力</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12.1因不可抗力（或甲、乙双方不能控制的原因）不能履行合同的，根据不可抗力的影响，部分或者全部免除责任。但合同一方迟延履行后发生不可抗力的，不能免除责任。</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12.2 本条所述的“不可抗力”系指那些双方不可预见、不可避免、不可克服的客观情况，但不包括双方的违约或疏忽。这些事件包括但不限于：战争、严重火灾、洪水、台风、地震等。</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12.3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.合同的解除和转让</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.1甲方和乙方协商一致，可以解除合同。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.2有下列情形之一，合同一方可以解除合同：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.2.1因不可抗力致使不能实现合同目的，未受不可抗力影响的一方有权解除合同；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.2.2因合同一方违约导致合同不能履行，另一方有权解除合同。</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3</w:t>
      </w:r>
      <w:r>
        <w:rPr>
          <w:rFonts w:ascii="Times New Roman" w:hAnsi="Times New Roman" w:eastAsia="仿宋" w:cs="Times New Roman"/>
          <w:bCs/>
          <w:color w:val="000000"/>
          <w:sz w:val="28"/>
          <w:szCs w:val="28"/>
          <w:highlight w:val="none"/>
        </w:rPr>
        <w:t xml:space="preserve">.3有权解除合同的一方，应当在违约事实或不可抗力发生之后三十天内书面通知对方提出解除合同，合同在书面通知到达对方时解除。</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.合同生效及其他</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.1本合同经甲、乙双方授权代表签字盖章生效。</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.2下列文件为本合同不可分割部分：</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（1）磋商文件；</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（2）乙方的响应文件；</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（3）成交通知书；</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lang w:eastAsia="zh-CN"/>
        </w:rPr>
      </w:pPr>
      <w:r>
        <w:rPr>
          <w:rFonts w:ascii="Times New Roman" w:hAnsi="Times New Roman" w:eastAsia="仿宋" w:cs="Times New Roman"/>
          <w:bCs/>
          <w:color w:val="000000"/>
          <w:sz w:val="28"/>
          <w:szCs w:val="28"/>
          <w:highlight w:val="none"/>
        </w:rPr>
        <w:t xml:space="preserve">（4）乙方在</w:t>
      </w:r>
      <w:r>
        <w:rPr>
          <w:rFonts w:ascii="Times New Roman" w:hAnsi="Times New Roman" w:eastAsia="仿宋" w:cs="Times New Roman"/>
          <w:bCs/>
          <w:color w:val="000000"/>
          <w:sz w:val="28"/>
          <w:szCs w:val="28"/>
          <w:highlight w:val="none"/>
          <w:lang w:val="en-US" w:eastAsia="zh-CN"/>
        </w:rPr>
        <w:t xml:space="preserve">磋商</w:t>
      </w:r>
      <w:r>
        <w:rPr>
          <w:rFonts w:ascii="Times New Roman" w:hAnsi="Times New Roman" w:eastAsia="仿宋" w:cs="Times New Roman"/>
          <w:bCs/>
          <w:color w:val="000000"/>
          <w:sz w:val="28"/>
          <w:szCs w:val="28"/>
          <w:highlight w:val="none"/>
        </w:rPr>
        <w:t xml:space="preserve">过程中所做的其他承诺、声明、书面澄清等</w:t>
      </w:r>
      <w:r>
        <w:rPr>
          <w:rFonts w:ascii="Times New Roman" w:hAnsi="Times New Roman" w:eastAsia="仿宋" w:cs="Times New Roman"/>
          <w:bCs/>
          <w:color w:val="000000"/>
          <w:sz w:val="28"/>
          <w:szCs w:val="28"/>
          <w:highlight w:val="none"/>
          <w:lang w:eastAsia="zh-CN"/>
        </w:rPr>
        <w:t xml:space="preserve">。</w:t>
      </w:r>
      <w:r>
        <w:rPr>
          <w:rFonts w:ascii="Times New Roman" w:hAnsi="Times New Roman" w:eastAsia="仿宋" w:cs="Times New Roman"/>
          <w:bCs/>
          <w:color w:val="000000"/>
          <w:sz w:val="28"/>
          <w:szCs w:val="28"/>
          <w:highlight w:val="none"/>
          <w:lang w:eastAsia="zh-CN"/>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4</w:t>
      </w:r>
      <w:r>
        <w:rPr>
          <w:rFonts w:ascii="Times New Roman" w:hAnsi="Times New Roman" w:eastAsia="仿宋" w:cs="Times New Roman"/>
          <w:bCs/>
          <w:color w:val="000000"/>
          <w:sz w:val="28"/>
          <w:szCs w:val="28"/>
          <w:highlight w:val="none"/>
        </w:rPr>
        <w:t xml:space="preserve">.3合同在执行过程中出现的未尽事宜，双方在不违背本合同和采购文件的原则下协商解决，协商结果以书面形式盖章记录在案，作为本合同的附件，与本合同具有同等效力。</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.附则</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.1本合同内容调整、修改，需经甲方审核。</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.2本合同一式四份，甲、乙双方各执贰份。</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1</w:t>
      </w:r>
      <w:r>
        <w:rPr>
          <w:rFonts w:ascii="Times New Roman" w:hAnsi="Times New Roman" w:eastAsia="仿宋" w:cs="Times New Roman"/>
          <w:bCs/>
          <w:color w:val="000000"/>
          <w:sz w:val="28"/>
          <w:szCs w:val="28"/>
          <w:highlight w:val="none"/>
          <w:lang w:val="en-US" w:eastAsia="zh-CN"/>
        </w:rPr>
        <w:t xml:space="preserve">5</w:t>
      </w:r>
      <w:r>
        <w:rPr>
          <w:rFonts w:ascii="Times New Roman" w:hAnsi="Times New Roman" w:eastAsia="仿宋" w:cs="Times New Roman"/>
          <w:bCs/>
          <w:color w:val="000000"/>
          <w:sz w:val="28"/>
          <w:szCs w:val="28"/>
          <w:highlight w:val="none"/>
        </w:rPr>
        <w:t xml:space="preserve">.3本合同未尽事宜应按照《中华人民共和国民法典》《中华人民共和国政府采购法》等相关法律法规之规定解释。</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甲    方：                          乙    方：</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单位盖章：                          单位盖章：</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代表签字：                          代表签字：</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签订日期：                          签订日期：</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注：1、本合同为简易版本，使用过程中，请结合项目特点，充实细化或删减。 </w:t>
      </w:r>
      <w:r>
        <w:rPr>
          <w:rFonts w:ascii="Times New Roman" w:hAnsi="Times New Roman" w:eastAsia="仿宋" w:cs="Times New Roman"/>
          <w:bCs/>
          <w:color w:val="000000"/>
          <w:sz w:val="28"/>
          <w:szCs w:val="28"/>
          <w:highlight w:val="none"/>
        </w:rPr>
      </w:r>
      <w:r/>
    </w:p>
    <w:p>
      <w:pPr>
        <w:pStyle w:val="655"/>
        <w:ind w:firstLine="560"/>
        <w:spacing w:line="520" w:lineRule="exact"/>
        <w:rPr>
          <w:rFonts w:ascii="Times New Roman" w:hAnsi="Times New Roman" w:eastAsia="仿宋" w:cs="Times New Roman"/>
          <w:bCs/>
          <w:color w:val="000000"/>
          <w:sz w:val="28"/>
          <w:szCs w:val="28"/>
          <w:highlight w:val="none"/>
        </w:rPr>
      </w:pPr>
      <w:r>
        <w:rPr>
          <w:rFonts w:ascii="Times New Roman" w:hAnsi="Times New Roman" w:eastAsia="仿宋" w:cs="Times New Roman"/>
          <w:bCs/>
          <w:color w:val="000000"/>
          <w:sz w:val="28"/>
          <w:szCs w:val="28"/>
          <w:highlight w:val="none"/>
        </w:rPr>
        <w:t xml:space="preserve">2、国家有相关规范标准合同范本的，按范本编写。</w:t>
      </w:r>
      <w:r>
        <w:rPr>
          <w:rFonts w:ascii="Times New Roman" w:hAnsi="Times New Roman" w:eastAsia="仿宋" w:cs="Times New Roman"/>
          <w:bCs/>
          <w:color w:val="000000"/>
          <w:sz w:val="28"/>
          <w:szCs w:val="28"/>
          <w:highlight w:val="none"/>
        </w:rPr>
      </w:r>
      <w:r/>
    </w:p>
    <w:p>
      <w:pPr>
        <w:pStyle w:val="669"/>
        <w:ind w:firstLine="2873"/>
        <w:spacing w:line="520" w:lineRule="exact"/>
        <w:rPr>
          <w:rFonts w:hint="eastAsia" w:ascii="仿宋" w:hAnsi="仿宋" w:eastAsia="仿宋"/>
          <w:b/>
          <w:bCs/>
          <w:sz w:val="36"/>
          <w:szCs w:val="36"/>
          <w:highlight w:val="none"/>
          <w:lang w:val="zh-CN"/>
        </w:rPr>
      </w:pPr>
      <w:r>
        <w:rPr>
          <w:rFonts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669"/>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项目背景</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rPr>
        <w:t xml:space="preserve">根据《关于实施城镇区域水污染物平衡核算管理进一步提高污水收集处理率的意见》（苏水治办〔2021〕6号）、省政府办公厅《关于加快推进城市污水处</w:t>
      </w:r>
      <w:r>
        <w:rPr>
          <w:rFonts w:hint="eastAsia" w:ascii="仿宋" w:hAnsi="仿宋" w:eastAsia="仿宋"/>
          <w:bCs/>
          <w:sz w:val="28"/>
          <w:szCs w:val="28"/>
          <w:highlight w:val="none"/>
        </w:rPr>
        <w:t xml:space="preserve">理能力建设全面提升污水集中收集处理率的实施意见》（苏政办发〔2022〕42号），以及《省生态环境厅关于抓紧开展2025年度城市和乡镇区域水污染物平衡核算工作的通知》（苏环办〔2026〕26号）等文件要求，为深入打好污染防治攻坚战，强化精准治污、科学治污、依法治污，推进源头治理、系统治理、综合治理，加快补齐污水处理能力短板，切实改善水生态环境质量，推动全市生态环境治理体系和治理能力现代化建设取得新突破，按照县核算、市审核、省审查工作机制，淮安市按照省工作部署开展2025年度城市、乡镇区域水污染物平衡核算工作。</w:t>
      </w:r>
      <w:r>
        <w:rPr>
          <w:rFonts w:hint="eastAsia" w:ascii="仿宋" w:hAnsi="仿宋" w:eastAsia="仿宋"/>
          <w:bCs/>
          <w:sz w:val="28"/>
          <w:szCs w:val="28"/>
          <w:highlight w:val="none"/>
        </w:rPr>
      </w:r>
      <w:r/>
    </w:p>
    <w:p>
      <w:pPr>
        <w:pStyle w:val="669"/>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工作目标</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rPr>
        <w:t xml:space="preserve">根据《江苏省城镇区域水污染物平衡核算方法（试行）》以及省有关文件规范要求开展2025年度城市、乡镇区域水污染物平衡核算县级核算、市级审核，编制县（区）核算报告、市级评估报告，相关成果满足省级审查要求。</w:t>
      </w:r>
      <w:r>
        <w:rPr>
          <w:rFonts w:hint="eastAsia" w:ascii="仿宋" w:hAnsi="仿宋" w:eastAsia="仿宋"/>
          <w:bCs/>
          <w:sz w:val="28"/>
          <w:szCs w:val="28"/>
          <w:highlight w:val="none"/>
        </w:rPr>
      </w:r>
      <w:r/>
    </w:p>
    <w:p>
      <w:pPr>
        <w:pStyle w:val="669"/>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三、技术要求</w:t>
      </w:r>
      <w:r>
        <w:rPr>
          <w:rFonts w:hint="eastAsia" w:ascii="仿宋" w:hAnsi="仿宋" w:eastAsia="仿宋"/>
          <w:bCs/>
          <w:sz w:val="28"/>
          <w:szCs w:val="28"/>
          <w:highlight w:val="none"/>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lang w:eastAsia="zh-CN"/>
        </w:rPr>
        <w:t xml:space="preserve">）核算周期</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2025年度1—12月，以月为单位进行核算后累计汇总形成年度数据。</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lang w:eastAsia="zh-CN"/>
        </w:rPr>
        <w:t xml:space="preserve">）编制依据（包括且不限于）</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1.关于实施城镇区域水污染物平衡核算管理进一步提高污水收集处理率的意见（苏水治办〔2021〕6号）</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2.关于加快推进城市污水处理能力建设全面提升污水集中收集处理率的实施意见（苏政办发〔2022〕42号）</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3.省生态环境厅关于抓紧开展2025年度城市和乡镇区域水污染物平衡核算工作的通知（苏环办〔2026〕26号）</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4.江苏省城镇区域水污染物平衡核算方法（试行）</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lang w:val="en-US" w:eastAsia="zh-CN"/>
        </w:rPr>
        <w:t xml:space="preserve">3</w:t>
      </w:r>
      <w:r>
        <w:rPr>
          <w:rFonts w:hint="eastAsia" w:ascii="仿宋" w:hAnsi="仿宋" w:eastAsia="仿宋"/>
          <w:bCs/>
          <w:sz w:val="28"/>
          <w:szCs w:val="28"/>
          <w:highlight w:val="none"/>
          <w:lang w:eastAsia="zh-CN"/>
        </w:rPr>
        <w:t xml:space="preserve">）项目内容</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1.以县、区城市规划区、产城融合的省级以上工业园区，以及乡镇（街道）规划区为核算区域，以集中式污水处理厂收集范围为基本核算单元，通过数据收集与抽样检测分析等方式，系统核算区域内工业废水、生活污水、畜禽养殖废水的水污染物（化学需氧量）排放集中收集总量及削减总量，有效评估区域主要水污染物收集处理能力及处理量缺口。分别编制2025年度城市、乡镇区域水污染物平衡县（区）核算报告。</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2.通过基础原始数据审核、数据间逻辑合理性分析、现场抽查抽测等方式，确保核算基础数据真实性和准确性，评估2025年度淮安市城市、乡镇生活污水集中收集处理率，分别编制城镇、乡镇区域水污染物平衡市级审核评估报告。针对收集率没有显著提升甚至滑坡的核算单元，系统分析污水处理厂和雨污水管网存在的问题，重点评价工程措施的有效性，提出具体建议和解决方案。</w:t>
      </w:r>
      <w:r>
        <w:rPr>
          <w:rFonts w:hint="eastAsia" w:ascii="仿宋" w:hAnsi="仿宋" w:eastAsia="仿宋"/>
          <w:bCs/>
          <w:sz w:val="28"/>
          <w:szCs w:val="28"/>
          <w:highlight w:val="none"/>
          <w:lang w:eastAsia="zh-CN"/>
        </w:rPr>
      </w:r>
      <w:r/>
    </w:p>
    <w:p>
      <w:pPr>
        <w:pStyle w:val="669"/>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四、</w:t>
      </w:r>
      <w:r>
        <w:rPr>
          <w:rFonts w:hint="eastAsia" w:ascii="仿宋" w:hAnsi="仿宋" w:eastAsia="仿宋"/>
          <w:bCs/>
          <w:sz w:val="28"/>
          <w:szCs w:val="28"/>
          <w:highlight w:val="none"/>
          <w:lang w:eastAsia="zh-CN"/>
        </w:rPr>
        <w:t xml:space="preserve">工作量清单</w:t>
      </w:r>
      <w:r>
        <w:rPr>
          <w:rFonts w:hint="eastAsia" w:ascii="仿宋" w:hAnsi="仿宋" w:eastAsia="仿宋"/>
          <w:bCs/>
          <w:sz w:val="28"/>
          <w:szCs w:val="28"/>
          <w:highlight w:val="none"/>
          <w:lang w:eastAsia="zh-CN"/>
        </w:rPr>
      </w:r>
      <w:r/>
    </w:p>
    <w:tbl>
      <w:tblPr>
        <w:tblW w:w="975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334"/>
        <w:gridCol w:w="1316"/>
        <w:gridCol w:w="1316"/>
        <w:gridCol w:w="1316"/>
        <w:gridCol w:w="3692"/>
      </w:tblGrid>
      <w:tr>
        <w:trPr>
          <w:tblHeade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序号</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县区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城市核算</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乡镇核算</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审核评估</w:t>
            </w: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keepLines w:val="0"/>
              <w:keepNext w:val="0"/>
              <w:widowControl/>
              <w:rPr>
                <w:rFonts w:hint="eastAsia"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成果要求</w:t>
            </w:r>
            <w:r>
              <w:rPr>
                <w:rFonts w:hint="eastAsia"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1</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经开区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核算成果1套（城市）</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2</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清江浦区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3</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淮安区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4</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淮阴区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核算成果1套（城市）</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5</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洪泽区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6</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涟水县</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7</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盱眙县</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8</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金湖县</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核算成果2套（城市、乡镇）</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9</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工业园区</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核算成果1套（城市）</w:t>
            </w:r>
            <w:r>
              <w:rPr>
                <w:rFonts w:ascii="仿宋" w:hAnsi="仿宋" w:eastAsia="仿宋" w:cs="Times New Roman"/>
                <w:bCs/>
                <w:sz w:val="28"/>
                <w:szCs w:val="28"/>
                <w:highlight w:val="none"/>
                <w:lang w:val="en-US" w:eastAsia="zh-CN" w:bidi="ar-SA"/>
              </w:rPr>
            </w:r>
            <w:r/>
          </w:p>
        </w:tc>
      </w:tr>
      <w:tr>
        <w:trPr/>
        <w:tc>
          <w:tcPr>
            <w:tcW w:w="783"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ascii="仿宋" w:hAnsi="仿宋" w:eastAsia="仿宋" w:cs="Times New Roman"/>
                <w:bCs/>
                <w:sz w:val="28"/>
                <w:szCs w:val="28"/>
                <w:highlight w:val="none"/>
                <w:lang w:val="en-US" w:eastAsia="zh-CN" w:bidi="ar-SA"/>
              </w:rPr>
              <w:t xml:space="preserve">10</w:t>
            </w:r>
            <w:r>
              <w:rPr>
                <w:rFonts w:ascii="仿宋" w:hAnsi="仿宋" w:eastAsia="仿宋" w:cs="Times New Roman"/>
                <w:bCs/>
                <w:sz w:val="28"/>
                <w:szCs w:val="28"/>
                <w:highlight w:val="none"/>
                <w:lang w:val="en-US" w:eastAsia="zh-CN" w:bidi="ar-SA"/>
              </w:rPr>
            </w:r>
            <w:r/>
          </w:p>
        </w:tc>
        <w:tc>
          <w:tcPr>
            <w:tcW w:w="1334"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市本级</w:t>
            </w: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rPr>
                <w:rFonts w:ascii="仿宋" w:hAnsi="仿宋" w:eastAsia="仿宋" w:cs="Times New Roman"/>
                <w:bCs/>
                <w:sz w:val="28"/>
                <w:szCs w:val="28"/>
                <w:highlight w:val="none"/>
                <w:lang w:val="en-US" w:eastAsia="zh-CN" w:bidi="ar-SA"/>
              </w:rPr>
            </w:pPr>
            <w:r>
              <w:rPr>
                <w:rFonts w:ascii="仿宋" w:hAnsi="仿宋" w:eastAsia="仿宋" w:cs="Times New Roman"/>
                <w:bCs/>
                <w:sz w:val="28"/>
                <w:szCs w:val="28"/>
                <w:highlight w:val="none"/>
                <w:lang w:val="en-US" w:eastAsia="zh-CN" w:bidi="ar-SA"/>
              </w:rPr>
            </w:r>
            <w:r/>
          </w:p>
        </w:tc>
        <w:tc>
          <w:tcPr>
            <w:tcW w:w="1316"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w:t>
            </w:r>
            <w:r>
              <w:rPr>
                <w:rFonts w:ascii="仿宋" w:hAnsi="仿宋" w:eastAsia="仿宋" w:cs="Times New Roman"/>
                <w:bCs/>
                <w:sz w:val="28"/>
                <w:szCs w:val="28"/>
                <w:highlight w:val="none"/>
                <w:lang w:val="en-US" w:eastAsia="zh-CN" w:bidi="ar-SA"/>
              </w:rPr>
            </w:r>
            <w:r/>
          </w:p>
        </w:tc>
        <w:tc>
          <w:tcPr>
            <w:tcW w:w="3692" w:type="dxa"/>
            <w:vAlign w:val="center"/>
            <w:textDirection w:val="lrTb"/>
            <w:noWrap/>
          </w:tcPr>
          <w:p>
            <w:pPr>
              <w:pStyle w:val="655"/>
              <w:ind w:left="0" w:right="0" w:firstLine="0"/>
              <w:jc w:val="center"/>
              <w:keepLines w:val="0"/>
              <w:keepNext w:val="0"/>
              <w:widowControl/>
              <w:rPr>
                <w:rFonts w:ascii="仿宋" w:hAnsi="仿宋" w:eastAsia="仿宋" w:cs="Times New Roman"/>
                <w:bCs/>
                <w:sz w:val="28"/>
                <w:szCs w:val="28"/>
                <w:highlight w:val="none"/>
                <w:lang w:val="en-US" w:eastAsia="zh-CN" w:bidi="ar-SA"/>
              </w:rPr>
              <w:suppressLineNumbers w:val="0"/>
            </w:pPr>
            <w:r>
              <w:rPr>
                <w:rFonts w:hint="eastAsia" w:ascii="仿宋" w:hAnsi="仿宋" w:eastAsia="仿宋" w:cs="Times New Roman"/>
                <w:bCs/>
                <w:sz w:val="28"/>
                <w:szCs w:val="28"/>
                <w:highlight w:val="none"/>
                <w:lang w:val="en-US" w:eastAsia="zh-CN" w:bidi="ar-SA"/>
              </w:rPr>
              <w:t xml:space="preserve">评估成果2套（城市、乡镇）</w:t>
            </w:r>
            <w:r>
              <w:rPr>
                <w:rFonts w:ascii="仿宋" w:hAnsi="仿宋" w:eastAsia="仿宋" w:cs="Times New Roman"/>
                <w:bCs/>
                <w:sz w:val="28"/>
                <w:szCs w:val="28"/>
                <w:highlight w:val="none"/>
                <w:lang w:val="en-US" w:eastAsia="zh-CN" w:bidi="ar-SA"/>
              </w:rPr>
            </w:r>
            <w:r/>
          </w:p>
        </w:tc>
      </w:tr>
    </w:tbl>
    <w:p>
      <w:pPr>
        <w:pStyle w:val="669"/>
        <w:spacing w:line="520" w:lineRule="exact"/>
        <w:rPr>
          <w:rFonts w:hint="eastAsia" w:ascii="仿宋" w:hAnsi="仿宋" w:eastAsia="仿宋"/>
          <w:bCs/>
          <w:sz w:val="28"/>
          <w:szCs w:val="28"/>
          <w:highlight w:val="none"/>
          <w:lang w:eastAsia="zh-CN"/>
        </w:rPr>
      </w:pPr>
      <w:r>
        <w:rPr>
          <w:rFonts w:ascii="Times New Roman" w:hAnsi="Times New Roman" w:eastAsia="仿宋" w:cs="Times New Roman"/>
          <w:bCs/>
          <w:color w:val="000000"/>
          <w:sz w:val="28"/>
          <w:szCs w:val="28"/>
          <w:highlight w:val="none"/>
        </w:rPr>
        <w:t xml:space="preserve">★</w:t>
      </w:r>
      <w:r>
        <w:rPr>
          <w:rFonts w:hint="eastAsia" w:ascii="仿宋" w:hAnsi="仿宋" w:eastAsia="仿宋"/>
          <w:bCs/>
          <w:sz w:val="28"/>
          <w:szCs w:val="28"/>
          <w:highlight w:val="none"/>
        </w:rPr>
        <w:t xml:space="preserve">五、</w:t>
      </w:r>
      <w:r>
        <w:rPr>
          <w:rFonts w:hint="eastAsia" w:ascii="仿宋" w:hAnsi="仿宋" w:eastAsia="仿宋"/>
          <w:bCs/>
          <w:sz w:val="28"/>
          <w:szCs w:val="28"/>
          <w:highlight w:val="none"/>
          <w:lang w:eastAsia="zh-CN"/>
        </w:rPr>
        <w:t xml:space="preserve">人员要求</w:t>
      </w:r>
      <w:r>
        <w:rPr>
          <w:rFonts w:hint="eastAsia" w:ascii="仿宋" w:hAnsi="仿宋" w:eastAsia="仿宋"/>
          <w:bCs/>
          <w:sz w:val="28"/>
          <w:szCs w:val="28"/>
          <w:highlight w:val="none"/>
          <w:lang w:eastAsia="zh-CN"/>
        </w:rPr>
      </w:r>
      <w:r/>
    </w:p>
    <w:p>
      <w:pPr>
        <w:pStyle w:val="669"/>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rPr>
        <w:t xml:space="preserve">供应商针对本项目配备</w:t>
      </w:r>
      <w:r>
        <w:rPr>
          <w:rFonts w:hint="eastAsia" w:ascii="仿宋" w:hAnsi="仿宋" w:eastAsia="仿宋"/>
          <w:bCs/>
          <w:sz w:val="28"/>
          <w:szCs w:val="28"/>
          <w:highlight w:val="none"/>
          <w:lang w:val="en-US" w:eastAsia="zh-CN"/>
        </w:rPr>
        <w:t xml:space="preserve">1名</w:t>
      </w:r>
      <w:r>
        <w:rPr>
          <w:rFonts w:hint="eastAsia" w:ascii="仿宋" w:hAnsi="仿宋" w:eastAsia="仿宋"/>
          <w:bCs/>
          <w:sz w:val="28"/>
          <w:szCs w:val="28"/>
          <w:highlight w:val="none"/>
        </w:rPr>
        <w:t xml:space="preserve">项目负责人</w:t>
      </w:r>
      <w:r>
        <w:rPr>
          <w:rFonts w:hint="eastAsia" w:ascii="仿宋" w:hAnsi="仿宋" w:eastAsia="仿宋"/>
          <w:bCs/>
          <w:sz w:val="28"/>
          <w:szCs w:val="28"/>
          <w:highlight w:val="none"/>
          <w:lang w:eastAsia="zh-CN"/>
        </w:rPr>
        <w:t xml:space="preserve">，负责项目整体管理和统筹协调。另还需对</w:t>
      </w:r>
      <w:r>
        <w:rPr>
          <w:rFonts w:hint="eastAsia" w:ascii="仿宋" w:hAnsi="仿宋" w:eastAsia="仿宋"/>
          <w:bCs/>
          <w:sz w:val="28"/>
          <w:szCs w:val="28"/>
          <w:highlight w:val="none"/>
        </w:rPr>
        <w:t xml:space="preserve">市局和各驻县（区）生态环境局（分局）配备专业技术人员</w:t>
      </w:r>
      <w:r>
        <w:rPr>
          <w:rFonts w:hint="eastAsia" w:ascii="仿宋" w:hAnsi="仿宋" w:eastAsia="仿宋"/>
          <w:bCs/>
          <w:sz w:val="28"/>
          <w:szCs w:val="28"/>
          <w:highlight w:val="none"/>
          <w:lang w:eastAsia="zh-CN"/>
        </w:rPr>
        <w:t xml:space="preserve">提供服务（非驻场）</w:t>
      </w:r>
      <w:r>
        <w:rPr>
          <w:rFonts w:hint="eastAsia" w:ascii="仿宋" w:hAnsi="仿宋" w:eastAsia="仿宋"/>
          <w:bCs/>
          <w:sz w:val="28"/>
          <w:szCs w:val="28"/>
          <w:highlight w:val="none"/>
        </w:rPr>
        <w:t xml:space="preserve">。在履约过程中，磋商响应时提供的具有相关资质的人员有岗位调整或者离职的，成交供应商应当及时向采购人报备，并提供新的符合条件人员。</w:t>
      </w:r>
      <w:r>
        <w:rPr>
          <w:rFonts w:hint="eastAsia" w:ascii="仿宋" w:hAnsi="仿宋" w:eastAsia="仿宋"/>
          <w:b/>
          <w:bCs w:val="0"/>
          <w:sz w:val="28"/>
          <w:szCs w:val="28"/>
          <w:highlight w:val="none"/>
          <w:lang w:eastAsia="zh-CN"/>
        </w:rPr>
        <w:t xml:space="preserve">（提供承诺函格式自拟，加盖供应商电子签章，未提供或提供不全的作无效响应文件处理）</w:t>
      </w:r>
      <w:r>
        <w:rPr>
          <w:rFonts w:hint="eastAsia" w:ascii="仿宋" w:hAnsi="仿宋" w:eastAsia="仿宋"/>
          <w:bCs/>
          <w:sz w:val="28"/>
          <w:szCs w:val="28"/>
          <w:highlight w:val="none"/>
          <w:lang w:eastAsia="zh-CN"/>
        </w:rPr>
      </w:r>
      <w:r/>
    </w:p>
    <w:p>
      <w:pPr>
        <w:pStyle w:val="669"/>
        <w:numPr>
          <w:ilvl w:val="0"/>
          <w:numId w:val="4"/>
        </w:numPr>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其他需要说明的情况</w:t>
      </w:r>
      <w:r>
        <w:rPr>
          <w:rFonts w:hint="eastAsia" w:ascii="仿宋" w:hAnsi="仿宋" w:eastAsia="仿宋"/>
          <w:bCs/>
          <w:sz w:val="28"/>
          <w:szCs w:val="28"/>
          <w:highlight w:val="none"/>
          <w:lang w:eastAsia="zh-CN"/>
        </w:rPr>
      </w:r>
      <w:r/>
    </w:p>
    <w:p>
      <w:pPr>
        <w:pStyle w:val="669"/>
        <w:numPr>
          <w:ilvl w:val="0"/>
          <w:numId w:val="0"/>
        </w:numPr>
        <w:ind w:firstLine="560"/>
        <w:jc w:val="both"/>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本项目预算金额为</w:t>
      </w:r>
      <w:r>
        <w:rPr>
          <w:rFonts w:ascii="Times New Roman" w:hAnsi="Times New Roman" w:eastAsia="仿宋" w:cs="Times New Roman"/>
          <w:color w:val="000000"/>
          <w:sz w:val="28"/>
          <w:szCs w:val="28"/>
          <w:highlight w:val="none"/>
          <w:lang w:val="zh-CN"/>
        </w:rPr>
        <w:t xml:space="preserve">人民币</w:t>
      </w:r>
      <w:r>
        <w:rPr>
          <w:rFonts w:ascii="Times New Roman" w:hAnsi="Times New Roman" w:eastAsia="仿宋" w:cs="Times New Roman"/>
          <w:color w:val="000000"/>
          <w:sz w:val="28"/>
          <w:szCs w:val="28"/>
          <w:highlight w:val="none"/>
          <w:lang w:val="en-US" w:eastAsia="zh-CN"/>
        </w:rPr>
        <w:t xml:space="preserve">111</w:t>
      </w:r>
      <w:r>
        <w:rPr>
          <w:rFonts w:ascii="Times New Roman" w:hAnsi="Times New Roman" w:eastAsia="仿宋" w:cs="Times New Roman"/>
          <w:color w:val="000000"/>
          <w:sz w:val="28"/>
          <w:szCs w:val="28"/>
          <w:highlight w:val="none"/>
          <w:lang w:val="zh-CN"/>
        </w:rPr>
        <w:t xml:space="preserve">万元［其中市本级15万元（</w:t>
      </w:r>
      <w:r>
        <w:rPr>
          <w:rFonts w:ascii="Times New Roman" w:hAnsi="Times New Roman" w:eastAsia="仿宋" w:cs="Times New Roman"/>
          <w:color w:val="000000"/>
          <w:sz w:val="28"/>
          <w:szCs w:val="28"/>
          <w:highlight w:val="none"/>
          <w:lang w:val="en-US" w:eastAsia="zh-CN"/>
        </w:rPr>
        <w:t xml:space="preserve">13.51%</w:t>
      </w:r>
      <w:r>
        <w:rPr>
          <w:rFonts w:ascii="Times New Roman" w:hAnsi="Times New Roman" w:eastAsia="仿宋" w:cs="Times New Roman"/>
          <w:color w:val="000000"/>
          <w:sz w:val="28"/>
          <w:szCs w:val="28"/>
          <w:highlight w:val="none"/>
          <w:lang w:val="zh-CN"/>
        </w:rPr>
        <w:t xml:space="preserve">），经开区、工业园区、淮阴区等3个区各8万元（各占</w:t>
      </w:r>
      <w:r>
        <w:rPr>
          <w:rFonts w:ascii="Times New Roman" w:hAnsi="Times New Roman" w:eastAsia="仿宋" w:cs="Times New Roman"/>
          <w:color w:val="000000"/>
          <w:sz w:val="28"/>
          <w:szCs w:val="28"/>
          <w:highlight w:val="none"/>
          <w:lang w:val="en-US" w:eastAsia="zh-CN"/>
        </w:rPr>
        <w:t xml:space="preserve">7.21%</w:t>
      </w:r>
      <w:r>
        <w:rPr>
          <w:rFonts w:ascii="Times New Roman" w:hAnsi="Times New Roman" w:eastAsia="仿宋" w:cs="Times New Roman"/>
          <w:color w:val="000000"/>
          <w:sz w:val="28"/>
          <w:szCs w:val="28"/>
          <w:highlight w:val="none"/>
          <w:lang w:val="zh-CN"/>
        </w:rPr>
        <w:t xml:space="preserve">），清江浦区、淮安区、洪泽区、涟水县、金湖县、盱眙县等6个县区各12万元（各占</w:t>
      </w:r>
      <w:r>
        <w:rPr>
          <w:rFonts w:ascii="Times New Roman" w:hAnsi="Times New Roman" w:eastAsia="仿宋" w:cs="Times New Roman"/>
          <w:color w:val="000000"/>
          <w:sz w:val="28"/>
          <w:szCs w:val="28"/>
          <w:highlight w:val="none"/>
          <w:lang w:val="en-US" w:eastAsia="zh-CN"/>
        </w:rPr>
        <w:t xml:space="preserve">10.81%</w:t>
      </w:r>
      <w:r>
        <w:rPr>
          <w:rFonts w:ascii="Times New Roman" w:hAnsi="Times New Roman" w:eastAsia="仿宋" w:cs="Times New Roman"/>
          <w:color w:val="000000"/>
          <w:sz w:val="28"/>
          <w:szCs w:val="28"/>
          <w:highlight w:val="none"/>
          <w:lang w:val="zh-CN"/>
        </w:rPr>
        <w:t xml:space="preserve">）］</w:t>
      </w:r>
      <w:r>
        <w:rPr>
          <w:rFonts w:hint="eastAsia" w:ascii="Times New Roman" w:hAnsi="Times New Roman" w:eastAsia="仿宋" w:cs="Times New Roman"/>
          <w:color w:val="000000"/>
          <w:sz w:val="28"/>
          <w:szCs w:val="28"/>
          <w:highlight w:val="none"/>
          <w:lang w:val="zh-CN"/>
        </w:rPr>
        <w:t xml:space="preserve">。</w:t>
      </w:r>
      <w:r>
        <w:rPr>
          <w:rFonts w:hint="eastAsia" w:ascii="仿宋" w:hAnsi="仿宋" w:eastAsia="仿宋"/>
          <w:bCs/>
          <w:sz w:val="28"/>
          <w:szCs w:val="28"/>
          <w:highlight w:val="none"/>
          <w:lang w:eastAsia="zh-CN"/>
        </w:rPr>
        <w:t xml:space="preserve">按照《淮安市生态环境系统第三方服务项目市级统一集中采购管理办法（试行）》有关规定，本项目由淮安市生态环境局统一组织招标采购，确定中标供应商及服务价格、服务规范。根据管理权限，分别由市局和各驻县（区）生态环境局（分局）作为实施主体，按照预算金额占比，依法签订合同、履约管理、验收考核、支付资金。</w:t>
      </w:r>
      <w:r>
        <w:rPr>
          <w:rFonts w:hint="eastAsia" w:ascii="仿宋" w:hAnsi="仿宋" w:eastAsia="仿宋"/>
          <w:bCs/>
          <w:sz w:val="28"/>
          <w:szCs w:val="28"/>
          <w:highlight w:val="none"/>
          <w:lang w:eastAsia="zh-CN"/>
        </w:rPr>
      </w:r>
      <w:r/>
    </w:p>
    <w:p>
      <w:pPr>
        <w:pStyle w:val="669"/>
        <w:numPr>
          <w:ilvl w:val="0"/>
          <w:numId w:val="4"/>
        </w:numPr>
        <w:spacing w:line="520" w:lineRule="exact"/>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履约验收基本要求</w:t>
      </w:r>
      <w:r>
        <w:rPr>
          <w:rFonts w:hint="eastAsia" w:ascii="仿宋" w:hAnsi="仿宋" w:eastAsia="仿宋"/>
          <w:bCs/>
          <w:sz w:val="28"/>
          <w:szCs w:val="28"/>
          <w:highlight w:val="none"/>
          <w:lang w:eastAsia="zh-CN"/>
        </w:rPr>
      </w:r>
      <w:r/>
    </w:p>
    <w:p>
      <w:pPr>
        <w:pStyle w:val="669"/>
        <w:numPr>
          <w:ilvl w:val="0"/>
          <w:numId w:val="0"/>
        </w:numPr>
        <w:ind w:firstLine="560"/>
        <w:keepLines w:val="0"/>
        <w:keepNext w:val="0"/>
        <w:pageBreakBefore w:val="0"/>
        <w:spacing w:line="52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 xml:space="preserve">2026年6月底前，完成各县（区）城市、乡镇区域水污染物平衡核算，编制9本城市区域核算报告、6本乡镇区域核算报告；完成城市、乡镇区域水污染物平衡核算市级汇总审核和评估报告编制，并上报省生态环境厅审核；最终成果应全面满足本项目技术规范要求与质量目标；在服务时间内，供应商应做到快速响应和长期跟踪服务。</w:t>
      </w:r>
      <w:r>
        <w:rPr>
          <w:rFonts w:hint="eastAsia" w:ascii="仿宋" w:hAnsi="仿宋" w:eastAsia="仿宋"/>
          <w:bCs/>
          <w:sz w:val="28"/>
          <w:szCs w:val="28"/>
          <w:highlight w:val="none"/>
          <w:lang w:eastAsia="zh-CN"/>
        </w:rPr>
      </w:r>
      <w:r/>
    </w:p>
    <w:p>
      <w:pPr>
        <w:pStyle w:val="669"/>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lang w:eastAsia="zh-CN"/>
        </w:rPr>
        <w:t xml:space="preserve">八、</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（一）</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时间:合同签订之日起至2027年6月底。</w:t>
      </w:r>
      <w:r>
        <w:rPr>
          <w:rFonts w:hint="eastAsia" w:ascii="仿宋" w:hAnsi="仿宋" w:eastAsia="仿宋"/>
          <w:sz w:val="28"/>
          <w:szCs w:val="28"/>
          <w:highlight w:val="none"/>
        </w:rPr>
      </w:r>
      <w:r/>
    </w:p>
    <w:p>
      <w:pPr>
        <w:pStyle w:val="655"/>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（二）</w:t>
      </w:r>
      <w:r>
        <w:rPr>
          <w:rFonts w:hint="eastAsia" w:ascii="仿宋" w:hAnsi="仿宋" w:eastAsia="仿宋"/>
          <w:sz w:val="28"/>
          <w:szCs w:val="28"/>
          <w:highlight w:val="none"/>
          <w:lang w:eastAsia="zh-CN"/>
        </w:rPr>
        <w:t xml:space="preserve">服务</w:t>
      </w:r>
      <w:r>
        <w:rPr>
          <w:rFonts w:hint="eastAsia" w:ascii="仿宋" w:hAnsi="仿宋" w:eastAsia="仿宋"/>
          <w:sz w:val="28"/>
          <w:szCs w:val="28"/>
          <w:highlight w:val="none"/>
        </w:rPr>
        <w:t xml:space="preserve">地点:由采购人指定。</w:t>
      </w:r>
      <w:r>
        <w:rPr>
          <w:rFonts w:hint="eastAsia" w:ascii="仿宋" w:hAnsi="仿宋" w:eastAsia="仿宋"/>
          <w:sz w:val="28"/>
          <w:szCs w:val="28"/>
          <w:highlight w:val="none"/>
        </w:rPr>
      </w:r>
      <w:r/>
    </w:p>
    <w:p>
      <w:pPr>
        <w:pStyle w:val="655"/>
        <w:spacing w:line="520" w:lineRule="exact"/>
        <w:rPr>
          <w:rFonts w:ascii="Times New Roman" w:hAnsi="Times New Roman" w:eastAsia="仿宋" w:cs="Times New Roman"/>
          <w:bCs/>
          <w:color w:val="000000"/>
          <w:sz w:val="28"/>
          <w:szCs w:val="28"/>
          <w:highlight w:val="none"/>
          <w:lang w:val="en-US" w:eastAsia="zh-CN"/>
        </w:rPr>
      </w:pPr>
      <w:r>
        <w:rPr>
          <w:rFonts w:hint="eastAsia" w:ascii="仿宋" w:hAnsi="仿宋" w:eastAsia="仿宋"/>
          <w:sz w:val="28"/>
          <w:szCs w:val="28"/>
          <w:highlight w:val="none"/>
        </w:rPr>
        <w:t xml:space="preserve">（三）付款方式:</w:t>
      </w:r>
      <w:r>
        <w:rPr>
          <w:rFonts w:ascii="Times New Roman" w:hAnsi="Times New Roman" w:eastAsia="仿宋" w:cs="Times New Roman"/>
          <w:bCs/>
          <w:color w:val="000000"/>
          <w:sz w:val="28"/>
          <w:szCs w:val="28"/>
          <w:highlight w:val="none"/>
          <w:lang w:val="en-US" w:eastAsia="zh-CN"/>
        </w:rPr>
        <w:t xml:space="preserve">完成2025年度城市、乡镇区域水污染物平衡核算市级审核，完成评估报告，按照省级时间要求及时提交相关成果，通过采购人组织的专家审查并修改完善后30日内，采购人向成交人支付2.5万元；项目成果通过采购人组织的验收合格后30日内，采购人向成交人支付剩余合同款。</w:t>
      </w:r>
      <w:r>
        <w:rPr>
          <w:rFonts w:ascii="Times New Roman" w:hAnsi="Times New Roman" w:eastAsia="仿宋" w:cs="Times New Roman"/>
          <w:bCs/>
          <w:color w:val="000000"/>
          <w:sz w:val="28"/>
          <w:szCs w:val="28"/>
          <w:highlight w:val="none"/>
          <w:lang w:val="en-US" w:eastAsia="zh-CN"/>
        </w:rPr>
      </w:r>
      <w:r/>
    </w:p>
    <w:p>
      <w:pPr>
        <w:pStyle w:val="655"/>
        <w:ind w:firstLine="560"/>
        <w:keepLines w:val="0"/>
        <w:keepNext w:val="0"/>
        <w:pageBreakBefore w:val="0"/>
        <w:spacing w:line="520" w:lineRule="exact"/>
        <w:widowControl w:val="off"/>
        <w:rPr>
          <w:rFonts w:hint="eastAsia" w:ascii="Times New Roman" w:hAnsi="Times New Roman" w:eastAsia="仿宋" w:cs="Times New Roman"/>
          <w:bCs/>
          <w:color w:val="000000"/>
          <w:sz w:val="28"/>
          <w:szCs w:val="28"/>
          <w:highlight w:val="none"/>
          <w:lang w:val="en-US" w:eastAsia="zh-CN"/>
        </w:rPr>
      </w:pPr>
      <w:r>
        <w:rPr>
          <w:rFonts w:hint="eastAsia" w:ascii="Times New Roman" w:hAnsi="Times New Roman" w:eastAsia="仿宋" w:cs="Times New Roman"/>
          <w:bCs/>
          <w:color w:val="000000"/>
          <w:sz w:val="28"/>
          <w:szCs w:val="28"/>
          <w:highlight w:val="none"/>
          <w:lang w:val="en-US" w:eastAsia="zh-CN"/>
        </w:rPr>
        <w:t xml:space="preserve">注：1、本付款方式为市本级项目付款方式，县区（园区）项目付款方式由各县区（园区）生态环境部门和成交供应商另行约定；</w:t>
      </w:r>
      <w:r>
        <w:rPr>
          <w:rFonts w:hint="eastAsia" w:ascii="Times New Roman" w:hAnsi="Times New Roman" w:eastAsia="仿宋" w:cs="Times New Roman"/>
          <w:bCs/>
          <w:color w:val="000000"/>
          <w:sz w:val="28"/>
          <w:szCs w:val="28"/>
          <w:highlight w:val="none"/>
          <w:lang w:val="en-US" w:eastAsia="zh-CN"/>
        </w:rPr>
      </w:r>
      <w:r/>
    </w:p>
    <w:p>
      <w:pPr>
        <w:pStyle w:val="655"/>
        <w:ind w:firstLine="560"/>
        <w:keepLines w:val="0"/>
        <w:keepNext w:val="0"/>
        <w:pageBreakBefore w:val="0"/>
        <w:spacing w:line="520" w:lineRule="exact"/>
        <w:widowControl w:val="off"/>
        <w:rPr>
          <w:rFonts w:ascii="Times New Roman" w:hAnsi="Times New Roman" w:eastAsia="仿宋" w:cs="Times New Roman"/>
          <w:bCs/>
          <w:color w:val="000000"/>
          <w:sz w:val="28"/>
          <w:szCs w:val="28"/>
          <w:highlight w:val="none"/>
          <w:lang w:val="en-US" w:eastAsia="zh-CN"/>
        </w:rPr>
      </w:pPr>
      <w:r>
        <w:rPr>
          <w:rFonts w:hint="eastAsia" w:ascii="Times New Roman" w:hAnsi="Times New Roman" w:eastAsia="仿宋" w:cs="Times New Roman"/>
          <w:bCs/>
          <w:color w:val="000000"/>
          <w:sz w:val="28"/>
          <w:szCs w:val="28"/>
          <w:highlight w:val="none"/>
          <w:lang w:val="en-US" w:eastAsia="zh-CN"/>
        </w:rPr>
        <w:t xml:space="preserve">2、</w:t>
      </w:r>
      <w:r>
        <w:rPr>
          <w:rFonts w:ascii="Times New Roman" w:hAnsi="Times New Roman" w:eastAsia="仿宋" w:cs="Times New Roman"/>
          <w:bCs/>
          <w:color w:val="000000"/>
          <w:sz w:val="28"/>
          <w:szCs w:val="28"/>
          <w:highlight w:val="none"/>
          <w:lang w:eastAsia="zh-CN"/>
        </w:rPr>
        <w:t xml:space="preserve">采购人每期</w:t>
      </w:r>
      <w:r>
        <w:rPr>
          <w:rFonts w:ascii="Times New Roman" w:hAnsi="Times New Roman" w:eastAsia="仿宋" w:cs="Times New Roman"/>
          <w:bCs/>
          <w:color w:val="000000"/>
          <w:sz w:val="28"/>
          <w:szCs w:val="28"/>
          <w:highlight w:val="none"/>
        </w:rPr>
        <w:t xml:space="preserve">付款</w:t>
      </w:r>
      <w:r>
        <w:rPr>
          <w:rFonts w:hint="eastAsia" w:eastAsia="仿宋" w:cs="Times New Roman"/>
          <w:bCs/>
          <w:color w:val="000000"/>
          <w:sz w:val="28"/>
          <w:szCs w:val="28"/>
          <w:highlight w:val="none"/>
          <w:lang w:eastAsia="zh-CN"/>
        </w:rPr>
        <w:t xml:space="preserve">前</w:t>
      </w:r>
      <w:r>
        <w:rPr>
          <w:rFonts w:ascii="Times New Roman" w:hAnsi="Times New Roman" w:eastAsia="仿宋" w:cs="Times New Roman"/>
          <w:bCs/>
          <w:color w:val="000000"/>
          <w:sz w:val="28"/>
          <w:szCs w:val="28"/>
          <w:highlight w:val="none"/>
        </w:rPr>
        <w:t xml:space="preserve">，</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须</w:t>
      </w:r>
      <w:r>
        <w:rPr>
          <w:rFonts w:ascii="Times New Roman" w:hAnsi="Times New Roman" w:eastAsia="仿宋" w:cs="Times New Roman"/>
          <w:bCs/>
          <w:color w:val="000000"/>
          <w:sz w:val="28"/>
          <w:szCs w:val="28"/>
          <w:highlight w:val="none"/>
          <w:lang w:eastAsia="zh-CN"/>
        </w:rPr>
        <w:t xml:space="preserve">向采购人</w:t>
      </w:r>
      <w:r>
        <w:rPr>
          <w:rFonts w:ascii="Times New Roman" w:hAnsi="Times New Roman" w:eastAsia="仿宋" w:cs="Times New Roman"/>
          <w:bCs/>
          <w:color w:val="000000"/>
          <w:sz w:val="28"/>
          <w:szCs w:val="28"/>
          <w:highlight w:val="none"/>
        </w:rPr>
        <w:t xml:space="preserve">提供正规发票，因发票问题而导致无法正常付款的，责任由</w:t>
      </w:r>
      <w:r>
        <w:rPr>
          <w:rFonts w:ascii="Times New Roman" w:hAnsi="Times New Roman" w:eastAsia="仿宋" w:cs="Times New Roman"/>
          <w:bCs/>
          <w:color w:val="000000"/>
          <w:sz w:val="28"/>
          <w:szCs w:val="28"/>
          <w:highlight w:val="none"/>
          <w:lang w:eastAsia="zh-CN"/>
        </w:rPr>
        <w:t xml:space="preserve">成交供应商</w:t>
      </w:r>
      <w:r>
        <w:rPr>
          <w:rFonts w:ascii="Times New Roman" w:hAnsi="Times New Roman" w:eastAsia="仿宋" w:cs="Times New Roman"/>
          <w:bCs/>
          <w:color w:val="000000"/>
          <w:sz w:val="28"/>
          <w:szCs w:val="28"/>
          <w:highlight w:val="none"/>
        </w:rPr>
        <w:t xml:space="preserve">自己承担。</w:t>
      </w:r>
      <w:r>
        <w:rPr>
          <w:rFonts w:ascii="Times New Roman" w:hAnsi="Times New Roman" w:eastAsia="仿宋" w:cs="Times New Roman"/>
          <w:bCs/>
          <w:color w:val="000000"/>
          <w:sz w:val="28"/>
          <w:szCs w:val="28"/>
          <w:highlight w:val="none"/>
          <w:lang w:val="en-US" w:eastAsia="zh-CN"/>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55"/>
        <w:ind w:firstLine="1749"/>
        <w:spacing w:line="360" w:lineRule="auto"/>
        <w:rPr>
          <w:rFonts w:hint="eastAsia" w:ascii="宋体" w:hAnsi="宋体"/>
          <w:b/>
          <w:bCs/>
          <w:sz w:val="44"/>
          <w:highlight w:val="none"/>
        </w:rPr>
      </w:pPr>
      <w:r>
        <w:rPr>
          <w:rFonts w:hint="eastAsia" w:ascii="宋体" w:hAnsi="宋体"/>
          <w:b/>
          <w:bCs/>
          <w:sz w:val="44"/>
          <w:highlight w:val="none"/>
        </w:rPr>
      </w:r>
      <w:r/>
    </w:p>
    <w:p>
      <w:pPr>
        <w:pStyle w:val="669"/>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669"/>
        <w:ind w:firstLine="2342"/>
        <w:rPr>
          <w:rFonts w:hint="eastAsia" w:ascii="黑体" w:hAnsi="黑体" w:eastAsia="黑体"/>
          <w:b/>
          <w:bCs/>
          <w:sz w:val="36"/>
          <w:szCs w:val="36"/>
          <w:highlight w:val="none"/>
        </w:rPr>
      </w:pPr>
      <w:r>
        <w:rPr>
          <w:rFonts w:hint="eastAsia" w:ascii="黑体" w:hAnsi="黑体" w:eastAsia="黑体"/>
          <w:b/>
          <w:bCs/>
          <w:sz w:val="36"/>
          <w:szCs w:val="36"/>
          <w:highlight w:val="none"/>
        </w:rPr>
        <w:br w:type="page" w:clear="all"/>
      </w:r>
      <w:r>
        <w:rPr>
          <w:rFonts w:hint="eastAsia" w:ascii="黑体" w:hAnsi="黑体" w:eastAsia="黑体"/>
          <w:b/>
          <w:bCs/>
          <w:sz w:val="36"/>
          <w:szCs w:val="36"/>
          <w:highlight w:val="none"/>
        </w:rPr>
        <w:t xml:space="preserve">第六章   响  应  文  件  </w:t>
      </w:r>
      <w:r>
        <w:rPr>
          <w:rFonts w:hint="eastAsia" w:ascii="黑体" w:hAnsi="黑体" w:eastAsia="黑体"/>
          <w:b/>
          <w:bCs/>
          <w:sz w:val="36"/>
          <w:szCs w:val="36"/>
          <w:highlight w:val="none"/>
        </w:rPr>
      </w:r>
      <w:r/>
    </w:p>
    <w:p>
      <w:pPr>
        <w:pStyle w:val="66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669"/>
        <w:rPr>
          <w:rFonts w:hint="eastAsia" w:ascii="黑体" w:hAnsi="黑体" w:eastAsia="黑体"/>
          <w:sz w:val="44"/>
          <w:szCs w:val="44"/>
          <w:highlight w:val="none"/>
        </w:rPr>
      </w:pPr>
      <w:r>
        <w:rPr>
          <w:rFonts w:hint="eastAsia" w:ascii="黑体" w:hAnsi="黑体" w:eastAsia="黑体"/>
          <w:sz w:val="44"/>
          <w:szCs w:val="44"/>
          <w:highlight w:val="none"/>
        </w:rPr>
      </w:r>
      <w:r/>
    </w:p>
    <w:p>
      <w:pPr>
        <w:pStyle w:val="669"/>
        <w:rPr>
          <w:rFonts w:hint="eastAsia" w:ascii="黑体" w:hAnsi="黑体" w:eastAsia="黑体"/>
          <w:sz w:val="32"/>
          <w:highlight w:val="none"/>
        </w:rPr>
      </w:pPr>
      <w:r>
        <w:rPr>
          <w:rFonts w:hint="eastAsia" w:ascii="黑体" w:hAnsi="黑体" w:eastAsia="黑体"/>
          <w:sz w:val="32"/>
          <w:highlight w:val="none"/>
        </w:rPr>
      </w:r>
      <w:r/>
    </w:p>
    <w:p>
      <w:pPr>
        <w:pStyle w:val="669"/>
        <w:rPr>
          <w:rFonts w:hint="eastAsia" w:ascii="黑体" w:hAnsi="黑体" w:eastAsia="黑体"/>
          <w:sz w:val="32"/>
          <w:highlight w:val="none"/>
        </w:rPr>
      </w:pPr>
      <w:r>
        <w:rPr>
          <w:rFonts w:hint="eastAsia" w:ascii="黑体" w:hAnsi="黑体" w:eastAsia="黑体"/>
          <w:sz w:val="32"/>
          <w:highlight w:val="none"/>
        </w:rPr>
      </w:r>
      <w:r/>
    </w:p>
    <w:p>
      <w:pPr>
        <w:pStyle w:val="655"/>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rPr>
          <w:rFonts w:hint="eastAsia" w:ascii="黑体" w:hAnsi="黑体" w:eastAsia="黑体"/>
          <w:b/>
          <w:bCs/>
          <w:sz w:val="36"/>
          <w:highlight w:val="none"/>
        </w:rPr>
      </w:r>
      <w:r/>
    </w:p>
    <w:p>
      <w:pPr>
        <w:pStyle w:val="669"/>
        <w:rPr>
          <w:rFonts w:hint="eastAsia" w:ascii="黑体" w:hAnsi="黑体" w:eastAsia="黑体"/>
          <w:sz w:val="32"/>
          <w:highlight w:val="none"/>
        </w:rPr>
      </w:pPr>
      <w:r>
        <w:rPr>
          <w:rFonts w:hint="eastAsia" w:ascii="黑体" w:hAnsi="黑体" w:eastAsia="黑体"/>
          <w:sz w:val="32"/>
          <w:highlight w:val="none"/>
        </w:rPr>
      </w:r>
      <w:r/>
    </w:p>
    <w:p>
      <w:pPr>
        <w:pStyle w:val="66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669"/>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rPr>
          <w:rFonts w:ascii="黑体" w:hAnsi="黑体" w:eastAsia="黑体"/>
          <w:b/>
          <w:sz w:val="36"/>
          <w:szCs w:val="24"/>
          <w:highlight w:val="none"/>
        </w:rPr>
      </w:r>
      <w:r/>
    </w:p>
    <w:p>
      <w:pPr>
        <w:pStyle w:val="655"/>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5"/>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5"/>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5"/>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5"/>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pStyle w:val="655"/>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rPr>
          <w:rFonts w:hint="eastAsia" w:ascii="黑体" w:hAnsi="黑体" w:eastAsia="黑体"/>
          <w:b/>
          <w:bCs/>
          <w:sz w:val="32"/>
          <w:highlight w:val="none"/>
        </w:rPr>
      </w:r>
      <w:r/>
    </w:p>
    <w:p>
      <w:pPr>
        <w:pStyle w:val="669"/>
        <w:ind w:firstLine="1904"/>
        <w:rPr>
          <w:rFonts w:hint="eastAsia" w:ascii="黑体" w:hAnsi="黑体" w:eastAsia="黑体"/>
          <w:sz w:val="32"/>
          <w:highlight w:val="none"/>
        </w:rPr>
      </w:pPr>
      <w:r>
        <w:rPr>
          <w:rFonts w:hint="eastAsia" w:ascii="黑体" w:hAnsi="黑体" w:eastAsia="黑体"/>
          <w:sz w:val="32"/>
          <w:highlight w:val="none"/>
        </w:rPr>
      </w:r>
      <w:r/>
    </w:p>
    <w:p>
      <w:pPr>
        <w:pStyle w:val="669"/>
        <w:ind w:firstLine="1904"/>
        <w:rPr>
          <w:rFonts w:hint="eastAsia" w:ascii="黑体" w:hAnsi="黑体" w:eastAsia="黑体"/>
          <w:sz w:val="32"/>
          <w:highlight w:val="none"/>
        </w:rPr>
      </w:pPr>
      <w:r>
        <w:rPr>
          <w:rFonts w:hint="eastAsia" w:ascii="黑体" w:hAnsi="黑体" w:eastAsia="黑体"/>
          <w:sz w:val="32"/>
          <w:highlight w:val="none"/>
        </w:rPr>
      </w:r>
      <w:r/>
    </w:p>
    <w:p>
      <w:pPr>
        <w:pStyle w:val="669"/>
        <w:ind w:firstLine="1904"/>
        <w:rPr>
          <w:rFonts w:hint="eastAsia" w:ascii="黑体" w:hAnsi="黑体" w:eastAsia="黑体"/>
          <w:sz w:val="32"/>
          <w:highlight w:val="none"/>
        </w:rPr>
      </w:pPr>
      <w:r>
        <w:rPr>
          <w:rFonts w:hint="eastAsia" w:ascii="黑体" w:hAnsi="黑体" w:eastAsia="黑体"/>
          <w:sz w:val="32"/>
          <w:highlight w:val="none"/>
        </w:rPr>
      </w:r>
      <w:r/>
    </w:p>
    <w:p>
      <w:pPr>
        <w:pStyle w:val="669"/>
        <w:ind w:firstLine="1904"/>
        <w:rPr>
          <w:rFonts w:hint="eastAsia" w:ascii="黑体" w:hAnsi="黑体" w:eastAsia="黑体"/>
          <w:sz w:val="32"/>
          <w:highlight w:val="none"/>
        </w:rPr>
      </w:pPr>
      <w:r>
        <w:rPr>
          <w:rFonts w:hint="eastAsia" w:ascii="黑体" w:hAnsi="黑体" w:eastAsia="黑体"/>
          <w:sz w:val="32"/>
          <w:highlight w:val="none"/>
        </w:rPr>
      </w:r>
      <w:r/>
    </w:p>
    <w:p>
      <w:pPr>
        <w:pStyle w:val="669"/>
        <w:ind w:firstLine="2645"/>
        <w:rPr>
          <w:rFonts w:hint="eastAsia" w:ascii="黑体" w:hAnsi="黑体" w:eastAsia="黑体"/>
          <w:b/>
          <w:sz w:val="32"/>
          <w:highlight w:val="none"/>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    月    日</w:t>
      </w:r>
      <w:r>
        <w:rPr>
          <w:rFonts w:hint="eastAsia" w:ascii="黑体" w:hAnsi="黑体" w:eastAsia="黑体"/>
          <w:b/>
          <w:sz w:val="32"/>
          <w:highlight w:val="none"/>
        </w:rPr>
      </w:r>
      <w:r/>
    </w:p>
    <w:p>
      <w:pPr>
        <w:pStyle w:val="655"/>
        <w:spacing w:line="640" w:lineRule="exact"/>
        <w:rPr>
          <w:rFonts w:hint="eastAsia" w:ascii="宋体" w:hAnsi="宋体"/>
          <w:sz w:val="28"/>
          <w:szCs w:val="28"/>
          <w:highlight w:val="none"/>
        </w:rPr>
      </w:pPr>
      <w:r>
        <w:rPr>
          <w:rFonts w:hint="eastAsia" w:ascii="宋体" w:hAnsi="宋体"/>
          <w:sz w:val="28"/>
          <w:szCs w:val="28"/>
          <w:highlight w:val="none"/>
        </w:rPr>
      </w:r>
      <w:r/>
    </w:p>
    <w:p>
      <w:pPr>
        <w:pStyle w:val="655"/>
        <w:spacing w:line="640" w:lineRule="exact"/>
        <w:rPr>
          <w:rFonts w:hint="eastAsia" w:ascii="宋体" w:hAnsi="宋体"/>
          <w:sz w:val="28"/>
          <w:szCs w:val="28"/>
          <w:highlight w:val="none"/>
        </w:rPr>
      </w:pPr>
      <w:r>
        <w:rPr>
          <w:rFonts w:hint="eastAsia" w:ascii="宋体" w:hAnsi="宋体"/>
          <w:sz w:val="28"/>
          <w:szCs w:val="28"/>
          <w:highlight w:val="none"/>
        </w:rPr>
      </w:r>
      <w:r/>
    </w:p>
    <w:p>
      <w:pPr>
        <w:pStyle w:val="655"/>
        <w:ind w:firstLine="3521"/>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一、磋商函</w:t>
      </w:r>
      <w:r>
        <w:rPr>
          <w:rFonts w:hint="eastAsia" w:ascii="仿宋" w:hAnsi="仿宋" w:eastAsia="仿宋"/>
          <w:b/>
          <w:bCs/>
          <w:sz w:val="32"/>
          <w:szCs w:val="32"/>
          <w:highlight w:val="none"/>
        </w:rPr>
      </w:r>
      <w:r/>
    </w:p>
    <w:p>
      <w:pPr>
        <w:pStyle w:val="655"/>
        <w:spacing w:line="640" w:lineRule="exact"/>
        <w:rPr>
          <w:rFonts w:hint="eastAsia" w:ascii="仿宋" w:hAnsi="仿宋" w:eastAsia="仿宋"/>
          <w:sz w:val="28"/>
          <w:highlight w:val="none"/>
        </w:rPr>
      </w:pPr>
      <w:r>
        <w:rPr>
          <w:rFonts w:hint="eastAsia" w:ascii="仿宋" w:hAnsi="仿宋" w:eastAsia="仿宋"/>
          <w:sz w:val="28"/>
          <w:highlight w:val="none"/>
        </w:rPr>
        <w:t xml:space="preserve">淮安市政府采购中心:</w:t>
      </w:r>
      <w:r>
        <w:rPr>
          <w:rFonts w:hint="eastAsia" w:ascii="仿宋" w:hAnsi="仿宋" w:eastAsia="仿宋"/>
          <w:sz w:val="28"/>
          <w:highlight w:val="none"/>
        </w:rPr>
      </w:r>
      <w:r/>
    </w:p>
    <w:p>
      <w:pPr>
        <w:pStyle w:val="718"/>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w:t>
      </w:r>
      <w:r>
        <w:rPr>
          <w:rFonts w:hint="eastAsia" w:ascii="仿宋" w:hAnsi="仿宋" w:eastAsia="仿宋"/>
          <w:sz w:val="28"/>
          <w:szCs w:val="28"/>
          <w:highlight w:val="none"/>
        </w:rPr>
        <w:t xml:space="preserve">全权处理本次项目磋商的有关事宜。</w:t>
      </w:r>
      <w:r>
        <w:rPr>
          <w:rFonts w:hint="eastAsia" w:ascii="仿宋" w:hAnsi="仿宋" w:eastAsia="仿宋"/>
          <w:sz w:val="28"/>
          <w:szCs w:val="28"/>
          <w:highlight w:val="none"/>
        </w:rPr>
      </w:r>
      <w:r/>
    </w:p>
    <w:p>
      <w:pPr>
        <w:pStyle w:val="655"/>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655"/>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718"/>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rPr>
          <w:rFonts w:hint="eastAsia" w:ascii="仿宋" w:hAnsi="仿宋" w:eastAsia="仿宋"/>
          <w:sz w:val="28"/>
          <w:szCs w:val="28"/>
          <w:highlight w:val="none"/>
        </w:rPr>
      </w:r>
      <w:r/>
    </w:p>
    <w:p>
      <w:pPr>
        <w:pStyle w:val="655"/>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5"/>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仿宋" w:hAnsi="仿宋" w:eastAsia="仿宋"/>
          <w:sz w:val="28"/>
          <w:szCs w:val="28"/>
          <w:highlight w:val="none"/>
        </w:rPr>
      </w:r>
      <w:r/>
    </w:p>
    <w:p>
      <w:pPr>
        <w:pStyle w:val="655"/>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rPr>
          <w:rFonts w:hint="eastAsia" w:ascii="仿宋" w:hAnsi="仿宋" w:eastAsia="仿宋"/>
          <w:sz w:val="28"/>
          <w:szCs w:val="28"/>
          <w:highlight w:val="none"/>
        </w:rPr>
      </w:r>
      <w:r/>
    </w:p>
    <w:p>
      <w:pPr>
        <w:pStyle w:val="655"/>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rPr>
          <w:rFonts w:hint="eastAsia" w:ascii="仿宋" w:hAnsi="仿宋" w:eastAsia="仿宋"/>
          <w:sz w:val="28"/>
          <w:szCs w:val="28"/>
          <w:highlight w:val="none"/>
        </w:rPr>
      </w:r>
      <w:r/>
    </w:p>
    <w:p>
      <w:pPr>
        <w:pStyle w:val="655"/>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pStyle w:val="655"/>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718"/>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rPr>
          <w:rFonts w:hint="eastAsia" w:ascii="仿宋" w:hAnsi="仿宋" w:eastAsia="仿宋"/>
          <w:sz w:val="28"/>
          <w:highlight w:val="none"/>
          <w:u w:val="single"/>
        </w:rPr>
      </w:r>
      <w:r/>
    </w:p>
    <w:p>
      <w:pPr>
        <w:pStyle w:val="718"/>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655"/>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669"/>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sz w:val="28"/>
          <w:szCs w:val="24"/>
          <w:highlight w:val="none"/>
        </w:rPr>
      </w:r>
      <w:r/>
    </w:p>
    <w:p>
      <w:pPr>
        <w:pStyle w:val="655"/>
        <w:ind w:firstLine="3408"/>
        <w:spacing w:line="440" w:lineRule="exact"/>
        <w:rPr>
          <w:rFonts w:hint="eastAsia" w:ascii="宋体" w:hAnsi="宋体"/>
          <w:b/>
          <w:bCs/>
          <w:spacing w:val="20"/>
          <w:sz w:val="32"/>
          <w:szCs w:val="32"/>
          <w:highlight w:val="none"/>
        </w:rPr>
      </w:pPr>
      <w:r>
        <w:rPr>
          <w:rFonts w:hint="eastAsia" w:ascii="宋体" w:hAnsi="宋体"/>
          <w:b/>
          <w:bCs/>
          <w:spacing w:val="20"/>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2926"/>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ind w:firstLine="3357"/>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655"/>
        <w:spacing w:before="19" w:line="440" w:lineRule="exact"/>
        <w:widowControl/>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both"/>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jc w:val="center"/>
        <w:spacing w:line="44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69"/>
        <w:numPr>
          <w:ilvl w:val="0"/>
          <w:numId w:val="5"/>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磋商报价明细表</w:t>
      </w:r>
      <w:r>
        <w:rPr>
          <w:rFonts w:hint="eastAsia" w:ascii="仿宋" w:hAnsi="仿宋" w:eastAsia="仿宋"/>
          <w:b/>
          <w:sz w:val="32"/>
          <w:szCs w:val="32"/>
          <w:highlight w:val="none"/>
        </w:rPr>
      </w:r>
      <w:r/>
    </w:p>
    <w:p>
      <w:pPr>
        <w:pStyle w:val="669"/>
        <w:jc w:val="center"/>
        <w:spacing w:line="340" w:lineRule="exact"/>
        <w:rPr>
          <w:rFonts w:hint="eastAsia" w:ascii="仿宋" w:hAnsi="仿宋" w:eastAsia="仿宋" w:cs="Calibri"/>
          <w:sz w:val="24"/>
          <w:szCs w:val="24"/>
          <w:highlight w:val="none"/>
        </w:rPr>
      </w:pPr>
      <w:r>
        <w:rPr>
          <w:rFonts w:hint="eastAsia" w:ascii="仿宋" w:hAnsi="仿宋" w:eastAsia="仿宋" w:cs="Calibri"/>
          <w:sz w:val="24"/>
          <w:szCs w:val="24"/>
          <w:highlight w:val="none"/>
        </w:rPr>
      </w:r>
      <w:r/>
    </w:p>
    <w:tbl>
      <w:tblPr>
        <w:tblW w:w="9180"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w:t>
            </w:r>
            <w:r>
              <w:rPr>
                <w:rFonts w:ascii="仿宋" w:hAnsi="仿宋" w:eastAsia="仿宋"/>
                <w:sz w:val="24"/>
                <w:szCs w:val="24"/>
                <w:highlight w:val="none"/>
              </w:rPr>
              <w:t xml:space="preserve">名称</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服务内容</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hint="eastAsia" w:ascii="仿宋" w:hAnsi="仿宋" w:eastAsia="仿宋"/>
                <w:sz w:val="24"/>
                <w:szCs w:val="24"/>
                <w:highlight w:val="none"/>
                <w:lang w:eastAsia="zh-CN"/>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lang w:val="en-US" w:eastAsia="zh-CN"/>
              </w:rPr>
              <w:t xml:space="preserve">服务地点</w:t>
            </w:r>
            <w:r>
              <w:rPr>
                <w:rFonts w:hint="eastAsia" w:ascii="仿宋" w:hAnsi="仿宋" w:eastAsia="仿宋"/>
                <w:sz w:val="24"/>
                <w:szCs w:val="24"/>
                <w:highlight w:val="none"/>
                <w:lang w:eastAsia="zh-CN"/>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96"/>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64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r>
            <w:r/>
          </w:p>
        </w:tc>
      </w:tr>
      <w:tr>
        <w:trPr>
          <w:trHeight w:val="580"/>
        </w:trPr>
        <w:tc>
          <w:tcPr>
            <w:tcMar>
              <w:left w:w="108" w:type="dxa"/>
              <w:top w:w="0" w:type="dxa"/>
              <w:right w:w="108" w:type="dxa"/>
              <w:bottom w:w="0" w:type="dxa"/>
            </w:tcMar>
            <w:tcW w:w="959"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30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63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30"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45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395"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06" w:type="dxa"/>
            <w:vAlign w:val="center"/>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6"/>
            <w:tcMar>
              <w:left w:w="108" w:type="dxa"/>
              <w:top w:w="0" w:type="dxa"/>
              <w:right w:w="108" w:type="dxa"/>
              <w:bottom w:w="0" w:type="dxa"/>
            </w:tcMar>
            <w:tcW w:w="7974" w:type="dxa"/>
            <w:vAlign w:val="center"/>
            <w:textDirection w:val="lrTb"/>
            <w:noWrap w:val="false"/>
          </w:tcPr>
          <w:p>
            <w:pPr>
              <w:pStyle w:val="669"/>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none"/>
              </w:rPr>
              <w:t xml:space="preserve">磋商</w:t>
            </w:r>
            <w:r>
              <w:rPr>
                <w:rFonts w:ascii="仿宋" w:hAnsi="仿宋" w:eastAsia="仿宋"/>
                <w:sz w:val="24"/>
                <w:szCs w:val="24"/>
                <w:highlight w:val="none"/>
              </w:rPr>
              <w:t xml:space="preserve">总报价（人民币：元）</w:t>
            </w:r>
            <w:r>
              <w:rPr>
                <w:rFonts w:ascii="仿宋" w:hAnsi="仿宋" w:eastAsia="仿宋"/>
                <w:sz w:val="24"/>
                <w:szCs w:val="24"/>
                <w:highlight w:val="none"/>
              </w:rPr>
            </w:r>
            <w:r/>
          </w:p>
        </w:tc>
        <w:tc>
          <w:tcPr>
            <w:tcMar>
              <w:left w:w="108" w:type="dxa"/>
              <w:top w:w="0" w:type="dxa"/>
              <w:right w:w="108" w:type="dxa"/>
              <w:bottom w:w="0" w:type="dxa"/>
            </w:tcMar>
            <w:tcW w:w="1206" w:type="dxa"/>
            <w:vAlign w:val="top"/>
            <w:textDirection w:val="lrTb"/>
            <w:noWrap w:val="false"/>
          </w:tcPr>
          <w:p>
            <w:pPr>
              <w:pStyle w:val="669"/>
              <w:jc w:val="center"/>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pPr>
            <w:r>
              <w:rPr>
                <w:rFonts w:ascii="仿宋" w:hAnsi="仿宋" w:eastAsia="仿宋"/>
                <w:sz w:val="24"/>
                <w:szCs w:val="24"/>
                <w:highlight w:val="none"/>
              </w:rPr>
              <w:t xml:space="preserve"> </w:t>
            </w:r>
            <w:r>
              <w:rPr>
                <w:rFonts w:ascii="仿宋" w:hAnsi="仿宋" w:eastAsia="仿宋"/>
                <w:sz w:val="24"/>
                <w:szCs w:val="24"/>
                <w:highlight w:val="none"/>
              </w:rPr>
            </w:r>
            <w:r/>
          </w:p>
        </w:tc>
      </w:tr>
    </w:tbl>
    <w:p>
      <w:pPr>
        <w:pStyle w:val="669"/>
        <w:ind w:firstLine="411"/>
        <w:spacing w:line="440" w:lineRule="exact"/>
        <w:rPr>
          <w:rFonts w:hint="eastAsia" w:ascii="仿宋" w:hAnsi="仿宋" w:eastAsia="仿宋"/>
          <w:sz w:val="28"/>
          <w:szCs w:val="24"/>
          <w:highlight w:val="none"/>
        </w:rPr>
      </w:pPr>
      <w:r>
        <w:rPr>
          <w:rFonts w:hint="eastAsia" w:ascii="仿宋" w:hAnsi="仿宋" w:eastAsia="仿宋"/>
          <w:sz w:val="28"/>
          <w:szCs w:val="24"/>
          <w:highlight w:val="none"/>
        </w:rPr>
      </w:r>
      <w:r/>
    </w:p>
    <w:p>
      <w:pPr>
        <w:pStyle w:val="669"/>
        <w:ind w:firstLine="411"/>
        <w:spacing w:line="440" w:lineRule="exact"/>
        <w:rPr>
          <w:rFonts w:ascii="仿宋" w:hAnsi="仿宋" w:eastAsia="仿宋"/>
          <w:sz w:val="28"/>
          <w:szCs w:val="24"/>
          <w:highlight w:val="none"/>
        </w:rPr>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w:t>
      </w:r>
      <w:r>
        <w:rPr>
          <w:rFonts w:ascii="仿宋" w:hAnsi="仿宋" w:eastAsia="仿宋"/>
          <w:sz w:val="28"/>
          <w:szCs w:val="24"/>
          <w:highlight w:val="none"/>
        </w:rPr>
        <w:t xml:space="preserve">报价采用总承包方式，“</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总报价”应包括所投</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（包含与</w:t>
      </w:r>
      <w:r>
        <w:rPr>
          <w:rFonts w:hint="eastAsia" w:ascii="仿宋" w:hAnsi="仿宋" w:eastAsia="仿宋"/>
          <w:sz w:val="28"/>
          <w:szCs w:val="24"/>
          <w:highlight w:val="none"/>
          <w:lang w:val="en-US" w:eastAsia="zh-CN"/>
        </w:rPr>
        <w:t xml:space="preserve">服务</w:t>
      </w:r>
      <w:r>
        <w:rPr>
          <w:rFonts w:ascii="仿宋" w:hAnsi="仿宋" w:eastAsia="仿宋"/>
          <w:sz w:val="28"/>
          <w:szCs w:val="24"/>
          <w:highlight w:val="none"/>
        </w:rPr>
        <w:t xml:space="preserve">相关的</w:t>
      </w:r>
      <w:r>
        <w:rPr>
          <w:rFonts w:hint="eastAsia" w:ascii="仿宋" w:hAnsi="仿宋" w:eastAsia="仿宋"/>
          <w:sz w:val="28"/>
          <w:szCs w:val="24"/>
          <w:highlight w:val="none"/>
          <w:lang w:val="en-US" w:eastAsia="zh-CN"/>
        </w:rPr>
        <w:t xml:space="preserve">货物</w:t>
      </w:r>
      <w:r>
        <w:rPr>
          <w:rFonts w:ascii="仿宋" w:hAnsi="仿宋" w:eastAsia="仿宋"/>
          <w:sz w:val="28"/>
          <w:szCs w:val="24"/>
          <w:highlight w:val="none"/>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highlight w:val="none"/>
        </w:rPr>
        <w:t xml:space="preserve">磋商</w:t>
      </w:r>
      <w:r>
        <w:rPr>
          <w:rFonts w:ascii="仿宋" w:hAnsi="仿宋" w:eastAsia="仿宋"/>
          <w:sz w:val="28"/>
          <w:szCs w:val="24"/>
          <w:highlight w:val="none"/>
        </w:rPr>
        <w:t xml:space="preserve">文件中另有规定的除外。</w:t>
      </w:r>
      <w:r>
        <w:rPr>
          <w:rFonts w:ascii="仿宋" w:hAnsi="仿宋" w:eastAsia="仿宋"/>
          <w:sz w:val="28"/>
          <w:szCs w:val="24"/>
          <w:highlight w:val="none"/>
        </w:rPr>
      </w:r>
      <w:r/>
    </w:p>
    <w:p>
      <w:pPr>
        <w:pStyle w:val="655"/>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spacing w:line="4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69"/>
        <w:jc w:val="center"/>
        <w:rPr>
          <w:rFonts w:ascii="Times New Roman" w:hAnsi="Times New Roman" w:eastAsia="仿宋" w:cs="Times New Roman"/>
          <w:b/>
          <w:color w:val="000000"/>
          <w:sz w:val="32"/>
          <w:szCs w:val="32"/>
          <w:highlight w:val="none"/>
        </w:rPr>
      </w:pPr>
      <w:r>
        <w:rPr>
          <w:rFonts w:hint="eastAsia" w:ascii="仿宋" w:hAnsi="仿宋" w:eastAsia="仿宋"/>
          <w:b/>
          <w:sz w:val="32"/>
          <w:szCs w:val="32"/>
          <w:highlight w:val="none"/>
        </w:rPr>
        <w:t xml:space="preserve">三、</w:t>
      </w:r>
      <w:r>
        <w:rPr>
          <w:rFonts w:ascii="Times New Roman" w:hAnsi="Times New Roman" w:eastAsia="仿宋" w:cs="Times New Roman"/>
          <w:b/>
          <w:color w:val="000000"/>
          <w:sz w:val="32"/>
          <w:szCs w:val="32"/>
          <w:highlight w:val="none"/>
        </w:rPr>
        <w:t xml:space="preserve">人员配备表</w:t>
      </w:r>
      <w:r>
        <w:rPr>
          <w:rFonts w:ascii="Times New Roman" w:hAnsi="Times New Roman" w:eastAsia="仿宋" w:cs="Times New Roman"/>
          <w:b/>
          <w:color w:val="000000"/>
          <w:sz w:val="32"/>
          <w:szCs w:val="32"/>
          <w:highlight w:val="none"/>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8"/>
        <w:gridCol w:w="1492"/>
        <w:gridCol w:w="1441"/>
        <w:gridCol w:w="1441"/>
        <w:gridCol w:w="1773"/>
        <w:gridCol w:w="1939"/>
      </w:tblGrid>
      <w:tr>
        <w:trPr>
          <w:trHeight w:val="439"/>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序号</w:t>
            </w: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姓名</w:t>
            </w: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学历</w:t>
            </w: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专业</w:t>
            </w: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相关证书</w:t>
            </w: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t xml:space="preserve">拟任岗位</w:t>
            </w: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790"/>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02"/>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r>
        <w:trPr>
          <w:trHeight w:val="815"/>
        </w:trPr>
        <w:tc>
          <w:tcPr>
            <w:tcW w:w="1268"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92"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441"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773"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c>
          <w:tcPr>
            <w:tcW w:w="1939" w:type="dxa"/>
            <w:vAlign w:val="center"/>
            <w:textDirection w:val="lrTb"/>
            <w:noWrap w:val="false"/>
          </w:tcPr>
          <w:p>
            <w:pPr>
              <w:pStyle w:val="655"/>
              <w:jc w:val="center"/>
              <w:spacing w:line="600" w:lineRule="exact"/>
              <w:rPr>
                <w:rFonts w:ascii="Times New Roman" w:hAnsi="Times New Roman" w:eastAsia="仿宋" w:cs="Times New Roman"/>
                <w:color w:val="000000"/>
                <w:sz w:val="24"/>
                <w:highlight w:val="none"/>
              </w:rPr>
            </w:pPr>
            <w:r>
              <w:rPr>
                <w:rFonts w:ascii="Times New Roman" w:hAnsi="Times New Roman" w:eastAsia="仿宋" w:cs="Times New Roman"/>
                <w:color w:val="000000"/>
                <w:sz w:val="24"/>
                <w:highlight w:val="none"/>
              </w:rPr>
            </w:r>
            <w:r/>
          </w:p>
        </w:tc>
      </w:tr>
    </w:tbl>
    <w:p>
      <w:pPr>
        <w:pStyle w:val="655"/>
        <w:ind w:firstLine="420"/>
        <w:spacing w:line="520" w:lineRule="exact"/>
        <w:rPr>
          <w:rFonts w:hint="eastAsia" w:ascii="仿宋" w:hAnsi="仿宋" w:eastAsia="仿宋" w:cs="Times New Roman"/>
          <w:sz w:val="28"/>
          <w:highlight w:val="none"/>
        </w:rPr>
      </w:pPr>
      <w:r>
        <w:rPr>
          <w:rFonts w:ascii="仿宋" w:hAnsi="仿宋" w:eastAsia="仿宋" w:cs="Times New Roman"/>
          <w:sz w:val="28"/>
          <w:highlight w:val="none"/>
        </w:rPr>
        <w:t xml:space="preserve">供应商：</w:t>
      </w:r>
      <w:r>
        <w:rPr>
          <w:rFonts w:ascii="仿宋" w:hAnsi="仿宋" w:eastAsia="仿宋" w:cs="Times New Roman"/>
          <w:sz w:val="28"/>
          <w:highlight w:val="none"/>
          <w:u w:val="single"/>
        </w:rPr>
        <w:t xml:space="preserve">   （电子签章）    </w:t>
      </w:r>
      <w:r>
        <w:rPr>
          <w:rFonts w:hint="eastAsia" w:ascii="仿宋" w:hAnsi="仿宋" w:eastAsia="仿宋" w:cs="Times New Roman"/>
          <w:sz w:val="28"/>
          <w:highlight w:val="none"/>
        </w:rPr>
      </w:r>
      <w:r/>
    </w:p>
    <w:p>
      <w:pPr>
        <w:pStyle w:val="655"/>
        <w:ind w:firstLine="420"/>
        <w:spacing w:line="520" w:lineRule="exact"/>
        <w:rPr>
          <w:rFonts w:hint="eastAsia" w:ascii="仿宋" w:hAnsi="仿宋" w:eastAsia="仿宋" w:cs="Times New Roman"/>
          <w:sz w:val="28"/>
          <w:highlight w:val="none"/>
        </w:rPr>
      </w:pPr>
      <w:r>
        <w:rPr>
          <w:rFonts w:hint="eastAsia" w:ascii="仿宋" w:hAnsi="仿宋" w:eastAsia="仿宋" w:cs="Times New Roman"/>
          <w:sz w:val="28"/>
          <w:highlight w:val="none"/>
        </w:rPr>
        <w:t xml:space="preserve">日期：  年    月    日</w:t>
      </w:r>
      <w:r>
        <w:rPr>
          <w:rFonts w:hint="eastAsia" w:ascii="仿宋" w:hAnsi="仿宋" w:eastAsia="仿宋" w:cs="Times New Roman"/>
          <w:sz w:val="28"/>
          <w:highlight w:val="none"/>
        </w:rPr>
      </w:r>
      <w:r/>
    </w:p>
    <w:p>
      <w:pPr>
        <w:pStyle w:val="655"/>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55"/>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55"/>
        <w:ind w:firstLine="3357"/>
        <w:spacing w:line="440" w:lineRule="exact"/>
        <w:rPr>
          <w:rFonts w:hint="eastAsia" w:ascii="仿宋" w:hAnsi="仿宋" w:eastAsia="仿宋"/>
          <w:b/>
          <w:bCs/>
          <w:sz w:val="32"/>
          <w:szCs w:val="32"/>
          <w:highlight w:val="none"/>
        </w:rPr>
      </w:pPr>
      <w:r>
        <w:rPr>
          <w:rFonts w:hint="eastAsia" w:ascii="仿宋" w:hAnsi="仿宋" w:eastAsia="仿宋"/>
          <w:b/>
          <w:bCs/>
          <w:sz w:val="32"/>
          <w:szCs w:val="32"/>
          <w:highlight w:val="none"/>
        </w:rPr>
      </w:r>
      <w:r/>
    </w:p>
    <w:p>
      <w:pPr>
        <w:pStyle w:val="655"/>
        <w:ind w:firstLine="1285"/>
        <w:spacing w:line="520" w:lineRule="exact"/>
        <w:rPr>
          <w:rFonts w:hint="eastAsia" w:ascii="仿宋" w:hAnsi="仿宋" w:eastAsia="仿宋"/>
          <w:b/>
          <w:bCs/>
          <w:sz w:val="32"/>
          <w:szCs w:val="32"/>
          <w:highlight w:val="none"/>
        </w:rPr>
      </w:pPr>
      <w:r>
        <w:rPr>
          <w:rFonts w:hint="eastAsia" w:ascii="仿宋" w:hAnsi="仿宋" w:eastAsia="仿宋"/>
          <w:b/>
          <w:bCs/>
          <w:sz w:val="32"/>
          <w:szCs w:val="32"/>
          <w:highlight w:val="none"/>
        </w:rPr>
        <w:br w:type="page" w:clear="all"/>
      </w:r>
      <w:r>
        <w:rPr>
          <w:rFonts w:hint="eastAsia" w:ascii="仿宋" w:hAnsi="仿宋" w:eastAsia="仿宋"/>
          <w:b/>
          <w:bCs/>
          <w:sz w:val="32"/>
          <w:szCs w:val="32"/>
          <w:highlight w:val="none"/>
        </w:rPr>
        <w:t xml:space="preserve">四、资质审查时供应商必须提交的资格证明文件</w:t>
      </w:r>
      <w:r>
        <w:rPr>
          <w:rFonts w:hint="eastAsia" w:ascii="仿宋" w:hAnsi="仿宋" w:eastAsia="仿宋"/>
          <w:b/>
          <w:bCs/>
          <w:sz w:val="32"/>
          <w:szCs w:val="32"/>
          <w:highlight w:val="none"/>
        </w:rPr>
      </w:r>
      <w:r/>
    </w:p>
    <w:p>
      <w:pPr>
        <w:pStyle w:val="669"/>
        <w:ind w:firstLine="551"/>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rPr>
          <w:rFonts w:hint="eastAsia" w:ascii="仿宋" w:hAnsi="仿宋" w:eastAsia="仿宋"/>
          <w:b/>
          <w:bCs/>
          <w:sz w:val="32"/>
          <w:szCs w:val="32"/>
          <w:highlight w:val="none"/>
        </w:rPr>
      </w:r>
      <w:r/>
    </w:p>
    <w:p>
      <w:pPr>
        <w:pStyle w:val="655"/>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55"/>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655"/>
        <w:ind w:firstLine="70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655"/>
        <w:ind w:firstLine="70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655"/>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655"/>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655"/>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655"/>
        <w:ind w:firstLine="548"/>
        <w:spacing w:line="52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655"/>
        <w:ind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pStyle w:val="655"/>
        <w:ind w:firstLine="1269"/>
        <w:jc w:val="left"/>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br w:type="page" w:clear="all"/>
      </w:r>
      <w:r>
        <w:rPr>
          <w:rFonts w:hint="eastAsia" w:ascii="仿宋" w:hAnsi="仿宋" w:eastAsia="仿宋" w:cs="Arial"/>
          <w:b/>
          <w:bCs/>
          <w:sz w:val="32"/>
          <w:highlight w:val="none"/>
        </w:rPr>
        <w:t xml:space="preserve">五、综合评分时供应商需提供的证明文件</w:t>
      </w:r>
      <w:r>
        <w:rPr>
          <w:rFonts w:hint="eastAsia" w:ascii="仿宋" w:hAnsi="仿宋" w:eastAsia="仿宋" w:cs="Arial"/>
          <w:b/>
          <w:bCs/>
          <w:sz w:val="32"/>
          <w:highlight w:val="none"/>
        </w:rPr>
      </w:r>
      <w:r/>
    </w:p>
    <w:p>
      <w:pPr>
        <w:pStyle w:val="655"/>
        <w:ind w:firstLine="840"/>
        <w:spacing w:line="52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（供应商根据第三章评标标准的要求提供相关材料）</w:t>
      </w:r>
      <w:r>
        <w:rPr>
          <w:rFonts w:hint="eastAsia" w:ascii="仿宋" w:hAnsi="仿宋" w:eastAsia="仿宋" w:cs="楷体_GB2312"/>
          <w:sz w:val="28"/>
          <w:szCs w:val="28"/>
          <w:highlight w:val="none"/>
          <w:lang w:val="zh-CN"/>
        </w:rPr>
      </w:r>
      <w:r/>
    </w:p>
    <w:p>
      <w:pPr>
        <w:pStyle w:val="655"/>
        <w:ind w:firstLine="560"/>
        <w:jc w:val="left"/>
        <w:spacing w:line="520" w:lineRule="exact"/>
        <w:widowControl/>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55"/>
        <w:ind w:firstLine="2877"/>
        <w:spacing w:line="440" w:lineRule="exact"/>
        <w:rPr>
          <w:rFonts w:hint="eastAsia" w:ascii="宋体" w:hAnsi="宋体"/>
          <w:b/>
          <w:sz w:val="36"/>
          <w:highlight w:val="none"/>
        </w:rPr>
      </w:pPr>
      <w:r/>
      <w:bookmarkStart w:id="32" w:name="_Toc157775454"/>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877"/>
        <w:spacing w:line="440" w:lineRule="exact"/>
        <w:rPr>
          <w:rFonts w:hint="eastAsia" w:ascii="宋体" w:hAnsi="宋体"/>
          <w:b/>
          <w:sz w:val="36"/>
          <w:highlight w:val="none"/>
        </w:rPr>
      </w:pPr>
      <w:r>
        <w:rPr>
          <w:rFonts w:hint="eastAsia" w:ascii="宋体" w:hAnsi="宋体"/>
          <w:b/>
          <w:sz w:val="36"/>
          <w:highlight w:val="none"/>
        </w:rPr>
      </w:r>
      <w:r/>
    </w:p>
    <w:p>
      <w:pPr>
        <w:pStyle w:val="655"/>
        <w:ind w:firstLine="2557"/>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rPr>
          <w:rFonts w:hint="eastAsia" w:ascii="仿宋" w:hAnsi="仿宋" w:eastAsia="仿宋"/>
          <w:b/>
          <w:sz w:val="32"/>
          <w:szCs w:val="32"/>
          <w:highlight w:val="none"/>
        </w:rPr>
      </w:r>
      <w:r/>
    </w:p>
    <w:p>
      <w:pPr>
        <w:pStyle w:val="655"/>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655"/>
        <w:ind w:firstLine="2570"/>
        <w:spacing w:line="440" w:lineRule="exact"/>
        <w:rPr>
          <w:rFonts w:hint="eastAsia" w:ascii="仿宋" w:hAnsi="仿宋" w:eastAsia="仿宋" w:cs="Arial"/>
          <w:b/>
          <w:bCs/>
          <w:sz w:val="32"/>
          <w:highlight w:val="none"/>
        </w:rPr>
      </w:pPr>
      <w:r>
        <w:rPr>
          <w:rFonts w:hint="eastAsia" w:ascii="仿宋" w:hAnsi="仿宋" w:eastAsia="仿宋" w:cs="Arial"/>
          <w:b/>
          <w:bCs/>
          <w:sz w:val="32"/>
          <w:highlight w:val="none"/>
        </w:rPr>
      </w:r>
      <w:r/>
    </w:p>
    <w:p>
      <w:pPr>
        <w:pStyle w:val="655"/>
        <w:ind w:firstLine="2891"/>
        <w:spacing w:line="640" w:lineRule="exact"/>
        <w:rPr>
          <w:rFonts w:ascii="仿宋" w:hAnsi="仿宋" w:eastAsia="仿宋" w:cs="楷体_GB2312"/>
          <w:b/>
          <w:bCs/>
          <w:sz w:val="32"/>
          <w:szCs w:val="32"/>
          <w:highlight w:val="none"/>
          <w:lang w:val="zh-CN"/>
        </w:rPr>
      </w:pPr>
      <w:r/>
      <w:bookmarkEnd w:id="32"/>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655"/>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655"/>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655"/>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655"/>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rPr>
          <w:rFonts w:hint="eastAsia" w:ascii="仿宋" w:hAnsi="仿宋" w:eastAsia="仿宋"/>
          <w:sz w:val="28"/>
          <w:highlight w:val="none"/>
        </w:rPr>
      </w:r>
      <w:r/>
    </w:p>
    <w:p>
      <w:pPr>
        <w:pStyle w:val="655"/>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pStyle w:val="655"/>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pStyle w:val="655"/>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655"/>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655"/>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655"/>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718"/>
        <w:ind w:left="4760" w:right="560" w:hanging="1820"/>
        <w:spacing w:before="0" w:after="0" w:line="52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r>
      <w:r/>
    </w:p>
    <w:p>
      <w:pPr>
        <w:pStyle w:val="655"/>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655"/>
        <w:ind w:firstLine="560"/>
        <w:spacing w:line="640" w:lineRule="exact"/>
        <w:rPr>
          <w:rFonts w:hint="eastAsia" w:ascii="仿宋" w:hAnsi="仿宋" w:eastAsia="仿宋"/>
          <w:bCs/>
          <w:color w:val="000000"/>
          <w:sz w:val="28"/>
          <w:szCs w:val="28"/>
          <w:highlight w:val="none"/>
        </w:rPr>
      </w:pPr>
      <w:r>
        <w:rPr>
          <w:rFonts w:hint="eastAsia" w:ascii="仿宋" w:hAnsi="仿宋" w:eastAsia="仿宋"/>
          <w:bCs/>
          <w:sz w:val="28"/>
          <w:highlight w:val="none"/>
        </w:rPr>
        <w:t xml:space="preserve">注:供应商法定代表人</w:t>
      </w:r>
      <w:r>
        <w:rPr>
          <w:rFonts w:hint="eastAsia" w:ascii="仿宋" w:hAnsi="仿宋" w:eastAsia="仿宋"/>
          <w:bCs/>
          <w:color w:val="000000"/>
          <w:sz w:val="28"/>
          <w:szCs w:val="28"/>
          <w:highlight w:val="none"/>
        </w:rPr>
        <w:t xml:space="preserve">参加磋商的，必须附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w:t>
      </w:r>
      <w:r>
        <w:rPr>
          <w:rFonts w:hint="eastAsia" w:ascii="仿宋" w:hAnsi="仿宋" w:eastAsia="仿宋"/>
          <w:color w:val="000000"/>
          <w:sz w:val="28"/>
          <w:szCs w:val="28"/>
          <w:highlight w:val="none"/>
        </w:rPr>
        <w:t xml:space="preserve">法定代表人授权其他人参加磋商的，仅需填写“授权委托书”。</w:t>
      </w:r>
      <w:r>
        <w:rPr>
          <w:rFonts w:hint="eastAsia" w:ascii="仿宋" w:hAnsi="仿宋" w:eastAsia="仿宋"/>
          <w:bCs/>
          <w:color w:val="000000"/>
          <w:sz w:val="28"/>
          <w:szCs w:val="28"/>
          <w:highlight w:val="none"/>
        </w:rPr>
      </w:r>
      <w:r/>
    </w:p>
    <w:p>
      <w:pPr>
        <w:pStyle w:val="655"/>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5"/>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5"/>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5"/>
        <w:ind w:left="-359" w:firstLine="357"/>
        <w:spacing w:line="640" w:lineRule="exact"/>
        <w:rPr>
          <w:rFonts w:hint="eastAsia" w:ascii="仿宋" w:hAnsi="仿宋" w:eastAsia="仿宋"/>
          <w:b/>
          <w:color w:val="000000"/>
          <w:sz w:val="28"/>
          <w:szCs w:val="28"/>
          <w:highlight w:val="none"/>
        </w:rPr>
      </w:pP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655"/>
        <w:ind w:firstLine="3213"/>
        <w:spacing w:line="520" w:lineRule="exact"/>
        <w:rPr>
          <w:rFonts w:hint="eastAsia" w:ascii="仿宋" w:hAnsi="仿宋" w:eastAsia="仿宋"/>
          <w:b/>
          <w:bCs/>
          <w:sz w:val="28"/>
          <w:highlight w:val="none"/>
        </w:rPr>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655"/>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文件，与采购中心协商、澄清、解释，签订合同书并执行一切与此有关的事项。</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655"/>
        <w:ind w:firstLine="600"/>
        <w:spacing w:line="52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r>
      <w:r/>
    </w:p>
    <w:p>
      <w:pPr>
        <w:pStyle w:val="655"/>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r>
      <w:r/>
    </w:p>
    <w:p>
      <w:pPr>
        <w:pStyle w:val="655"/>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55"/>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55"/>
        <w:ind w:left="-359" w:firstLine="548"/>
        <w:spacing w:line="520" w:lineRule="exact"/>
        <w:rPr>
          <w:rFonts w:hint="eastAsia" w:ascii="仿宋" w:hAnsi="仿宋" w:eastAsia="仿宋"/>
          <w:bCs/>
          <w:sz w:val="28"/>
          <w:highlight w:val="none"/>
        </w:rPr>
      </w:pPr>
      <w:r>
        <w:rPr>
          <w:rFonts w:hint="eastAsia" w:ascii="仿宋" w:hAnsi="仿宋" w:eastAsia="仿宋"/>
          <w:bCs/>
          <w:sz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bCs/>
          <w:sz w:val="28"/>
          <w:highlight w:val="none"/>
        </w:rPr>
        <w:t xml:space="preserve">注:供应商委托</w:t>
      </w:r>
      <w:r>
        <w:rPr>
          <w:rFonts w:hint="eastAsia" w:ascii="仿宋" w:hAnsi="仿宋" w:eastAsia="仿宋"/>
          <w:bCs/>
          <w:color w:val="000000"/>
          <w:sz w:val="28"/>
          <w:szCs w:val="28"/>
          <w:highlight w:val="none"/>
        </w:rPr>
        <w:t xml:space="preserve">受托人参加磋商的，必须附受托人身份证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w:t>
      </w:r>
      <w:r>
        <w:rPr>
          <w:rFonts w:hint="eastAsia" w:ascii="仿宋" w:hAnsi="仿宋" w:eastAsia="仿宋"/>
          <w:color w:val="000000"/>
          <w:sz w:val="28"/>
          <w:szCs w:val="28"/>
          <w:highlight w:val="none"/>
        </w:rPr>
        <w:t xml:space="preserve">法定代表人直接参加磋商的，仅需填写“法定代表人资格证明”。</w:t>
      </w:r>
      <w:r>
        <w:rPr>
          <w:rFonts w:hint="eastAsia" w:ascii="仿宋" w:hAnsi="仿宋" w:eastAsia="仿宋"/>
          <w:color w:val="000000"/>
          <w:sz w:val="28"/>
          <w:szCs w:val="28"/>
          <w:highlight w:val="none"/>
        </w:rPr>
      </w:r>
      <w:r/>
    </w:p>
    <w:p>
      <w:pPr>
        <w:pStyle w:val="655"/>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rPr>
          <w:rFonts w:hint="eastAsia" w:ascii="仿宋" w:hAnsi="仿宋" w:eastAsia="仿宋"/>
          <w:b/>
          <w:bCs/>
          <w:sz w:val="32"/>
          <w:highlight w:val="none"/>
        </w:rPr>
      </w:r>
      <w:r/>
    </w:p>
    <w:p>
      <w:pPr>
        <w:pStyle w:val="660"/>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55"/>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655"/>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655"/>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655"/>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5"/>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655"/>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655"/>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655"/>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655"/>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rPr>
          <w:rFonts w:hint="eastAsia" w:ascii="仿宋" w:hAnsi="仿宋" w:eastAsia="仿宋"/>
          <w:b/>
          <w:bCs/>
          <w:sz w:val="32"/>
          <w:szCs w:val="32"/>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660"/>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rPr>
      </w:r>
      <w:r/>
    </w:p>
    <w:p>
      <w:pPr>
        <w:pStyle w:val="655"/>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55"/>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55"/>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60"/>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rPr>
          <w:rFonts w:hint="eastAsia" w:ascii="仿宋" w:hAnsi="仿宋" w:eastAsia="仿宋"/>
          <w:bCs/>
          <w:color w:val="000000"/>
          <w:sz w:val="24"/>
          <w:highlight w:val="none"/>
        </w:rPr>
      </w:r>
      <w:r/>
    </w:p>
    <w:p>
      <w:pPr>
        <w:pStyle w:val="660"/>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60"/>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660"/>
        <w:ind w:firstLine="643"/>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655"/>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660"/>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660"/>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660"/>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660"/>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660"/>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660"/>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pStyle w:val="655"/>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655"/>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rPr>
          <w:rFonts w:hint="eastAsia" w:ascii="仿宋" w:hAnsi="仿宋" w:eastAsia="仿宋" w:cs="楷体_GB2312"/>
          <w:sz w:val="28"/>
          <w:szCs w:val="28"/>
          <w:highlight w:val="none"/>
          <w:lang w:val="zh-CN"/>
        </w:rPr>
      </w:r>
      <w:r/>
    </w:p>
    <w:p>
      <w:pPr>
        <w:pStyle w:val="655"/>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655"/>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655"/>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66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6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60"/>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660"/>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660"/>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660"/>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660"/>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p>
      <w:pPr>
        <w:pStyle w:val="660"/>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pStyle w:val="655"/>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sectPr>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Symbol">
    <w:panose1 w:val="05050102010706020507"/>
  </w:font>
  <w:font w:name="Wingdings">
    <w:panose1 w:val="05000000000000000000"/>
  </w:font>
  <w:font w:name="方正黑体_GBK">
    <w:panose1 w:val="020B0503020202020204"/>
  </w:font>
  <w:font w:name="书宋-简">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rPr>
        <w:rStyle w:val="682"/>
      </w:rPr>
      <w:framePr w:wrap="around" w:vAnchor="text" w:hAnchor="margin" w:xAlign="center" w:y="1"/>
    </w:pPr>
    <w:r>
      <w:fldChar w:fldCharType="begin"/>
    </w:r>
    <w:r>
      <w:rPr>
        <w:rStyle w:val="682"/>
      </w:rPr>
      <w:instrText xml:space="preserve">PAGE  </w:instrText>
    </w:r>
    <w:r>
      <w:fldChar w:fldCharType="separate"/>
    </w:r>
    <w:r>
      <w:rPr>
        <w:rStyle w:val="682"/>
      </w:rPr>
      <w:t xml:space="preserve">20</w:t>
    </w:r>
    <w:r>
      <w:fldChar w:fldCharType="end"/>
    </w:r>
    <w:r>
      <w:rPr>
        <w:rStyle w:val="682"/>
      </w:rPr>
    </w:r>
    <w:r/>
  </w:p>
  <w:p>
    <w:pPr>
      <w:pStyle w:val="67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rPr>
        <w:rStyle w:val="682"/>
      </w:rPr>
      <w:framePr w:wrap="around" w:vAnchor="text" w:hAnchor="margin" w:xAlign="center" w:y="1"/>
    </w:pPr>
    <w:r>
      <w:fldChar w:fldCharType="begin"/>
    </w:r>
    <w:r>
      <w:rPr>
        <w:rStyle w:val="682"/>
      </w:rPr>
      <w:instrText xml:space="preserve">PAGE  </w:instrText>
    </w:r>
    <w:r>
      <w:fldChar w:fldCharType="end"/>
    </w:r>
    <w:r>
      <w:rPr>
        <w:rStyle w:val="682"/>
      </w:rPr>
    </w:r>
    <w:r/>
  </w:p>
  <w:p>
    <w:pPr>
      <w:pStyle w:val="6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tabs>
        <w:tab w:val="center" w:pos="4153" w:leader="none"/>
        <w:tab w:val="right" w:pos="8306" w:leader="none"/>
      </w:tabs>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rPr>
        <w:rFonts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656"/>
      <w:isLgl w:val="false"/>
      <w:suff w:val="tab"/>
      <w:lvlText w:val="%1"/>
      <w:lvlJc w:val="left"/>
      <w:pPr>
        <w:pStyle w:val="655"/>
        <w:ind w:left="432" w:hanging="432"/>
        <w:tabs>
          <w:tab w:val="num" w:pos="432" w:leader="none"/>
        </w:tabs>
      </w:pPr>
    </w:lvl>
    <w:lvl w:ilvl="1">
      <w:start w:val="1"/>
      <w:numFmt w:val="decimal"/>
      <w:isLgl w:val="false"/>
      <w:suff w:val="tab"/>
      <w:lvlText w:val="%1.%2"/>
      <w:lvlJc w:val="left"/>
      <w:pPr>
        <w:pStyle w:val="655"/>
        <w:ind w:left="576" w:hanging="576"/>
        <w:tabs>
          <w:tab w:val="num" w:pos="576" w:leader="none"/>
        </w:tabs>
      </w:pPr>
    </w:lvl>
    <w:lvl w:ilvl="2">
      <w:start w:val="1"/>
      <w:numFmt w:val="decimal"/>
      <w:pStyle w:val="657"/>
      <w:isLgl w:val="false"/>
      <w:suff w:val="tab"/>
      <w:lvlText w:val="%1.%2.%3"/>
      <w:lvlJc w:val="left"/>
      <w:pPr>
        <w:pStyle w:val="655"/>
        <w:ind w:left="720" w:hanging="720"/>
        <w:tabs>
          <w:tab w:val="num" w:pos="720" w:leader="none"/>
        </w:tabs>
      </w:pPr>
    </w:lvl>
    <w:lvl w:ilvl="3">
      <w:start w:val="1"/>
      <w:numFmt w:val="decimal"/>
      <w:isLgl w:val="false"/>
      <w:suff w:val="tab"/>
      <w:lvlText w:val="%1.%2.%3.%4"/>
      <w:lvlJc w:val="left"/>
      <w:pPr>
        <w:pStyle w:val="655"/>
        <w:ind w:left="864" w:hanging="864"/>
        <w:tabs>
          <w:tab w:val="num" w:pos="864" w:leader="none"/>
        </w:tabs>
      </w:pPr>
    </w:lvl>
    <w:lvl w:ilvl="4">
      <w:start w:val="1"/>
      <w:numFmt w:val="decimal"/>
      <w:isLgl w:val="false"/>
      <w:suff w:val="tab"/>
      <w:lvlText w:val="%1.%2.%3.%4.%5"/>
      <w:lvlJc w:val="left"/>
      <w:pPr>
        <w:pStyle w:val="655"/>
        <w:ind w:left="1008" w:hanging="1008"/>
        <w:tabs>
          <w:tab w:val="num" w:pos="1008" w:leader="none"/>
        </w:tabs>
      </w:pPr>
    </w:lvl>
    <w:lvl w:ilvl="5">
      <w:start w:val="1"/>
      <w:numFmt w:val="decimal"/>
      <w:isLgl w:val="false"/>
      <w:suff w:val="tab"/>
      <w:lvlText w:val="%1.%2.%3.%4.%5.%6"/>
      <w:lvlJc w:val="left"/>
      <w:pPr>
        <w:pStyle w:val="655"/>
        <w:ind w:left="1152" w:hanging="1152"/>
        <w:tabs>
          <w:tab w:val="num" w:pos="1152" w:leader="none"/>
        </w:tabs>
      </w:pPr>
    </w:lvl>
    <w:lvl w:ilvl="6">
      <w:start w:val="1"/>
      <w:numFmt w:val="decimal"/>
      <w:isLgl w:val="false"/>
      <w:suff w:val="tab"/>
      <w:lvlText w:val="%1.%2.%3.%4.%5.%6.%7"/>
      <w:lvlJc w:val="left"/>
      <w:pPr>
        <w:pStyle w:val="655"/>
        <w:ind w:left="1296" w:hanging="1296"/>
        <w:tabs>
          <w:tab w:val="num" w:pos="1296" w:leader="none"/>
        </w:tabs>
      </w:pPr>
    </w:lvl>
    <w:lvl w:ilvl="7">
      <w:start w:val="1"/>
      <w:numFmt w:val="decimal"/>
      <w:isLgl w:val="false"/>
      <w:suff w:val="tab"/>
      <w:lvlText w:val="%1.%2.%3.%4.%5.%6.%7.%8"/>
      <w:lvlJc w:val="left"/>
      <w:pPr>
        <w:pStyle w:val="655"/>
        <w:ind w:left="1440" w:hanging="1440"/>
        <w:tabs>
          <w:tab w:val="num" w:pos="1440" w:leader="none"/>
        </w:tabs>
      </w:pPr>
    </w:lvl>
    <w:lvl w:ilvl="8">
      <w:start w:val="1"/>
      <w:numFmt w:val="decimal"/>
      <w:isLgl w:val="false"/>
      <w:suff w:val="tab"/>
      <w:lvlText w:val="%1.%2.%3.%4.%5.%6.%7.%8.%9"/>
      <w:lvlJc w:val="left"/>
      <w:pPr>
        <w:pStyle w:val="655"/>
        <w:ind w:left="1584" w:hanging="1584"/>
        <w:tabs>
          <w:tab w:val="num" w:pos="1584" w:leader="none"/>
        </w:tabs>
      </w:pPr>
    </w:lvl>
  </w:abstractNum>
  <w:abstractNum w:abstractNumId="3">
    <w:multiLevelType w:val="hybridMultilevel"/>
    <w:lvl w:ilvl="0">
      <w:start w:val="3"/>
      <w:numFmt w:val="chineseCounting"/>
      <w:isLgl w:val="false"/>
      <w:suff w:val="space"/>
      <w:lvlText w:val="第%1章"/>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pStyle w:val="6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5"/>
    <w:next w:val="6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5"/>
    <w:next w:val="6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5"/>
    <w:next w:val="6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5"/>
    <w:next w:val="6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5"/>
    <w:next w:val="6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5"/>
    <w:next w:val="6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5"/>
    <w:next w:val="6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5"/>
    <w:next w:val="6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5"/>
    <w:next w:val="6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5"/>
    <w:next w:val="6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5"/>
    <w:next w:val="6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5"/>
    <w:next w:val="655"/>
    <w:link w:val="38"/>
    <w:uiPriority w:val="29"/>
    <w:qFormat/>
    <w:pPr>
      <w:ind w:left="720" w:right="720"/>
    </w:pPr>
    <w:rPr>
      <w:i/>
    </w:rPr>
  </w:style>
  <w:style w:type="character" w:styleId="38">
    <w:name w:val="Quote Char"/>
    <w:link w:val="37"/>
    <w:uiPriority w:val="29"/>
    <w:rPr>
      <w:i/>
    </w:rPr>
  </w:style>
  <w:style w:type="paragraph" w:styleId="39">
    <w:name w:val="Intense Quote"/>
    <w:basedOn w:val="655"/>
    <w:next w:val="6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5"/>
    <w:next w:val="6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5"/>
    <w:next w:val="655"/>
    <w:uiPriority w:val="39"/>
    <w:unhideWhenUsed/>
    <w:pPr>
      <w:ind w:left="0" w:right="0" w:firstLine="0"/>
      <w:spacing w:after="57"/>
    </w:pPr>
  </w:style>
  <w:style w:type="paragraph" w:styleId="181">
    <w:name w:val="toc 2"/>
    <w:basedOn w:val="655"/>
    <w:next w:val="655"/>
    <w:uiPriority w:val="39"/>
    <w:unhideWhenUsed/>
    <w:pPr>
      <w:ind w:left="283" w:right="0" w:firstLine="0"/>
      <w:spacing w:after="57"/>
    </w:pPr>
  </w:style>
  <w:style w:type="paragraph" w:styleId="182">
    <w:name w:val="toc 3"/>
    <w:basedOn w:val="655"/>
    <w:next w:val="655"/>
    <w:uiPriority w:val="39"/>
    <w:unhideWhenUsed/>
    <w:pPr>
      <w:ind w:left="567" w:right="0" w:firstLine="0"/>
      <w:spacing w:after="57"/>
    </w:pPr>
  </w:style>
  <w:style w:type="paragraph" w:styleId="183">
    <w:name w:val="toc 4"/>
    <w:basedOn w:val="655"/>
    <w:next w:val="655"/>
    <w:uiPriority w:val="39"/>
    <w:unhideWhenUsed/>
    <w:pPr>
      <w:ind w:left="850" w:right="0" w:firstLine="0"/>
      <w:spacing w:after="57"/>
    </w:pPr>
  </w:style>
  <w:style w:type="paragraph" w:styleId="184">
    <w:name w:val="toc 5"/>
    <w:basedOn w:val="655"/>
    <w:next w:val="655"/>
    <w:uiPriority w:val="39"/>
    <w:unhideWhenUsed/>
    <w:pPr>
      <w:ind w:left="1134" w:right="0" w:firstLine="0"/>
      <w:spacing w:after="57"/>
    </w:pPr>
  </w:style>
  <w:style w:type="paragraph" w:styleId="185">
    <w:name w:val="toc 6"/>
    <w:basedOn w:val="655"/>
    <w:next w:val="655"/>
    <w:uiPriority w:val="39"/>
    <w:unhideWhenUsed/>
    <w:pPr>
      <w:ind w:left="1417" w:right="0" w:firstLine="0"/>
      <w:spacing w:after="57"/>
    </w:pPr>
  </w:style>
  <w:style w:type="paragraph" w:styleId="186">
    <w:name w:val="toc 7"/>
    <w:basedOn w:val="655"/>
    <w:next w:val="655"/>
    <w:uiPriority w:val="39"/>
    <w:unhideWhenUsed/>
    <w:pPr>
      <w:ind w:left="1701" w:right="0" w:firstLine="0"/>
      <w:spacing w:after="57"/>
    </w:pPr>
  </w:style>
  <w:style w:type="paragraph" w:styleId="187">
    <w:name w:val="toc 8"/>
    <w:basedOn w:val="655"/>
    <w:next w:val="655"/>
    <w:uiPriority w:val="39"/>
    <w:unhideWhenUsed/>
    <w:pPr>
      <w:ind w:left="1984" w:right="0" w:firstLine="0"/>
      <w:spacing w:after="57"/>
    </w:pPr>
  </w:style>
  <w:style w:type="paragraph" w:styleId="188">
    <w:name w:val="toc 9"/>
    <w:basedOn w:val="655"/>
    <w:next w:val="6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5"/>
    <w:next w:val="655"/>
    <w:uiPriority w:val="99"/>
    <w:unhideWhenUsed/>
    <w:pPr>
      <w:spacing w:after="0" w:afterAutospacing="0"/>
    </w:pPr>
  </w:style>
  <w:style w:type="paragraph" w:styleId="655" w:default="1">
    <w:name w:val="Normal"/>
    <w:next w:val="655"/>
    <w:link w:val="655"/>
    <w:qFormat/>
    <w:pPr>
      <w:jc w:val="both"/>
      <w:widowControl w:val="off"/>
    </w:pPr>
    <w:rPr>
      <w:sz w:val="21"/>
      <w:szCs w:val="24"/>
      <w:lang w:val="en-US" w:eastAsia="zh-CN" w:bidi="ar-SA"/>
    </w:rPr>
  </w:style>
  <w:style w:type="paragraph" w:styleId="656">
    <w:name w:val="标题 1"/>
    <w:basedOn w:val="655"/>
    <w:next w:val="655"/>
    <w:link w:val="655"/>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57">
    <w:name w:val="标题 3"/>
    <w:basedOn w:val="655"/>
    <w:next w:val="660"/>
    <w:link w:val="655"/>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character" w:styleId="658">
    <w:name w:val="默认段落字体"/>
    <w:next w:val="658"/>
    <w:link w:val="655"/>
    <w:semiHidden/>
  </w:style>
  <w:style w:type="table" w:styleId="659">
    <w:name w:val="普通表格"/>
    <w:next w:val="659"/>
    <w:link w:val="655"/>
    <w:semiHidden/>
    <w:tblPr/>
  </w:style>
  <w:style w:type="paragraph" w:styleId="660">
    <w:name w:val="正文缩进"/>
    <w:basedOn w:val="655"/>
    <w:next w:val="660"/>
    <w:link w:val="661"/>
    <w:pPr>
      <w:ind w:firstLine="420"/>
    </w:pPr>
  </w:style>
  <w:style w:type="character" w:styleId="661">
    <w:name w:val="正文缩进 Char"/>
    <w:next w:val="661"/>
    <w:link w:val="660"/>
    <w:rPr>
      <w:sz w:val="21"/>
      <w:szCs w:val="24"/>
    </w:rPr>
  </w:style>
  <w:style w:type="paragraph" w:styleId="662">
    <w:name w:val="文档结构图"/>
    <w:basedOn w:val="655"/>
    <w:next w:val="662"/>
    <w:link w:val="655"/>
    <w:semiHidden/>
    <w:pPr>
      <w:shd w:val="clear" w:color="auto" w:fill="000080"/>
    </w:pPr>
  </w:style>
  <w:style w:type="paragraph" w:styleId="663">
    <w:name w:val="批注文字"/>
    <w:basedOn w:val="655"/>
    <w:next w:val="663"/>
    <w:link w:val="655"/>
    <w:uiPriority w:val="99"/>
    <w:unhideWhenUsed/>
    <w:qFormat/>
    <w:pPr>
      <w:jc w:val="left"/>
    </w:pPr>
  </w:style>
  <w:style w:type="paragraph" w:styleId="664">
    <w:name w:val="正文文本 3"/>
    <w:basedOn w:val="655"/>
    <w:next w:val="664"/>
    <w:link w:val="655"/>
    <w:pPr>
      <w:jc w:val="center"/>
    </w:pPr>
    <w:rPr>
      <w:rFonts w:eastAsia="黑体"/>
      <w:sz w:val="72"/>
    </w:rPr>
  </w:style>
  <w:style w:type="paragraph" w:styleId="665">
    <w:name w:val="正文文本"/>
    <w:basedOn w:val="655"/>
    <w:next w:val="665"/>
    <w:link w:val="655"/>
    <w:pPr>
      <w:jc w:val="center"/>
    </w:pPr>
    <w:rPr>
      <w:rFonts w:eastAsia="仿宋_GB2312"/>
      <w:sz w:val="28"/>
    </w:rPr>
  </w:style>
  <w:style w:type="paragraph" w:styleId="666">
    <w:name w:val="正文文本缩进"/>
    <w:basedOn w:val="655"/>
    <w:next w:val="666"/>
    <w:link w:val="667"/>
    <w:pPr>
      <w:ind w:left="420"/>
      <w:spacing w:after="120"/>
    </w:pPr>
  </w:style>
  <w:style w:type="character" w:styleId="667">
    <w:name w:val="正文文本缩进 Char"/>
    <w:next w:val="667"/>
    <w:link w:val="666"/>
    <w:rPr>
      <w:sz w:val="21"/>
      <w:szCs w:val="24"/>
    </w:rPr>
  </w:style>
  <w:style w:type="paragraph" w:styleId="668">
    <w:name w:val="文本块"/>
    <w:basedOn w:val="655"/>
    <w:next w:val="668"/>
    <w:link w:val="655"/>
    <w:pPr>
      <w:ind w:left="420" w:right="33"/>
      <w:jc w:val="left"/>
    </w:pPr>
    <w:rPr>
      <w:sz w:val="24"/>
      <w:szCs w:val="20"/>
    </w:rPr>
  </w:style>
  <w:style w:type="paragraph" w:styleId="669">
    <w:name w:val="纯文本"/>
    <w:basedOn w:val="655"/>
    <w:next w:val="669"/>
    <w:link w:val="670"/>
    <w:rPr>
      <w:rFonts w:ascii="宋体" w:hAnsi="Courier New"/>
      <w:szCs w:val="20"/>
    </w:rPr>
  </w:style>
  <w:style w:type="character" w:styleId="670">
    <w:name w:val="纯文本 Char"/>
    <w:next w:val="670"/>
    <w:link w:val="669"/>
    <w:rPr>
      <w:rFonts w:ascii="宋体" w:hAnsi="Courier New" w:eastAsia="宋体"/>
      <w:sz w:val="21"/>
      <w:lang w:val="en-US" w:eastAsia="zh-CN" w:bidi="ar-SA"/>
    </w:rPr>
  </w:style>
  <w:style w:type="paragraph" w:styleId="671">
    <w:name w:val="日期"/>
    <w:basedOn w:val="655"/>
    <w:next w:val="655"/>
    <w:link w:val="655"/>
    <w:pPr>
      <w:ind w:left="100"/>
    </w:pPr>
    <w:rPr>
      <w:rFonts w:ascii="黑体" w:eastAsia="黑体"/>
      <w:sz w:val="72"/>
    </w:rPr>
  </w:style>
  <w:style w:type="paragraph" w:styleId="672">
    <w:name w:val="正文文本缩进 2"/>
    <w:basedOn w:val="655"/>
    <w:next w:val="672"/>
    <w:link w:val="655"/>
    <w:pPr>
      <w:ind w:right="-2" w:firstLine="540"/>
      <w:tabs>
        <w:tab w:val="left" w:pos="9741" w:leader="none"/>
      </w:tabs>
    </w:pPr>
    <w:rPr>
      <w:rFonts w:eastAsia="仿宋_GB2312"/>
      <w:sz w:val="28"/>
    </w:rPr>
  </w:style>
  <w:style w:type="paragraph" w:styleId="673">
    <w:name w:val="批注框文本"/>
    <w:basedOn w:val="655"/>
    <w:next w:val="673"/>
    <w:link w:val="655"/>
    <w:semiHidden/>
    <w:rPr>
      <w:sz w:val="18"/>
      <w:szCs w:val="18"/>
    </w:rPr>
  </w:style>
  <w:style w:type="paragraph" w:styleId="674">
    <w:name w:val="页脚"/>
    <w:basedOn w:val="655"/>
    <w:next w:val="674"/>
    <w:link w:val="655"/>
    <w:pPr>
      <w:jc w:val="left"/>
      <w:tabs>
        <w:tab w:val="center" w:pos="4153" w:leader="none"/>
        <w:tab w:val="right" w:pos="8306" w:leader="none"/>
      </w:tabs>
    </w:pPr>
    <w:rPr>
      <w:sz w:val="18"/>
      <w:szCs w:val="18"/>
    </w:rPr>
  </w:style>
  <w:style w:type="paragraph" w:styleId="675">
    <w:name w:val="页眉"/>
    <w:basedOn w:val="655"/>
    <w:next w:val="675"/>
    <w:link w:val="655"/>
    <w:pPr>
      <w:jc w:val="center"/>
      <w:tabs>
        <w:tab w:val="center" w:pos="4153" w:leader="none"/>
        <w:tab w:val="right" w:pos="8306" w:leader="none"/>
      </w:tabs>
      <w:pBdr>
        <w:bottom w:val="single" w:color="000000" w:sz="6" w:space="1"/>
      </w:pBdr>
    </w:pPr>
    <w:rPr>
      <w:sz w:val="18"/>
      <w:szCs w:val="18"/>
    </w:rPr>
  </w:style>
  <w:style w:type="paragraph" w:styleId="676">
    <w:name w:val="正文文本缩进 3"/>
    <w:basedOn w:val="655"/>
    <w:next w:val="676"/>
    <w:link w:val="655"/>
    <w:pPr>
      <w:ind w:firstLine="435"/>
    </w:pPr>
    <w:rPr>
      <w:rFonts w:ascii="仿宋_GB2312" w:hAnsi="宋体" w:eastAsia="仿宋_GB2312"/>
      <w:sz w:val="28"/>
    </w:rPr>
  </w:style>
  <w:style w:type="paragraph" w:styleId="677">
    <w:name w:val="正文文本 2"/>
    <w:basedOn w:val="655"/>
    <w:next w:val="677"/>
    <w:link w:val="655"/>
    <w:rPr>
      <w:rFonts w:ascii="仿宋_GB2312" w:eastAsia="仿宋_GB2312"/>
      <w:sz w:val="28"/>
    </w:rPr>
  </w:style>
  <w:style w:type="paragraph" w:styleId="678">
    <w:name w:val="普通(网站)"/>
    <w:basedOn w:val="655"/>
    <w:next w:val="678"/>
    <w:link w:val="655"/>
    <w:uiPriority w:val="99"/>
    <w:unhideWhenUsed/>
    <w:pPr>
      <w:jc w:val="left"/>
      <w:spacing w:before="100" w:beforeAutospacing="1" w:after="100" w:afterAutospacing="1"/>
    </w:pPr>
    <w:rPr>
      <w:sz w:val="24"/>
      <w:szCs w:val="20"/>
    </w:rPr>
  </w:style>
  <w:style w:type="paragraph" w:styleId="679">
    <w:name w:val="正文首行缩进 2"/>
    <w:basedOn w:val="666"/>
    <w:next w:val="679"/>
    <w:link w:val="680"/>
    <w:pPr>
      <w:ind w:firstLine="420"/>
    </w:pPr>
  </w:style>
  <w:style w:type="character" w:styleId="680">
    <w:name w:val="正文首行缩进 2 Char"/>
    <w:basedOn w:val="667"/>
    <w:next w:val="680"/>
    <w:link w:val="679"/>
  </w:style>
  <w:style w:type="table" w:styleId="681">
    <w:name w:val="网格型"/>
    <w:basedOn w:val="659"/>
    <w:next w:val="681"/>
    <w:link w:val="655"/>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682">
    <w:name w:val="页码"/>
    <w:next w:val="682"/>
    <w:link w:val="655"/>
  </w:style>
  <w:style w:type="character" w:styleId="683">
    <w:name w:val="已访问的超链接"/>
    <w:next w:val="683"/>
    <w:link w:val="655"/>
    <w:rPr>
      <w:color w:val="800080"/>
      <w:u w:val="single"/>
    </w:rPr>
  </w:style>
  <w:style w:type="character" w:styleId="684">
    <w:name w:val="超链接"/>
    <w:next w:val="684"/>
    <w:link w:val="655"/>
    <w:rPr>
      <w:color w:val="0000ff"/>
      <w:u w:val="single"/>
    </w:rPr>
  </w:style>
  <w:style w:type="character" w:styleId="685">
    <w:name w:val="纯文本 Char1, Char Char,普通文字 Char Char,纯文本 Char Char,小 Char1"/>
    <w:next w:val="685"/>
    <w:link w:val="655"/>
    <w:rPr>
      <w:rFonts w:ascii="宋体" w:hAnsi="Courier New"/>
      <w:sz w:val="21"/>
    </w:rPr>
  </w:style>
  <w:style w:type="paragraph" w:styleId="686">
    <w:name w:val="font6"/>
    <w:basedOn w:val="655"/>
    <w:next w:val="686"/>
    <w:link w:val="655"/>
    <w:pPr>
      <w:jc w:val="left"/>
      <w:spacing w:before="100" w:beforeAutospacing="1" w:after="100" w:afterAutospacing="1"/>
      <w:widowControl/>
    </w:pPr>
    <w:rPr>
      <w:rFonts w:eastAsia="Arial Unicode MS"/>
      <w:sz w:val="18"/>
      <w:szCs w:val="18"/>
    </w:rPr>
  </w:style>
  <w:style w:type="paragraph" w:styleId="687">
    <w:name w:val="列出段落"/>
    <w:basedOn w:val="655"/>
    <w:next w:val="687"/>
    <w:link w:val="655"/>
    <w:uiPriority w:val="99"/>
    <w:qFormat/>
    <w:pPr>
      <w:ind w:firstLine="420"/>
    </w:pPr>
  </w:style>
  <w:style w:type="paragraph" w:styleId="688">
    <w:name w:val="xl43"/>
    <w:basedOn w:val="655"/>
    <w:next w:val="688"/>
    <w:link w:val="655"/>
    <w:pPr>
      <w:jc w:val="left"/>
      <w:spacing w:before="100" w:beforeAutospacing="1" w:after="100" w:afterAutospacing="1"/>
      <w:widowControl/>
    </w:pPr>
    <w:rPr>
      <w:rFonts w:ascii="Arial Unicode MS" w:hAnsi="Arial Unicode MS" w:eastAsia="Arial Unicode MS"/>
      <w:sz w:val="24"/>
    </w:rPr>
  </w:style>
  <w:style w:type="paragraph" w:styleId="689">
    <w:name w:val="xl68"/>
    <w:basedOn w:val="655"/>
    <w:next w:val="689"/>
    <w:link w:val="65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690">
    <w:name w:val="xl53"/>
    <w:basedOn w:val="655"/>
    <w:next w:val="690"/>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691">
    <w:name w:val="xl29"/>
    <w:basedOn w:val="655"/>
    <w:next w:val="691"/>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2">
    <w:name w:val="xl46"/>
    <w:basedOn w:val="655"/>
    <w:next w:val="692"/>
    <w:link w:val="655"/>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693">
    <w:name w:val="xl39"/>
    <w:basedOn w:val="655"/>
    <w:next w:val="693"/>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4">
    <w:name w:val="xl59"/>
    <w:basedOn w:val="655"/>
    <w:next w:val="694"/>
    <w:link w:val="65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695">
    <w:name w:val="xl33"/>
    <w:basedOn w:val="655"/>
    <w:next w:val="695"/>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696">
    <w:name w:val="xl86"/>
    <w:basedOn w:val="655"/>
    <w:next w:val="696"/>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697">
    <w:name w:val="font7"/>
    <w:basedOn w:val="655"/>
    <w:next w:val="697"/>
    <w:link w:val="655"/>
    <w:pPr>
      <w:jc w:val="left"/>
      <w:spacing w:before="100" w:beforeAutospacing="1" w:after="100" w:afterAutospacing="1"/>
      <w:widowControl/>
    </w:pPr>
    <w:rPr>
      <w:rFonts w:eastAsia="Arial Unicode MS"/>
      <w:sz w:val="18"/>
      <w:szCs w:val="18"/>
    </w:rPr>
  </w:style>
  <w:style w:type="paragraph" w:styleId="698">
    <w:name w:val="Char Char Char Char"/>
    <w:basedOn w:val="662"/>
    <w:next w:val="698"/>
    <w:link w:val="655"/>
    <w:pPr>
      <w:spacing w:line="360" w:lineRule="auto"/>
    </w:pPr>
    <w:rPr>
      <w:rFonts w:ascii="Tahoma" w:hAnsi="Tahoma"/>
      <w:sz w:val="24"/>
    </w:rPr>
  </w:style>
  <w:style w:type="paragraph" w:styleId="699">
    <w:name w:val="xl67"/>
    <w:basedOn w:val="655"/>
    <w:next w:val="699"/>
    <w:link w:val="655"/>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00">
    <w:name w:val="xl45"/>
    <w:basedOn w:val="655"/>
    <w:next w:val="700"/>
    <w:link w:val="655"/>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01">
    <w:name w:val="xl72"/>
    <w:basedOn w:val="655"/>
    <w:next w:val="701"/>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2">
    <w:name w:val="标书正文格式"/>
    <w:next w:val="702"/>
    <w:link w:val="655"/>
    <w:pPr>
      <w:ind w:firstLine="480"/>
      <w:jc w:val="both"/>
      <w:spacing w:line="360" w:lineRule="auto"/>
    </w:pPr>
    <w:rPr>
      <w:rFonts w:ascii="宋体" w:hAnsi="宋体"/>
      <w:sz w:val="24"/>
      <w:szCs w:val="24"/>
      <w:lang w:val="en-US" w:eastAsia="zh-CN" w:bidi="ar-SA"/>
    </w:rPr>
  </w:style>
  <w:style w:type="paragraph" w:styleId="703">
    <w:name w:val="xl60"/>
    <w:basedOn w:val="655"/>
    <w:next w:val="703"/>
    <w:link w:val="65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04">
    <w:name w:val="xl84"/>
    <w:basedOn w:val="655"/>
    <w:next w:val="704"/>
    <w:link w:val="655"/>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5">
    <w:name w:val="xl57"/>
    <w:basedOn w:val="655"/>
    <w:next w:val="705"/>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706">
    <w:name w:val="xl69"/>
    <w:basedOn w:val="655"/>
    <w:next w:val="706"/>
    <w:link w:val="65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07">
    <w:name w:val="font12"/>
    <w:basedOn w:val="655"/>
    <w:next w:val="707"/>
    <w:link w:val="655"/>
    <w:pPr>
      <w:jc w:val="left"/>
      <w:spacing w:before="100" w:beforeAutospacing="1" w:after="100" w:afterAutospacing="1"/>
      <w:widowControl/>
    </w:pPr>
    <w:rPr>
      <w:rFonts w:eastAsia="Arial Unicode MS"/>
      <w:color w:val="333333"/>
      <w:sz w:val="18"/>
      <w:szCs w:val="18"/>
    </w:rPr>
  </w:style>
  <w:style w:type="paragraph" w:styleId="708">
    <w:name w:val="font8"/>
    <w:basedOn w:val="655"/>
    <w:next w:val="708"/>
    <w:link w:val="655"/>
    <w:pPr>
      <w:jc w:val="left"/>
      <w:spacing w:before="100" w:beforeAutospacing="1" w:after="100" w:afterAutospacing="1"/>
      <w:widowControl/>
    </w:pPr>
    <w:rPr>
      <w:rFonts w:eastAsia="Arial Unicode MS"/>
      <w:sz w:val="18"/>
      <w:szCs w:val="18"/>
    </w:rPr>
  </w:style>
  <w:style w:type="paragraph" w:styleId="709">
    <w:name w:val="xl47"/>
    <w:basedOn w:val="655"/>
    <w:next w:val="709"/>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10">
    <w:name w:val=" Char Char Char Char Char Char Char Char"/>
    <w:basedOn w:val="655"/>
    <w:next w:val="710"/>
    <w:link w:val="655"/>
    <w:pPr>
      <w:jc w:val="left"/>
      <w:spacing w:after="160" w:line="240" w:lineRule="exact"/>
      <w:widowControl/>
    </w:pPr>
    <w:rPr>
      <w:rFonts w:ascii="Verdana" w:hAnsi="Verdana"/>
      <w:sz w:val="20"/>
      <w:szCs w:val="20"/>
      <w:lang w:eastAsia="en-US"/>
    </w:rPr>
  </w:style>
  <w:style w:type="paragraph" w:styleId="711">
    <w:name w:val="xl74"/>
    <w:basedOn w:val="655"/>
    <w:next w:val="711"/>
    <w:link w:val="65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12">
    <w:name w:val="xl77"/>
    <w:basedOn w:val="655"/>
    <w:next w:val="712"/>
    <w:link w:val="655"/>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13">
    <w:name w:val="xl71"/>
    <w:basedOn w:val="655"/>
    <w:next w:val="713"/>
    <w:link w:val="65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14">
    <w:name w:val="xl75"/>
    <w:basedOn w:val="655"/>
    <w:next w:val="714"/>
    <w:link w:val="655"/>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715">
    <w:name w:val="xl38"/>
    <w:basedOn w:val="655"/>
    <w:next w:val="715"/>
    <w:link w:val="6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16">
    <w:name w:val="xl51"/>
    <w:basedOn w:val="655"/>
    <w:next w:val="716"/>
    <w:link w:val="655"/>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717">
    <w:name w:val="xl78"/>
    <w:basedOn w:val="655"/>
    <w:next w:val="717"/>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18">
    <w:name w:val="普通正文"/>
    <w:basedOn w:val="655"/>
    <w:next w:val="718"/>
    <w:link w:val="655"/>
    <w:pPr>
      <w:ind w:firstLine="480"/>
      <w:jc w:val="left"/>
      <w:spacing w:before="120" w:after="120" w:line="360" w:lineRule="auto"/>
    </w:pPr>
    <w:rPr>
      <w:rFonts w:ascii="Arial" w:hAnsi="Arial"/>
      <w:sz w:val="24"/>
    </w:rPr>
  </w:style>
  <w:style w:type="paragraph" w:styleId="719">
    <w:name w:val="Char"/>
    <w:basedOn w:val="655"/>
    <w:next w:val="719"/>
    <w:link w:val="655"/>
    <w:pPr>
      <w:tabs>
        <w:tab w:val="left" w:pos="360" w:leader="none"/>
      </w:tabs>
    </w:pPr>
    <w:rPr>
      <w:sz w:val="24"/>
    </w:rPr>
  </w:style>
  <w:style w:type="paragraph" w:styleId="720">
    <w:name w:val="xl85"/>
    <w:basedOn w:val="655"/>
    <w:next w:val="720"/>
    <w:link w:val="655"/>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21">
    <w:name w:val="xl81"/>
    <w:basedOn w:val="655"/>
    <w:next w:val="721"/>
    <w:link w:val="655"/>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22">
    <w:name w:val="xl56"/>
    <w:basedOn w:val="655"/>
    <w:next w:val="722"/>
    <w:link w:val="65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23">
    <w:name w:val="xl63"/>
    <w:basedOn w:val="655"/>
    <w:next w:val="723"/>
    <w:link w:val="655"/>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724">
    <w:name w:val="font10"/>
    <w:basedOn w:val="655"/>
    <w:next w:val="724"/>
    <w:link w:val="655"/>
    <w:pPr>
      <w:jc w:val="left"/>
      <w:spacing w:before="100" w:beforeAutospacing="1" w:after="100" w:afterAutospacing="1"/>
      <w:widowControl/>
    </w:pPr>
    <w:rPr>
      <w:rFonts w:eastAsia="Arial Unicode MS"/>
      <w:sz w:val="18"/>
      <w:szCs w:val="18"/>
    </w:rPr>
  </w:style>
  <w:style w:type="paragraph" w:styleId="725">
    <w:name w:val="xl62"/>
    <w:basedOn w:val="655"/>
    <w:next w:val="725"/>
    <w:link w:val="65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6">
    <w:name w:val="xl32"/>
    <w:basedOn w:val="655"/>
    <w:next w:val="726"/>
    <w:link w:val="655"/>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27">
    <w:name w:val="xl37"/>
    <w:basedOn w:val="655"/>
    <w:next w:val="727"/>
    <w:link w:val="655"/>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28">
    <w:name w:val="xl54"/>
    <w:basedOn w:val="655"/>
    <w:next w:val="728"/>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729">
    <w:name w:val="font11"/>
    <w:basedOn w:val="655"/>
    <w:next w:val="729"/>
    <w:link w:val="655"/>
    <w:pPr>
      <w:jc w:val="left"/>
      <w:spacing w:before="100" w:beforeAutospacing="1" w:after="100" w:afterAutospacing="1"/>
      <w:widowControl/>
    </w:pPr>
    <w:rPr>
      <w:rFonts w:hint="eastAsia" w:ascii="宋体" w:hAnsi="宋体"/>
      <w:color w:val="333333"/>
      <w:sz w:val="18"/>
      <w:szCs w:val="18"/>
    </w:rPr>
  </w:style>
  <w:style w:type="paragraph" w:styleId="730">
    <w:name w:val="xl79"/>
    <w:basedOn w:val="655"/>
    <w:next w:val="730"/>
    <w:link w:val="655"/>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731">
    <w:name w:val="xl42"/>
    <w:basedOn w:val="655"/>
    <w:next w:val="731"/>
    <w:link w:val="655"/>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732">
    <w:name w:val="xl73"/>
    <w:basedOn w:val="655"/>
    <w:next w:val="732"/>
    <w:link w:val="65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33">
    <w:name w:val="xl36"/>
    <w:basedOn w:val="655"/>
    <w:next w:val="733"/>
    <w:link w:val="655"/>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34">
    <w:name w:val="xl44"/>
    <w:basedOn w:val="655"/>
    <w:next w:val="734"/>
    <w:link w:val="655"/>
    <w:pPr>
      <w:jc w:val="right"/>
      <w:spacing w:before="100" w:beforeAutospacing="1" w:after="100" w:afterAutospacing="1"/>
      <w:widowControl/>
    </w:pPr>
    <w:rPr>
      <w:rFonts w:ascii="Arial Unicode MS" w:hAnsi="Arial Unicode MS" w:eastAsia="Arial Unicode MS"/>
      <w:sz w:val="24"/>
    </w:rPr>
  </w:style>
  <w:style w:type="paragraph" w:styleId="735">
    <w:name w:val="xl35"/>
    <w:basedOn w:val="655"/>
    <w:next w:val="735"/>
    <w:link w:val="655"/>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736">
    <w:name w:val=" Char Char Char Char Char Char Char Char Char Char Char Char Char"/>
    <w:basedOn w:val="655"/>
    <w:next w:val="736"/>
    <w:link w:val="655"/>
    <w:pPr>
      <w:jc w:val="left"/>
      <w:spacing w:after="160" w:line="240" w:lineRule="exact"/>
      <w:widowControl/>
    </w:pPr>
    <w:rPr>
      <w:rFonts w:ascii="Verdana" w:hAnsi="Verdana"/>
      <w:sz w:val="20"/>
      <w:szCs w:val="20"/>
      <w:lang w:eastAsia="en-US"/>
    </w:rPr>
  </w:style>
  <w:style w:type="paragraph" w:styleId="737">
    <w:name w:val="xl64"/>
    <w:basedOn w:val="655"/>
    <w:next w:val="737"/>
    <w:link w:val="655"/>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738">
    <w:name w:val="xl41"/>
    <w:basedOn w:val="655"/>
    <w:next w:val="738"/>
    <w:link w:val="655"/>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39">
    <w:name w:val="xl52"/>
    <w:basedOn w:val="655"/>
    <w:next w:val="739"/>
    <w:link w:val="655"/>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40">
    <w:name w:val="xl80"/>
    <w:basedOn w:val="655"/>
    <w:next w:val="740"/>
    <w:link w:val="655"/>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741">
    <w:name w:val="xl31"/>
    <w:basedOn w:val="655"/>
    <w:next w:val="741"/>
    <w:link w:val="65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42">
    <w:name w:val="xl30"/>
    <w:basedOn w:val="655"/>
    <w:next w:val="742"/>
    <w:link w:val="655"/>
    <w:pPr>
      <w:jc w:val="left"/>
      <w:spacing w:before="100" w:beforeAutospacing="1" w:after="100" w:afterAutospacing="1"/>
      <w:widowControl/>
    </w:pPr>
    <w:rPr>
      <w:rFonts w:ascii="Arial Unicode MS" w:hAnsi="Arial Unicode MS" w:eastAsia="Arial Unicode MS"/>
      <w:sz w:val="18"/>
      <w:szCs w:val="18"/>
    </w:rPr>
  </w:style>
  <w:style w:type="paragraph" w:styleId="743">
    <w:name w:val="Default"/>
    <w:next w:val="743"/>
    <w:link w:val="655"/>
    <w:pPr>
      <w:widowControl w:val="off"/>
    </w:pPr>
    <w:rPr>
      <w:rFonts w:ascii="仿宋" w:eastAsia="仿宋" w:cs="仿宋"/>
      <w:color w:val="000000"/>
      <w:sz w:val="24"/>
      <w:szCs w:val="24"/>
      <w:lang w:val="en-US" w:eastAsia="zh-CN" w:bidi="ar-SA"/>
    </w:rPr>
  </w:style>
  <w:style w:type="paragraph" w:styleId="744">
    <w:name w:val="xl34"/>
    <w:basedOn w:val="655"/>
    <w:next w:val="744"/>
    <w:link w:val="655"/>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745">
    <w:name w:val=" Char"/>
    <w:basedOn w:val="662"/>
    <w:next w:val="745"/>
    <w:link w:val="655"/>
    <w:pPr>
      <w:spacing w:line="360" w:lineRule="auto"/>
    </w:pPr>
    <w:rPr>
      <w:rFonts w:ascii="Tahoma" w:hAnsi="Tahoma"/>
      <w:sz w:val="24"/>
    </w:rPr>
  </w:style>
  <w:style w:type="paragraph" w:styleId="746">
    <w:name w:val="font9"/>
    <w:basedOn w:val="655"/>
    <w:next w:val="746"/>
    <w:link w:val="655"/>
    <w:pPr>
      <w:jc w:val="left"/>
      <w:spacing w:before="100" w:beforeAutospacing="1" w:after="100" w:afterAutospacing="1"/>
      <w:widowControl/>
    </w:pPr>
    <w:rPr>
      <w:rFonts w:eastAsia="Arial Unicode MS"/>
      <w:b/>
      <w:bCs/>
      <w:color w:val="000000"/>
      <w:sz w:val="18"/>
      <w:szCs w:val="18"/>
    </w:rPr>
  </w:style>
  <w:style w:type="paragraph" w:styleId="747">
    <w:name w:val="xl58"/>
    <w:basedOn w:val="655"/>
    <w:next w:val="747"/>
    <w:link w:val="65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48">
    <w:name w:val="xl70"/>
    <w:basedOn w:val="655"/>
    <w:next w:val="748"/>
    <w:link w:val="65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49">
    <w:name w:val="xl28"/>
    <w:basedOn w:val="655"/>
    <w:next w:val="749"/>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0">
    <w:name w:val="xl48"/>
    <w:basedOn w:val="655"/>
    <w:next w:val="750"/>
    <w:link w:val="655"/>
    <w:pPr>
      <w:jc w:val="center"/>
      <w:spacing w:before="100" w:beforeAutospacing="1" w:after="100" w:afterAutospacing="1"/>
      <w:widowControl/>
    </w:pPr>
    <w:rPr>
      <w:rFonts w:ascii="Arial Unicode MS" w:hAnsi="Arial Unicode MS" w:eastAsia="Arial Unicode MS"/>
      <w:sz w:val="28"/>
      <w:szCs w:val="28"/>
    </w:rPr>
  </w:style>
  <w:style w:type="paragraph" w:styleId="751">
    <w:name w:val="font5"/>
    <w:basedOn w:val="655"/>
    <w:next w:val="751"/>
    <w:link w:val="655"/>
    <w:pPr>
      <w:jc w:val="left"/>
      <w:spacing w:before="100" w:beforeAutospacing="1" w:after="100" w:afterAutospacing="1"/>
      <w:widowControl/>
    </w:pPr>
    <w:rPr>
      <w:rFonts w:hint="eastAsia" w:ascii="宋体" w:hAnsi="宋体"/>
      <w:sz w:val="18"/>
      <w:szCs w:val="18"/>
    </w:rPr>
  </w:style>
  <w:style w:type="paragraph" w:styleId="752">
    <w:name w:val="默认段落字体 Para Char Char Char Char Char Char Char Char Char1 Char Char Char Char Char Char Char"/>
    <w:basedOn w:val="662"/>
    <w:next w:val="752"/>
    <w:link w:val="655"/>
    <w:rPr>
      <w:rFonts w:ascii="Tahoma" w:hAnsi="Tahoma"/>
      <w:sz w:val="24"/>
    </w:rPr>
  </w:style>
  <w:style w:type="paragraph" w:styleId="753">
    <w:name w:val="xl66"/>
    <w:basedOn w:val="655"/>
    <w:next w:val="753"/>
    <w:link w:val="65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54">
    <w:name w:val="font13"/>
    <w:basedOn w:val="655"/>
    <w:next w:val="754"/>
    <w:link w:val="655"/>
    <w:pPr>
      <w:jc w:val="left"/>
      <w:spacing w:before="100" w:beforeAutospacing="1" w:after="100" w:afterAutospacing="1"/>
      <w:widowControl/>
    </w:pPr>
    <w:rPr>
      <w:rFonts w:eastAsia="Arial Unicode MS"/>
      <w:b/>
      <w:bCs/>
      <w:sz w:val="18"/>
      <w:szCs w:val="18"/>
    </w:rPr>
  </w:style>
  <w:style w:type="paragraph" w:styleId="755">
    <w:name w:val="xl83"/>
    <w:basedOn w:val="655"/>
    <w:next w:val="755"/>
    <w:link w:val="655"/>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6">
    <w:name w:val="xl61"/>
    <w:basedOn w:val="655"/>
    <w:next w:val="756"/>
    <w:link w:val="65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57">
    <w:name w:val="xl76"/>
    <w:basedOn w:val="655"/>
    <w:next w:val="757"/>
    <w:link w:val="655"/>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758">
    <w:name w:val="xl55"/>
    <w:basedOn w:val="655"/>
    <w:next w:val="758"/>
    <w:link w:val="655"/>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59">
    <w:name w:val="xl40"/>
    <w:basedOn w:val="655"/>
    <w:next w:val="759"/>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60">
    <w:name w:val="xl65"/>
    <w:basedOn w:val="655"/>
    <w:next w:val="760"/>
    <w:link w:val="655"/>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761">
    <w:name w:val="xl49"/>
    <w:basedOn w:val="655"/>
    <w:next w:val="761"/>
    <w:link w:val="655"/>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762">
    <w:name w:val="xl50"/>
    <w:basedOn w:val="655"/>
    <w:next w:val="762"/>
    <w:link w:val="655"/>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63">
    <w:name w:val="xl82"/>
    <w:basedOn w:val="655"/>
    <w:next w:val="763"/>
    <w:link w:val="655"/>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764">
    <w:name w:val="正文首行缩进 21"/>
    <w:basedOn w:val="765"/>
    <w:next w:val="764"/>
    <w:link w:val="655"/>
    <w:qFormat/>
    <w:pPr>
      <w:ind w:firstLine="420"/>
    </w:pPr>
  </w:style>
  <w:style w:type="paragraph" w:styleId="765">
    <w:name w:val="正文文本缩进1"/>
    <w:basedOn w:val="655"/>
    <w:next w:val="766"/>
    <w:link w:val="655"/>
    <w:qFormat/>
    <w:pPr>
      <w:ind w:left="420"/>
      <w:spacing w:after="120"/>
    </w:pPr>
  </w:style>
  <w:style w:type="paragraph" w:styleId="766">
    <w:name w:val="寄信人地址1"/>
    <w:basedOn w:val="655"/>
    <w:next w:val="766"/>
    <w:link w:val="655"/>
    <w:uiPriority w:val="99"/>
    <w:unhideWhenUsed/>
    <w:qFormat/>
    <w:rPr>
      <w:rFonts w:ascii="Arial" w:hAnsi="Arial"/>
    </w:rPr>
  </w:style>
  <w:style w:type="character" w:styleId="767">
    <w:name w:val="font01"/>
    <w:basedOn w:val="658"/>
    <w:next w:val="767"/>
    <w:link w:val="655"/>
    <w:qFormat/>
    <w:rPr>
      <w:rFonts w:hint="eastAsia" w:ascii="宋体" w:hAnsi="宋体" w:eastAsia="宋体" w:cs="宋体"/>
      <w:color w:val="000000"/>
      <w:sz w:val="22"/>
      <w:szCs w:val="22"/>
      <w:u w:val="none"/>
    </w:rPr>
  </w:style>
  <w:style w:type="character" w:styleId="768">
    <w:name w:val="font31"/>
    <w:basedOn w:val="658"/>
    <w:next w:val="768"/>
    <w:link w:val="655"/>
    <w:qFormat/>
    <w:rPr>
      <w:rFonts w:ascii="书宋-简" w:hAnsi="书宋-简" w:eastAsia="书宋-简" w:cs="书宋-简"/>
      <w:color w:val="000000"/>
      <w:sz w:val="22"/>
      <w:szCs w:val="22"/>
      <w:u w:val="none"/>
    </w:rPr>
  </w:style>
  <w:style w:type="character" w:styleId="7556" w:default="1">
    <w:name w:val="Default Paragraph Font"/>
    <w:uiPriority w:val="1"/>
    <w:semiHidden/>
    <w:unhideWhenUsed/>
  </w:style>
  <w:style w:type="numbering" w:styleId="7557" w:default="1">
    <w:name w:val="No List"/>
    <w:uiPriority w:val="99"/>
    <w:semiHidden/>
    <w:unhideWhenUsed/>
  </w:style>
  <w:style w:type="table" w:styleId="75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顾诗仪</cp:lastModifiedBy>
  <cp:revision>5</cp:revision>
  <dcterms:created xsi:type="dcterms:W3CDTF">2024-02-28T03:16:00Z</dcterms:created>
  <dcterms:modified xsi:type="dcterms:W3CDTF">2026-05-11T01:17:19Z</dcterms:modified>
</cp:coreProperties>
</file>