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7"/>
        <w:ind w:firstLine="0"/>
        <w:rPr>
          <w:rFonts w:hint="eastAsia" w:ascii="方正仿宋_GBK" w:hAnsi="方正仿宋_GBK" w:eastAsia="方正仿宋_GBK" w:cs="方正仿宋_GBK"/>
          <w:b/>
          <w:bCs/>
          <w:sz w:val="84"/>
          <w:highlight w:val="none"/>
        </w:rPr>
      </w:pPr>
      <w:r>
        <w:rPr>
          <w:rFonts w:hint="eastAsia" w:ascii="方正仿宋_GBK" w:hAnsi="方正仿宋_GBK" w:eastAsia="方正仿宋_GBK" w:cs="方正仿宋_GBK"/>
          <w:b/>
          <w:bCs/>
          <w:sz w:val="84"/>
          <w:highlight w:val="none"/>
        </w:rPr>
      </w:r>
      <w:r/>
    </w:p>
    <w:p>
      <w:pPr>
        <w:pStyle w:val="1057"/>
        <w:ind w:firstLine="0"/>
        <w:jc w:val="center"/>
        <w:rPr>
          <w:rFonts w:hint="eastAsia" w:eastAsia="黑体"/>
          <w:b/>
          <w:bCs/>
          <w:sz w:val="84"/>
          <w:highlight w:val="none"/>
        </w:rPr>
      </w:pPr>
      <w:r>
        <w:rPr>
          <w:rFonts w:hint="eastAsia" w:eastAsia="黑体"/>
          <w:b/>
          <w:bCs/>
          <w:sz w:val="84"/>
          <w:highlight w:val="none"/>
        </w:rPr>
        <w:t xml:space="preserve">招　标　文　件</w:t>
      </w:r>
      <w:r>
        <w:rPr>
          <w:rFonts w:hint="eastAsia" w:eastAsia="黑体"/>
          <w:b/>
          <w:bCs/>
          <w:sz w:val="84"/>
          <w:highlight w:val="none"/>
        </w:rPr>
      </w:r>
      <w:r/>
    </w:p>
    <w:p>
      <w:pPr>
        <w:pStyle w:val="1057"/>
        <w:ind w:firstLine="0"/>
        <w:rPr>
          <w:rFonts w:hint="eastAsia"/>
          <w:b/>
          <w:bCs/>
          <w:sz w:val="32"/>
          <w:highlight w:val="none"/>
        </w:rPr>
      </w:pPr>
      <w:r>
        <w:rPr>
          <w:rFonts w:hint="eastAsia"/>
          <w:b/>
          <w:bCs/>
          <w:sz w:val="32"/>
          <w:highlight w:val="none"/>
        </w:rPr>
      </w:r>
      <w:r/>
    </w:p>
    <w:p>
      <w:pPr>
        <w:pStyle w:val="1057"/>
        <w:ind w:firstLine="0"/>
        <w:rPr>
          <w:rFonts w:hint="eastAsia"/>
          <w:b/>
          <w:bCs/>
          <w:sz w:val="32"/>
          <w:highlight w:val="none"/>
        </w:rPr>
      </w:pPr>
      <w:r>
        <w:rPr>
          <w:rFonts w:hint="eastAsia"/>
          <w:b/>
          <w:bCs/>
          <w:sz w:val="32"/>
          <w:highlight w:val="none"/>
        </w:rPr>
      </w:r>
      <w:r/>
    </w:p>
    <w:p>
      <w:pPr>
        <w:pStyle w:val="1057"/>
        <w:ind w:firstLine="0"/>
        <w:rPr>
          <w:rFonts w:hint="eastAsia" w:eastAsia="宋体"/>
          <w:b/>
          <w:bCs/>
          <w:sz w:val="32"/>
          <w:highlight w:val="none"/>
          <w:lang w:eastAsia="zh-CN"/>
        </w:rPr>
      </w:pPr>
      <w:r>
        <w:rPr>
          <w:rFonts w:hint="eastAsia"/>
          <w:b/>
          <w:bCs/>
          <w:sz w:val="32"/>
          <w:highlight w:val="none"/>
        </w:rPr>
        <w:t xml:space="preserve">项目名称：南通市城市照明管理处路灯主材（灯杆灯具） </w:t>
      </w:r>
      <w:r>
        <w:rPr>
          <w:rFonts w:hint="eastAsia"/>
          <w:b/>
          <w:bCs/>
          <w:sz w:val="32"/>
          <w:highlight w:val="none"/>
          <w:lang w:eastAsia="zh-CN"/>
        </w:rPr>
        <w:t xml:space="preserve">（</w:t>
      </w:r>
      <w:r>
        <w:rPr>
          <w:rFonts w:hint="eastAsia"/>
          <w:b/>
          <w:bCs/>
          <w:sz w:val="32"/>
          <w:highlight w:val="none"/>
          <w:lang w:val="en-US" w:eastAsia="zh-CN"/>
        </w:rPr>
        <w:t xml:space="preserve">重新采购</w:t>
      </w:r>
      <w:r>
        <w:rPr>
          <w:rFonts w:hint="eastAsia"/>
          <w:b/>
          <w:bCs/>
          <w:sz w:val="32"/>
          <w:highlight w:val="none"/>
          <w:lang w:eastAsia="zh-CN"/>
        </w:rPr>
        <w:t xml:space="preserve">）</w:t>
      </w:r>
      <w:r>
        <w:rPr>
          <w:rFonts w:hint="eastAsia" w:eastAsia="宋体"/>
          <w:b/>
          <w:bCs/>
          <w:sz w:val="32"/>
          <w:highlight w:val="none"/>
          <w:lang w:eastAsia="zh-CN"/>
        </w:rPr>
      </w:r>
      <w:r/>
    </w:p>
    <w:p>
      <w:pPr>
        <w:pStyle w:val="1057"/>
        <w:ind w:firstLine="0"/>
        <w:rPr>
          <w:rFonts w:hint="eastAsia" w:eastAsia="宋体"/>
          <w:b/>
          <w:bCs/>
          <w:sz w:val="32"/>
          <w:highlight w:val="none"/>
          <w:lang w:eastAsia="zh-CN"/>
        </w:rPr>
      </w:pPr>
      <w:r>
        <w:rPr>
          <w:rFonts w:hint="eastAsia"/>
          <w:b/>
          <w:bCs/>
          <w:sz w:val="32"/>
          <w:highlight w:val="none"/>
        </w:rPr>
        <w:t xml:space="preserve">项目编号：</w:t>
      </w:r>
      <w:r>
        <w:rPr>
          <w:rFonts w:hint="eastAsia"/>
          <w:b/>
          <w:bCs/>
          <w:sz w:val="32"/>
          <w:highlight w:val="none"/>
          <w:lang w:eastAsia="zh-CN"/>
        </w:rPr>
        <w:t xml:space="preserve">JSZC-320600-XXDF-G2026-0008</w:t>
      </w:r>
      <w:r>
        <w:rPr>
          <w:rFonts w:hint="eastAsia" w:eastAsia="宋体"/>
          <w:b/>
          <w:bCs/>
          <w:sz w:val="32"/>
          <w:highlight w:val="none"/>
          <w:lang w:eastAsia="zh-CN"/>
        </w:rPr>
      </w:r>
      <w:r/>
    </w:p>
    <w:p>
      <w:pPr>
        <w:pStyle w:val="967"/>
        <w:rPr>
          <w:rFonts w:hint="eastAsia"/>
          <w:b/>
          <w:sz w:val="30"/>
          <w:szCs w:val="30"/>
          <w:highlight w:val="none"/>
        </w:rPr>
      </w:pPr>
      <w:r>
        <w:rPr>
          <w:rFonts w:hint="eastAsia"/>
          <w:b/>
          <w:sz w:val="30"/>
          <w:szCs w:val="30"/>
          <w:highlight w:val="none"/>
        </w:rPr>
      </w:r>
      <w:r/>
    </w:p>
    <w:p>
      <w:pPr>
        <w:pStyle w:val="1057"/>
        <w:ind w:firstLine="0"/>
        <w:spacing w:before="0" w:after="0"/>
        <w:rPr>
          <w:rFonts w:hint="eastAsia" w:ascii="宋体" w:hAnsi="宋体"/>
          <w:highlight w:val="none"/>
        </w:rPr>
      </w:pPr>
      <w:r>
        <w:rPr>
          <w:rFonts w:hint="eastAsia" w:ascii="宋体" w:hAnsi="宋体"/>
          <w:highlight w:val="none"/>
        </w:rPr>
      </w:r>
      <w:r/>
    </w:p>
    <w:p>
      <w:pPr>
        <w:pStyle w:val="1057"/>
        <w:ind w:firstLine="0"/>
        <w:spacing w:before="0" w:after="0"/>
        <w:rPr>
          <w:rFonts w:hint="eastAsia" w:ascii="宋体" w:hAnsi="宋体"/>
          <w:highlight w:val="none"/>
        </w:rPr>
      </w:pPr>
      <w:r>
        <w:rPr>
          <w:rFonts w:hint="eastAsia" w:ascii="宋体" w:hAnsi="宋体"/>
          <w:highlight w:val="none"/>
        </w:rPr>
      </w:r>
      <w:r/>
    </w:p>
    <w:p>
      <w:pPr>
        <w:pStyle w:val="1057"/>
        <w:ind w:firstLine="0"/>
        <w:spacing w:before="0" w:after="0"/>
        <w:rPr>
          <w:rFonts w:hint="eastAsia" w:ascii="宋体" w:hAnsi="宋体"/>
          <w:highlight w:val="none"/>
        </w:rPr>
      </w:pPr>
      <w:r>
        <w:rPr>
          <w:rFonts w:hint="eastAsia" w:ascii="宋体" w:hAnsi="宋体"/>
          <w:highlight w:val="none"/>
        </w:rPr>
      </w:r>
      <w:r/>
    </w:p>
    <w:p>
      <w:pPr>
        <w:pStyle w:val="1057"/>
        <w:ind w:firstLine="0"/>
        <w:spacing w:before="0" w:after="0"/>
        <w:rPr>
          <w:rFonts w:hint="eastAsia" w:ascii="宋体" w:hAnsi="宋体"/>
          <w:highlight w:val="none"/>
        </w:rPr>
      </w:pPr>
      <w:r>
        <w:rPr>
          <w:rFonts w:hint="eastAsia" w:ascii="宋体" w:hAnsi="宋体"/>
          <w:highlight w:val="none"/>
        </w:rPr>
      </w:r>
      <w:r/>
    </w:p>
    <w:p>
      <w:pPr>
        <w:pStyle w:val="1057"/>
        <w:ind w:firstLine="0"/>
        <w:spacing w:before="0" w:after="0"/>
        <w:rPr>
          <w:rFonts w:hint="eastAsia" w:ascii="宋体" w:hAnsi="宋体"/>
          <w:highlight w:val="none"/>
        </w:rPr>
      </w:pPr>
      <w:r>
        <w:rPr>
          <w:rFonts w:hint="eastAsia" w:ascii="宋体" w:hAnsi="宋体"/>
          <w:highlight w:val="none"/>
        </w:rPr>
      </w:r>
      <w:r/>
    </w:p>
    <w:p>
      <w:pPr>
        <w:pStyle w:val="1057"/>
        <w:ind w:firstLine="0"/>
        <w:spacing w:before="0" w:after="0"/>
        <w:rPr>
          <w:rFonts w:hint="eastAsia" w:ascii="宋体" w:hAnsi="宋体"/>
          <w:highlight w:val="none"/>
        </w:rPr>
      </w:pPr>
      <w:r>
        <w:rPr>
          <w:rFonts w:hint="eastAsia" w:ascii="宋体" w:hAnsi="宋体"/>
          <w:highlight w:val="none"/>
        </w:rPr>
      </w:r>
      <w:r/>
    </w:p>
    <w:p>
      <w:pPr>
        <w:pStyle w:val="1057"/>
        <w:ind w:firstLine="0"/>
        <w:spacing w:before="0" w:after="0"/>
        <w:rPr>
          <w:rFonts w:hint="eastAsia" w:ascii="宋体" w:hAnsi="宋体"/>
          <w:highlight w:val="none"/>
        </w:rPr>
      </w:pPr>
      <w:r>
        <w:rPr>
          <w:rFonts w:hint="eastAsia" w:ascii="宋体" w:hAnsi="宋体"/>
          <w:highlight w:val="none"/>
        </w:rPr>
      </w:r>
      <w:r/>
    </w:p>
    <w:p>
      <w:pPr>
        <w:pStyle w:val="967"/>
        <w:ind w:left="3205" w:hanging="1928"/>
        <w:spacing w:line="360" w:lineRule="auto"/>
        <w:rPr>
          <w:rFonts w:hint="eastAsia" w:ascii="宋体" w:hAnsi="宋体" w:cs="宋体"/>
          <w:b/>
          <w:bCs/>
          <w:sz w:val="32"/>
          <w:szCs w:val="32"/>
          <w:highlight w:val="none"/>
          <w:u w:val="single"/>
        </w:rPr>
      </w:pPr>
      <w:r>
        <w:rPr>
          <w:rFonts w:hint="eastAsia" w:ascii="宋体" w:hAnsi="宋体" w:cs="宋体"/>
          <w:b/>
          <w:bCs/>
          <w:sz w:val="32"/>
          <w:szCs w:val="32"/>
          <w:highlight w:val="none"/>
        </w:rPr>
        <w:t xml:space="preserve">采 购 人： </w:t>
      </w:r>
      <w:r>
        <w:rPr>
          <w:rFonts w:hint="eastAsia" w:ascii="宋体" w:hAnsi="宋体" w:cs="宋体"/>
          <w:b/>
          <w:bCs/>
          <w:sz w:val="32"/>
          <w:szCs w:val="32"/>
          <w:highlight w:val="none"/>
          <w:u w:val="single"/>
        </w:rPr>
        <w:t xml:space="preserve">南通市城市照明管理处</w:t>
      </w:r>
      <w:r>
        <w:rPr>
          <w:rFonts w:hint="eastAsia" w:ascii="宋体" w:hAnsi="宋体" w:cs="宋体"/>
          <w:b/>
          <w:bCs/>
          <w:sz w:val="32"/>
          <w:szCs w:val="32"/>
          <w:highlight w:val="none"/>
          <w:u w:val="single"/>
        </w:rPr>
      </w:r>
      <w:r/>
    </w:p>
    <w:p>
      <w:pPr>
        <w:pStyle w:val="967"/>
        <w:ind w:firstLine="1285"/>
        <w:spacing w:before="120" w:after="120"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代理机构： </w:t>
      </w:r>
      <w:r>
        <w:rPr>
          <w:rFonts w:hint="eastAsia" w:ascii="宋体" w:hAnsi="宋体" w:cs="宋体"/>
          <w:b/>
          <w:bCs/>
          <w:sz w:val="32"/>
          <w:szCs w:val="32"/>
          <w:highlight w:val="none"/>
          <w:u w:val="single"/>
        </w:rPr>
        <w:t xml:space="preserve">江苏新东方工程管理咨询有限公司</w:t>
      </w:r>
      <w:r>
        <w:rPr>
          <w:rFonts w:hint="eastAsia" w:ascii="宋体" w:hAnsi="宋体" w:cs="宋体"/>
          <w:b/>
          <w:bCs/>
          <w:sz w:val="32"/>
          <w:szCs w:val="32"/>
          <w:highlight w:val="none"/>
        </w:rPr>
      </w:r>
      <w:r/>
    </w:p>
    <w:p>
      <w:pPr>
        <w:pStyle w:val="967"/>
        <w:jc w:val="center"/>
        <w:spacing w:line="500" w:lineRule="exact"/>
        <w:rPr>
          <w:rFonts w:hint="eastAsia" w:ascii="宋体" w:hAnsi="宋体" w:cs="宋体"/>
          <w:b/>
          <w:sz w:val="36"/>
          <w:szCs w:val="36"/>
          <w:highlight w:val="none"/>
        </w:rPr>
      </w:pPr>
      <w:r>
        <w:rPr>
          <w:rFonts w:hint="eastAsia" w:ascii="宋体" w:hAnsi="宋体" w:cs="宋体"/>
          <w:b/>
          <w:sz w:val="36"/>
          <w:szCs w:val="36"/>
          <w:highlight w:val="none"/>
        </w:rPr>
        <w:t xml:space="preserve">二〇二六年</w:t>
      </w:r>
      <w:r>
        <w:rPr>
          <w:rFonts w:hint="eastAsia" w:ascii="宋体" w:hAnsi="宋体" w:cs="宋体"/>
          <w:b/>
          <w:sz w:val="36"/>
          <w:szCs w:val="36"/>
          <w:highlight w:val="none"/>
          <w:lang w:val="en-US" w:eastAsia="zh-CN"/>
        </w:rPr>
        <w:t xml:space="preserve">四</w:t>
      </w:r>
      <w:r>
        <w:rPr>
          <w:rFonts w:hint="eastAsia" w:ascii="宋体" w:hAnsi="宋体" w:cs="宋体"/>
          <w:b/>
          <w:sz w:val="36"/>
          <w:szCs w:val="36"/>
          <w:highlight w:val="none"/>
        </w:rPr>
        <w:t xml:space="preserve">月 </w:t>
      </w:r>
      <w:r>
        <w:rPr>
          <w:rFonts w:hint="eastAsia" w:ascii="宋体" w:hAnsi="宋体" w:cs="宋体"/>
          <w:b/>
          <w:sz w:val="36"/>
          <w:szCs w:val="36"/>
          <w:highlight w:val="none"/>
        </w:rPr>
      </w:r>
      <w:r/>
    </w:p>
    <w:p>
      <w:pPr>
        <w:pStyle w:val="1057"/>
        <w:ind w:firstLine="0"/>
        <w:rPr>
          <w:rFonts w:hint="eastAsia"/>
          <w:highlight w:val="none"/>
          <w:u w:val="single"/>
        </w:rPr>
      </w:pPr>
      <w:r>
        <w:rPr>
          <w:rFonts w:hint="eastAsia"/>
          <w:highlight w:val="none"/>
          <w:u w:val="single"/>
        </w:rPr>
      </w:r>
      <w:r/>
    </w:p>
    <w:p>
      <w:pPr>
        <w:pStyle w:val="1057"/>
        <w:ind w:firstLine="0"/>
        <w:rPr>
          <w:rFonts w:hint="eastAsia"/>
          <w:highlight w:val="none"/>
        </w:rPr>
      </w:pPr>
      <w:r>
        <w:rPr>
          <w:rFonts w:hint="eastAsia"/>
          <w:highlight w:val="none"/>
        </w:rPr>
      </w:r>
      <w:r/>
    </w:p>
    <w:p>
      <w:pPr>
        <w:pStyle w:val="967"/>
        <w:jc w:val="center"/>
        <w:spacing w:line="480" w:lineRule="auto"/>
        <w:rPr>
          <w:rFonts w:hint="eastAsia"/>
          <w:highlight w:val="none"/>
        </w:rPr>
        <w:sectPr>
          <w:footerReference w:type="default" r:id="rId10"/>
          <w:footnotePr/>
          <w:endnotePr/>
          <w:type w:val="nextPage"/>
          <w:pgSz w:w="11906" w:h="16839" w:orient="portrait"/>
          <w:pgMar w:top="1431" w:right="1719" w:bottom="1153" w:left="1700" w:header="0" w:footer="994" w:gutter="0"/>
          <w:cols w:num="1" w:sep="0" w:space="1701" w:equalWidth="1"/>
          <w:docGrid w:linePitch="360"/>
        </w:sectPr>
        <w:outlineLvl w:val="0"/>
      </w:pPr>
      <w:r/>
      <w:bookmarkStart w:id="0" w:name="_Toc120614210"/>
      <w:r/>
      <w:bookmarkStart w:id="1" w:name="_Toc513029200"/>
      <w:r/>
      <w:bookmarkStart w:id="2" w:name="_Toc20823272"/>
      <w:r/>
      <w:bookmarkStart w:id="3" w:name="_Toc479757206"/>
      <w:r/>
      <w:bookmarkStart w:id="4" w:name="_Toc523127445"/>
      <w:r/>
      <w:bookmarkStart w:id="5" w:name="_Toc16938516"/>
      <w:r>
        <w:rPr>
          <w:rFonts w:hint="eastAsia"/>
          <w:highlight w:val="none"/>
        </w:rPr>
      </w:r>
      <w:r/>
    </w:p>
    <w:p>
      <w:pPr>
        <w:pStyle w:val="967"/>
        <w:jc w:val="center"/>
        <w:spacing w:line="480" w:lineRule="auto"/>
        <w:rPr>
          <w:rFonts w:hint="eastAsia" w:ascii="黑体" w:hAnsi="Arial" w:eastAsia="黑体"/>
          <w:b/>
          <w:sz w:val="44"/>
          <w:highlight w:val="none"/>
        </w:rPr>
        <w:outlineLvl w:val="0"/>
      </w:pPr>
      <w:r>
        <w:rPr>
          <w:rFonts w:hint="eastAsia"/>
          <w:highlight w:val="none"/>
        </w:rPr>
        <w:t xml:space="preserve"> </w:t>
      </w:r>
      <w:r>
        <w:rPr>
          <w:rFonts w:hint="eastAsia" w:ascii="黑体" w:hAnsi="Arial" w:eastAsia="黑体"/>
          <w:b/>
          <w:sz w:val="44"/>
          <w:highlight w:val="none"/>
        </w:rPr>
        <w:t xml:space="preserve">总  目  录</w:t>
      </w:r>
      <w:r>
        <w:rPr>
          <w:rFonts w:hint="eastAsia" w:ascii="黑体" w:hAnsi="Arial" w:eastAsia="黑体"/>
          <w:b/>
          <w:sz w:val="44"/>
          <w:highlight w:val="none"/>
        </w:rPr>
      </w:r>
      <w:r/>
    </w:p>
    <w:p>
      <w:pPr>
        <w:pStyle w:val="967"/>
        <w:spacing w:line="480" w:lineRule="auto"/>
        <w:rPr>
          <w:rFonts w:hint="eastAsia" w:ascii="方正仿宋_GB2312" w:hAnsi="Arial" w:eastAsia="方正仿宋_GB2312"/>
          <w:b/>
          <w:sz w:val="28"/>
          <w:highlight w:val="none"/>
        </w:rPr>
      </w:pPr>
      <w:r>
        <w:rPr>
          <w:rFonts w:hint="eastAsia" w:ascii="方正仿宋_GB2312" w:hAnsi="Arial" w:eastAsia="方正仿宋_GB2312"/>
          <w:b/>
          <w:sz w:val="28"/>
          <w:highlight w:val="none"/>
        </w:rPr>
      </w:r>
      <w:r/>
    </w:p>
    <w:p>
      <w:pPr>
        <w:pStyle w:val="967"/>
        <w:numPr>
          <w:ilvl w:val="0"/>
          <w:numId w:val="4"/>
        </w:numPr>
        <w:spacing w:line="480" w:lineRule="auto"/>
        <w:tabs>
          <w:tab w:val="left" w:pos="1440" w:leader="none"/>
        </w:tabs>
        <w:rPr>
          <w:rFonts w:hint="eastAsia" w:ascii="黑体" w:hAnsi="Showcard Gothic" w:eastAsia="黑体"/>
          <w:sz w:val="32"/>
          <w:highlight w:val="none"/>
        </w:rPr>
        <w:outlineLvl w:val="0"/>
      </w:pPr>
      <w:r>
        <w:rPr>
          <w:rFonts w:hint="eastAsia" w:ascii="黑体" w:hAnsi="宋体" w:eastAsia="黑体"/>
          <w:sz w:val="36"/>
          <w:highlight w:val="none"/>
        </w:rPr>
        <w:t xml:space="preserve">投标邀请</w:t>
      </w:r>
      <w:r>
        <w:rPr>
          <w:rFonts w:hint="eastAsia" w:ascii="黑体" w:hAnsi="Showcard Gothic" w:eastAsia="黑体"/>
          <w:sz w:val="36"/>
          <w:highlight w:val="none"/>
        </w:rPr>
        <w:t xml:space="preserve">……………………………………2</w:t>
      </w:r>
      <w:r>
        <w:rPr>
          <w:rFonts w:hint="eastAsia" w:ascii="黑体" w:hAnsi="Showcard Gothic" w:eastAsia="黑体"/>
          <w:sz w:val="32"/>
          <w:highlight w:val="none"/>
        </w:rPr>
      </w:r>
      <w:r/>
    </w:p>
    <w:p>
      <w:pPr>
        <w:pStyle w:val="967"/>
        <w:numPr>
          <w:ilvl w:val="0"/>
          <w:numId w:val="4"/>
        </w:numPr>
        <w:spacing w:line="480" w:lineRule="auto"/>
        <w:tabs>
          <w:tab w:val="left" w:pos="1440" w:leader="none"/>
        </w:tabs>
        <w:rPr>
          <w:rFonts w:hint="eastAsia" w:ascii="黑体" w:hAnsi="Showcard Gothic" w:eastAsia="黑体"/>
          <w:sz w:val="36"/>
          <w:highlight w:val="none"/>
        </w:rPr>
        <w:outlineLvl w:val="0"/>
      </w:pPr>
      <w:r>
        <w:rPr>
          <w:rFonts w:hint="eastAsia" w:ascii="黑体" w:hAnsi="宋体" w:eastAsia="黑体"/>
          <w:bCs/>
          <w:sz w:val="36"/>
          <w:szCs w:val="36"/>
          <w:highlight w:val="none"/>
        </w:rPr>
        <w:t xml:space="preserve">投标人须知</w:t>
      </w:r>
      <w:r>
        <w:rPr>
          <w:rFonts w:hint="eastAsia" w:ascii="黑体" w:hAnsi="Showcard Gothic" w:eastAsia="黑体"/>
          <w:sz w:val="36"/>
          <w:szCs w:val="36"/>
          <w:highlight w:val="none"/>
        </w:rPr>
        <w:t xml:space="preserve">…</w:t>
      </w:r>
      <w:r>
        <w:rPr>
          <w:rFonts w:hint="eastAsia" w:ascii="黑体" w:hAnsi="Showcard Gothic" w:eastAsia="黑体"/>
          <w:sz w:val="36"/>
          <w:highlight w:val="none"/>
        </w:rPr>
        <w:t xml:space="preserve">………………………………6</w:t>
      </w:r>
      <w:r>
        <w:rPr>
          <w:rFonts w:hint="eastAsia" w:ascii="黑体" w:hAnsi="Showcard Gothic" w:eastAsia="黑体"/>
          <w:sz w:val="36"/>
          <w:highlight w:val="none"/>
        </w:rPr>
      </w:r>
      <w:r/>
    </w:p>
    <w:p>
      <w:pPr>
        <w:pStyle w:val="967"/>
        <w:numPr>
          <w:ilvl w:val="0"/>
          <w:numId w:val="4"/>
        </w:numPr>
        <w:spacing w:line="480" w:lineRule="auto"/>
        <w:tabs>
          <w:tab w:val="left" w:pos="1440" w:leader="none"/>
        </w:tabs>
        <w:rPr>
          <w:rFonts w:hint="eastAsia" w:ascii="黑体" w:hAnsi="Showcard Gothic" w:eastAsia="黑体"/>
          <w:sz w:val="36"/>
          <w:highlight w:val="none"/>
        </w:rPr>
        <w:outlineLvl w:val="0"/>
      </w:pPr>
      <w:r>
        <w:rPr>
          <w:rFonts w:hint="eastAsia" w:ascii="黑体" w:hAnsi="宋体" w:eastAsia="黑体"/>
          <w:sz w:val="36"/>
          <w:highlight w:val="none"/>
        </w:rPr>
        <w:t xml:space="preserve">合同文本</w:t>
      </w:r>
      <w:r>
        <w:rPr>
          <w:rFonts w:hint="eastAsia" w:ascii="黑体" w:hAnsi="Showcard Gothic" w:eastAsia="黑体"/>
          <w:sz w:val="36"/>
          <w:highlight w:val="none"/>
        </w:rPr>
        <w:t xml:space="preserve">……………………………………20</w:t>
      </w:r>
      <w:r>
        <w:rPr>
          <w:rFonts w:hint="eastAsia" w:ascii="黑体" w:hAnsi="Showcard Gothic" w:eastAsia="黑体"/>
          <w:sz w:val="36"/>
          <w:highlight w:val="none"/>
        </w:rPr>
      </w:r>
      <w:r/>
    </w:p>
    <w:p>
      <w:pPr>
        <w:pStyle w:val="967"/>
        <w:numPr>
          <w:ilvl w:val="0"/>
          <w:numId w:val="4"/>
        </w:numPr>
        <w:spacing w:line="480" w:lineRule="auto"/>
        <w:tabs>
          <w:tab w:val="left" w:pos="1440" w:leader="none"/>
        </w:tabs>
        <w:rPr>
          <w:rFonts w:hint="eastAsia" w:ascii="黑体" w:hAnsi="Showcard Gothic" w:eastAsia="黑体"/>
          <w:sz w:val="36"/>
          <w:highlight w:val="none"/>
        </w:rPr>
        <w:outlineLvl w:val="0"/>
      </w:pPr>
      <w:r>
        <w:rPr>
          <w:rFonts w:hint="eastAsia" w:ascii="黑体" w:hAnsi="宋体" w:eastAsia="黑体"/>
          <w:sz w:val="36"/>
          <w:highlight w:val="none"/>
        </w:rPr>
        <w:t xml:space="preserve">采购需求</w:t>
      </w:r>
      <w:r>
        <w:rPr>
          <w:rFonts w:hint="eastAsia" w:ascii="黑体" w:hAnsi="Showcard Gothic" w:eastAsia="黑体"/>
          <w:sz w:val="36"/>
          <w:highlight w:val="none"/>
        </w:rPr>
        <w:t xml:space="preserve">……………………………………23</w:t>
      </w:r>
      <w:r>
        <w:rPr>
          <w:rFonts w:hint="eastAsia" w:ascii="黑体" w:hAnsi="Showcard Gothic" w:eastAsia="黑体"/>
          <w:sz w:val="36"/>
          <w:highlight w:val="none"/>
        </w:rPr>
      </w:r>
      <w:r/>
    </w:p>
    <w:p>
      <w:pPr>
        <w:pStyle w:val="967"/>
        <w:numPr>
          <w:ilvl w:val="0"/>
          <w:numId w:val="4"/>
        </w:numPr>
        <w:spacing w:line="480" w:lineRule="auto"/>
        <w:tabs>
          <w:tab w:val="left" w:pos="1440" w:leader="none"/>
        </w:tabs>
        <w:rPr>
          <w:rFonts w:hint="eastAsia" w:ascii="黑体" w:hAnsi="Showcard Gothic" w:eastAsia="黑体"/>
          <w:sz w:val="36"/>
          <w:highlight w:val="none"/>
        </w:rPr>
        <w:outlineLvl w:val="0"/>
      </w:pPr>
      <w:r>
        <w:rPr>
          <w:rFonts w:hint="eastAsia" w:ascii="黑体" w:hAnsi="宋体" w:eastAsia="黑体"/>
          <w:bCs/>
          <w:sz w:val="36"/>
          <w:szCs w:val="36"/>
          <w:highlight w:val="none"/>
        </w:rPr>
        <w:t xml:space="preserve">评标方法与评标标准</w:t>
      </w:r>
      <w:r>
        <w:rPr>
          <w:rFonts w:hint="eastAsia" w:ascii="黑体" w:hAnsi="Showcard Gothic" w:eastAsia="黑体"/>
          <w:sz w:val="36"/>
          <w:highlight w:val="none"/>
        </w:rPr>
        <w:t xml:space="preserve">………………………34</w:t>
      </w:r>
      <w:r>
        <w:rPr>
          <w:rFonts w:hint="eastAsia" w:ascii="黑体" w:hAnsi="Showcard Gothic" w:eastAsia="黑体"/>
          <w:sz w:val="36"/>
          <w:highlight w:val="none"/>
        </w:rPr>
      </w:r>
      <w:r/>
    </w:p>
    <w:p>
      <w:pPr>
        <w:pStyle w:val="967"/>
        <w:numPr>
          <w:ilvl w:val="0"/>
          <w:numId w:val="4"/>
        </w:numPr>
        <w:spacing w:line="480" w:lineRule="auto"/>
        <w:tabs>
          <w:tab w:val="left" w:pos="1440" w:leader="none"/>
        </w:tabs>
        <w:rPr>
          <w:rFonts w:hint="eastAsia" w:ascii="黑体" w:hAnsi="Showcard Gothic" w:eastAsia="黑体"/>
          <w:sz w:val="36"/>
          <w:highlight w:val="none"/>
        </w:rPr>
        <w:outlineLvl w:val="0"/>
      </w:pPr>
      <w:r>
        <w:rPr>
          <w:rFonts w:hint="eastAsia" w:ascii="黑体" w:hAnsi="宋体" w:eastAsia="黑体"/>
          <w:sz w:val="36"/>
          <w:highlight w:val="none"/>
        </w:rPr>
        <w:t xml:space="preserve">投标文件格式</w:t>
      </w:r>
      <w:r>
        <w:rPr>
          <w:rFonts w:hint="eastAsia" w:ascii="黑体" w:hAnsi="Showcard Gothic" w:eastAsia="黑体"/>
          <w:sz w:val="36"/>
          <w:highlight w:val="none"/>
        </w:rPr>
        <w:t xml:space="preserve">………………………………43</w:t>
      </w:r>
      <w:r>
        <w:rPr>
          <w:rFonts w:hint="eastAsia" w:ascii="黑体" w:hAnsi="Showcard Gothic" w:eastAsia="黑体"/>
          <w:sz w:val="36"/>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sectPr>
          <w:footerReference w:type="default" r:id="rId11"/>
          <w:footnotePr/>
          <w:endnotePr/>
          <w:type w:val="nextPage"/>
          <w:pgSz w:w="11906" w:h="16839" w:orient="portrait"/>
          <w:pgMar w:top="1431" w:right="1719" w:bottom="1153" w:left="1700" w:header="0" w:footer="994" w:gutter="0"/>
          <w:pgNumType w:start="1"/>
          <w:cols w:num="1" w:sep="0" w:space="1701" w:equalWidth="1"/>
          <w:docGrid w:linePitch="360"/>
        </w:sectPr>
      </w:pPr>
      <w:r>
        <w:rPr>
          <w:rFonts w:hint="eastAsia"/>
          <w:highlight w:val="none"/>
        </w:rPr>
      </w:r>
      <w:r/>
    </w:p>
    <w:p>
      <w:pPr>
        <w:pStyle w:val="968"/>
        <w:rPr>
          <w:rFonts w:hint="eastAsia" w:ascii="黑体" w:eastAsia="黑体"/>
          <w:bCs/>
          <w:sz w:val="44"/>
          <w:szCs w:val="44"/>
          <w:highlight w:val="none"/>
        </w:rPr>
      </w:pPr>
      <w:r>
        <w:rPr>
          <w:rFonts w:hint="eastAsia" w:ascii="黑体" w:eastAsia="黑体"/>
          <w:sz w:val="44"/>
          <w:szCs w:val="44"/>
          <w:highlight w:val="none"/>
        </w:rPr>
        <w:t xml:space="preserve">第一章  </w:t>
      </w:r>
      <w:bookmarkEnd w:id="0"/>
      <w:r>
        <w:rPr>
          <w:rFonts w:hint="eastAsia" w:ascii="黑体" w:eastAsia="黑体"/>
          <w:sz w:val="44"/>
          <w:szCs w:val="44"/>
          <w:highlight w:val="none"/>
        </w:rPr>
        <w:t xml:space="preserve">投标邀请</w:t>
      </w:r>
      <w:r>
        <w:rPr>
          <w:rFonts w:hint="eastAsia" w:ascii="黑体" w:eastAsia="黑体"/>
          <w:bCs/>
          <w:sz w:val="44"/>
          <w:szCs w:val="44"/>
          <w:highlight w:val="none"/>
        </w:rPr>
      </w:r>
      <w:r/>
    </w:p>
    <w:p>
      <w:pPr>
        <w:pStyle w:val="967"/>
        <w:ind w:firstLine="480"/>
        <w:rPr>
          <w:rFonts w:ascii="宋体" w:hAnsi="宋体"/>
          <w:sz w:val="24"/>
          <w:szCs w:val="24"/>
          <w:highlight w:val="none"/>
        </w:rPr>
      </w:pPr>
      <w:r>
        <w:rPr>
          <w:rFonts w:hint="eastAsia" w:ascii="宋体" w:hAnsi="宋体"/>
          <w:sz w:val="24"/>
          <w:szCs w:val="24"/>
          <w:highlight w:val="none"/>
        </w:rPr>
        <w:t xml:space="preserve">受</w:t>
      </w:r>
      <w:r>
        <w:rPr>
          <w:rFonts w:hint="eastAsia" w:ascii="宋体" w:hAnsi="宋体"/>
          <w:bCs/>
          <w:sz w:val="24"/>
          <w:szCs w:val="24"/>
          <w:highlight w:val="none"/>
        </w:rPr>
        <w:t xml:space="preserve">南通市城市照明管理处</w:t>
      </w:r>
      <w:r>
        <w:rPr>
          <w:rFonts w:hint="eastAsia" w:ascii="宋体" w:hAnsi="宋体"/>
          <w:sz w:val="24"/>
          <w:szCs w:val="24"/>
          <w:highlight w:val="none"/>
        </w:rPr>
        <w:t xml:space="preserve">的委托</w:t>
      </w:r>
      <w:r>
        <w:rPr>
          <w:rFonts w:hint="eastAsia" w:ascii="宋体" w:hAnsi="宋体"/>
          <w:bCs/>
          <w:sz w:val="24"/>
          <w:szCs w:val="24"/>
          <w:highlight w:val="none"/>
        </w:rPr>
        <w:t xml:space="preserve">，江苏新东方工程管理咨询有限公司就</w:t>
      </w:r>
      <w:r>
        <w:rPr>
          <w:rFonts w:hint="eastAsia" w:ascii="宋体" w:hAnsi="宋体"/>
          <w:bCs/>
          <w:sz w:val="24"/>
          <w:szCs w:val="24"/>
          <w:highlight w:val="none"/>
          <w:u w:val="single"/>
        </w:rPr>
        <w:t xml:space="preserve">南通市城市照明管理处路灯主材（灯杆灯具</w:t>
      </w:r>
      <w:r>
        <w:rPr>
          <w:rFonts w:hint="eastAsia" w:ascii="宋体" w:hAnsi="宋体"/>
          <w:bCs/>
          <w:sz w:val="24"/>
          <w:szCs w:val="24"/>
          <w:highlight w:val="none"/>
          <w:u w:val="single"/>
        </w:rPr>
        <w:t xml:space="preserve">）</w:t>
      </w:r>
      <w:r>
        <w:rPr>
          <w:rFonts w:hint="eastAsia" w:ascii="宋体" w:hAnsi="宋体"/>
          <w:bCs/>
          <w:sz w:val="24"/>
          <w:szCs w:val="24"/>
          <w:highlight w:val="none"/>
          <w:u w:val="single"/>
          <w:lang w:eastAsia="zh-CN"/>
        </w:rPr>
        <w:t xml:space="preserve">（</w:t>
      </w:r>
      <w:r>
        <w:rPr>
          <w:rFonts w:hint="eastAsia" w:ascii="宋体" w:hAnsi="宋体"/>
          <w:bCs/>
          <w:sz w:val="24"/>
          <w:szCs w:val="24"/>
          <w:highlight w:val="none"/>
          <w:u w:val="single"/>
          <w:lang w:val="en-US" w:eastAsia="zh-CN"/>
        </w:rPr>
        <w:t xml:space="preserve">重新采购</w:t>
      </w:r>
      <w:r>
        <w:rPr>
          <w:rFonts w:hint="eastAsia" w:ascii="宋体" w:hAnsi="宋体"/>
          <w:bCs/>
          <w:sz w:val="24"/>
          <w:szCs w:val="24"/>
          <w:highlight w:val="none"/>
          <w:u w:val="single"/>
          <w:lang w:eastAsia="zh-CN"/>
        </w:rPr>
        <w:t xml:space="preserve">）</w:t>
      </w:r>
      <w:r>
        <w:rPr>
          <w:rFonts w:hint="eastAsia" w:ascii="宋体" w:hAnsi="宋体"/>
          <w:bCs/>
          <w:sz w:val="24"/>
          <w:szCs w:val="24"/>
          <w:highlight w:val="none"/>
        </w:rPr>
        <w:t xml:space="preserve">(</w:t>
      </w: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JSZC-320600-XXDF-G2026-0008</w:t>
      </w:r>
      <w:r>
        <w:rPr>
          <w:rFonts w:hint="eastAsia" w:ascii="宋体" w:hAnsi="宋体"/>
          <w:sz w:val="24"/>
          <w:szCs w:val="24"/>
          <w:highlight w:val="none"/>
        </w:rPr>
        <w:t xml:space="preserve"> </w:t>
      </w:r>
      <w:r>
        <w:rPr>
          <w:rFonts w:hint="eastAsia" w:ascii="宋体" w:hAnsi="宋体"/>
          <w:bCs/>
          <w:sz w:val="24"/>
          <w:szCs w:val="24"/>
          <w:highlight w:val="none"/>
        </w:rPr>
        <w:t xml:space="preserve">)项目</w:t>
      </w:r>
      <w:r>
        <w:rPr>
          <w:rFonts w:hint="eastAsia" w:ascii="宋体" w:hAnsi="宋体"/>
          <w:sz w:val="24"/>
          <w:szCs w:val="24"/>
          <w:highlight w:val="none"/>
        </w:rPr>
        <w:t xml:space="preserve">进行公开招标采购，欢迎符合条件的投标人投标。</w:t>
      </w:r>
      <w:r>
        <w:rPr>
          <w:rFonts w:ascii="宋体" w:hAnsi="宋体"/>
          <w:sz w:val="24"/>
          <w:szCs w:val="24"/>
          <w:highlight w:val="none"/>
        </w:rPr>
      </w:r>
      <w:r/>
    </w:p>
    <w:p>
      <w:pPr>
        <w:pStyle w:val="967"/>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rPr>
          <w:rFonts w:ascii="宋体" w:hAnsi="宋体"/>
          <w:sz w:val="24"/>
          <w:szCs w:val="24"/>
          <w:highlight w:val="none"/>
        </w:rPr>
      </w:r>
      <w:r/>
    </w:p>
    <w:p>
      <w:pPr>
        <w:pStyle w:val="967"/>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bCs/>
          <w:sz w:val="24"/>
          <w:szCs w:val="24"/>
          <w:highlight w:val="none"/>
          <w:u w:val="single"/>
        </w:rPr>
        <w:t xml:space="preserve">南通市城市照明管理处路灯主材（灯杆灯具）</w:t>
      </w:r>
      <w:r>
        <w:rPr>
          <w:rFonts w:hint="eastAsia" w:ascii="宋体" w:hAnsi="宋体"/>
          <w:bCs/>
          <w:sz w:val="24"/>
          <w:szCs w:val="24"/>
          <w:highlight w:val="none"/>
          <w:u w:val="single"/>
          <w:lang w:eastAsia="zh-CN"/>
        </w:rPr>
        <w:t xml:space="preserve">（</w:t>
      </w:r>
      <w:r>
        <w:rPr>
          <w:rFonts w:hint="eastAsia" w:ascii="宋体" w:hAnsi="宋体"/>
          <w:bCs/>
          <w:sz w:val="24"/>
          <w:szCs w:val="24"/>
          <w:highlight w:val="none"/>
          <w:u w:val="single"/>
          <w:lang w:val="en-US" w:eastAsia="zh-CN"/>
        </w:rPr>
        <w:t xml:space="preserve">重新采购</w:t>
      </w:r>
      <w:r>
        <w:rPr>
          <w:rFonts w:hint="eastAsia" w:ascii="宋体" w:hAnsi="宋体"/>
          <w:bCs/>
          <w:sz w:val="24"/>
          <w:szCs w:val="24"/>
          <w:highlight w:val="none"/>
          <w:u w:val="single"/>
          <w:lang w:eastAsia="zh-CN"/>
        </w:rPr>
        <w:t xml:space="preserve">）</w:t>
      </w:r>
      <w:r>
        <w:rPr>
          <w:rFonts w:hint="eastAsia" w:ascii="宋体" w:hAnsi="宋体"/>
          <w:sz w:val="24"/>
          <w:szCs w:val="24"/>
          <w:highlight w:val="none"/>
        </w:rPr>
        <w:t xml:space="preserve">的潜在投标人可在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招标文件，并于</w:t>
      </w:r>
      <w:r>
        <w:rPr>
          <w:rFonts w:hint="eastAsia" w:ascii="宋体" w:hAnsi="宋体"/>
          <w:sz w:val="24"/>
          <w:szCs w:val="24"/>
          <w:highlight w:val="none"/>
          <w:u w:val="single"/>
        </w:rPr>
        <w:t xml:space="preserve">2026</w:t>
      </w:r>
      <w:r>
        <w:rPr>
          <w:rFonts w:hint="eastAsia" w:ascii="宋体" w:hAnsi="宋体"/>
          <w:bCs/>
          <w:sz w:val="24"/>
          <w:szCs w:val="24"/>
          <w:highlight w:val="none"/>
          <w:u w:val="single"/>
        </w:rPr>
        <w:t xml:space="preserve">年 </w:t>
      </w:r>
      <w:r>
        <w:rPr>
          <w:rFonts w:hint="eastAsia" w:ascii="宋体" w:hAnsi="宋体"/>
          <w:bCs/>
          <w:sz w:val="24"/>
          <w:szCs w:val="24"/>
          <w:highlight w:val="none"/>
          <w:u w:val="single"/>
          <w:lang w:val="en-US" w:eastAsia="zh-CN"/>
        </w:rPr>
        <w:t xml:space="preserve">0</w:t>
      </w:r>
      <w:r>
        <w:rPr>
          <w:rFonts w:hint="eastAsia" w:ascii="宋体" w:hAnsi="宋体"/>
          <w:bCs/>
          <w:sz w:val="24"/>
          <w:szCs w:val="24"/>
          <w:highlight w:val="none"/>
          <w:u w:val="single"/>
          <w:lang w:val="en-US" w:eastAsia="zh-CN"/>
        </w:rPr>
        <w:t xml:space="preserve">5</w:t>
      </w:r>
      <w:r>
        <w:rPr>
          <w:rFonts w:hint="eastAsia" w:ascii="宋体" w:hAnsi="宋体"/>
          <w:bCs/>
          <w:sz w:val="24"/>
          <w:szCs w:val="24"/>
          <w:highlight w:val="none"/>
          <w:u w:val="single"/>
        </w:rPr>
        <w:t xml:space="preserve">月 </w:t>
      </w:r>
      <w:r>
        <w:rPr>
          <w:rFonts w:hint="eastAsia" w:ascii="宋体" w:hAnsi="宋体"/>
          <w:bCs/>
          <w:sz w:val="24"/>
          <w:szCs w:val="24"/>
          <w:highlight w:val="none"/>
          <w:u w:val="single"/>
          <w:lang w:val="en-US" w:eastAsia="zh-CN"/>
        </w:rPr>
        <w:t xml:space="preserve">08</w:t>
      </w:r>
      <w:r>
        <w:rPr>
          <w:rFonts w:hint="eastAsia" w:ascii="宋体" w:hAnsi="宋体"/>
          <w:bCs/>
          <w:sz w:val="24"/>
          <w:szCs w:val="24"/>
          <w:highlight w:val="none"/>
          <w:u w:val="single"/>
        </w:rPr>
        <w:t xml:space="preserve">日</w:t>
      </w:r>
      <w:r>
        <w:rPr>
          <w:rFonts w:hint="eastAsia" w:ascii="宋体" w:hAnsi="宋体"/>
          <w:bCs/>
          <w:sz w:val="24"/>
          <w:szCs w:val="24"/>
          <w:highlight w:val="none"/>
          <w:u w:val="single"/>
          <w:lang w:val="en-US" w:eastAsia="zh-CN"/>
        </w:rPr>
        <w:t xml:space="preserve">1</w:t>
      </w:r>
      <w:r>
        <w:rPr>
          <w:rFonts w:hint="eastAsia" w:ascii="宋体" w:hAnsi="宋体"/>
          <w:bCs/>
          <w:sz w:val="24"/>
          <w:szCs w:val="24"/>
          <w:highlight w:val="none"/>
          <w:u w:val="single"/>
          <w:lang w:val="en-US" w:eastAsia="zh-CN"/>
        </w:rPr>
        <w:t xml:space="preserve">4</w:t>
      </w:r>
      <w:r>
        <w:rPr>
          <w:rFonts w:hint="eastAsia" w:ascii="宋体" w:hAnsi="宋体"/>
          <w:bCs/>
          <w:sz w:val="24"/>
          <w:szCs w:val="24"/>
          <w:highlight w:val="none"/>
          <w:u w:val="single"/>
        </w:rPr>
        <w:t xml:space="preserve">点00分（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rPr>
          <w:rFonts w:ascii="宋体" w:hAnsi="宋体"/>
          <w:sz w:val="24"/>
          <w:szCs w:val="24"/>
          <w:highlight w:val="none"/>
        </w:rPr>
      </w:r>
      <w:r/>
    </w:p>
    <w:p>
      <w:pPr>
        <w:pStyle w:val="970"/>
        <w:spacing w:before="145" w:after="145" w:line="360" w:lineRule="auto"/>
        <w:rPr>
          <w:highlight w:val="none"/>
        </w:rPr>
      </w:pPr>
      <w:r/>
      <w:bookmarkStart w:id="6" w:name="_Toc35393621"/>
      <w:r/>
      <w:bookmarkStart w:id="7" w:name="_Toc28359079"/>
      <w:r/>
      <w:bookmarkStart w:id="8" w:name="_Toc38985263"/>
      <w:r/>
      <w:bookmarkStart w:id="9" w:name="_Toc28359002"/>
      <w:r/>
      <w:bookmarkStart w:id="10" w:name="_Toc35393790"/>
      <w:r/>
      <w:bookmarkStart w:id="11" w:name="_Hlk24379207"/>
      <w:r>
        <w:rPr>
          <w:rFonts w:hint="eastAsia"/>
          <w:highlight w:val="none"/>
        </w:rPr>
        <w:t xml:space="preserve">一、项目基本情况</w:t>
      </w:r>
      <w:bookmarkEnd w:id="6"/>
      <w:r/>
      <w:bookmarkEnd w:id="7"/>
      <w:r/>
      <w:bookmarkEnd w:id="8"/>
      <w:r/>
      <w:bookmarkEnd w:id="9"/>
      <w:r/>
      <w:bookmarkEnd w:id="10"/>
      <w:r>
        <w:rPr>
          <w:highlight w:val="none"/>
        </w:rPr>
      </w:r>
      <w:r/>
    </w:p>
    <w:p>
      <w:pPr>
        <w:pStyle w:val="967"/>
        <w:ind w:firstLine="480"/>
        <w:spacing w:line="360" w:lineRule="auto"/>
        <w:tabs>
          <w:tab w:val="left" w:pos="6587" w:leader="none"/>
        </w:tabs>
        <w:rPr>
          <w:rFonts w:hint="eastAsia" w:ascii="宋体" w:hAnsi="宋体" w:eastAsia="宋体"/>
          <w:sz w:val="24"/>
          <w:szCs w:val="24"/>
          <w:highlight w:val="none"/>
          <w:lang w:eastAsia="zh-CN"/>
        </w:rPr>
      </w:pPr>
      <w:r>
        <w:rPr>
          <w:rFonts w:hint="eastAsia" w:ascii="宋体" w:hAnsi="宋体"/>
          <w:sz w:val="24"/>
          <w:szCs w:val="24"/>
          <w:highlight w:val="none"/>
        </w:rPr>
        <w:t xml:space="preserve">1.项目编号：</w:t>
      </w:r>
      <w:r>
        <w:rPr>
          <w:rFonts w:hint="eastAsia" w:ascii="宋体" w:hAnsi="宋体"/>
          <w:sz w:val="24"/>
          <w:szCs w:val="24"/>
          <w:highlight w:val="none"/>
          <w:lang w:eastAsia="zh-CN"/>
        </w:rPr>
        <w:t xml:space="preserve">JSZC-320600-XXDF-G2026-0008</w:t>
      </w:r>
      <w:r>
        <w:tab/>
      </w:r>
      <w:r/>
    </w:p>
    <w:p>
      <w:pPr>
        <w:pStyle w:val="967"/>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2.项目名称：</w:t>
      </w:r>
      <w:bookmarkEnd w:id="11"/>
      <w:r>
        <w:rPr>
          <w:rFonts w:hint="eastAsia" w:ascii="宋体" w:hAnsi="宋体"/>
          <w:bCs/>
          <w:sz w:val="24"/>
          <w:szCs w:val="24"/>
          <w:highlight w:val="none"/>
        </w:rPr>
        <w:t xml:space="preserve">南通市城市照明管理处路灯主材（灯杆灯具）</w:t>
      </w: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重新采购</w:t>
      </w:r>
      <w:r>
        <w:rPr>
          <w:rFonts w:hint="eastAsia" w:ascii="宋体" w:hAnsi="宋体"/>
          <w:bCs/>
          <w:sz w:val="24"/>
          <w:szCs w:val="24"/>
          <w:highlight w:val="none"/>
          <w:lang w:eastAsia="zh-CN"/>
        </w:rPr>
        <w:t xml:space="preserve">）</w:t>
      </w:r>
      <w:r>
        <w:rPr>
          <w:rFonts w:hint="eastAsia" w:ascii="宋体" w:hAnsi="宋体"/>
          <w:bCs/>
          <w:sz w:val="24"/>
          <w:szCs w:val="24"/>
          <w:highlight w:val="none"/>
        </w:rPr>
      </w:r>
      <w:r/>
    </w:p>
    <w:p>
      <w:pPr>
        <w:pStyle w:val="967"/>
        <w:ind w:firstLine="480"/>
        <w:spacing w:line="360" w:lineRule="auto"/>
        <w:rPr>
          <w:rFonts w:ascii="宋体" w:hAnsi="宋体" w:cs="宋体"/>
          <w:sz w:val="24"/>
          <w:szCs w:val="24"/>
          <w:highlight w:val="none"/>
        </w:rPr>
      </w:pPr>
      <w:r>
        <w:rPr>
          <w:rFonts w:hint="eastAsia" w:ascii="宋体" w:hAnsi="宋体"/>
          <w:sz w:val="24"/>
          <w:szCs w:val="24"/>
          <w:highlight w:val="none"/>
        </w:rPr>
        <w:t xml:space="preserve">3.预算金额：</w:t>
      </w:r>
      <w:r>
        <w:rPr>
          <w:rFonts w:hint="eastAsia"/>
          <w:sz w:val="24"/>
          <w:highlight w:val="none"/>
        </w:rPr>
        <w:t xml:space="preserve">人民币</w:t>
      </w:r>
      <w:r>
        <w:rPr>
          <w:rFonts w:hint="eastAsia" w:ascii="宋体" w:hAnsi="宋体"/>
          <w:sz w:val="24"/>
          <w:szCs w:val="24"/>
          <w:highlight w:val="none"/>
        </w:rPr>
        <w:t xml:space="preserve">447.11万元</w:t>
      </w:r>
      <w:r>
        <w:rPr>
          <w:rFonts w:ascii="宋体" w:hAnsi="宋体" w:cs="宋体"/>
          <w:sz w:val="24"/>
          <w:szCs w:val="24"/>
          <w:highlight w:val="none"/>
        </w:rPr>
      </w:r>
      <w:r/>
    </w:p>
    <w:p>
      <w:pPr>
        <w:pStyle w:val="967"/>
        <w:ind w:firstLine="480"/>
        <w:spacing w:line="360" w:lineRule="auto"/>
        <w:rPr>
          <w:sz w:val="24"/>
          <w:highlight w:val="none"/>
        </w:rPr>
      </w:pPr>
      <w:r>
        <w:rPr>
          <w:rFonts w:hint="eastAsia" w:ascii="宋体" w:hAnsi="宋体"/>
          <w:sz w:val="24"/>
          <w:szCs w:val="24"/>
          <w:highlight w:val="none"/>
        </w:rPr>
        <w:t xml:space="preserve">4.最高限价：滨江国际街区揽江路（中心路——崇川路）道路照明工程53.50万元</w:t>
      </w:r>
      <w:r>
        <w:rPr>
          <w:rFonts w:hint="eastAsia"/>
          <w:b/>
          <w:bCs/>
          <w:sz w:val="24"/>
          <w:highlight w:val="none"/>
        </w:rPr>
        <w:t xml:space="preserve">；</w:t>
      </w:r>
      <w:r>
        <w:rPr>
          <w:rFonts w:hint="eastAsia" w:ascii="宋体" w:hAnsi="宋体"/>
          <w:sz w:val="24"/>
          <w:szCs w:val="24"/>
          <w:highlight w:val="none"/>
        </w:rPr>
        <w:t xml:space="preserve">滨江国际街区中心路（洪江路——沿河路）道路照明工程47.30万元</w:t>
      </w:r>
      <w:r>
        <w:rPr>
          <w:rFonts w:hint="eastAsia"/>
          <w:b/>
          <w:bCs/>
          <w:sz w:val="24"/>
          <w:highlight w:val="none"/>
        </w:rPr>
        <w:t xml:space="preserve">；</w:t>
      </w:r>
      <w:r>
        <w:rPr>
          <w:rFonts w:hint="eastAsia" w:ascii="宋体" w:hAnsi="宋体"/>
          <w:sz w:val="24"/>
          <w:szCs w:val="24"/>
          <w:highlight w:val="none"/>
        </w:rPr>
        <w:t xml:space="preserve">滨江国际街区沿河路（长江路——中心路）道路照明工程26.34万元</w:t>
      </w:r>
      <w:r>
        <w:rPr>
          <w:rFonts w:hint="eastAsia"/>
          <w:b/>
          <w:bCs/>
          <w:sz w:val="24"/>
          <w:highlight w:val="none"/>
        </w:rPr>
        <w:t xml:space="preserve">；</w:t>
      </w:r>
      <w:r>
        <w:rPr>
          <w:rFonts w:hint="eastAsia"/>
          <w:sz w:val="24"/>
          <w:highlight w:val="none"/>
        </w:rPr>
        <w:t xml:space="preserve">崇川路南侧规划路道路照明工程</w:t>
      </w:r>
      <w:r>
        <w:rPr>
          <w:rFonts w:hint="eastAsia" w:ascii="宋体" w:hAnsi="宋体"/>
          <w:sz w:val="24"/>
          <w:szCs w:val="24"/>
          <w:highlight w:val="none"/>
        </w:rPr>
        <w:t xml:space="preserve">2.23万元；</w:t>
      </w:r>
      <w:r>
        <w:rPr>
          <w:rFonts w:hint="eastAsia"/>
          <w:sz w:val="24"/>
          <w:highlight w:val="none"/>
        </w:rPr>
        <w:t xml:space="preserve">桃园路北侧规划路道路照明工程</w:t>
      </w:r>
      <w:r>
        <w:rPr>
          <w:rFonts w:hint="eastAsia" w:ascii="宋体" w:hAnsi="宋体"/>
          <w:sz w:val="24"/>
          <w:szCs w:val="24"/>
          <w:highlight w:val="none"/>
        </w:rPr>
        <w:t xml:space="preserve">2.23万元</w:t>
      </w:r>
      <w:r>
        <w:rPr>
          <w:rFonts w:hint="eastAsia"/>
          <w:sz w:val="24"/>
          <w:highlight w:val="none"/>
        </w:rPr>
        <w:t xml:space="preserve">；经十一路(幸福路--幸余路)照明工程</w:t>
      </w:r>
      <w:r>
        <w:rPr>
          <w:rFonts w:hint="eastAsia" w:ascii="宋体" w:hAnsi="宋体"/>
          <w:sz w:val="24"/>
          <w:szCs w:val="24"/>
          <w:highlight w:val="none"/>
        </w:rPr>
        <w:t xml:space="preserve">13.73万元</w:t>
      </w:r>
      <w:r>
        <w:rPr>
          <w:rFonts w:hint="eastAsia"/>
          <w:sz w:val="24"/>
          <w:highlight w:val="none"/>
        </w:rPr>
        <w:t xml:space="preserve">；纬十一路(经十一路-通京大道)道路照明工程</w:t>
      </w:r>
      <w:r>
        <w:rPr>
          <w:rFonts w:hint="eastAsia" w:ascii="宋体" w:hAnsi="宋体"/>
          <w:sz w:val="24"/>
          <w:szCs w:val="24"/>
          <w:highlight w:val="none"/>
        </w:rPr>
        <w:t xml:space="preserve"> 4.71万元</w:t>
      </w:r>
      <w:r>
        <w:rPr>
          <w:rFonts w:hint="eastAsia"/>
          <w:sz w:val="24"/>
          <w:highlight w:val="none"/>
        </w:rPr>
        <w:t xml:space="preserve">；经十一路东侧规划路(幸福路-纬十一路)道路照明工程</w:t>
      </w:r>
      <w:r>
        <w:rPr>
          <w:rFonts w:hint="eastAsia" w:ascii="宋体" w:hAnsi="宋体"/>
          <w:sz w:val="24"/>
          <w:szCs w:val="24"/>
          <w:highlight w:val="none"/>
        </w:rPr>
        <w:t xml:space="preserve"> 3.35万元</w:t>
      </w:r>
      <w:r>
        <w:rPr>
          <w:rFonts w:hint="eastAsia"/>
          <w:sz w:val="24"/>
          <w:highlight w:val="none"/>
        </w:rPr>
        <w:t xml:space="preserve">；任港湾和五龙汇纬七路道路照明工程4.88万元；安达路下穿铁路通道照明工程</w:t>
      </w:r>
      <w:r>
        <w:rPr>
          <w:rFonts w:hint="eastAsia" w:ascii="宋体" w:hAnsi="宋体"/>
          <w:sz w:val="24"/>
          <w:szCs w:val="24"/>
          <w:highlight w:val="none"/>
        </w:rPr>
        <w:t xml:space="preserve">31.09万元</w:t>
      </w:r>
      <w:r>
        <w:rPr>
          <w:rFonts w:hint="eastAsia"/>
          <w:sz w:val="24"/>
          <w:highlight w:val="none"/>
        </w:rPr>
        <w:t xml:space="preserve">；友谊路下穿铁路通道照明工程</w:t>
      </w:r>
      <w:r>
        <w:rPr>
          <w:rFonts w:hint="eastAsia" w:ascii="宋体" w:hAnsi="宋体"/>
          <w:sz w:val="24"/>
          <w:szCs w:val="24"/>
          <w:highlight w:val="none"/>
        </w:rPr>
        <w:t xml:space="preserve">35.28万元</w:t>
      </w:r>
      <w:r>
        <w:rPr>
          <w:rFonts w:hint="eastAsia"/>
          <w:sz w:val="24"/>
          <w:highlight w:val="none"/>
        </w:rPr>
        <w:t xml:space="preserve">；石桥路下穿铁路通道工程</w:t>
      </w:r>
      <w:r>
        <w:rPr>
          <w:rFonts w:hint="eastAsia" w:ascii="宋体" w:hAnsi="宋体"/>
          <w:sz w:val="24"/>
          <w:szCs w:val="24"/>
          <w:highlight w:val="none"/>
        </w:rPr>
        <w:t xml:space="preserve">29.87万元</w:t>
      </w:r>
      <w:r>
        <w:rPr>
          <w:rFonts w:hint="eastAsia"/>
          <w:sz w:val="24"/>
          <w:highlight w:val="none"/>
        </w:rPr>
        <w:t xml:space="preserve">；火车站综合客运枢纽一期照明工程{站西路}</w:t>
      </w:r>
      <w:r>
        <w:rPr>
          <w:rFonts w:hint="eastAsia" w:ascii="宋体" w:hAnsi="宋体"/>
          <w:sz w:val="24"/>
          <w:szCs w:val="24"/>
          <w:highlight w:val="none"/>
        </w:rPr>
        <w:t xml:space="preserve">、</w:t>
      </w:r>
      <w:r>
        <w:rPr>
          <w:rFonts w:hint="eastAsia"/>
          <w:sz w:val="24"/>
          <w:highlight w:val="none"/>
        </w:rPr>
        <w:t xml:space="preserve">{站东路}</w:t>
      </w:r>
      <w:r>
        <w:rPr>
          <w:rFonts w:hint="eastAsia" w:ascii="宋体" w:hAnsi="宋体"/>
          <w:sz w:val="24"/>
          <w:szCs w:val="24"/>
          <w:highlight w:val="none"/>
        </w:rPr>
        <w:t xml:space="preserve">、</w:t>
      </w:r>
      <w:r>
        <w:rPr>
          <w:rFonts w:hint="eastAsia"/>
          <w:sz w:val="24"/>
          <w:highlight w:val="none"/>
        </w:rPr>
        <w:t xml:space="preserve">{顺达路（幸福大道~经九路）</w:t>
      </w:r>
      <w:r>
        <w:rPr>
          <w:sz w:val="24"/>
          <w:highlight w:val="none"/>
        </w:rPr>
        <w:t xml:space="preserve">}</w:t>
      </w:r>
      <w:r>
        <w:rPr>
          <w:rFonts w:hint="eastAsia" w:ascii="宋体" w:hAnsi="宋体"/>
          <w:sz w:val="24"/>
          <w:szCs w:val="24"/>
          <w:highlight w:val="none"/>
        </w:rPr>
        <w:t xml:space="preserve">、</w:t>
      </w:r>
      <w:r>
        <w:rPr>
          <w:rFonts w:hint="eastAsia"/>
          <w:sz w:val="24"/>
          <w:highlight w:val="none"/>
        </w:rPr>
        <w:t xml:space="preserve">{站北路}</w:t>
      </w:r>
      <w:r>
        <w:rPr>
          <w:rFonts w:hint="eastAsia" w:ascii="宋体" w:hAnsi="宋体"/>
          <w:sz w:val="24"/>
          <w:szCs w:val="24"/>
          <w:highlight w:val="none"/>
        </w:rPr>
        <w:t xml:space="preserve">192.60万元。</w:t>
      </w:r>
      <w:r>
        <w:rPr>
          <w:rFonts w:hint="eastAsia" w:ascii="宋体" w:hAnsi="宋体" w:cs="宋体"/>
          <w:b/>
          <w:sz w:val="24"/>
          <w:szCs w:val="32"/>
          <w:highlight w:val="none"/>
        </w:rPr>
        <w:t xml:space="preserve">超过最高限价的为无效响应文件</w:t>
      </w:r>
      <w:r>
        <w:rPr>
          <w:rFonts w:hint="eastAsia" w:ascii="宋体" w:hAnsi="宋体" w:cs="宋体"/>
          <w:sz w:val="24"/>
          <w:szCs w:val="24"/>
          <w:highlight w:val="none"/>
        </w:rPr>
        <w:t xml:space="preserve">。</w:t>
      </w:r>
      <w:r>
        <w:rPr>
          <w:sz w:val="24"/>
          <w:highlight w:val="none"/>
        </w:rPr>
      </w:r>
      <w:r/>
    </w:p>
    <w:p>
      <w:pPr>
        <w:pStyle w:val="967"/>
        <w:ind w:firstLine="420"/>
        <w:spacing w:line="360" w:lineRule="auto"/>
        <w:rPr>
          <w:rFonts w:hint="eastAsia" w:ascii="宋体" w:hAnsi="宋体" w:cs="宋体"/>
          <w:sz w:val="24"/>
          <w:szCs w:val="24"/>
          <w:highlight w:val="none"/>
        </w:rPr>
      </w:pPr>
      <w:r/>
      <w:bookmarkStart w:id="12" w:name="_Toc28359003"/>
      <w:r/>
      <w:bookmarkStart w:id="13" w:name="_Toc35393791"/>
      <w:r/>
      <w:bookmarkStart w:id="14" w:name="_Toc38985264"/>
      <w:r/>
      <w:bookmarkStart w:id="15" w:name="_Toc35393622"/>
      <w:r/>
      <w:bookmarkStart w:id="16" w:name="_Toc28359080"/>
      <w:r>
        <w:rPr>
          <w:rFonts w:hint="eastAsia" w:ascii="宋体" w:hAnsi="宋体" w:cs="宋体"/>
          <w:sz w:val="24"/>
          <w:szCs w:val="24"/>
          <w:highlight w:val="none"/>
        </w:rPr>
        <w:t xml:space="preserve">5.采购需求：详见招标文件第</w:t>
      </w:r>
      <w:r>
        <w:rPr>
          <w:rFonts w:hint="eastAsia" w:ascii="宋体" w:hAnsi="宋体" w:cs="宋体"/>
          <w:sz w:val="24"/>
          <w:szCs w:val="24"/>
          <w:highlight w:val="none"/>
          <w:lang w:val="en-US" w:eastAsia="zh-CN"/>
        </w:rPr>
        <w:t xml:space="preserve">四</w:t>
      </w:r>
      <w:r>
        <w:rPr>
          <w:rFonts w:hint="eastAsia" w:ascii="宋体" w:hAnsi="宋体" w:cs="宋体"/>
          <w:sz w:val="24"/>
          <w:szCs w:val="24"/>
          <w:highlight w:val="none"/>
        </w:rPr>
        <w:t xml:space="preserve">部分“项目需求”，请仔细研究。</w:t>
      </w:r>
      <w:r>
        <w:rPr>
          <w:rFonts w:hint="eastAsia" w:ascii="宋体" w:hAnsi="宋体" w:cs="宋体"/>
          <w:sz w:val="24"/>
          <w:szCs w:val="24"/>
          <w:highlight w:val="none"/>
        </w:rPr>
      </w:r>
      <w:r/>
    </w:p>
    <w:p>
      <w:pPr>
        <w:pStyle w:val="967"/>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6.合同履行期限：详见招标文件第四部分“项目需求”。</w:t>
      </w:r>
      <w:r>
        <w:rPr>
          <w:rFonts w:hint="eastAsia" w:ascii="宋体" w:hAnsi="宋体" w:cs="宋体"/>
          <w:sz w:val="24"/>
          <w:szCs w:val="24"/>
          <w:highlight w:val="none"/>
        </w:rPr>
      </w:r>
      <w:r/>
    </w:p>
    <w:p>
      <w:pPr>
        <w:pStyle w:val="967"/>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7.所属行业：工业。</w:t>
      </w:r>
      <w:r>
        <w:rPr>
          <w:rFonts w:hint="eastAsia" w:ascii="宋体" w:hAnsi="宋体" w:cs="宋体"/>
          <w:sz w:val="24"/>
          <w:szCs w:val="24"/>
          <w:highlight w:val="none"/>
        </w:rPr>
      </w:r>
      <w:r/>
    </w:p>
    <w:p>
      <w:pPr>
        <w:pStyle w:val="967"/>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8.本项目是否接受联合体投标：否。</w:t>
      </w:r>
      <w:r>
        <w:rPr>
          <w:rFonts w:hint="eastAsia" w:ascii="宋体" w:hAnsi="宋体" w:cs="宋体"/>
          <w:sz w:val="24"/>
          <w:szCs w:val="24"/>
          <w:highlight w:val="none"/>
        </w:rPr>
      </w:r>
      <w:r/>
    </w:p>
    <w:p>
      <w:pPr>
        <w:pStyle w:val="970"/>
        <w:spacing w:before="145" w:after="145" w:line="360" w:lineRule="auto"/>
        <w:rPr>
          <w:highlight w:val="none"/>
        </w:rPr>
      </w:pPr>
      <w:r>
        <w:rPr>
          <w:rFonts w:hint="eastAsia"/>
          <w:highlight w:val="none"/>
        </w:rPr>
        <w:t xml:space="preserve">二、申请人的资格要求：</w:t>
      </w:r>
      <w:bookmarkEnd w:id="12"/>
      <w:r/>
      <w:bookmarkEnd w:id="13"/>
      <w:r/>
      <w:bookmarkEnd w:id="14"/>
      <w:r/>
      <w:bookmarkEnd w:id="15"/>
      <w:r/>
      <w:bookmarkEnd w:id="16"/>
      <w:r>
        <w:rPr>
          <w:highlight w:val="none"/>
        </w:rPr>
      </w:r>
      <w:r/>
    </w:p>
    <w:p>
      <w:pPr>
        <w:pStyle w:val="967"/>
        <w:ind w:firstLine="482"/>
        <w:spacing w:line="360" w:lineRule="auto"/>
        <w:rPr>
          <w:rFonts w:hint="eastAsia" w:ascii="宋体" w:hAnsi="宋体"/>
          <w:b/>
          <w:bCs/>
          <w:sz w:val="24"/>
          <w:szCs w:val="24"/>
          <w:highlight w:val="none"/>
        </w:rPr>
      </w:pPr>
      <w:r/>
      <w:bookmarkStart w:id="17" w:name="_Toc35393623"/>
      <w:r/>
      <w:bookmarkStart w:id="18" w:name="_Toc38985265"/>
      <w:r/>
      <w:bookmarkStart w:id="19" w:name="_Toc35393792"/>
      <w:r/>
      <w:bookmarkStart w:id="20" w:name="_Toc28359004"/>
      <w:r/>
      <w:bookmarkStart w:id="21" w:name="_Toc28359081"/>
      <w:r>
        <w:rPr>
          <w:rFonts w:hint="eastAsia" w:ascii="宋体" w:hAnsi="宋体"/>
          <w:b/>
          <w:bCs/>
          <w:sz w:val="24"/>
          <w:szCs w:val="24"/>
          <w:highlight w:val="none"/>
        </w:rPr>
        <w:t xml:space="preserve">（一</w:t>
      </w:r>
      <w:r>
        <w:rPr>
          <w:rFonts w:ascii="宋体" w:hAnsi="宋体"/>
          <w:b/>
          <w:bCs/>
          <w:sz w:val="24"/>
          <w:szCs w:val="24"/>
          <w:highlight w:val="none"/>
        </w:rPr>
        <w:t xml:space="preserve">）</w:t>
      </w:r>
      <w:r>
        <w:rPr>
          <w:rFonts w:hint="eastAsia" w:ascii="宋体" w:hAnsi="宋体"/>
          <w:b/>
          <w:bCs/>
          <w:sz w:val="24"/>
          <w:szCs w:val="24"/>
          <w:highlight w:val="none"/>
        </w:rPr>
        <w:t xml:space="preserve">通用</w:t>
      </w:r>
      <w:r>
        <w:rPr>
          <w:rFonts w:ascii="宋体" w:hAnsi="宋体"/>
          <w:b/>
          <w:bCs/>
          <w:sz w:val="24"/>
          <w:szCs w:val="24"/>
          <w:highlight w:val="none"/>
        </w:rPr>
        <w:t xml:space="preserve">资格要求</w:t>
      </w:r>
      <w:r>
        <w:rPr>
          <w:rFonts w:hint="eastAsia" w:ascii="宋体" w:hAnsi="宋体"/>
          <w:b/>
          <w:bCs/>
          <w:sz w:val="24"/>
          <w:szCs w:val="24"/>
          <w:highlight w:val="none"/>
        </w:rPr>
      </w:r>
      <w:r/>
    </w:p>
    <w:p>
      <w:pPr>
        <w:pStyle w:val="96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hint="eastAsia" w:ascii="宋体" w:hAnsi="宋体"/>
          <w:sz w:val="24"/>
          <w:szCs w:val="24"/>
          <w:highlight w:val="none"/>
        </w:rPr>
      </w:r>
      <w:r/>
    </w:p>
    <w:p>
      <w:pPr>
        <w:pStyle w:val="967"/>
        <w:ind w:firstLine="480"/>
        <w:spacing w:line="360" w:lineRule="auto"/>
        <w:rPr>
          <w:rFonts w:hint="eastAsia" w:ascii="华文新魏" w:hAnsi="宋体" w:eastAsia="华文新魏"/>
          <w:sz w:val="36"/>
          <w:szCs w:val="36"/>
          <w:highlight w:val="none"/>
        </w:rPr>
      </w:pPr>
      <w:r>
        <w:rPr>
          <w:rFonts w:hint="eastAsia" w:ascii="宋体" w:hAnsi="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highlight w:val="none"/>
        </w:rPr>
      </w:r>
      <w:r/>
    </w:p>
    <w:p>
      <w:pPr>
        <w:pStyle w:val="96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3.落实政府采购政策需满足的资格要求：本项目</w:t>
      </w:r>
      <w:r>
        <w:rPr>
          <w:rFonts w:hint="eastAsia" w:ascii="宋体" w:hAnsi="宋体"/>
          <w:b/>
          <w:bCs/>
          <w:sz w:val="24"/>
          <w:szCs w:val="24"/>
          <w:highlight w:val="none"/>
        </w:rPr>
        <w:t xml:space="preserve">专门</w:t>
      </w:r>
      <w:r>
        <w:rPr>
          <w:rFonts w:hint="eastAsia" w:ascii="宋体" w:hAnsi="宋体"/>
          <w:sz w:val="24"/>
          <w:szCs w:val="24"/>
          <w:highlight w:val="none"/>
        </w:rPr>
        <w:t xml:space="preserve">面向中小微型企业采购。残疾人福利性单位、监狱和戒毒企业（简称监狱企业）视同小型、微型企业。（投标人按要求填写并提供《中小微企业声明函》或《残疾人福利性单位声明函》，或提供由省级以上监狱管理局、戒毒管理局(含新疆生产建设兵团)出具的属于监狱企业的证明文件）</w:t>
      </w:r>
      <w:r>
        <w:rPr>
          <w:rFonts w:hint="eastAsia" w:ascii="宋体" w:hAnsi="宋体"/>
          <w:sz w:val="24"/>
          <w:szCs w:val="24"/>
          <w:highlight w:val="none"/>
        </w:rPr>
      </w:r>
      <w:r/>
    </w:p>
    <w:p>
      <w:pPr>
        <w:pStyle w:val="967"/>
        <w:ind w:firstLine="482"/>
        <w:spacing w:line="360" w:lineRule="auto"/>
        <w:rPr>
          <w:rFonts w:ascii="宋体" w:hAnsi="宋体"/>
          <w:b/>
          <w:bCs/>
          <w:sz w:val="24"/>
          <w:szCs w:val="24"/>
          <w:highlight w:val="none"/>
        </w:rPr>
      </w:pPr>
      <w:r>
        <w:rPr>
          <w:rFonts w:hint="eastAsia" w:ascii="宋体" w:hAnsi="宋体"/>
          <w:b/>
          <w:bCs/>
          <w:sz w:val="24"/>
          <w:szCs w:val="24"/>
          <w:highlight w:val="none"/>
        </w:rPr>
        <w:t xml:space="preserve">注：本项目专门面向中小微型企业采购，不享受价格扣除优惠。</w:t>
      </w:r>
      <w:r>
        <w:rPr>
          <w:rFonts w:ascii="宋体" w:hAnsi="宋体"/>
          <w:b/>
          <w:bCs/>
          <w:sz w:val="24"/>
          <w:szCs w:val="24"/>
          <w:highlight w:val="none"/>
        </w:rPr>
      </w:r>
      <w:r/>
    </w:p>
    <w:p>
      <w:pPr>
        <w:pStyle w:val="96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4.本项目不接受分包。</w:t>
      </w:r>
      <w:r>
        <w:rPr>
          <w:rFonts w:hint="eastAsia" w:ascii="宋体" w:hAnsi="宋体"/>
          <w:sz w:val="24"/>
          <w:szCs w:val="24"/>
          <w:highlight w:val="none"/>
        </w:rPr>
      </w:r>
      <w:r/>
    </w:p>
    <w:p>
      <w:pPr>
        <w:pStyle w:val="967"/>
        <w:ind w:firstLine="482"/>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（二）本项目的特定资格要求:</w:t>
      </w:r>
      <w:r>
        <w:rPr>
          <w:rFonts w:hint="eastAsia" w:ascii="宋体" w:hAnsi="宋体"/>
          <w:b/>
          <w:bCs/>
          <w:sz w:val="24"/>
          <w:szCs w:val="24"/>
          <w:highlight w:val="none"/>
        </w:rPr>
      </w:r>
      <w:r/>
    </w:p>
    <w:p>
      <w:pPr>
        <w:pStyle w:val="96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1、投标人须为灯杆、LED灯具的专业生产厂家。</w:t>
      </w:r>
      <w:r>
        <w:rPr>
          <w:rFonts w:hint="eastAsia" w:ascii="宋体" w:hAnsi="宋体"/>
          <w:sz w:val="24"/>
          <w:szCs w:val="24"/>
          <w:highlight w:val="none"/>
        </w:rPr>
      </w:r>
      <w:r/>
    </w:p>
    <w:p>
      <w:pPr>
        <w:pStyle w:val="96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2、投标人须具有城市及道路照明工程专业和电子与智能化工程专业承包资质。</w:t>
      </w:r>
      <w:r>
        <w:rPr>
          <w:rFonts w:hint="eastAsia" w:ascii="宋体" w:hAnsi="宋体"/>
          <w:sz w:val="24"/>
          <w:szCs w:val="24"/>
          <w:highlight w:val="none"/>
        </w:rPr>
      </w:r>
      <w:r/>
    </w:p>
    <w:p>
      <w:pPr>
        <w:pStyle w:val="970"/>
        <w:spacing w:before="145" w:after="145" w:line="360" w:lineRule="auto"/>
        <w:rPr>
          <w:highlight w:val="none"/>
        </w:rPr>
      </w:pPr>
      <w:r>
        <w:rPr>
          <w:rFonts w:hint="eastAsia"/>
          <w:highlight w:val="none"/>
        </w:rPr>
        <w:t xml:space="preserve">三、获取招标文件</w:t>
      </w:r>
      <w:bookmarkEnd w:id="17"/>
      <w:r/>
      <w:bookmarkEnd w:id="18"/>
      <w:r/>
      <w:bookmarkEnd w:id="19"/>
      <w:r/>
      <w:bookmarkEnd w:id="20"/>
      <w:r/>
      <w:bookmarkEnd w:id="21"/>
      <w:r>
        <w:rPr>
          <w:highlight w:val="none"/>
        </w:rPr>
      </w:r>
      <w:r/>
    </w:p>
    <w:p>
      <w:pPr>
        <w:pStyle w:val="967"/>
        <w:ind w:firstLine="540"/>
        <w:spacing w:line="360" w:lineRule="auto"/>
        <w:rPr>
          <w:rFonts w:ascii="宋体" w:hAnsi="宋体" w:cs="宋体"/>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highlight w:val="none"/>
        </w:rPr>
        <w:t xml:space="preserve">1.时间：自招标文件公告发布之日起至</w:t>
      </w:r>
      <w:r>
        <w:rPr>
          <w:rFonts w:hint="eastAsia" w:ascii="宋体" w:hAnsi="宋体"/>
          <w:bCs/>
          <w:sz w:val="24"/>
          <w:szCs w:val="24"/>
          <w:highlight w:val="none"/>
          <w:u w:val="single"/>
        </w:rPr>
        <w:t xml:space="preserve">2026年 </w:t>
      </w:r>
      <w:r>
        <w:rPr>
          <w:rFonts w:hint="eastAsia" w:ascii="宋体" w:hAnsi="宋体"/>
          <w:bCs/>
          <w:sz w:val="24"/>
          <w:szCs w:val="24"/>
          <w:highlight w:val="none"/>
          <w:u w:val="single"/>
          <w:lang w:val="en-US" w:eastAsia="zh-CN"/>
        </w:rPr>
        <w:t xml:space="preserve">0</w:t>
      </w:r>
      <w:r>
        <w:rPr>
          <w:rFonts w:hint="eastAsia" w:ascii="宋体" w:hAnsi="宋体"/>
          <w:bCs/>
          <w:sz w:val="24"/>
          <w:szCs w:val="24"/>
          <w:highlight w:val="none"/>
          <w:u w:val="single"/>
          <w:lang w:val="en-US" w:eastAsia="zh-CN"/>
        </w:rPr>
        <w:t xml:space="preserve">4</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3</w:t>
      </w:r>
      <w:r>
        <w:rPr>
          <w:rFonts w:hint="eastAsia" w:ascii="宋体" w:hAnsi="宋体"/>
          <w:bCs/>
          <w:sz w:val="24"/>
          <w:szCs w:val="24"/>
          <w:highlight w:val="none"/>
          <w:u w:val="single"/>
          <w:lang w:val="en-US" w:eastAsia="zh-CN"/>
        </w:rPr>
        <w:t xml:space="preserve">0</w:t>
      </w:r>
      <w:r>
        <w:rPr>
          <w:rFonts w:hint="eastAsia" w:ascii="宋体" w:hAnsi="宋体"/>
          <w:bCs/>
          <w:sz w:val="24"/>
          <w:szCs w:val="24"/>
          <w:highlight w:val="none"/>
          <w:u w:val="single"/>
        </w:rPr>
        <w:t xml:space="preserve">日</w:t>
      </w:r>
      <w:r>
        <w:rPr>
          <w:rFonts w:hint="eastAsia" w:ascii="宋体" w:hAnsi="宋体" w:cs="宋体"/>
          <w:sz w:val="24"/>
          <w:szCs w:val="24"/>
          <w:highlight w:val="none"/>
        </w:rPr>
        <w:t xml:space="preserve">。</w:t>
      </w:r>
      <w:r>
        <w:rPr>
          <w:rFonts w:ascii="宋体" w:hAnsi="宋体" w:cs="宋体"/>
          <w:sz w:val="24"/>
          <w:szCs w:val="24"/>
          <w:highlight w:val="none"/>
        </w:rPr>
      </w:r>
      <w:r/>
    </w:p>
    <w:p>
      <w:pPr>
        <w:pStyle w:val="967"/>
        <w:ind w:firstLine="540"/>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2.方式：网上注册登记成功后系统免费下载招标文件。</w:t>
      </w:r>
      <w:r>
        <w:rPr>
          <w:rFonts w:ascii="宋体" w:hAnsi="宋体" w:cs="宋体"/>
          <w:sz w:val="24"/>
          <w:szCs w:val="24"/>
          <w:highlight w:val="none"/>
          <w:u w:val="single"/>
        </w:rPr>
      </w:r>
      <w:r/>
    </w:p>
    <w:p>
      <w:pPr>
        <w:pStyle w:val="970"/>
        <w:spacing w:before="145" w:after="145" w:line="360" w:lineRule="auto"/>
        <w:rPr>
          <w:highlight w:val="none"/>
        </w:rPr>
      </w:pPr>
      <w:r>
        <w:rPr>
          <w:rFonts w:hint="eastAsia"/>
          <w:highlight w:val="none"/>
        </w:rPr>
        <w:t xml:space="preserve">四、提交投标文件</w:t>
      </w:r>
      <w:bookmarkEnd w:id="22"/>
      <w:r/>
      <w:bookmarkEnd w:id="23"/>
      <w:r>
        <w:rPr>
          <w:rFonts w:hint="eastAsia"/>
          <w:highlight w:val="none"/>
        </w:rPr>
        <w:t xml:space="preserve">截止时间、开标时间和地点</w:t>
      </w:r>
      <w:bookmarkEnd w:id="24"/>
      <w:r/>
      <w:bookmarkEnd w:id="25"/>
      <w:r/>
      <w:bookmarkEnd w:id="26"/>
      <w:r>
        <w:rPr>
          <w:highlight w:val="none"/>
        </w:rPr>
      </w:r>
      <w:r/>
    </w:p>
    <w:p>
      <w:pPr>
        <w:pStyle w:val="967"/>
        <w:ind w:firstLine="480"/>
        <w:spacing w:line="360" w:lineRule="auto"/>
        <w:rPr>
          <w:rFonts w:ascii="宋体" w:hAnsi="宋体"/>
          <w:bCs/>
          <w:sz w:val="24"/>
          <w:szCs w:val="24"/>
          <w:highlight w:val="none"/>
          <w:u w:val="single"/>
        </w:rPr>
      </w:pPr>
      <w:r>
        <w:rPr>
          <w:rFonts w:hint="eastAsia" w:ascii="宋体" w:hAnsi="宋体"/>
          <w:bCs/>
          <w:sz w:val="24"/>
          <w:szCs w:val="24"/>
          <w:highlight w:val="none"/>
        </w:rPr>
        <w:t xml:space="preserve">1.</w:t>
      </w:r>
      <w:r>
        <w:rPr>
          <w:rFonts w:hint="eastAsia" w:ascii="宋体" w:hAnsi="宋体"/>
          <w:bCs/>
          <w:sz w:val="24"/>
          <w:szCs w:val="24"/>
          <w:highlight w:val="none"/>
          <w:u w:val="single"/>
        </w:rPr>
        <w:t xml:space="preserve">2026年 </w:t>
      </w:r>
      <w:r>
        <w:rPr>
          <w:rFonts w:hint="eastAsia" w:ascii="宋体" w:hAnsi="宋体"/>
          <w:bCs/>
          <w:sz w:val="24"/>
          <w:szCs w:val="24"/>
          <w:highlight w:val="none"/>
          <w:u w:val="single"/>
          <w:lang w:val="en-US" w:eastAsia="zh-CN"/>
        </w:rPr>
        <w:t xml:space="preserve">0</w:t>
      </w:r>
      <w:r>
        <w:rPr>
          <w:rFonts w:hint="eastAsia" w:ascii="宋体" w:hAnsi="宋体"/>
          <w:bCs/>
          <w:sz w:val="24"/>
          <w:szCs w:val="24"/>
          <w:highlight w:val="none"/>
          <w:u w:val="single"/>
          <w:lang w:val="en-US" w:eastAsia="zh-CN"/>
        </w:rPr>
        <w:t xml:space="preserve">5</w:t>
      </w:r>
      <w:r>
        <w:rPr>
          <w:rFonts w:hint="eastAsia" w:ascii="宋体" w:hAnsi="宋体"/>
          <w:bCs/>
          <w:sz w:val="24"/>
          <w:szCs w:val="24"/>
          <w:highlight w:val="none"/>
          <w:u w:val="single"/>
        </w:rPr>
        <w:t xml:space="preserve">月 </w:t>
      </w:r>
      <w:r>
        <w:rPr>
          <w:rFonts w:hint="eastAsia" w:ascii="宋体" w:hAnsi="宋体"/>
          <w:bCs/>
          <w:sz w:val="24"/>
          <w:szCs w:val="24"/>
          <w:highlight w:val="none"/>
          <w:u w:val="single"/>
          <w:lang w:val="en-US" w:eastAsia="zh-CN"/>
        </w:rPr>
        <w:t xml:space="preserve">0</w:t>
      </w:r>
      <w:r>
        <w:rPr>
          <w:rFonts w:hint="eastAsia" w:ascii="宋体" w:hAnsi="宋体"/>
          <w:bCs/>
          <w:sz w:val="24"/>
          <w:szCs w:val="24"/>
          <w:highlight w:val="none"/>
          <w:u w:val="single"/>
          <w:lang w:val="en-US" w:eastAsia="zh-CN"/>
        </w:rPr>
        <w:t xml:space="preserve">8</w:t>
      </w:r>
      <w:r>
        <w:rPr>
          <w:rFonts w:hint="eastAsia" w:ascii="宋体" w:hAnsi="宋体"/>
          <w:bCs/>
          <w:sz w:val="24"/>
          <w:szCs w:val="24"/>
          <w:highlight w:val="none"/>
          <w:u w:val="single"/>
        </w:rPr>
        <w:t xml:space="preserve">日</w:t>
      </w:r>
      <w:r>
        <w:rPr>
          <w:rFonts w:hint="eastAsia" w:ascii="宋体" w:hAnsi="宋体"/>
          <w:bCs/>
          <w:sz w:val="24"/>
          <w:szCs w:val="24"/>
          <w:highlight w:val="none"/>
          <w:u w:val="single"/>
          <w:lang w:val="en-US" w:eastAsia="zh-CN"/>
        </w:rPr>
        <w:t xml:space="preserve">1</w:t>
      </w:r>
      <w:r>
        <w:rPr>
          <w:rFonts w:hint="eastAsia" w:ascii="宋体" w:hAnsi="宋体"/>
          <w:bCs/>
          <w:sz w:val="24"/>
          <w:szCs w:val="24"/>
          <w:highlight w:val="none"/>
          <w:u w:val="single"/>
          <w:lang w:val="en-US" w:eastAsia="zh-CN"/>
        </w:rPr>
        <w:t xml:space="preserve">4</w:t>
      </w:r>
      <w:r>
        <w:rPr>
          <w:rFonts w:hint="eastAsia" w:ascii="宋体" w:hAnsi="宋体"/>
          <w:bCs/>
          <w:sz w:val="24"/>
          <w:szCs w:val="24"/>
          <w:highlight w:val="none"/>
          <w:u w:val="single"/>
        </w:rPr>
        <w:t xml:space="preserve">点00分</w:t>
      </w:r>
      <w:r>
        <w:rPr>
          <w:rFonts w:hint="eastAsia" w:ascii="宋体" w:hAnsi="宋体"/>
          <w:bCs/>
          <w:sz w:val="24"/>
          <w:szCs w:val="24"/>
          <w:highlight w:val="none"/>
        </w:rPr>
        <w:t xml:space="preserve">（北京时间）</w:t>
      </w:r>
      <w:r>
        <w:rPr>
          <w:rFonts w:ascii="宋体" w:hAnsi="宋体"/>
          <w:bCs/>
          <w:sz w:val="24"/>
          <w:szCs w:val="24"/>
          <w:highlight w:val="none"/>
          <w:u w:val="single"/>
        </w:rPr>
      </w:r>
      <w:r/>
    </w:p>
    <w:p>
      <w:pPr>
        <w:pStyle w:val="967"/>
        <w:ind w:firstLine="480"/>
        <w:spacing w:line="360" w:lineRule="auto"/>
        <w:rPr>
          <w:rFonts w:hint="eastAsia" w:ascii="宋体" w:hAnsi="宋体"/>
          <w:bCs/>
          <w:sz w:val="24"/>
          <w:szCs w:val="24"/>
          <w:highlight w:val="none"/>
          <w:u w:val="single"/>
        </w:rPr>
      </w:pPr>
      <w:r>
        <w:rPr>
          <w:rFonts w:hint="eastAsia" w:ascii="宋体" w:hAnsi="宋体"/>
          <w:sz w:val="24"/>
          <w:szCs w:val="24"/>
          <w:highlight w:val="none"/>
        </w:rPr>
        <w:t xml:space="preserve">2.地点：“苏采云”政府采购交易系统网上开标大厅。</w:t>
      </w:r>
      <w:r>
        <w:rPr>
          <w:rFonts w:hint="eastAsia" w:ascii="宋体" w:hAnsi="宋体"/>
          <w:bCs/>
          <w:sz w:val="24"/>
          <w:szCs w:val="24"/>
          <w:highlight w:val="none"/>
          <w:u w:val="single"/>
        </w:rPr>
      </w:r>
      <w:r/>
    </w:p>
    <w:p>
      <w:pPr>
        <w:pStyle w:val="970"/>
        <w:spacing w:before="145" w:after="145" w:line="360" w:lineRule="auto"/>
        <w:rPr>
          <w:highlight w:val="none"/>
        </w:rPr>
      </w:pPr>
      <w:r/>
      <w:bookmarkStart w:id="27" w:name="_Toc38985267"/>
      <w:r/>
      <w:bookmarkStart w:id="28" w:name="_Toc28359007"/>
      <w:r/>
      <w:bookmarkStart w:id="29" w:name="_Toc28359084"/>
      <w:r/>
      <w:bookmarkStart w:id="30" w:name="_Toc35393625"/>
      <w:r/>
      <w:bookmarkStart w:id="31" w:name="_Toc35393794"/>
      <w:r>
        <w:rPr>
          <w:rFonts w:hint="eastAsia"/>
          <w:highlight w:val="none"/>
        </w:rPr>
        <w:t xml:space="preserve">五、公告期限</w:t>
      </w:r>
      <w:bookmarkEnd w:id="27"/>
      <w:r/>
      <w:bookmarkEnd w:id="28"/>
      <w:r/>
      <w:bookmarkEnd w:id="29"/>
      <w:r/>
      <w:bookmarkEnd w:id="30"/>
      <w:r/>
      <w:bookmarkEnd w:id="31"/>
      <w:r>
        <w:rPr>
          <w:highlight w:val="none"/>
        </w:rPr>
      </w:r>
      <w:r/>
    </w:p>
    <w:p>
      <w:pPr>
        <w:pStyle w:val="967"/>
        <w:ind w:firstLine="480"/>
        <w:rPr>
          <w:rFonts w:ascii="宋体" w:hAnsi="宋体" w:cs="宋体"/>
          <w:sz w:val="24"/>
          <w:szCs w:val="24"/>
          <w:highlight w:val="none"/>
        </w:rPr>
      </w:pPr>
      <w:r/>
      <w:bookmarkStart w:id="32" w:name="_Toc38985268"/>
      <w:r/>
      <w:bookmarkStart w:id="33" w:name="_Toc35393795"/>
      <w:r/>
      <w:bookmarkStart w:id="34" w:name="_Toc35393626"/>
      <w:r>
        <w:rPr>
          <w:rFonts w:hint="eastAsia" w:ascii="宋体" w:hAnsi="宋体" w:cs="宋体"/>
          <w:sz w:val="24"/>
          <w:szCs w:val="24"/>
          <w:highlight w:val="none"/>
        </w:rPr>
        <w:t xml:space="preserve">招标公告及招标文件公告期限为自本公告发布之日起5个工作日。</w:t>
      </w:r>
      <w:r>
        <w:rPr>
          <w:rFonts w:ascii="宋体" w:hAnsi="宋体" w:cs="宋体"/>
          <w:sz w:val="24"/>
          <w:szCs w:val="24"/>
          <w:highlight w:val="none"/>
        </w:rPr>
      </w:r>
      <w:r/>
    </w:p>
    <w:p>
      <w:pPr>
        <w:pStyle w:val="970"/>
        <w:spacing w:before="145" w:after="145" w:line="360" w:lineRule="auto"/>
        <w:rPr>
          <w:highlight w:val="none"/>
        </w:rPr>
      </w:pPr>
      <w:r>
        <w:rPr>
          <w:rFonts w:hint="eastAsia"/>
          <w:highlight w:val="none"/>
        </w:rPr>
        <w:t xml:space="preserve">六、其他补充事宜</w:t>
      </w:r>
      <w:bookmarkEnd w:id="32"/>
      <w:r/>
      <w:bookmarkEnd w:id="33"/>
      <w:r/>
      <w:bookmarkEnd w:id="34"/>
      <w:r>
        <w:rPr>
          <w:highlight w:val="none"/>
        </w:rPr>
      </w:r>
      <w:r/>
    </w:p>
    <w:p>
      <w:pPr>
        <w:pStyle w:val="967"/>
        <w:ind w:firstLine="480"/>
        <w:spacing w:line="480" w:lineRule="exact"/>
        <w:rPr>
          <w:rFonts w:hint="eastAsia" w:ascii="宋体" w:hAnsi="宋体" w:cs="宋体"/>
          <w:sz w:val="24"/>
          <w:szCs w:val="24"/>
          <w:highlight w:val="none"/>
        </w:rPr>
      </w:pPr>
      <w:r/>
      <w:bookmarkStart w:id="35" w:name="_Toc28359008"/>
      <w:r/>
      <w:bookmarkStart w:id="36" w:name="_Toc35393627"/>
      <w:r/>
      <w:bookmarkStart w:id="37" w:name="_Toc28359085"/>
      <w:r/>
      <w:bookmarkStart w:id="38" w:name="_Toc35393796"/>
      <w:r/>
      <w:bookmarkStart w:id="39" w:name="_Toc38985269"/>
      <w:r>
        <w:rPr>
          <w:rFonts w:hint="eastAsia" w:ascii="宋体" w:hAnsi="宋体" w:cs="宋体"/>
          <w:sz w:val="24"/>
          <w:szCs w:val="24"/>
          <w:highlight w:val="none"/>
        </w:rPr>
        <w:t xml:space="preserve">1.</w:t>
      </w:r>
      <w:r>
        <w:rPr>
          <w:rFonts w:ascii="宋体" w:hAnsi="宋体" w:cs="宋体"/>
          <w:sz w:val="24"/>
          <w:szCs w:val="24"/>
          <w:highlight w:val="none"/>
        </w:rPr>
        <w:t xml:space="preserve">投标保证金：免收</w:t>
      </w:r>
      <w:r>
        <w:rPr>
          <w:rFonts w:hint="eastAsia" w:ascii="宋体" w:hAnsi="宋体" w:cs="宋体"/>
          <w:sz w:val="24"/>
          <w:szCs w:val="24"/>
          <w:highlight w:val="none"/>
        </w:rPr>
      </w:r>
      <w:r/>
    </w:p>
    <w:p>
      <w:pPr>
        <w:pStyle w:val="967"/>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项目演示、样品、答辩等：</w:t>
      </w:r>
      <w:r>
        <w:rPr>
          <w:rFonts w:hint="eastAsia" w:ascii="宋体" w:hAnsi="宋体" w:cs="宋体"/>
          <w:b/>
          <w:bCs/>
          <w:sz w:val="24"/>
          <w:szCs w:val="24"/>
          <w:highlight w:val="none"/>
        </w:rPr>
        <w:t xml:space="preserve">有样品，详见项目需求。</w:t>
      </w:r>
      <w:r>
        <w:rPr>
          <w:rFonts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投标人（含潜在投标人）对采购方式、招标文件中采购需求、投标人资格条件、评标方法和评标标准、合同文本及资格审查结果的询问、质疑请向采购人提出，由采购人负责答复。投标人对其他事项的询问、质疑请向采购代理机构提出，由采购代理机构负责答复。</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4.有关本次招标的事项若存在变动或修改，均以江苏政府采购网发布的更正或补充通知为准，敬请及时关注。</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5.投标人应依照规定提交各类声明函、承诺函，不再同时提供原件备查或提供有关部门出具的相关证明文件。但中标投标人应做好提交声明函、承诺函相应原件的核查准备；核查后发现虚假或违背承诺的，依照相关法律法规规定处理。</w:t>
      </w:r>
      <w:r>
        <w:rPr>
          <w:rFonts w:hint="eastAsia" w:ascii="宋体" w:hAnsi="宋体" w:cs="宋体"/>
          <w:sz w:val="24"/>
          <w:szCs w:val="24"/>
          <w:highlight w:val="none"/>
        </w:rPr>
      </w:r>
      <w:r/>
    </w:p>
    <w:p>
      <w:pPr>
        <w:pStyle w:val="967"/>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6.“苏采云”系统使用相关提醒</w:t>
      </w:r>
      <w:r>
        <w:rPr>
          <w:rFonts w:hint="eastAsia" w:ascii="宋体" w:hAnsi="宋体"/>
          <w:bCs/>
          <w:sz w:val="24"/>
          <w:szCs w:val="24"/>
          <w:highlight w:val="none"/>
        </w:rPr>
      </w:r>
      <w:r/>
    </w:p>
    <w:p>
      <w:pPr>
        <w:pStyle w:val="967"/>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6.1.根据省财政厅《关</w:t>
      </w:r>
      <w:r>
        <w:rPr>
          <w:rFonts w:hint="eastAsia" w:ascii="宋体" w:hAnsi="宋体"/>
          <w:bCs/>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bCs/>
          <w:sz w:val="24"/>
          <w:szCs w:val="24"/>
          <w:highlight w:val="none"/>
        </w:rPr>
      </w:r>
      <w:r/>
    </w:p>
    <w:p>
      <w:pPr>
        <w:pStyle w:val="967"/>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6.2领取CA和办理电子签章请至南通市政务服务中心裙楼四楼（南通市公共资源交中心）CA办理窗口办理，详见《江苏省政府采购数字证书(投标人) CA及电子签章办理指南》），请及时进行注册并按要求制作、上传电子投标文件。</w:t>
      </w:r>
      <w:r>
        <w:rPr>
          <w:rFonts w:hint="eastAsia" w:ascii="宋体" w:hAnsi="宋体"/>
          <w:bCs/>
          <w:sz w:val="24"/>
          <w:szCs w:val="24"/>
          <w:highlight w:val="none"/>
        </w:rPr>
      </w:r>
      <w:r/>
    </w:p>
    <w:p>
      <w:pPr>
        <w:pStyle w:val="967"/>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6.3开标当天投标人应及时登录“苏采云”不见面开标大厅，并</w:t>
      </w:r>
      <w:r>
        <w:rPr>
          <w:rFonts w:hint="eastAsia" w:ascii="宋体" w:hAnsi="宋体"/>
          <w:bCs/>
          <w:sz w:val="24"/>
          <w:szCs w:val="24"/>
          <w:highlight w:val="none"/>
        </w:rPr>
        <w:t xml:space="preserve">在规定时间内自行实施远程解密。投标人解密时间限定为响应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响应文件在规定时间内未能解密、解密失败或解密超时，系统内响应文件将被退回，相应风险由投标人自行承担；因采购人原因或网上招投标平台发生故障，导致无法按时完成响应文件解密或开、评标工作无法进行的，可根据实际情况相应延迟解密时间或调整开、评标时间。</w:t>
      </w:r>
      <w:r>
        <w:rPr>
          <w:rFonts w:hint="eastAsia" w:ascii="宋体" w:hAnsi="宋体"/>
          <w:bCs/>
          <w:sz w:val="24"/>
          <w:szCs w:val="24"/>
          <w:highlight w:val="none"/>
        </w:rPr>
      </w:r>
      <w:r/>
    </w:p>
    <w:p>
      <w:pPr>
        <w:pStyle w:val="967"/>
        <w:ind w:firstLine="480"/>
        <w:spacing w:line="480" w:lineRule="exact"/>
        <w:rPr>
          <w:rFonts w:ascii="宋体" w:hAnsi="宋体" w:eastAsia="宋体"/>
          <w:bCs/>
          <w:sz w:val="24"/>
          <w:szCs w:val="24"/>
          <w:highlight w:val="none"/>
          <w:lang w:val="en-US"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获取招标文件时间：自招</w:t>
      </w:r>
      <w:r>
        <w:rPr>
          <w:rFonts w:hint="eastAsia" w:ascii="宋体" w:hAnsi="宋体" w:cs="宋体"/>
          <w:sz w:val="24"/>
          <w:szCs w:val="24"/>
          <w:highlight w:val="none"/>
        </w:rPr>
        <w:t xml:space="preserve">标文件公告发布之日起至</w:t>
      </w:r>
      <w:r>
        <w:rPr>
          <w:rFonts w:hint="eastAsia" w:ascii="宋体" w:hAnsi="宋体"/>
          <w:b/>
          <w:bCs w:val="0"/>
          <w:sz w:val="24"/>
          <w:szCs w:val="24"/>
          <w:highlight w:val="none"/>
          <w:u w:val="single"/>
        </w:rPr>
        <w:t xml:space="preserve">2026年 </w:t>
      </w:r>
      <w:r>
        <w:rPr>
          <w:rFonts w:hint="eastAsia" w:ascii="宋体" w:hAnsi="宋体"/>
          <w:b/>
          <w:bCs w:val="0"/>
          <w:sz w:val="24"/>
          <w:szCs w:val="24"/>
          <w:highlight w:val="none"/>
          <w:u w:val="single"/>
          <w:lang w:val="en-US" w:eastAsia="zh-CN"/>
        </w:rPr>
        <w:t xml:space="preserve">04</w:t>
      </w:r>
      <w:r>
        <w:rPr>
          <w:rFonts w:hint="eastAsia" w:ascii="宋体" w:hAnsi="宋体"/>
          <w:b/>
          <w:bCs w:val="0"/>
          <w:sz w:val="24"/>
          <w:szCs w:val="24"/>
          <w:highlight w:val="none"/>
          <w:u w:val="single"/>
        </w:rPr>
        <w:t xml:space="preserve">月</w:t>
      </w:r>
      <w:r>
        <w:rPr>
          <w:rFonts w:hint="eastAsia" w:ascii="宋体" w:hAnsi="宋体"/>
          <w:b/>
          <w:bCs w:val="0"/>
          <w:sz w:val="24"/>
          <w:szCs w:val="24"/>
          <w:highlight w:val="none"/>
          <w:u w:val="single"/>
          <w:lang w:val="en-US" w:eastAsia="zh-CN"/>
        </w:rPr>
        <w:t xml:space="preserve">30 </w:t>
      </w:r>
      <w:r>
        <w:rPr>
          <w:rFonts w:hint="eastAsia" w:ascii="宋体" w:hAnsi="宋体"/>
          <w:b/>
          <w:bCs w:val="0"/>
          <w:sz w:val="24"/>
          <w:szCs w:val="24"/>
          <w:highlight w:val="none"/>
          <w:u w:val="single"/>
        </w:rPr>
        <w:t xml:space="preserve">日</w:t>
      </w:r>
      <w:r>
        <w:rPr>
          <w:rFonts w:hint="eastAsia" w:ascii="宋体" w:hAnsi="宋体" w:cs="宋体"/>
          <w:sz w:val="24"/>
          <w:szCs w:val="24"/>
          <w:highlight w:val="none"/>
        </w:rPr>
        <w:t xml:space="preserve">。</w:t>
      </w:r>
      <w:r>
        <w:rPr>
          <w:rFonts w:ascii="宋体" w:hAnsi="宋体" w:eastAsia="宋体"/>
          <w:bCs/>
          <w:sz w:val="24"/>
          <w:szCs w:val="24"/>
          <w:highlight w:val="none"/>
          <w:lang w:val="en-US" w:eastAsia="zh-CN"/>
        </w:rPr>
      </w:r>
      <w:r/>
    </w:p>
    <w:p>
      <w:pPr>
        <w:pStyle w:val="970"/>
        <w:spacing w:before="145" w:after="145" w:line="360" w:lineRule="auto"/>
        <w:rPr>
          <w:highlight w:val="none"/>
        </w:rPr>
      </w:pPr>
      <w:r>
        <w:rPr>
          <w:rFonts w:hint="eastAsia"/>
          <w:highlight w:val="none"/>
        </w:rPr>
        <w:t xml:space="preserve">七、本次招标联系方式</w:t>
      </w:r>
      <w:bookmarkEnd w:id="35"/>
      <w:r/>
      <w:bookmarkEnd w:id="36"/>
      <w:r/>
      <w:bookmarkEnd w:id="37"/>
      <w:r/>
      <w:bookmarkEnd w:id="38"/>
      <w:r/>
      <w:bookmarkEnd w:id="39"/>
      <w:r>
        <w:rPr>
          <w:highlight w:val="none"/>
        </w:rPr>
      </w:r>
      <w:r/>
    </w:p>
    <w:p>
      <w:pPr>
        <w:pStyle w:val="967"/>
        <w:ind w:firstLine="480"/>
        <w:jc w:val="left"/>
        <w:spacing w:line="480" w:lineRule="exact"/>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1.采购人信息</w:t>
      </w:r>
      <w:r>
        <w:rPr>
          <w:rFonts w:hint="eastAsia" w:ascii="宋体" w:hAnsi="宋体"/>
          <w:sz w:val="24"/>
          <w:szCs w:val="24"/>
          <w:highlight w:val="none"/>
        </w:rPr>
      </w:r>
      <w:r/>
    </w:p>
    <w:p>
      <w:pPr>
        <w:pStyle w:val="967"/>
        <w:ind w:firstLine="480"/>
        <w:jc w:val="left"/>
        <w:spacing w:line="480" w:lineRule="exact"/>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名 称：南通市城市照明管理处</w:t>
      </w:r>
      <w:r>
        <w:rPr>
          <w:rFonts w:hint="eastAsia" w:ascii="宋体" w:hAnsi="宋体"/>
          <w:sz w:val="24"/>
          <w:szCs w:val="24"/>
          <w:highlight w:val="none"/>
        </w:rPr>
      </w:r>
      <w:r/>
    </w:p>
    <w:p>
      <w:pPr>
        <w:pStyle w:val="967"/>
        <w:ind w:firstLine="480"/>
        <w:jc w:val="left"/>
        <w:spacing w:line="480" w:lineRule="exact"/>
        <w:shd w:val="clear" w:color="auto" w:fill="ffffff"/>
        <w:widowControl/>
        <w:rPr>
          <w:rFonts w:hint="eastAsia" w:ascii="宋体" w:hAnsi="宋体"/>
          <w:sz w:val="24"/>
          <w:szCs w:val="24"/>
          <w:highlight w:val="none"/>
        </w:rPr>
      </w:pPr>
      <w:r/>
      <w:bookmarkStart w:id="40" w:name="_Toc28359086"/>
      <w:r/>
      <w:bookmarkStart w:id="41" w:name="_Toc28359009"/>
      <w:r>
        <w:rPr>
          <w:rFonts w:hint="eastAsia" w:ascii="宋体" w:hAnsi="宋体"/>
          <w:sz w:val="24"/>
          <w:szCs w:val="24"/>
          <w:highlight w:val="none"/>
        </w:rPr>
        <w:t xml:space="preserve">地址：南通市长和路138号</w:t>
      </w:r>
      <w:r>
        <w:rPr>
          <w:rFonts w:hint="eastAsia" w:ascii="宋体" w:hAnsi="宋体"/>
          <w:sz w:val="24"/>
          <w:szCs w:val="24"/>
          <w:highlight w:val="none"/>
        </w:rPr>
      </w:r>
      <w:r/>
    </w:p>
    <w:p>
      <w:pPr>
        <w:pStyle w:val="967"/>
        <w:ind w:firstLine="480"/>
        <w:jc w:val="left"/>
        <w:spacing w:line="480" w:lineRule="exact"/>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联系人：马女士</w:t>
      </w:r>
      <w:r>
        <w:rPr>
          <w:rFonts w:hint="eastAsia" w:ascii="宋体" w:hAnsi="宋体"/>
          <w:sz w:val="24"/>
          <w:szCs w:val="24"/>
          <w:highlight w:val="none"/>
        </w:rPr>
      </w:r>
      <w:r/>
    </w:p>
    <w:p>
      <w:pPr>
        <w:pStyle w:val="967"/>
        <w:ind w:firstLine="480"/>
        <w:jc w:val="left"/>
        <w:spacing w:line="480" w:lineRule="exact"/>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联系方式：0513-83579293</w:t>
      </w:r>
      <w:r>
        <w:rPr>
          <w:rFonts w:hint="eastAsia" w:ascii="宋体" w:hAnsi="宋体"/>
          <w:sz w:val="24"/>
          <w:szCs w:val="24"/>
          <w:highlight w:val="none"/>
        </w:rPr>
      </w:r>
      <w:r/>
    </w:p>
    <w:p>
      <w:pPr>
        <w:pStyle w:val="967"/>
        <w:ind w:firstLine="480"/>
        <w:jc w:val="left"/>
        <w:spacing w:line="480" w:lineRule="exact"/>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2.江苏新东方工程管理咨询有限公司信息</w:t>
      </w:r>
      <w:bookmarkEnd w:id="40"/>
      <w:r/>
      <w:bookmarkEnd w:id="41"/>
      <w:r>
        <w:rPr>
          <w:rFonts w:hint="eastAsia" w:ascii="宋体" w:hAnsi="宋体"/>
          <w:sz w:val="24"/>
          <w:szCs w:val="24"/>
          <w:highlight w:val="none"/>
        </w:rPr>
      </w:r>
      <w:r/>
    </w:p>
    <w:p>
      <w:pPr>
        <w:pStyle w:val="967"/>
        <w:ind w:firstLine="480"/>
        <w:jc w:val="left"/>
        <w:spacing w:line="480" w:lineRule="exact"/>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地　址：南通市崇川区外环东路12号2楼南侧</w:t>
      </w:r>
      <w:r>
        <w:rPr>
          <w:rFonts w:hint="eastAsia" w:ascii="宋体" w:hAnsi="宋体"/>
          <w:sz w:val="24"/>
          <w:szCs w:val="24"/>
          <w:highlight w:val="none"/>
        </w:rPr>
      </w:r>
      <w:r/>
    </w:p>
    <w:p>
      <w:pPr>
        <w:pStyle w:val="967"/>
        <w:ind w:firstLine="480"/>
        <w:jc w:val="left"/>
        <w:spacing w:line="480" w:lineRule="exact"/>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联系人：张亚萍</w:t>
      </w:r>
      <w:r>
        <w:rPr>
          <w:rFonts w:hint="eastAsia" w:ascii="宋体" w:hAnsi="宋体"/>
          <w:sz w:val="24"/>
          <w:szCs w:val="24"/>
          <w:highlight w:val="none"/>
        </w:rPr>
      </w:r>
      <w:r/>
    </w:p>
    <w:p>
      <w:pPr>
        <w:pStyle w:val="967"/>
        <w:ind w:firstLine="480"/>
        <w:jc w:val="left"/>
        <w:spacing w:line="480" w:lineRule="exact"/>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联系方式：</w:t>
      </w:r>
      <w:bookmarkStart w:id="42" w:name="_Toc28359087"/>
      <w:r/>
      <w:bookmarkStart w:id="43" w:name="_Toc28359010"/>
      <w:r>
        <w:rPr>
          <w:rFonts w:hint="eastAsia" w:ascii="宋体" w:hAnsi="宋体"/>
          <w:sz w:val="24"/>
          <w:szCs w:val="24"/>
          <w:highlight w:val="none"/>
        </w:rPr>
        <w:t xml:space="preserve">0513-85679898  15996553483</w:t>
      </w:r>
      <w:r>
        <w:rPr>
          <w:rFonts w:hint="eastAsia" w:ascii="宋体" w:hAnsi="宋体"/>
          <w:sz w:val="24"/>
          <w:szCs w:val="24"/>
          <w:highlight w:val="none"/>
        </w:rPr>
      </w:r>
      <w:r/>
    </w:p>
    <w:p>
      <w:pPr>
        <w:pStyle w:val="967"/>
        <w:ind w:firstLine="480"/>
        <w:jc w:val="left"/>
        <w:spacing w:line="480" w:lineRule="exact"/>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3.软件技术支持：0519-86722801</w:t>
      </w:r>
      <w:r>
        <w:rPr>
          <w:rFonts w:hint="eastAsia" w:ascii="宋体" w:hAnsi="宋体"/>
          <w:sz w:val="24"/>
          <w:szCs w:val="24"/>
          <w:highlight w:val="none"/>
        </w:rPr>
      </w:r>
      <w:r/>
    </w:p>
    <w:p>
      <w:pPr>
        <w:pStyle w:val="967"/>
        <w:ind w:firstLine="480"/>
        <w:jc w:val="left"/>
        <w:spacing w:line="480" w:lineRule="exact"/>
        <w:shd w:val="clear" w:color="auto" w:fill="ffffff"/>
        <w:widowControl/>
        <w:rPr>
          <w:rFonts w:hint="eastAsia" w:ascii="宋体" w:hAnsi="宋体"/>
          <w:sz w:val="24"/>
          <w:highlight w:val="none"/>
        </w:rPr>
      </w:pPr>
      <w:r>
        <w:rPr>
          <w:rFonts w:hint="eastAsia" w:ascii="宋体" w:hAnsi="宋体"/>
          <w:sz w:val="24"/>
          <w:szCs w:val="24"/>
          <w:highlight w:val="none"/>
        </w:rPr>
        <w:t xml:space="preserve"> 那家铭: 0513-59001950</w:t>
      </w:r>
      <w:bookmarkEnd w:id="42"/>
      <w:r/>
      <w:bookmarkEnd w:id="43"/>
      <w:r>
        <w:rPr>
          <w:rFonts w:hint="eastAsia" w:ascii="宋体" w:hAnsi="宋体"/>
          <w:sz w:val="24"/>
          <w:highlight w:val="none"/>
        </w:rPr>
      </w:r>
      <w:r/>
    </w:p>
    <w:p>
      <w:pPr>
        <w:pStyle w:val="967"/>
        <w:ind w:right="840"/>
        <w:rPr>
          <w:rFonts w:hint="eastAsia" w:ascii="宋体" w:hAnsi="宋体"/>
          <w:sz w:val="24"/>
          <w:szCs w:val="24"/>
          <w:highlight w:val="none"/>
        </w:rPr>
      </w:pPr>
      <w:r>
        <w:rPr>
          <w:rFonts w:hint="eastAsia" w:ascii="宋体" w:hAnsi="宋体"/>
          <w:sz w:val="24"/>
          <w:szCs w:val="24"/>
          <w:highlight w:val="none"/>
        </w:rPr>
      </w:r>
      <w:r/>
    </w:p>
    <w:p>
      <w:pPr>
        <w:pStyle w:val="1035"/>
        <w:ind w:firstLine="0"/>
        <w:jc w:val="center"/>
        <w:rPr>
          <w:rFonts w:hint="eastAsia" w:ascii="黑体" w:eastAsia="黑体"/>
          <w:b/>
          <w:bCs/>
          <w:highlight w:val="none"/>
        </w:rPr>
        <w:outlineLvl w:val="0"/>
      </w:pPr>
      <w:r>
        <w:rPr>
          <w:rFonts w:hint="eastAsia" w:ascii="宋体" w:hAnsi="宋体"/>
          <w:sz w:val="24"/>
          <w:szCs w:val="24"/>
          <w:highlight w:val="none"/>
        </w:rPr>
        <w:br w:type="page" w:clear="all"/>
      </w:r>
      <w:bookmarkStart w:id="44" w:name="_Toc120614211"/>
      <w:r>
        <w:rPr>
          <w:rFonts w:hint="eastAsia" w:ascii="黑体" w:eastAsia="黑体"/>
          <w:sz w:val="44"/>
          <w:szCs w:val="44"/>
          <w:highlight w:val="none"/>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513029202"/>
      <w:r/>
      <w:bookmarkStart w:id="48" w:name="_Toc16938518"/>
      <w:r>
        <w:rPr>
          <w:rFonts w:hint="eastAsia" w:ascii="黑体" w:eastAsia="黑体"/>
          <w:sz w:val="44"/>
          <w:szCs w:val="44"/>
          <w:highlight w:val="none"/>
        </w:rPr>
        <w:t xml:space="preserve">投标人须知</w:t>
      </w:r>
      <w:bookmarkEnd w:id="45"/>
      <w:r/>
      <w:bookmarkEnd w:id="46"/>
      <w:r/>
      <w:bookmarkEnd w:id="47"/>
      <w:r/>
      <w:bookmarkEnd w:id="48"/>
      <w:r>
        <w:rPr>
          <w:rFonts w:hint="eastAsia" w:ascii="黑体" w:eastAsia="黑体"/>
          <w:b/>
          <w:bCs/>
          <w:highlight w:val="none"/>
        </w:rPr>
      </w:r>
      <w:r/>
    </w:p>
    <w:p>
      <w:pPr>
        <w:pStyle w:val="970"/>
        <w:spacing w:before="145" w:after="145" w:line="360" w:lineRule="auto"/>
        <w:rPr>
          <w:rFonts w:hint="eastAsia"/>
          <w:highlight w:val="none"/>
        </w:rPr>
      </w:pPr>
      <w:r/>
      <w:bookmarkStart w:id="49" w:name="_Toc16938519"/>
      <w:r/>
      <w:bookmarkStart w:id="50" w:name="_Toc20823275"/>
      <w:r/>
      <w:bookmarkStart w:id="51" w:name="_Toc120614214"/>
      <w:r/>
      <w:bookmarkStart w:id="52" w:name="_Toc513029203"/>
      <w:r>
        <w:rPr>
          <w:rFonts w:hint="eastAsia"/>
          <w:highlight w:val="none"/>
        </w:rPr>
        <w:t xml:space="preserve">一、总则</w:t>
      </w:r>
      <w:bookmarkEnd w:id="49"/>
      <w:r/>
      <w:bookmarkEnd w:id="50"/>
      <w:r/>
      <w:bookmarkEnd w:id="51"/>
      <w:r/>
      <w:bookmarkEnd w:id="52"/>
      <w:r>
        <w:rPr>
          <w:rFonts w:hint="eastAsia"/>
          <w:highlight w:val="none"/>
        </w:rPr>
      </w:r>
      <w:r/>
    </w:p>
    <w:p>
      <w:pPr>
        <w:pStyle w:val="971"/>
        <w:spacing w:before="0" w:after="0" w:line="240" w:lineRule="auto"/>
        <w:rPr>
          <w:rFonts w:hint="eastAsia"/>
          <w:b w:val="0"/>
          <w:bCs w:val="0"/>
          <w:highlight w:val="none"/>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highlight w:val="none"/>
        </w:rPr>
        <w:t xml:space="preserve">1</w:t>
      </w:r>
      <w:bookmarkEnd w:id="54"/>
      <w:r>
        <w:rPr>
          <w:rFonts w:hint="eastAsia"/>
          <w:b w:val="0"/>
          <w:bCs w:val="0"/>
          <w:highlight w:val="none"/>
        </w:rPr>
        <w:t xml:space="preserve">、招标方式</w:t>
      </w:r>
      <w:bookmarkEnd w:id="55"/>
      <w:r/>
      <w:bookmarkEnd w:id="56"/>
      <w:r/>
      <w:bookmarkEnd w:id="57"/>
      <w:r>
        <w:rPr>
          <w:rFonts w:hint="eastAsia"/>
          <w:b w:val="0"/>
          <w:bCs w:val="0"/>
          <w:highlight w:val="none"/>
        </w:rPr>
      </w:r>
      <w:r/>
    </w:p>
    <w:p>
      <w:pPr>
        <w:pStyle w:val="967"/>
        <w:ind w:firstLine="480"/>
        <w:spacing w:line="500" w:lineRule="exact"/>
        <w:rPr>
          <w:rFonts w:hint="eastAsia"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rPr>
          <w:rFonts w:hint="eastAsia" w:ascii="宋体" w:hAnsi="宋体"/>
          <w:sz w:val="24"/>
          <w:highlight w:val="none"/>
        </w:rPr>
      </w:r>
      <w:r/>
    </w:p>
    <w:p>
      <w:pPr>
        <w:pStyle w:val="971"/>
        <w:spacing w:before="0" w:after="0" w:line="240" w:lineRule="auto"/>
        <w:rPr>
          <w:rFonts w:hint="eastAsia"/>
          <w:b w:val="0"/>
          <w:bCs w:val="0"/>
          <w:highlight w:val="none"/>
        </w:rPr>
      </w:pPr>
      <w:r/>
      <w:bookmarkStart w:id="58" w:name="_Toc16938521"/>
      <w:r/>
      <w:bookmarkStart w:id="59" w:name="_Toc20823277"/>
      <w:r/>
      <w:bookmarkStart w:id="60" w:name="_Toc513029205"/>
      <w:r>
        <w:rPr>
          <w:rFonts w:hint="eastAsia"/>
          <w:b w:val="0"/>
          <w:bCs w:val="0"/>
          <w:highlight w:val="none"/>
        </w:rPr>
        <w:t xml:space="preserve">2、合格的</w:t>
      </w:r>
      <w:bookmarkEnd w:id="58"/>
      <w:r/>
      <w:bookmarkEnd w:id="59"/>
      <w:r/>
      <w:bookmarkEnd w:id="60"/>
      <w:r>
        <w:rPr>
          <w:rFonts w:hint="eastAsia"/>
          <w:b w:val="0"/>
          <w:bCs w:val="0"/>
          <w:highlight w:val="none"/>
        </w:rPr>
        <w:t xml:space="preserve">投标人</w:t>
      </w:r>
      <w:r>
        <w:rPr>
          <w:rFonts w:hint="eastAsia"/>
          <w:b w:val="0"/>
          <w:bCs w:val="0"/>
          <w:highlight w:val="none"/>
        </w:rPr>
      </w:r>
      <w:r/>
    </w:p>
    <w:p>
      <w:pPr>
        <w:pStyle w:val="967"/>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2.1满足招标公告中投标人的资格要求的规定。</w:t>
      </w:r>
      <w:r>
        <w:rPr>
          <w:rFonts w:hint="eastAsia" w:ascii="宋体" w:hAnsi="宋体"/>
          <w:sz w:val="24"/>
          <w:szCs w:val="24"/>
          <w:highlight w:val="none"/>
        </w:rPr>
      </w:r>
      <w:r/>
    </w:p>
    <w:p>
      <w:pPr>
        <w:pStyle w:val="967"/>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 满足本文件实质性要求和条件的规定。</w:t>
      </w:r>
      <w:r>
        <w:rPr>
          <w:rFonts w:hint="eastAsia" w:ascii="宋体" w:hAnsi="宋体"/>
          <w:sz w:val="24"/>
          <w:szCs w:val="24"/>
          <w:highlight w:val="none"/>
        </w:rPr>
      </w:r>
      <w:r/>
    </w:p>
    <w:p>
      <w:pPr>
        <w:pStyle w:val="971"/>
        <w:spacing w:before="0" w:after="0" w:line="240" w:lineRule="auto"/>
        <w:rPr>
          <w:rFonts w:hint="eastAsia"/>
          <w:b w:val="0"/>
          <w:bCs w:val="0"/>
          <w:highlight w:val="none"/>
        </w:rPr>
      </w:pPr>
      <w:r/>
      <w:bookmarkStart w:id="61" w:name="_Toc20823278"/>
      <w:r/>
      <w:bookmarkStart w:id="62" w:name="_Toc16938522"/>
      <w:r/>
      <w:bookmarkStart w:id="63" w:name="_Toc513029206"/>
      <w:r>
        <w:rPr>
          <w:rFonts w:hint="eastAsia"/>
          <w:b w:val="0"/>
          <w:bCs w:val="0"/>
          <w:highlight w:val="none"/>
        </w:rPr>
        <w:t xml:space="preserve">3、适用法律</w:t>
      </w:r>
      <w:bookmarkEnd w:id="61"/>
      <w:r/>
      <w:bookmarkEnd w:id="62"/>
      <w:r/>
      <w:bookmarkEnd w:id="63"/>
      <w:r>
        <w:rPr>
          <w:rFonts w:hint="eastAsia"/>
          <w:b w:val="0"/>
          <w:bCs w:val="0"/>
          <w:highlight w:val="none"/>
        </w:rPr>
      </w:r>
      <w:r/>
    </w:p>
    <w:p>
      <w:pPr>
        <w:pStyle w:val="967"/>
        <w:ind w:firstLine="420"/>
        <w:spacing w:line="400" w:lineRule="exact"/>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rPr>
          <w:rFonts w:hint="eastAsia" w:ascii="宋体" w:hAnsi="宋体"/>
          <w:sz w:val="24"/>
          <w:highlight w:val="none"/>
        </w:rPr>
      </w:r>
      <w:r/>
    </w:p>
    <w:p>
      <w:pPr>
        <w:pStyle w:val="971"/>
        <w:spacing w:before="0" w:after="0" w:line="240" w:lineRule="auto"/>
        <w:rPr>
          <w:rFonts w:hint="eastAsia"/>
          <w:b w:val="0"/>
          <w:bCs w:val="0"/>
          <w:highlight w:val="none"/>
        </w:rPr>
      </w:pPr>
      <w:r/>
      <w:bookmarkStart w:id="64" w:name="_Toc462564067"/>
      <w:r/>
      <w:bookmarkStart w:id="65" w:name="_Toc513029207"/>
      <w:r/>
      <w:bookmarkStart w:id="66" w:name="_Toc16938523"/>
      <w:r/>
      <w:bookmarkStart w:id="67" w:name="_Toc20823279"/>
      <w:r>
        <w:rPr>
          <w:rFonts w:hint="eastAsia"/>
          <w:b w:val="0"/>
          <w:bCs w:val="0"/>
          <w:highlight w:val="none"/>
        </w:rPr>
        <w:t xml:space="preserve">4、投标费用</w:t>
      </w:r>
      <w:bookmarkEnd w:id="64"/>
      <w:r/>
      <w:bookmarkEnd w:id="65"/>
      <w:r/>
      <w:bookmarkEnd w:id="66"/>
      <w:r/>
      <w:bookmarkEnd w:id="67"/>
      <w:r>
        <w:rPr>
          <w:rFonts w:hint="eastAsia"/>
          <w:b w:val="0"/>
          <w:bCs w:val="0"/>
          <w:highlight w:val="none"/>
        </w:rPr>
      </w:r>
      <w:r/>
    </w:p>
    <w:p>
      <w:pPr>
        <w:pStyle w:val="967"/>
        <w:ind w:firstLine="480"/>
        <w:spacing w:line="500" w:lineRule="exact"/>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投标人应自行承担所有与参加投标有关的费用，无论投标过程中的做法和结果如何，</w:t>
      </w:r>
      <w:r>
        <w:rPr>
          <w:rFonts w:hint="eastAsia" w:ascii="宋体" w:hAnsi="宋体" w:cs="宋体"/>
          <w:sz w:val="24"/>
          <w:szCs w:val="24"/>
          <w:highlight w:val="none"/>
        </w:rPr>
        <w:t xml:space="preserve">江苏新东方工程管理咨询有限公司</w:t>
      </w:r>
      <w:r>
        <w:rPr>
          <w:rFonts w:hint="eastAsia" w:ascii="宋体" w:hAnsi="宋体"/>
          <w:sz w:val="24"/>
          <w:highlight w:val="none"/>
        </w:rPr>
        <w:t xml:space="preserve">（以下简称采购代理机构）在任何情况下均无义务和责任承担这些费用。</w:t>
      </w:r>
      <w:r>
        <w:rPr>
          <w:rFonts w:hint="eastAsia" w:ascii="宋体" w:hAnsi="宋体"/>
          <w:sz w:val="24"/>
          <w:highlight w:val="none"/>
        </w:rPr>
      </w:r>
      <w:r/>
    </w:p>
    <w:p>
      <w:pPr>
        <w:pStyle w:val="967"/>
        <w:ind w:firstLine="480"/>
        <w:spacing w:line="500" w:lineRule="exact"/>
        <w:rPr>
          <w:rFonts w:hint="eastAsia" w:ascii="宋体" w:hAnsi="宋体"/>
          <w:sz w:val="24"/>
          <w:highlight w:val="none"/>
        </w:rPr>
      </w:pPr>
      <w:r>
        <w:rPr>
          <w:rFonts w:hint="eastAsia" w:ascii="宋体" w:hAnsi="宋体"/>
          <w:sz w:val="24"/>
          <w:highlight w:val="none"/>
        </w:rPr>
        <w:t xml:space="preserve">4.2本次招标采购代理机构和采购人不收取标书工本费与中标服务费。</w:t>
      </w:r>
      <w:r>
        <w:rPr>
          <w:rFonts w:hint="eastAsia" w:ascii="宋体" w:hAnsi="宋体"/>
          <w:sz w:val="24"/>
          <w:highlight w:val="none"/>
        </w:rPr>
      </w:r>
      <w:r/>
    </w:p>
    <w:p>
      <w:pPr>
        <w:pStyle w:val="967"/>
        <w:ind w:firstLine="480"/>
        <w:spacing w:line="500" w:lineRule="exact"/>
        <w:rPr>
          <w:rFonts w:hint="eastAsia" w:ascii="宋体" w:hAnsi="宋体"/>
          <w:sz w:val="24"/>
          <w:highlight w:val="none"/>
        </w:rPr>
      </w:pPr>
      <w:r>
        <w:rPr>
          <w:rFonts w:hint="eastAsia" w:ascii="宋体" w:hAnsi="宋体"/>
          <w:sz w:val="24"/>
          <w:highlight w:val="none"/>
        </w:rPr>
        <w:t xml:space="preserve">4.3本项目招标代理服务费由采购人支付。</w:t>
      </w:r>
      <w:r>
        <w:rPr>
          <w:rFonts w:hint="eastAsia" w:ascii="宋体" w:hAnsi="宋体"/>
          <w:sz w:val="24"/>
          <w:highlight w:val="none"/>
        </w:rPr>
      </w:r>
      <w:r/>
    </w:p>
    <w:p>
      <w:pPr>
        <w:pStyle w:val="971"/>
        <w:spacing w:before="0" w:after="0" w:line="480" w:lineRule="exact"/>
        <w:rPr>
          <w:rFonts w:hint="eastAsia" w:ascii="黑体" w:hAnsi="宋体"/>
          <w:b w:val="0"/>
          <w:bCs w:val="0"/>
          <w:highlight w:val="none"/>
        </w:rPr>
      </w:pPr>
      <w:r>
        <w:rPr>
          <w:rFonts w:hint="eastAsia" w:ascii="宋体" w:hAnsi="宋体"/>
          <w:sz w:val="30"/>
          <w:highlight w:val="none"/>
        </w:rPr>
        <w:t xml:space="preserve">5、</w:t>
      </w:r>
      <w:r>
        <w:rPr>
          <w:rFonts w:hint="eastAsia" w:ascii="黑体" w:hAnsi="宋体"/>
          <w:b w:val="0"/>
          <w:bCs w:val="0"/>
          <w:highlight w:val="none"/>
        </w:rPr>
        <w:t xml:space="preserve">招标文件的约束力</w:t>
      </w:r>
      <w:r>
        <w:rPr>
          <w:rFonts w:hint="eastAsia" w:ascii="黑体" w:hAnsi="宋体"/>
          <w:b w:val="0"/>
          <w:bCs w:val="0"/>
          <w:highlight w:val="none"/>
        </w:rPr>
      </w:r>
      <w:r/>
    </w:p>
    <w:p>
      <w:pPr>
        <w:pStyle w:val="967"/>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投标人一旦参加本项目采购活动，即被认为接受了本招标文件的规定和约束。</w:t>
      </w:r>
      <w:r>
        <w:rPr>
          <w:rFonts w:hint="eastAsia" w:ascii="宋体" w:hAnsi="宋体"/>
          <w:sz w:val="24"/>
          <w:szCs w:val="24"/>
          <w:highlight w:val="none"/>
        </w:rPr>
      </w:r>
      <w:r/>
    </w:p>
    <w:p>
      <w:pPr>
        <w:pStyle w:val="970"/>
        <w:spacing w:before="145" w:after="145" w:line="360" w:lineRule="auto"/>
        <w:rPr>
          <w:rFonts w:hint="eastAsia"/>
          <w:highlight w:val="none"/>
        </w:rPr>
      </w:pPr>
      <w:r/>
      <w:bookmarkStart w:id="68" w:name="_Toc120614215"/>
      <w:r/>
      <w:bookmarkStart w:id="69" w:name="_Toc513029209"/>
      <w:r/>
      <w:bookmarkStart w:id="70" w:name="_Toc16938525"/>
      <w:r/>
      <w:bookmarkStart w:id="71" w:name="_Toc20823281"/>
      <w:r>
        <w:rPr>
          <w:rFonts w:hint="eastAsia"/>
          <w:highlight w:val="none"/>
        </w:rPr>
        <w:t xml:space="preserve">二、招标文件</w:t>
      </w:r>
      <w:bookmarkEnd w:id="68"/>
      <w:r/>
      <w:bookmarkEnd w:id="69"/>
      <w:r/>
      <w:bookmarkEnd w:id="70"/>
      <w:r/>
      <w:bookmarkEnd w:id="71"/>
      <w:r>
        <w:rPr>
          <w:rFonts w:hint="eastAsia"/>
          <w:highlight w:val="none"/>
        </w:rPr>
      </w:r>
      <w:r/>
    </w:p>
    <w:p>
      <w:pPr>
        <w:pStyle w:val="971"/>
        <w:spacing w:before="0" w:after="0" w:line="240" w:lineRule="auto"/>
        <w:rPr>
          <w:rFonts w:hint="eastAsia"/>
          <w:b w:val="0"/>
          <w:bCs w:val="0"/>
          <w:highlight w:val="none"/>
        </w:rPr>
      </w:pPr>
      <w:r/>
      <w:bookmarkStart w:id="72" w:name="_Toc16938526"/>
      <w:r/>
      <w:bookmarkStart w:id="73" w:name="_Toc513029210"/>
      <w:r/>
      <w:bookmarkStart w:id="74" w:name="_Toc20823282"/>
      <w:r>
        <w:rPr>
          <w:rFonts w:hint="eastAsia"/>
          <w:b w:val="0"/>
          <w:bCs w:val="0"/>
          <w:highlight w:val="none"/>
        </w:rPr>
        <w:t xml:space="preserve">6、招标文件构成</w:t>
      </w:r>
      <w:bookmarkEnd w:id="72"/>
      <w:r/>
      <w:bookmarkEnd w:id="73"/>
      <w:r/>
      <w:bookmarkEnd w:id="74"/>
      <w:r>
        <w:rPr>
          <w:rFonts w:hint="eastAsia"/>
          <w:b w:val="0"/>
          <w:bCs w:val="0"/>
          <w:highlight w:val="none"/>
        </w:rPr>
      </w:r>
      <w:r/>
    </w:p>
    <w:p>
      <w:pPr>
        <w:pStyle w:val="967"/>
        <w:ind w:firstLine="480"/>
        <w:spacing w:line="500" w:lineRule="exact"/>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 招标文件由以下部分组成：</w:t>
      </w:r>
      <w:r>
        <w:rPr>
          <w:rFonts w:hint="eastAsia" w:ascii="宋体" w:hAnsi="宋体"/>
          <w:sz w:val="24"/>
          <w:highlight w:val="none"/>
        </w:rPr>
      </w:r>
      <w:r/>
    </w:p>
    <w:p>
      <w:pPr>
        <w:pStyle w:val="967"/>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rPr>
          <w:rFonts w:hint="eastAsia" w:ascii="宋体" w:hAnsi="宋体"/>
          <w:sz w:val="24"/>
          <w:szCs w:val="24"/>
          <w:highlight w:val="none"/>
        </w:rPr>
      </w:r>
      <w:r/>
    </w:p>
    <w:p>
      <w:pPr>
        <w:pStyle w:val="967"/>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（2）投标人须知</w:t>
      </w:r>
      <w:r>
        <w:rPr>
          <w:rFonts w:hint="eastAsia" w:ascii="宋体" w:hAnsi="宋体"/>
          <w:sz w:val="24"/>
          <w:szCs w:val="24"/>
          <w:highlight w:val="none"/>
        </w:rPr>
      </w:r>
      <w:r/>
    </w:p>
    <w:p>
      <w:pPr>
        <w:pStyle w:val="967"/>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（3）合同文本</w:t>
      </w:r>
      <w:r>
        <w:rPr>
          <w:rFonts w:hint="eastAsia" w:ascii="宋体" w:hAnsi="宋体"/>
          <w:sz w:val="24"/>
          <w:szCs w:val="24"/>
          <w:highlight w:val="none"/>
        </w:rPr>
      </w:r>
      <w:r/>
    </w:p>
    <w:p>
      <w:pPr>
        <w:pStyle w:val="967"/>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（4）采购需求</w:t>
      </w:r>
      <w:r>
        <w:rPr>
          <w:rFonts w:hint="eastAsia" w:ascii="宋体" w:hAnsi="宋体"/>
          <w:sz w:val="24"/>
          <w:szCs w:val="24"/>
          <w:highlight w:val="none"/>
        </w:rPr>
      </w:r>
      <w:r/>
    </w:p>
    <w:p>
      <w:pPr>
        <w:pStyle w:val="967"/>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（5）评标方法与评标标准</w:t>
      </w:r>
      <w:r>
        <w:rPr>
          <w:rFonts w:hint="eastAsia" w:ascii="宋体" w:hAnsi="宋体"/>
          <w:sz w:val="24"/>
          <w:szCs w:val="24"/>
          <w:highlight w:val="none"/>
        </w:rPr>
      </w:r>
      <w:r/>
    </w:p>
    <w:p>
      <w:pPr>
        <w:pStyle w:val="967"/>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（6）投标文件格式</w:t>
      </w:r>
      <w:r>
        <w:rPr>
          <w:rFonts w:hint="eastAsia" w:ascii="宋体" w:hAnsi="宋体"/>
          <w:sz w:val="24"/>
          <w:szCs w:val="24"/>
          <w:highlight w:val="none"/>
        </w:rPr>
      </w:r>
      <w:r/>
    </w:p>
    <w:p>
      <w:pPr>
        <w:pStyle w:val="967"/>
        <w:ind w:firstLine="480"/>
        <w:spacing w:line="500" w:lineRule="exact"/>
        <w:rPr>
          <w:rFonts w:hint="eastAsia" w:ascii="宋体" w:hAnsi="宋体"/>
          <w:sz w:val="24"/>
          <w:highlight w:val="none"/>
        </w:rPr>
      </w:pPr>
      <w:r>
        <w:rPr>
          <w:rFonts w:hint="eastAsia" w:ascii="宋体" w:hAnsi="宋体"/>
          <w:sz w:val="24"/>
          <w:highlight w:val="none"/>
        </w:rPr>
        <w:t xml:space="preserve">请仔细检查招标文件是否齐全，如有缺漏请立即与采购代理机构联系解决。</w:t>
      </w:r>
      <w:r>
        <w:rPr>
          <w:rFonts w:hint="eastAsia" w:ascii="宋体" w:hAnsi="宋体"/>
          <w:sz w:val="24"/>
          <w:highlight w:val="none"/>
        </w:rPr>
      </w:r>
      <w:r/>
    </w:p>
    <w:p>
      <w:pPr>
        <w:pStyle w:val="967"/>
        <w:ind w:firstLine="480"/>
        <w:spacing w:line="500" w:lineRule="exact"/>
        <w:rPr>
          <w:rFonts w:hint="eastAsia" w:ascii="宋体" w:hAnsi="宋体"/>
          <w:sz w:val="24"/>
          <w:highlight w:val="none"/>
        </w:rPr>
      </w:pPr>
      <w:r>
        <w:rPr>
          <w:rFonts w:hint="eastAsia" w:ascii="宋体" w:hAnsi="宋体"/>
          <w:bCs/>
          <w:sz w:val="24"/>
          <w:highlight w:val="none"/>
        </w:rPr>
        <w:t xml:space="preserve">6.2</w:t>
      </w:r>
      <w:r>
        <w:rPr>
          <w:rFonts w:hint="eastAsia" w:ascii="宋体" w:hAnsi="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highlight w:val="none"/>
        </w:rPr>
      </w:r>
      <w:r/>
    </w:p>
    <w:p>
      <w:pPr>
        <w:pStyle w:val="971"/>
        <w:spacing w:before="0" w:after="0" w:line="240" w:lineRule="auto"/>
        <w:rPr>
          <w:rFonts w:hint="eastAsia"/>
          <w:b w:val="0"/>
          <w:bCs w:val="0"/>
          <w:highlight w:val="none"/>
        </w:rPr>
      </w:pPr>
      <w:r/>
      <w:bookmarkStart w:id="75" w:name="_Toc20823283"/>
      <w:r/>
      <w:bookmarkStart w:id="76" w:name="_Toc16938527"/>
      <w:r/>
      <w:bookmarkStart w:id="77" w:name="_Toc462564070"/>
      <w:r/>
      <w:bookmarkStart w:id="78" w:name="_Toc513029211"/>
      <w:r>
        <w:rPr>
          <w:rFonts w:hint="eastAsia"/>
          <w:b w:val="0"/>
          <w:bCs w:val="0"/>
          <w:highlight w:val="none"/>
        </w:rPr>
        <w:t xml:space="preserve">7、招标文件的澄清</w:t>
      </w:r>
      <w:bookmarkEnd w:id="75"/>
      <w:r/>
      <w:bookmarkEnd w:id="76"/>
      <w:r/>
      <w:bookmarkEnd w:id="77"/>
      <w:r/>
      <w:bookmarkEnd w:id="78"/>
      <w:r>
        <w:rPr>
          <w:rFonts w:hint="eastAsia"/>
          <w:b w:val="0"/>
          <w:bCs w:val="0"/>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highlight w:val="none"/>
        </w:rPr>
        <w:t xml:space="preserve"> 任何要求对招标文件进行澄清的投标人，应在投标截止期</w:t>
      </w:r>
      <w:r>
        <w:rPr>
          <w:rFonts w:hint="eastAsia" w:ascii="方正仿宋_GB2312" w:hAnsi="方正仿宋_GB2312"/>
          <w:b/>
          <w:sz w:val="24"/>
          <w:szCs w:val="24"/>
          <w:highlight w:val="none"/>
        </w:rPr>
        <w:t xml:space="preserve">十日</w:t>
      </w:r>
      <w:r>
        <w:rPr>
          <w:rFonts w:hint="eastAsia" w:ascii="方正仿宋_GB2312" w:hAnsi="方正仿宋_GB2312"/>
          <w:sz w:val="24"/>
          <w:szCs w:val="24"/>
          <w:highlight w:val="none"/>
        </w:rPr>
        <w:t xml:space="preserve">前</w:t>
      </w:r>
      <w:r>
        <w:rPr>
          <w:rFonts w:hint="eastAsia" w:ascii="宋体" w:hAnsi="宋体"/>
          <w:sz w:val="24"/>
          <w:highlight w:val="none"/>
        </w:rPr>
        <w:t xml:space="preserve">按招标公告中的通讯地址，以书面形式通知采购代理机构。采购人有权对发出的招标文件进行必要的澄清或修改。</w:t>
      </w:r>
      <w:r>
        <w:rPr>
          <w:rFonts w:hint="eastAsia" w:ascii="宋体" w:hAnsi="宋体"/>
          <w:sz w:val="24"/>
          <w:szCs w:val="24"/>
          <w:highlight w:val="none"/>
        </w:rPr>
      </w:r>
      <w:r/>
    </w:p>
    <w:p>
      <w:pPr>
        <w:pStyle w:val="971"/>
        <w:spacing w:before="0" w:after="0" w:line="240" w:lineRule="auto"/>
        <w:rPr>
          <w:rFonts w:hint="eastAsia"/>
          <w:b w:val="0"/>
          <w:bCs w:val="0"/>
          <w:highlight w:val="none"/>
        </w:rPr>
      </w:pPr>
      <w:r/>
      <w:bookmarkStart w:id="79" w:name="_Toc20823284"/>
      <w:r/>
      <w:bookmarkStart w:id="80" w:name="_Toc513029212"/>
      <w:r/>
      <w:bookmarkStart w:id="81" w:name="_Toc462564071"/>
      <w:r/>
      <w:bookmarkStart w:id="82" w:name="_Toc16938528"/>
      <w:r>
        <w:rPr>
          <w:rFonts w:hint="eastAsia"/>
          <w:b w:val="0"/>
          <w:bCs w:val="0"/>
          <w:highlight w:val="none"/>
        </w:rPr>
        <w:t xml:space="preserve">8、招标文件的修改</w:t>
      </w:r>
      <w:bookmarkEnd w:id="79"/>
      <w:r/>
      <w:bookmarkEnd w:id="80"/>
      <w:r/>
      <w:bookmarkEnd w:id="81"/>
      <w:r/>
      <w:bookmarkEnd w:id="82"/>
      <w:r>
        <w:rPr>
          <w:rFonts w:hint="eastAsia"/>
          <w:b w:val="0"/>
          <w:bCs w:val="0"/>
          <w:highlight w:val="none"/>
        </w:rPr>
      </w:r>
      <w:r/>
    </w:p>
    <w:p>
      <w:pPr>
        <w:pStyle w:val="967"/>
        <w:ind w:firstLine="480"/>
        <w:spacing w:line="500" w:lineRule="exact"/>
        <w:rPr>
          <w:rFonts w:hint="eastAsia" w:ascii="宋体" w:hAnsi="宋体"/>
          <w:sz w:val="24"/>
          <w:highlight w:val="none"/>
        </w:rPr>
      </w:pPr>
      <w:r>
        <w:rPr>
          <w:rFonts w:hint="eastAsia" w:ascii="宋体" w:hAnsi="宋体"/>
          <w:bCs/>
          <w:sz w:val="24"/>
          <w:highlight w:val="none"/>
        </w:rPr>
        <w:t xml:space="preserve">8.1</w:t>
      </w:r>
      <w:r>
        <w:rPr>
          <w:rFonts w:hint="eastAsia" w:ascii="宋体" w:hAnsi="宋体"/>
          <w:sz w:val="24"/>
          <w:highlight w:val="none"/>
        </w:rPr>
        <w:t xml:space="preserve"> 在投标截止时间</w:t>
      </w:r>
      <w:r>
        <w:rPr>
          <w:rFonts w:hint="eastAsia" w:ascii="方正仿宋_GB2312" w:hAnsi="方正仿宋_GB2312"/>
          <w:sz w:val="24"/>
          <w:highlight w:val="none"/>
        </w:rPr>
        <w:t xml:space="preserve">前</w:t>
      </w:r>
      <w:r>
        <w:rPr>
          <w:rFonts w:hint="eastAsia" w:ascii="宋体" w:hAnsi="宋体"/>
          <w:sz w:val="24"/>
          <w:highlight w:val="none"/>
        </w:rPr>
        <w:t xml:space="preserve">，采购代理机构可以对招标文件进行修改。</w:t>
      </w:r>
      <w:r>
        <w:rPr>
          <w:rFonts w:hint="eastAsia" w:ascii="宋体" w:hAnsi="宋体"/>
          <w:sz w:val="24"/>
          <w:highlight w:val="none"/>
        </w:rPr>
      </w:r>
      <w:r/>
    </w:p>
    <w:p>
      <w:pPr>
        <w:pStyle w:val="967"/>
        <w:ind w:firstLine="480"/>
        <w:spacing w:line="500" w:lineRule="exact"/>
        <w:rPr>
          <w:rFonts w:hint="eastAsia" w:ascii="宋体" w:hAnsi="Arial"/>
          <w:sz w:val="28"/>
          <w:highlight w:val="none"/>
        </w:rPr>
      </w:pPr>
      <w:r>
        <w:rPr>
          <w:rFonts w:hint="eastAsia" w:ascii="宋体" w:hAnsi="宋体"/>
          <w:bCs/>
          <w:sz w:val="24"/>
          <w:highlight w:val="none"/>
        </w:rPr>
        <w:t xml:space="preserve">8.2 </w:t>
      </w:r>
      <w:r>
        <w:rPr>
          <w:rFonts w:hint="eastAsia" w:ascii="宋体" w:hAnsi="宋体"/>
          <w:sz w:val="24"/>
          <w:highlight w:val="none"/>
        </w:rPr>
        <w:t xml:space="preserve">采购代理机构</w:t>
      </w:r>
      <w:r>
        <w:rPr>
          <w:rFonts w:hint="eastAsia" w:ascii="宋体" w:hAnsi="宋体"/>
          <w:sz w:val="24"/>
          <w:szCs w:val="24"/>
          <w:highlight w:val="none"/>
        </w:rPr>
        <w:t xml:space="preserve">有权按照法定的要求</w:t>
      </w:r>
      <w:r>
        <w:rPr>
          <w:rFonts w:hint="eastAsia" w:ascii="宋体" w:hAnsi="宋体"/>
          <w:sz w:val="24"/>
          <w:highlight w:val="none"/>
        </w:rPr>
        <w:t xml:space="preserve">推迟投标截止日期和开标日期。</w:t>
      </w:r>
      <w:r>
        <w:rPr>
          <w:rFonts w:hint="eastAsia" w:ascii="宋体" w:hAnsi="Arial"/>
          <w:sz w:val="28"/>
          <w:highlight w:val="none"/>
        </w:rPr>
      </w:r>
      <w:r/>
    </w:p>
    <w:p>
      <w:pPr>
        <w:pStyle w:val="967"/>
        <w:ind w:firstLine="480"/>
        <w:spacing w:line="500" w:lineRule="exact"/>
        <w:rPr>
          <w:rFonts w:hint="eastAsia" w:ascii="宋体" w:hAnsi="宋体"/>
          <w:sz w:val="24"/>
          <w:highlight w:val="none"/>
        </w:rPr>
      </w:pPr>
      <w:r>
        <w:rPr>
          <w:rFonts w:hint="eastAsia" w:ascii="宋体" w:hAnsi="宋体"/>
          <w:bCs/>
          <w:sz w:val="24"/>
          <w:highlight w:val="none"/>
        </w:rPr>
        <w:t xml:space="preserve">8.3 </w:t>
      </w:r>
      <w:r>
        <w:rPr>
          <w:rFonts w:hint="eastAsia" w:ascii="宋体" w:hAnsi="宋体"/>
          <w:sz w:val="24"/>
          <w:highlight w:val="none"/>
        </w:rPr>
        <w:t xml:space="preserve">招标文件的修改将在江苏政府采购网公布，</w:t>
      </w:r>
      <w:r>
        <w:rPr>
          <w:rFonts w:hint="eastAsia" w:ascii="宋体" w:hAnsi="宋体"/>
          <w:sz w:val="24"/>
          <w:szCs w:val="24"/>
          <w:highlight w:val="none"/>
        </w:rPr>
        <w:t xml:space="preserve">补充文件将作为招标文件的组成部分，</w:t>
      </w:r>
      <w:r>
        <w:rPr>
          <w:rFonts w:hint="eastAsia" w:ascii="宋体" w:hAnsi="宋体"/>
          <w:sz w:val="24"/>
          <w:highlight w:val="none"/>
        </w:rPr>
        <w:t xml:space="preserve">并对投标人具有约束力。</w:t>
      </w:r>
      <w:r>
        <w:rPr>
          <w:rFonts w:hint="eastAsia" w:ascii="宋体" w:hAnsi="宋体"/>
          <w:sz w:val="24"/>
          <w:highlight w:val="none"/>
        </w:rPr>
      </w:r>
      <w:r/>
    </w:p>
    <w:p>
      <w:pPr>
        <w:pStyle w:val="967"/>
        <w:contextualSpacing/>
        <w:ind w:firstLine="480"/>
        <w:spacing w:line="360" w:lineRule="auto"/>
        <w:rPr>
          <w:rFonts w:ascii="宋体" w:hAnsi="宋体" w:cs="宋体"/>
          <w:b/>
          <w:bCs/>
          <w:sz w:val="24"/>
          <w:szCs w:val="24"/>
          <w:highlight w:val="none"/>
          <w:u w:val="single"/>
        </w:rPr>
      </w:pPr>
      <w:r>
        <w:rPr>
          <w:rFonts w:hint="eastAsia" w:ascii="宋体" w:hAnsi="宋体" w:cs="宋体"/>
          <w:b/>
          <w:bCs/>
          <w:sz w:val="24"/>
          <w:szCs w:val="24"/>
          <w:highlight w:val="none"/>
          <w:u w:val="single"/>
        </w:rPr>
        <w:t xml:space="preserve">8.4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rPr>
          <w:rFonts w:ascii="宋体" w:hAnsi="宋体" w:cs="宋体"/>
          <w:b/>
          <w:bCs/>
          <w:sz w:val="24"/>
          <w:szCs w:val="24"/>
          <w:highlight w:val="none"/>
          <w:u w:val="single"/>
        </w:rPr>
      </w:r>
      <w:r/>
    </w:p>
    <w:p>
      <w:pPr>
        <w:pStyle w:val="970"/>
        <w:spacing w:before="145" w:after="145" w:line="360" w:lineRule="auto"/>
        <w:rPr>
          <w:rFonts w:hint="eastAsia"/>
          <w:highlight w:val="none"/>
        </w:rPr>
      </w:pPr>
      <w:r/>
      <w:bookmarkStart w:id="83" w:name="_Toc16938529"/>
      <w:r/>
      <w:bookmarkStart w:id="84" w:name="_Toc120614216"/>
      <w:r/>
      <w:bookmarkStart w:id="85" w:name="_Toc20823285"/>
      <w:r/>
      <w:bookmarkStart w:id="86" w:name="_Toc462564072"/>
      <w:r/>
      <w:bookmarkStart w:id="87" w:name="_Toc513029213"/>
      <w:r>
        <w:rPr>
          <w:rFonts w:hint="eastAsia"/>
          <w:highlight w:val="none"/>
        </w:rPr>
        <w:t xml:space="preserve">三、投标文件的编制</w:t>
      </w:r>
      <w:bookmarkEnd w:id="83"/>
      <w:r/>
      <w:bookmarkEnd w:id="84"/>
      <w:r/>
      <w:bookmarkEnd w:id="85"/>
      <w:r/>
      <w:bookmarkEnd w:id="86"/>
      <w:r/>
      <w:bookmarkEnd w:id="87"/>
      <w:r>
        <w:rPr>
          <w:rFonts w:hint="eastAsia"/>
          <w:highlight w:val="none"/>
        </w:rPr>
      </w:r>
      <w:r/>
    </w:p>
    <w:p>
      <w:pPr>
        <w:pStyle w:val="971"/>
        <w:spacing w:before="0" w:after="0" w:line="240" w:lineRule="auto"/>
        <w:rPr>
          <w:rFonts w:hint="eastAsia"/>
          <w:bCs w:val="0"/>
          <w:highlight w:val="none"/>
        </w:rPr>
      </w:pPr>
      <w:r/>
      <w:bookmarkStart w:id="88" w:name="_Toc462564073"/>
      <w:r/>
      <w:bookmarkStart w:id="89" w:name="_Toc513029214"/>
      <w:r/>
      <w:bookmarkStart w:id="90" w:name="_Toc20823286"/>
      <w:r/>
      <w:bookmarkStart w:id="91" w:name="_Toc16938530"/>
      <w:r>
        <w:rPr>
          <w:rFonts w:hint="eastAsia"/>
          <w:b w:val="0"/>
          <w:bCs w:val="0"/>
          <w:highlight w:val="none"/>
        </w:rPr>
        <w:t xml:space="preserve">9、投标文件的语言及度量衡单位</w:t>
      </w:r>
      <w:bookmarkEnd w:id="88"/>
      <w:r/>
      <w:bookmarkEnd w:id="89"/>
      <w:r/>
      <w:bookmarkEnd w:id="90"/>
      <w:r/>
      <w:bookmarkEnd w:id="91"/>
      <w:r>
        <w:rPr>
          <w:rFonts w:hint="eastAsia"/>
          <w:bCs w:val="0"/>
          <w:highlight w:val="none"/>
        </w:rPr>
      </w:r>
      <w:r/>
    </w:p>
    <w:p>
      <w:pPr>
        <w:pStyle w:val="967"/>
        <w:ind w:firstLine="480"/>
        <w:spacing w:line="500" w:lineRule="exact"/>
        <w:rPr>
          <w:rFonts w:hint="eastAsia"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 投标人提交的投标文件以及投标人与采购代理机构就有关投标的所有来往通知、函件和文件均应使用</w:t>
      </w:r>
      <w:r>
        <w:rPr>
          <w:rFonts w:hint="eastAsia" w:ascii="宋体" w:hAnsi="宋体"/>
          <w:b/>
          <w:bCs/>
          <w:sz w:val="24"/>
          <w:highlight w:val="none"/>
        </w:rPr>
        <w:t xml:space="preserve">简体中文</w:t>
      </w:r>
      <w:r>
        <w:rPr>
          <w:rFonts w:hint="eastAsia" w:ascii="宋体" w:hAnsi="宋体"/>
          <w:sz w:val="24"/>
          <w:highlight w:val="none"/>
        </w:rPr>
        <w:t xml:space="preserve">。</w:t>
      </w:r>
      <w:r>
        <w:rPr>
          <w:rFonts w:hint="eastAsia" w:ascii="宋体" w:hAnsi="宋体"/>
          <w:sz w:val="24"/>
          <w:highlight w:val="none"/>
        </w:rPr>
      </w:r>
      <w:r/>
    </w:p>
    <w:p>
      <w:pPr>
        <w:pStyle w:val="967"/>
        <w:ind w:firstLine="480"/>
        <w:spacing w:line="500" w:lineRule="exact"/>
        <w:rPr>
          <w:rFonts w:hint="eastAsia"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 除技术性能另有规定外，投标文件所使用的度量衡单位，均须采用国家法定计量单位。</w:t>
      </w:r>
      <w:r>
        <w:rPr>
          <w:rFonts w:hint="eastAsia" w:ascii="宋体" w:hAnsi="宋体"/>
          <w:sz w:val="24"/>
          <w:highlight w:val="none"/>
        </w:rPr>
      </w:r>
      <w:r/>
    </w:p>
    <w:p>
      <w:pPr>
        <w:pStyle w:val="971"/>
        <w:spacing w:before="0" w:after="0" w:line="240" w:lineRule="auto"/>
        <w:rPr>
          <w:rFonts w:hint="eastAsia"/>
          <w:b w:val="0"/>
          <w:bCs w:val="0"/>
          <w:highlight w:val="none"/>
        </w:rPr>
      </w:pPr>
      <w:r/>
      <w:bookmarkStart w:id="92" w:name="_Toc20823287"/>
      <w:r/>
      <w:bookmarkStart w:id="93" w:name="_Toc16938531"/>
      <w:r/>
      <w:bookmarkStart w:id="94" w:name="_Toc513029215"/>
      <w:r/>
      <w:bookmarkStart w:id="95" w:name="_Toc462564074"/>
      <w:r>
        <w:rPr>
          <w:rFonts w:hint="eastAsia"/>
          <w:b w:val="0"/>
          <w:bCs w:val="0"/>
          <w:highlight w:val="none"/>
        </w:rPr>
        <w:t xml:space="preserve">10、投标文件构成</w:t>
      </w:r>
      <w:bookmarkEnd w:id="92"/>
      <w:r/>
      <w:bookmarkEnd w:id="93"/>
      <w:r/>
      <w:bookmarkEnd w:id="94"/>
      <w:r/>
      <w:bookmarkEnd w:id="95"/>
      <w:r>
        <w:rPr>
          <w:rFonts w:hint="eastAsia"/>
          <w:b w:val="0"/>
          <w:bCs w:val="0"/>
          <w:highlight w:val="none"/>
        </w:rPr>
      </w:r>
      <w:r/>
    </w:p>
    <w:p>
      <w:pPr>
        <w:pStyle w:val="967"/>
        <w:ind w:firstLine="480"/>
        <w:spacing w:line="440" w:lineRule="exact"/>
        <w:rPr>
          <w:rFonts w:hint="eastAsia" w:ascii="宋体" w:hAnsi="宋体"/>
          <w:sz w:val="24"/>
          <w:highlight w:val="none"/>
        </w:rPr>
      </w:pPr>
      <w:r>
        <w:rPr>
          <w:rFonts w:hint="eastAsia" w:ascii="宋体" w:hAnsi="宋体"/>
          <w:bCs/>
          <w:sz w:val="24"/>
          <w:highlight w:val="none"/>
        </w:rPr>
        <w:t xml:space="preserve">10.1</w:t>
      </w:r>
      <w:r>
        <w:rPr>
          <w:rFonts w:hint="eastAsia" w:ascii="宋体" w:hAnsi="宋体"/>
          <w:sz w:val="24"/>
          <w:highlight w:val="none"/>
        </w:rPr>
        <w:t xml:space="preserve"> 投标人编写的投标文件应包括</w:t>
      </w:r>
      <w:r>
        <w:rPr>
          <w:rFonts w:hint="eastAsia" w:ascii="宋体" w:hAnsi="宋体"/>
          <w:sz w:val="24"/>
          <w:highlight w:val="none"/>
          <w:u w:val="single"/>
        </w:rPr>
        <w:t xml:space="preserve">资格证明文件</w:t>
      </w:r>
      <w:r>
        <w:rPr>
          <w:rFonts w:hint="eastAsia" w:ascii="宋体" w:hAnsi="宋体"/>
          <w:sz w:val="24"/>
          <w:highlight w:val="none"/>
        </w:rPr>
        <w:t xml:space="preserve">、</w:t>
      </w:r>
      <w:r>
        <w:rPr>
          <w:rFonts w:hint="eastAsia" w:ascii="宋体" w:hAnsi="宋体"/>
          <w:sz w:val="24"/>
          <w:highlight w:val="none"/>
          <w:u w:val="single"/>
        </w:rPr>
        <w:t xml:space="preserve">符合性证明文件</w:t>
      </w:r>
      <w:r>
        <w:rPr>
          <w:rFonts w:hint="eastAsia" w:ascii="宋体" w:hAnsi="宋体"/>
          <w:sz w:val="24"/>
          <w:highlight w:val="none"/>
        </w:rPr>
        <w:t xml:space="preserve">、</w:t>
      </w:r>
      <w:r>
        <w:rPr>
          <w:rFonts w:hint="eastAsia" w:ascii="宋体" w:hAnsi="宋体"/>
          <w:sz w:val="24"/>
          <w:highlight w:val="none"/>
          <w:u w:val="single"/>
        </w:rPr>
        <w:t xml:space="preserve">投标分项报价表</w:t>
      </w:r>
      <w:r>
        <w:rPr>
          <w:rFonts w:hint="eastAsia" w:ascii="宋体" w:hAnsi="宋体"/>
          <w:sz w:val="24"/>
          <w:highlight w:val="none"/>
        </w:rPr>
        <w:t xml:space="preserve">、</w:t>
      </w:r>
      <w:r>
        <w:rPr>
          <w:rFonts w:hint="eastAsia" w:ascii="宋体" w:hAnsi="宋体"/>
          <w:sz w:val="24"/>
          <w:highlight w:val="none"/>
          <w:u w:val="single"/>
        </w:rPr>
        <w:t xml:space="preserve">技术要求响应及偏离表</w:t>
      </w:r>
      <w:r>
        <w:rPr>
          <w:rFonts w:hint="eastAsia" w:ascii="宋体" w:hAnsi="宋体"/>
          <w:sz w:val="24"/>
          <w:highlight w:val="none"/>
        </w:rPr>
        <w:t xml:space="preserve">、</w:t>
      </w:r>
      <w:r>
        <w:rPr>
          <w:rFonts w:hint="eastAsia" w:ascii="宋体" w:hAnsi="宋体"/>
          <w:sz w:val="24"/>
          <w:highlight w:val="none"/>
          <w:u w:val="single"/>
        </w:rPr>
        <w:t xml:space="preserve">商务要求响应及偏离表</w:t>
      </w:r>
      <w:r>
        <w:rPr>
          <w:rFonts w:hint="eastAsia" w:ascii="宋体" w:hAnsi="宋体"/>
          <w:sz w:val="24"/>
          <w:highlight w:val="none"/>
        </w:rPr>
        <w:t xml:space="preserve">、</w:t>
      </w:r>
      <w:r>
        <w:rPr>
          <w:rFonts w:hint="eastAsia" w:ascii="宋体" w:hAnsi="宋体"/>
          <w:sz w:val="24"/>
          <w:highlight w:val="none"/>
          <w:u w:val="single"/>
        </w:rPr>
        <w:t xml:space="preserve">其他证明文件</w:t>
      </w:r>
      <w:r>
        <w:rPr>
          <w:rFonts w:hint="eastAsia" w:ascii="宋体" w:hAnsi="宋体"/>
          <w:sz w:val="24"/>
          <w:highlight w:val="none"/>
        </w:rPr>
        <w:t xml:space="preserve">、</w:t>
      </w:r>
      <w:r>
        <w:rPr>
          <w:rFonts w:hint="eastAsia" w:ascii="宋体" w:hAnsi="宋体"/>
          <w:sz w:val="24"/>
          <w:highlight w:val="none"/>
          <w:u w:val="single"/>
        </w:rPr>
        <w:t xml:space="preserve">投标函</w:t>
      </w:r>
      <w:r>
        <w:rPr>
          <w:rFonts w:hint="eastAsia" w:ascii="宋体" w:hAnsi="宋体"/>
          <w:sz w:val="24"/>
          <w:highlight w:val="none"/>
        </w:rPr>
        <w:t xml:space="preserve">、</w:t>
      </w:r>
      <w:r>
        <w:rPr>
          <w:rFonts w:hint="eastAsia" w:ascii="宋体" w:hAnsi="宋体"/>
          <w:sz w:val="24"/>
          <w:highlight w:val="none"/>
          <w:u w:val="single"/>
        </w:rPr>
        <w:t xml:space="preserve">开标一览表</w:t>
      </w:r>
      <w:r>
        <w:rPr>
          <w:rFonts w:hint="eastAsia" w:ascii="宋体" w:hAnsi="宋体"/>
          <w:sz w:val="24"/>
          <w:highlight w:val="none"/>
        </w:rPr>
        <w:t xml:space="preserve">等部分。</w:t>
      </w:r>
      <w:r>
        <w:rPr>
          <w:rFonts w:hint="eastAsia" w:ascii="宋体" w:hAnsi="宋体"/>
          <w:sz w:val="24"/>
          <w:highlight w:val="none"/>
        </w:rPr>
      </w:r>
      <w:r/>
    </w:p>
    <w:p>
      <w:pPr>
        <w:pStyle w:val="967"/>
        <w:ind w:firstLine="480"/>
        <w:spacing w:line="440" w:lineRule="exact"/>
        <w:rPr>
          <w:rFonts w:hint="eastAsia" w:ascii="宋体" w:hAnsi="宋体"/>
          <w:sz w:val="24"/>
          <w:highlight w:val="none"/>
        </w:rPr>
      </w:pPr>
      <w:r>
        <w:rPr>
          <w:rFonts w:hint="eastAsia" w:ascii="宋体" w:hAnsi="宋体"/>
          <w:sz w:val="24"/>
          <w:highlight w:val="none"/>
        </w:rPr>
        <w:t xml:space="preserve">10.2 如标书制作工具中格式和内容与“江苏政府采购网”发布的招标文件不一致，请以“江苏政府采购网”发布的招标文件为准。</w:t>
      </w:r>
      <w:r>
        <w:rPr>
          <w:rFonts w:hint="eastAsia" w:ascii="宋体" w:hAnsi="宋体"/>
          <w:sz w:val="24"/>
          <w:highlight w:val="none"/>
        </w:rPr>
      </w:r>
      <w:r/>
    </w:p>
    <w:p>
      <w:pPr>
        <w:pStyle w:val="971"/>
        <w:spacing w:before="0" w:after="0" w:line="240" w:lineRule="auto"/>
        <w:rPr>
          <w:rFonts w:hint="eastAsia"/>
          <w:b w:val="0"/>
          <w:bCs w:val="0"/>
          <w:highlight w:val="none"/>
        </w:rPr>
      </w:pPr>
      <w:r/>
      <w:bookmarkStart w:id="96" w:name="_Hlt26670360"/>
      <w:r/>
      <w:bookmarkEnd w:id="96"/>
      <w:r/>
      <w:bookmarkStart w:id="97" w:name="_Hlt26954838"/>
      <w:r/>
      <w:bookmarkEnd w:id="97"/>
      <w:r/>
      <w:bookmarkStart w:id="98" w:name="_Hlt26668975"/>
      <w:r/>
      <w:bookmarkEnd w:id="98"/>
      <w:r/>
      <w:bookmarkStart w:id="99" w:name="_Toc14577357"/>
      <w:r/>
      <w:bookmarkStart w:id="100" w:name="_Toc513029219"/>
      <w:r/>
      <w:bookmarkStart w:id="101" w:name="_Toc49090509"/>
      <w:r/>
      <w:bookmarkStart w:id="102" w:name="_Toc14577354"/>
      <w:r/>
      <w:bookmarkStart w:id="103" w:name="_Toc513029216"/>
      <w:r/>
      <w:bookmarkStart w:id="104" w:name="_Toc49090507"/>
      <w:r>
        <w:rPr>
          <w:rFonts w:hint="eastAsia"/>
          <w:b w:val="0"/>
          <w:bCs w:val="0"/>
          <w:highlight w:val="none"/>
        </w:rPr>
        <w:t xml:space="preserve">11、证明投标人及投标标的符合招标文件规定的文件</w:t>
      </w:r>
      <w:bookmarkEnd w:id="99"/>
      <w:r/>
      <w:bookmarkEnd w:id="100"/>
      <w:r/>
      <w:bookmarkEnd w:id="101"/>
      <w:r>
        <w:rPr>
          <w:rFonts w:hint="eastAsia"/>
          <w:b w:val="0"/>
          <w:bCs w:val="0"/>
          <w:highlight w:val="none"/>
        </w:rPr>
      </w:r>
      <w:r/>
    </w:p>
    <w:p>
      <w:pPr>
        <w:pStyle w:val="967"/>
        <w:spacing w:line="480" w:lineRule="exact"/>
        <w:rPr>
          <w:rFonts w:hint="eastAsia" w:ascii="宋体" w:hAnsi="宋体"/>
          <w:sz w:val="24"/>
          <w:szCs w:val="24"/>
          <w:highlight w:val="none"/>
        </w:rPr>
      </w:pPr>
      <w:r/>
      <w:bookmarkEnd w:id="102"/>
      <w:r/>
      <w:bookmarkEnd w:id="103"/>
      <w:r/>
      <w:bookmarkEnd w:id="104"/>
      <w:r/>
      <w:bookmarkStart w:id="105" w:name="_Toc14577355"/>
      <w:r/>
      <w:bookmarkStart w:id="106" w:name="_Toc49090508"/>
      <w:r>
        <w:rPr>
          <w:rFonts w:hint="eastAsia" w:ascii="宋体" w:hAnsi="宋体"/>
          <w:sz w:val="24"/>
          <w:szCs w:val="24"/>
          <w:highlight w:val="none"/>
        </w:rPr>
        <w:t xml:space="preserve">    11.1 投标人应按照法律、法规、规章和规范性文件以及招标文件要求提交证明文件，证明其及投标标的符合招标文件规定。</w:t>
      </w:r>
      <w:r>
        <w:rPr>
          <w:rFonts w:hint="eastAsia"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rPr>
          <w:rFonts w:hint="eastAsia" w:ascii="宋体" w:hAnsi="宋体"/>
          <w:sz w:val="24"/>
          <w:szCs w:val="24"/>
          <w:highlight w:val="none"/>
        </w:rPr>
      </w:r>
      <w:r/>
    </w:p>
    <w:p>
      <w:pPr>
        <w:pStyle w:val="971"/>
        <w:spacing w:before="0" w:after="0" w:line="240" w:lineRule="auto"/>
        <w:rPr>
          <w:rFonts w:hint="eastAsia"/>
          <w:b w:val="0"/>
          <w:bCs w:val="0"/>
          <w:highlight w:val="none"/>
        </w:rPr>
      </w:pPr>
      <w:r>
        <w:rPr>
          <w:rFonts w:hint="eastAsia"/>
          <w:b w:val="0"/>
          <w:bCs w:val="0"/>
          <w:highlight w:val="none"/>
        </w:rPr>
        <w:t xml:space="preserve">12、投标分项报价</w:t>
      </w:r>
      <w:bookmarkEnd w:id="105"/>
      <w:r/>
      <w:bookmarkStart w:id="107" w:name="_Hlt26670373"/>
      <w:r/>
      <w:bookmarkEnd w:id="107"/>
      <w:r>
        <w:rPr>
          <w:rFonts w:hint="eastAsia"/>
          <w:b w:val="0"/>
          <w:bCs w:val="0"/>
          <w:highlight w:val="none"/>
        </w:rPr>
        <w:t xml:space="preserve">表</w:t>
      </w:r>
      <w:bookmarkEnd w:id="106"/>
      <w:r>
        <w:rPr>
          <w:rFonts w:hint="eastAsia"/>
          <w:b w:val="0"/>
          <w:bCs w:val="0"/>
          <w:highlight w:val="none"/>
        </w:rPr>
      </w:r>
      <w:r/>
    </w:p>
    <w:p>
      <w:pPr>
        <w:pStyle w:val="967"/>
        <w:ind w:firstLine="480"/>
        <w:spacing w:line="500" w:lineRule="exact"/>
        <w:rPr>
          <w:rFonts w:hint="eastAsia" w:ascii="宋体" w:hAnsi="宋体"/>
          <w:bCs/>
          <w:sz w:val="24"/>
          <w:highlight w:val="none"/>
        </w:rPr>
      </w:pPr>
      <w:r>
        <w:rPr>
          <w:rFonts w:hint="eastAsia" w:ascii="宋体" w:hAnsi="宋体"/>
          <w:bCs/>
          <w:sz w:val="24"/>
          <w:highlight w:val="none"/>
        </w:rPr>
        <w:t xml:space="preserve">12.1</w:t>
      </w:r>
      <w:r>
        <w:rPr>
          <w:rFonts w:hint="eastAsia" w:ascii="宋体" w:hAnsi="宋体"/>
          <w:sz w:val="24"/>
          <w:highlight w:val="none"/>
        </w:rPr>
        <w:t xml:space="preserve"> 投标人应按照招标文件规定格式填报投标分项报价表</w:t>
      </w:r>
      <w:bookmarkStart w:id="108" w:name="_Hlt26670399"/>
      <w:r/>
      <w:bookmarkEnd w:id="108"/>
      <w:r>
        <w:rPr>
          <w:rFonts w:hint="eastAsia" w:ascii="宋体" w:hAnsi="宋体"/>
          <w:sz w:val="24"/>
          <w:highlight w:val="none"/>
        </w:rPr>
        <w:t xml:space="preserve">。</w:t>
      </w:r>
      <w:r>
        <w:rPr>
          <w:rFonts w:hint="eastAsia" w:ascii="宋体" w:hAnsi="宋体"/>
          <w:bCs/>
          <w:sz w:val="24"/>
          <w:highlight w:val="none"/>
        </w:rPr>
      </w:r>
      <w:r/>
    </w:p>
    <w:p>
      <w:pPr>
        <w:pStyle w:val="967"/>
        <w:ind w:firstLine="480"/>
        <w:spacing w:line="500" w:lineRule="exact"/>
        <w:rPr>
          <w:rFonts w:hint="eastAsia" w:ascii="宋体" w:hAnsi="宋体"/>
          <w:bCs/>
          <w:sz w:val="24"/>
          <w:highlight w:val="none"/>
        </w:rPr>
      </w:pPr>
      <w:r>
        <w:rPr>
          <w:rFonts w:hint="eastAsia" w:ascii="宋体" w:hAnsi="宋体"/>
          <w:sz w:val="24"/>
          <w:highlight w:val="none"/>
        </w:rPr>
        <w:t xml:space="preserve">12.2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rPr>
          <w:rFonts w:hint="eastAsia" w:ascii="宋体" w:hAnsi="宋体"/>
          <w:bCs/>
          <w:sz w:val="24"/>
          <w:highlight w:val="none"/>
        </w:rPr>
      </w:r>
      <w:r/>
    </w:p>
    <w:p>
      <w:pPr>
        <w:pStyle w:val="971"/>
        <w:spacing w:before="0" w:after="0" w:line="240" w:lineRule="auto"/>
        <w:rPr>
          <w:rFonts w:hint="eastAsia"/>
          <w:b w:val="0"/>
          <w:bCs w:val="0"/>
          <w:highlight w:val="none"/>
        </w:rPr>
      </w:pPr>
      <w:r/>
      <w:bookmarkStart w:id="109" w:name="_Hlt26954842"/>
      <w:r/>
      <w:bookmarkEnd w:id="109"/>
      <w:r/>
      <w:bookmarkStart w:id="110" w:name="_Hlt26670425"/>
      <w:r/>
      <w:bookmarkEnd w:id="110"/>
      <w:r/>
      <w:bookmarkStart w:id="111" w:name="_Hlt26670403"/>
      <w:r/>
      <w:bookmarkEnd w:id="111"/>
      <w:r/>
      <w:bookmarkStart w:id="112" w:name="_Hlt26668983"/>
      <w:r/>
      <w:bookmarkEnd w:id="112"/>
      <w:r/>
      <w:bookmarkStart w:id="113" w:name="_Hlt26954844"/>
      <w:r/>
      <w:bookmarkEnd w:id="113"/>
      <w:r/>
      <w:bookmarkStart w:id="114" w:name="_Hlt26954731"/>
      <w:r/>
      <w:bookmarkEnd w:id="114"/>
      <w:r/>
      <w:bookmarkStart w:id="115" w:name="_Hlt26670482"/>
      <w:r/>
      <w:bookmarkEnd w:id="115"/>
      <w:r/>
      <w:bookmarkStart w:id="116" w:name="_Hlt26954848"/>
      <w:r/>
      <w:bookmarkEnd w:id="116"/>
      <w:r/>
      <w:bookmarkStart w:id="117" w:name="_Hlt26670486"/>
      <w:r/>
      <w:bookmarkEnd w:id="117"/>
      <w:r/>
      <w:bookmarkStart w:id="118" w:name="_Hlt26954846"/>
      <w:r/>
      <w:bookmarkEnd w:id="118"/>
      <w:r>
        <w:rPr>
          <w:rFonts w:hint="eastAsia"/>
          <w:b w:val="0"/>
          <w:bCs w:val="0"/>
          <w:highlight w:val="none"/>
        </w:rPr>
        <w:t xml:space="preserve">13、技术要求响应及偏离表、商务要求响应及偏离表</w:t>
      </w:r>
      <w:r>
        <w:rPr>
          <w:rFonts w:hint="eastAsia"/>
          <w:b w:val="0"/>
          <w:bCs w:val="0"/>
          <w:highlight w:val="none"/>
        </w:rPr>
      </w:r>
      <w:r/>
    </w:p>
    <w:p>
      <w:pPr>
        <w:pStyle w:val="967"/>
        <w:ind w:firstLine="480"/>
        <w:spacing w:line="500" w:lineRule="exact"/>
        <w:rPr>
          <w:rFonts w:hint="eastAsia" w:ascii="宋体" w:hAnsi="Arial" w:cs="宋体"/>
          <w:sz w:val="24"/>
          <w:highlight w:val="none"/>
          <w:lang w:val="zh-CN"/>
        </w:rPr>
      </w:pPr>
      <w:r>
        <w:rPr>
          <w:rFonts w:ascii="宋体" w:hAnsi="Arial" w:cs="宋体"/>
          <w:bCs/>
          <w:sz w:val="24"/>
          <w:highlight w:val="none"/>
          <w:lang w:val="zh-CN"/>
        </w:rPr>
        <w:t xml:space="preserve">1</w:t>
      </w:r>
      <w:r>
        <w:rPr>
          <w:rFonts w:hint="eastAsia" w:ascii="宋体" w:hAnsi="Arial" w:cs="宋体"/>
          <w:bCs/>
          <w:sz w:val="24"/>
          <w:highlight w:val="none"/>
          <w:lang w:val="zh-CN"/>
        </w:rPr>
        <w:t xml:space="preserve">3</w:t>
      </w:r>
      <w:r>
        <w:rPr>
          <w:rFonts w:ascii="宋体" w:hAnsi="Arial" w:cs="宋体"/>
          <w:bCs/>
          <w:sz w:val="24"/>
          <w:highlight w:val="none"/>
          <w:lang w:val="zh-CN"/>
        </w:rPr>
        <w:t xml:space="preserve">.1</w:t>
      </w:r>
      <w:r>
        <w:rPr>
          <w:rFonts w:ascii="宋体" w:hAnsi="Arial" w:cs="宋体"/>
          <w:sz w:val="24"/>
          <w:highlight w:val="none"/>
          <w:lang w:val="zh-CN"/>
        </w:rPr>
        <w:t xml:space="preserve"> </w:t>
      </w:r>
      <w:r>
        <w:rPr>
          <w:rFonts w:hint="eastAsia" w:ascii="宋体" w:hAnsi="Arial" w:cs="宋体"/>
          <w:sz w:val="24"/>
          <w:highlight w:val="none"/>
          <w:lang w:val="zh-CN"/>
        </w:rPr>
        <w:t xml:space="preserve">投标人需对招标文件中的技术要求与商务要求逐项作出响应或偏离，并说明原因。</w:t>
      </w:r>
      <w:r>
        <w:rPr>
          <w:rFonts w:hint="eastAsia" w:ascii="宋体" w:hAnsi="Arial" w:cs="宋体"/>
          <w:sz w:val="24"/>
          <w:highlight w:val="none"/>
          <w:lang w:val="zh-CN"/>
        </w:rPr>
      </w:r>
      <w:r/>
    </w:p>
    <w:p>
      <w:pPr>
        <w:pStyle w:val="967"/>
        <w:ind w:firstLine="480"/>
        <w:spacing w:line="500" w:lineRule="exact"/>
        <w:tabs>
          <w:tab w:val="left" w:pos="1035" w:leader="none"/>
        </w:tabs>
        <w:rPr>
          <w:rFonts w:ascii="宋体" w:hAnsi="Arial" w:cs="宋体"/>
          <w:sz w:val="24"/>
          <w:highlight w:val="none"/>
          <w:lang w:val="zh-CN"/>
        </w:rPr>
      </w:pPr>
      <w:r>
        <w:rPr>
          <w:rFonts w:hint="eastAsia" w:ascii="宋体" w:hAnsi="Arial" w:cs="宋体"/>
          <w:sz w:val="24"/>
          <w:highlight w:val="none"/>
          <w:lang w:val="zh-CN"/>
        </w:rPr>
        <w:t xml:space="preserve">13.2 投标人可在投标文件中提供认为需要的其他技术文件或说明。</w:t>
      </w:r>
      <w:r>
        <w:rPr>
          <w:rFonts w:ascii="宋体" w:hAnsi="Arial" w:cs="宋体"/>
          <w:sz w:val="24"/>
          <w:highlight w:val="none"/>
          <w:lang w:val="zh-CN"/>
        </w:rPr>
      </w:r>
      <w:r/>
    </w:p>
    <w:p>
      <w:pPr>
        <w:pStyle w:val="971"/>
        <w:spacing w:before="0" w:after="0" w:line="240" w:lineRule="auto"/>
        <w:rPr>
          <w:rFonts w:hint="eastAsia"/>
          <w:b w:val="0"/>
          <w:bCs w:val="0"/>
          <w:highlight w:val="none"/>
        </w:rPr>
      </w:pPr>
      <w:r/>
      <w:bookmarkStart w:id="119" w:name="_Toc49090510"/>
      <w:r/>
      <w:bookmarkStart w:id="120" w:name="_Toc14577359"/>
      <w:r>
        <w:rPr>
          <w:rFonts w:hint="eastAsia"/>
          <w:b w:val="0"/>
          <w:bCs w:val="0"/>
          <w:highlight w:val="none"/>
        </w:rPr>
        <w:t xml:space="preserve">14、投标函和开标一览表</w:t>
      </w:r>
      <w:r>
        <w:rPr>
          <w:rFonts w:hint="eastAsia"/>
          <w:b w:val="0"/>
          <w:bCs w:val="0"/>
          <w:highlight w:val="none"/>
        </w:rPr>
      </w:r>
      <w:r/>
    </w:p>
    <w:p>
      <w:pPr>
        <w:pStyle w:val="967"/>
        <w:ind w:firstLine="480"/>
        <w:spacing w:line="500" w:lineRule="exact"/>
        <w:rPr>
          <w:rFonts w:hint="eastAsia" w:ascii="宋体" w:hAnsi="宋体"/>
          <w:sz w:val="24"/>
          <w:highlight w:val="none"/>
        </w:rPr>
      </w:pPr>
      <w:r>
        <w:rPr>
          <w:rFonts w:hint="eastAsia" w:ascii="宋体" w:hAnsi="宋体"/>
          <w:bCs/>
          <w:sz w:val="24"/>
          <w:highlight w:val="none"/>
        </w:rPr>
        <w:t xml:space="preserve">14.1</w:t>
      </w:r>
      <w:r>
        <w:rPr>
          <w:rFonts w:hint="eastAsia" w:ascii="宋体" w:hAnsi="宋体"/>
          <w:sz w:val="24"/>
          <w:highlight w:val="none"/>
        </w:rPr>
        <w:t xml:space="preserve"> 投标人应按照招标文件中提供的格式完整、正确填写投标函、开标一览表。</w:t>
      </w:r>
      <w:r>
        <w:rPr>
          <w:rFonts w:hint="eastAsia" w:ascii="宋体" w:hAnsi="宋体"/>
          <w:sz w:val="24"/>
          <w:highlight w:val="none"/>
        </w:rPr>
      </w:r>
      <w:r/>
    </w:p>
    <w:p>
      <w:pPr>
        <w:pStyle w:val="967"/>
        <w:ind w:firstLine="480"/>
        <w:spacing w:line="500" w:lineRule="exact"/>
        <w:rPr>
          <w:rFonts w:hint="eastAsia" w:ascii="宋体" w:hAnsi="宋体"/>
          <w:sz w:val="24"/>
          <w:highlight w:val="none"/>
        </w:rPr>
      </w:pPr>
      <w:r>
        <w:rPr>
          <w:rFonts w:hint="eastAsia" w:ascii="宋体" w:hAnsi="宋体"/>
          <w:bCs/>
          <w:sz w:val="24"/>
          <w:highlight w:val="none"/>
        </w:rPr>
        <w:t xml:space="preserve">14.2</w:t>
      </w:r>
      <w:r>
        <w:rPr>
          <w:rFonts w:hint="eastAsia" w:ascii="宋体" w:hAnsi="宋体"/>
          <w:sz w:val="24"/>
          <w:highlight w:val="none"/>
        </w:rPr>
        <w:t xml:space="preserve"> 对于采用货币报价的项目，</w:t>
      </w:r>
      <w:r>
        <w:rPr>
          <w:rFonts w:hint="eastAsia" w:ascii="宋体" w:hAnsi="宋体"/>
          <w:bCs/>
          <w:sz w:val="24"/>
          <w:highlight w:val="none"/>
        </w:rPr>
        <w:t xml:space="preserve">开标一览表中的投标总报价应与投标分项报价表中的投标总报价一致，如不一致，</w:t>
      </w:r>
      <w:r>
        <w:rPr>
          <w:rFonts w:hint="eastAsia" w:ascii="宋体" w:hAnsi="宋体"/>
          <w:sz w:val="24"/>
          <w:szCs w:val="24"/>
          <w:highlight w:val="none"/>
        </w:rPr>
        <w:t xml:space="preserve">不作为无效投标处理</w:t>
      </w:r>
      <w:r>
        <w:rPr>
          <w:rFonts w:hint="eastAsia" w:ascii="宋体" w:hAnsi="宋体"/>
          <w:bCs/>
          <w:sz w:val="24"/>
          <w:highlight w:val="none"/>
        </w:rPr>
        <w:t xml:space="preserve">，但评标时按开标一览表中价格为准</w:t>
      </w:r>
      <w:r>
        <w:rPr>
          <w:rFonts w:hint="eastAsia" w:ascii="宋体" w:hAnsi="宋体"/>
          <w:b/>
          <w:bCs/>
          <w:sz w:val="24"/>
          <w:highlight w:val="none"/>
        </w:rPr>
        <w:t xml:space="preserve">。</w:t>
      </w:r>
      <w:r>
        <w:rPr>
          <w:rFonts w:hint="eastAsia" w:ascii="宋体" w:hAnsi="宋体"/>
          <w:sz w:val="24"/>
          <w:highlight w:val="none"/>
        </w:rPr>
      </w:r>
      <w:r/>
    </w:p>
    <w:p>
      <w:pPr>
        <w:pStyle w:val="971"/>
        <w:spacing w:before="0" w:after="0" w:line="240" w:lineRule="auto"/>
        <w:rPr>
          <w:rFonts w:hint="eastAsia"/>
          <w:b w:val="0"/>
          <w:bCs w:val="0"/>
          <w:highlight w:val="none"/>
        </w:rPr>
      </w:pPr>
      <w:r/>
      <w:bookmarkEnd w:id="119"/>
      <w:r/>
      <w:bookmarkEnd w:id="120"/>
      <w:r/>
      <w:bookmarkStart w:id="121" w:name="_Hlt26954850"/>
      <w:r/>
      <w:bookmarkEnd w:id="121"/>
      <w:r/>
      <w:bookmarkStart w:id="122" w:name="_Hlt26670489"/>
      <w:r/>
      <w:bookmarkEnd w:id="122"/>
      <w:r/>
      <w:bookmarkStart w:id="123" w:name="_Hlt26954734"/>
      <w:r/>
      <w:bookmarkEnd w:id="123"/>
      <w:r/>
      <w:bookmarkStart w:id="124" w:name="_Toc14577360"/>
      <w:r/>
      <w:bookmarkStart w:id="125" w:name="_Toc49090511"/>
      <w:r>
        <w:rPr>
          <w:rFonts w:hint="eastAsia"/>
          <w:b w:val="0"/>
          <w:bCs w:val="0"/>
          <w:highlight w:val="none"/>
        </w:rPr>
        <w:t xml:space="preserve">15、投标有效期</w:t>
      </w:r>
      <w:bookmarkEnd w:id="124"/>
      <w:r/>
      <w:bookmarkEnd w:id="125"/>
      <w:r>
        <w:rPr>
          <w:rFonts w:hint="eastAsia"/>
          <w:b w:val="0"/>
          <w:bCs w:val="0"/>
          <w:highlight w:val="none"/>
        </w:rPr>
      </w:r>
      <w:r/>
    </w:p>
    <w:p>
      <w:pPr>
        <w:pStyle w:val="967"/>
        <w:ind w:firstLine="480"/>
        <w:spacing w:line="500" w:lineRule="exact"/>
        <w:rPr>
          <w:rFonts w:hint="eastAsia"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rPr>
        <w:t xml:space="preserve"> 投标有效期为采购代理机构规定的开标之日后</w:t>
      </w:r>
      <w:r>
        <w:rPr>
          <w:rFonts w:hint="eastAsia" w:ascii="方正仿宋_GB2312" w:hAnsi="方正仿宋_GB2312"/>
          <w:b/>
          <w:sz w:val="24"/>
          <w:highlight w:val="none"/>
          <w:u w:val="single"/>
        </w:rPr>
        <w:t xml:space="preserve">六十（60）天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rPr>
          <w:rFonts w:hint="eastAsia" w:ascii="宋体" w:hAnsi="宋体"/>
          <w:bCs/>
          <w:sz w:val="24"/>
          <w:highlight w:val="none"/>
        </w:rPr>
      </w:r>
      <w:r/>
    </w:p>
    <w:p>
      <w:pPr>
        <w:pStyle w:val="971"/>
        <w:spacing w:before="0" w:after="0" w:line="240" w:lineRule="auto"/>
        <w:rPr>
          <w:rFonts w:hint="eastAsia"/>
          <w:b w:val="0"/>
          <w:bCs w:val="0"/>
          <w:highlight w:val="none"/>
        </w:rPr>
      </w:pPr>
      <w:r>
        <w:rPr>
          <w:rFonts w:hint="eastAsia"/>
          <w:b w:val="0"/>
          <w:bCs w:val="0"/>
          <w:highlight w:val="none"/>
        </w:rPr>
        <w:t xml:space="preserve">16、投标有效期的延长</w:t>
      </w:r>
      <w:r>
        <w:rPr>
          <w:rFonts w:hint="eastAsia"/>
          <w:b w:val="0"/>
          <w:bCs w:val="0"/>
          <w:highlight w:val="none"/>
        </w:rPr>
      </w:r>
      <w:r/>
    </w:p>
    <w:p>
      <w:pPr>
        <w:pStyle w:val="967"/>
        <w:ind w:firstLine="480"/>
        <w:spacing w:line="500" w:lineRule="exact"/>
        <w:rPr>
          <w:rFonts w:hint="eastAsia"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rPr>
          <w:rFonts w:hint="eastAsia" w:ascii="宋体" w:hAnsi="宋体"/>
          <w:bCs/>
          <w:sz w:val="24"/>
          <w:highlight w:val="none"/>
        </w:rPr>
      </w:r>
      <w:r/>
    </w:p>
    <w:p>
      <w:pPr>
        <w:pStyle w:val="970"/>
        <w:spacing w:before="145" w:after="145" w:line="360" w:lineRule="auto"/>
        <w:rPr>
          <w:rFonts w:hint="eastAsia"/>
          <w:highlight w:val="none"/>
        </w:rPr>
      </w:pPr>
      <w:r/>
      <w:bookmarkStart w:id="126" w:name="_Hlt26954852"/>
      <w:r/>
      <w:bookmarkEnd w:id="126"/>
      <w:r/>
      <w:bookmarkStart w:id="127" w:name="_Hlt26954739"/>
      <w:r/>
      <w:bookmarkEnd w:id="127"/>
      <w:r/>
      <w:bookmarkStart w:id="128" w:name="_Toc20823296"/>
      <w:r/>
      <w:bookmarkStart w:id="129" w:name="_Toc120614217"/>
      <w:r/>
      <w:bookmarkStart w:id="130" w:name="_Toc16938540"/>
      <w:r/>
      <w:bookmarkStart w:id="131" w:name="_Toc513029224"/>
      <w:r>
        <w:rPr>
          <w:rFonts w:hint="eastAsia"/>
          <w:highlight w:val="none"/>
        </w:rPr>
        <w:t xml:space="preserve">四、投标文件的递交</w:t>
      </w:r>
      <w:bookmarkEnd w:id="128"/>
      <w:r/>
      <w:bookmarkEnd w:id="129"/>
      <w:r/>
      <w:bookmarkEnd w:id="130"/>
      <w:r/>
      <w:bookmarkEnd w:id="131"/>
      <w:r>
        <w:rPr>
          <w:rFonts w:hint="eastAsia"/>
          <w:highlight w:val="none"/>
        </w:rPr>
      </w:r>
      <w:r/>
    </w:p>
    <w:p>
      <w:pPr>
        <w:pStyle w:val="971"/>
        <w:spacing w:before="0" w:after="0" w:line="240" w:lineRule="auto"/>
        <w:rPr>
          <w:rFonts w:hint="eastAsia" w:ascii="黑体"/>
          <w:b w:val="0"/>
          <w:bCs w:val="0"/>
          <w:highlight w:val="none"/>
        </w:rPr>
      </w:pPr>
      <w:r/>
      <w:bookmarkStart w:id="132" w:name="_Toc513029225"/>
      <w:r/>
      <w:bookmarkStart w:id="133" w:name="_Toc462564084"/>
      <w:r/>
      <w:bookmarkStart w:id="134" w:name="_Toc16938541"/>
      <w:r/>
      <w:bookmarkStart w:id="135" w:name="_Toc20823297"/>
      <w:r>
        <w:rPr>
          <w:rFonts w:hint="eastAsia"/>
          <w:b w:val="0"/>
          <w:bCs w:val="0"/>
          <w:highlight w:val="none"/>
        </w:rPr>
        <w:t xml:space="preserve">17、</w:t>
      </w:r>
      <w:r>
        <w:rPr>
          <w:rFonts w:hint="eastAsia" w:ascii="黑体"/>
          <w:b w:val="0"/>
          <w:bCs w:val="0"/>
          <w:highlight w:val="none"/>
        </w:rPr>
        <w:t xml:space="preserve">投标文件</w:t>
      </w:r>
      <w:bookmarkEnd w:id="132"/>
      <w:r/>
      <w:bookmarkEnd w:id="133"/>
      <w:r/>
      <w:bookmarkEnd w:id="134"/>
      <w:r/>
      <w:bookmarkEnd w:id="135"/>
      <w:r>
        <w:rPr>
          <w:rFonts w:hint="eastAsia" w:ascii="黑体"/>
          <w:b w:val="0"/>
          <w:bCs w:val="0"/>
          <w:highlight w:val="none"/>
        </w:rPr>
        <w:t xml:space="preserve">的递交</w:t>
      </w:r>
      <w:r>
        <w:rPr>
          <w:rFonts w:hint="eastAsia" w:ascii="黑体"/>
          <w:b w:val="0"/>
          <w:bCs w:val="0"/>
          <w:highlight w:val="none"/>
        </w:rPr>
      </w:r>
      <w:r/>
    </w:p>
    <w:p>
      <w:pPr>
        <w:pStyle w:val="967"/>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17.1 电子投标文件的递交</w:t>
      </w:r>
      <w:r>
        <w:rPr>
          <w:rFonts w:hint="eastAsia" w:ascii="宋体" w:hAnsi="宋体"/>
          <w:sz w:val="24"/>
          <w:szCs w:val="24"/>
          <w:highlight w:val="none"/>
        </w:rPr>
      </w:r>
      <w:r/>
    </w:p>
    <w:p>
      <w:pPr>
        <w:pStyle w:val="967"/>
        <w:ind w:firstLine="480"/>
        <w:spacing w:line="500" w:lineRule="exact"/>
        <w:rPr>
          <w:rFonts w:hint="eastAsia" w:ascii="宋体" w:hAnsi="宋体"/>
          <w:sz w:val="24"/>
          <w:szCs w:val="24"/>
          <w:highlight w:val="none"/>
        </w:rPr>
      </w:pPr>
      <w:r/>
      <w:bookmarkStart w:id="136" w:name="_Toc513029226"/>
      <w:r/>
      <w:bookmarkStart w:id="137" w:name="_Toc16938542"/>
      <w:r/>
      <w:bookmarkStart w:id="138" w:name="_Toc20823298"/>
      <w:r>
        <w:rPr>
          <w:rFonts w:hint="eastAsia" w:ascii="宋体" w:hAnsi="宋体"/>
          <w:sz w:val="24"/>
          <w:szCs w:val="24"/>
          <w:highlight w:val="none"/>
        </w:rPr>
        <w:t xml:space="preserve">线上提交与接收地点：投标人应当通过“苏采云”系统提交数据电文形式的投标文件（即电子投标），“苏采云”系统自动接收。</w:t>
      </w:r>
      <w:r>
        <w:rPr>
          <w:rFonts w:hint="eastAsia" w:ascii="宋体" w:hAnsi="宋体"/>
          <w:sz w:val="24"/>
          <w:szCs w:val="24"/>
          <w:highlight w:val="none"/>
        </w:rPr>
      </w:r>
      <w:r/>
    </w:p>
    <w:p>
      <w:pPr>
        <w:pStyle w:val="967"/>
        <w:contextualSpacing/>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说明：电子投标文件应由其法定代表人或被授权人在规定的网上投标时间内，凭CA证书登录“苏采云”系统在线编制投标文件（电子数据），通过“苏采云”系统提交政府采购客户端工具导出加密的投标文件（后缀名为zip）。响应文件不得超过150M!并在投标截止时间之前上传投标文件。投标人应在达到开标时间后，使用CA数字证书解密各自投标文件。</w:t>
      </w:r>
      <w:r>
        <w:rPr>
          <w:rFonts w:hint="eastAsia" w:ascii="宋体" w:hAnsi="宋体" w:cs="宋体"/>
          <w:b/>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17.2.投标文件的密封（加密）要求：</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投标人须通过“苏采云”系统提供的政府采购客户端工具（使用“CA数字证书”）加盖电子签章。</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说明：投标人应在用CA数字证书以及自备的能够登录“苏采云”系统的电脑，在达到开标时间后，使用CA数字证书解密各自投标文件。</w:t>
      </w:r>
      <w:r>
        <w:rPr>
          <w:rFonts w:ascii="宋体" w:hAnsi="宋体" w:cs="宋体"/>
          <w:bCs/>
          <w:sz w:val="24"/>
          <w:szCs w:val="24"/>
          <w:highlight w:val="none"/>
        </w:rPr>
      </w:r>
      <w:r/>
    </w:p>
    <w:p>
      <w:pPr>
        <w:pStyle w:val="967"/>
        <w:contextualSpacing/>
        <w:ind w:firstLine="482"/>
        <w:spacing w:line="360" w:lineRule="auto"/>
        <w:rPr>
          <w:highlight w:val="none"/>
        </w:rPr>
      </w:pPr>
      <w:r>
        <w:rPr>
          <w:rFonts w:hint="eastAsia" w:ascii="宋体" w:hAnsi="宋体" w:cs="宋体"/>
          <w:bCs/>
          <w:sz w:val="24"/>
          <w:szCs w:val="24"/>
          <w:highlight w:val="none"/>
        </w:rPr>
        <w:t xml:space="preserve">投标人未按规定加密的投标文件，“苏采云”系统将拒收并提示。</w:t>
      </w:r>
      <w:r>
        <w:rPr>
          <w:highlight w:val="none"/>
        </w:rPr>
      </w:r>
      <w:r/>
    </w:p>
    <w:p>
      <w:pPr>
        <w:pStyle w:val="971"/>
        <w:rPr>
          <w:rFonts w:hint="eastAsia"/>
          <w:b w:val="0"/>
          <w:highlight w:val="none"/>
        </w:rPr>
      </w:pPr>
      <w:r>
        <w:rPr>
          <w:rFonts w:hint="eastAsia"/>
          <w:b w:val="0"/>
          <w:highlight w:val="none"/>
        </w:rPr>
        <w:t xml:space="preserve">18、投标截止</w:t>
      </w:r>
      <w:bookmarkEnd w:id="136"/>
      <w:r/>
      <w:bookmarkEnd w:id="137"/>
      <w:r/>
      <w:bookmarkEnd w:id="138"/>
      <w:r>
        <w:rPr>
          <w:rFonts w:hint="eastAsia"/>
          <w:b w:val="0"/>
          <w:highlight w:val="none"/>
        </w:rPr>
        <w:t xml:space="preserve">时间</w:t>
      </w:r>
      <w:r>
        <w:rPr>
          <w:rFonts w:hint="eastAsia"/>
          <w:b w:val="0"/>
          <w:highlight w:val="none"/>
        </w:rPr>
      </w:r>
      <w:r/>
    </w:p>
    <w:p>
      <w:pPr>
        <w:pStyle w:val="967"/>
        <w:ind w:firstLine="480"/>
        <w:spacing w:line="500" w:lineRule="exact"/>
        <w:rPr>
          <w:rFonts w:hint="eastAsia" w:ascii="宋体" w:hAnsi="宋体"/>
          <w:bCs/>
          <w:i/>
          <w:sz w:val="24"/>
          <w:highlight w:val="none"/>
          <w:u w:val="single"/>
        </w:rPr>
      </w:pPr>
      <w:r>
        <w:rPr>
          <w:rFonts w:hint="eastAsia" w:ascii="宋体" w:hAnsi="宋体"/>
          <w:i/>
          <w:sz w:val="24"/>
          <w:highlight w:val="none"/>
          <w:u w:val="single"/>
        </w:rPr>
        <w:t xml:space="preserve">18.1</w:t>
      </w:r>
      <w:r>
        <w:rPr>
          <w:rFonts w:hint="eastAsia" w:ascii="宋体" w:hAnsi="宋体"/>
          <w:bCs/>
          <w:i/>
          <w:sz w:val="24"/>
          <w:highlight w:val="none"/>
          <w:u w:val="single"/>
        </w:rPr>
        <w:t xml:space="preserve"> 投标人上传电子投标文件的时间不得迟于招标公告中规定的投标截止时间。</w:t>
      </w:r>
      <w:r>
        <w:rPr>
          <w:rFonts w:hint="eastAsia" w:ascii="宋体" w:hAnsi="宋体"/>
          <w:bCs/>
          <w:i/>
          <w:sz w:val="24"/>
          <w:highlight w:val="none"/>
          <w:u w:val="single"/>
        </w:rPr>
      </w:r>
      <w:r/>
    </w:p>
    <w:p>
      <w:pPr>
        <w:pStyle w:val="967"/>
        <w:ind w:firstLine="480"/>
        <w:spacing w:line="500" w:lineRule="exact"/>
        <w:rPr>
          <w:rFonts w:hint="eastAsia"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bCs/>
          <w:sz w:val="24"/>
          <w:highlight w:val="none"/>
        </w:rPr>
      </w:r>
      <w:r/>
    </w:p>
    <w:p>
      <w:pPr>
        <w:pStyle w:val="967"/>
        <w:ind w:firstLine="480"/>
        <w:spacing w:line="500" w:lineRule="exact"/>
        <w:rPr>
          <w:rFonts w:hint="eastAsia" w:ascii="宋体" w:hAnsi="宋体"/>
          <w:bCs/>
          <w:sz w:val="24"/>
          <w:highlight w:val="none"/>
        </w:rPr>
      </w:pPr>
      <w:r>
        <w:rPr>
          <w:rFonts w:hint="eastAsia" w:ascii="宋体" w:hAnsi="宋体"/>
          <w:sz w:val="24"/>
          <w:highlight w:val="none"/>
        </w:rPr>
        <w:t xml:space="preserve">18.2</w:t>
      </w:r>
      <w:r>
        <w:rPr>
          <w:rFonts w:hint="eastAsia" w:ascii="宋体" w:hAnsi="宋体"/>
          <w:bCs/>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rPr>
          <w:rFonts w:hint="eastAsia" w:ascii="宋体" w:hAnsi="宋体"/>
          <w:bCs/>
          <w:sz w:val="24"/>
          <w:highlight w:val="none"/>
        </w:rPr>
      </w:r>
      <w:r/>
    </w:p>
    <w:p>
      <w:pPr>
        <w:pStyle w:val="971"/>
        <w:spacing w:before="0" w:after="0" w:line="240" w:lineRule="auto"/>
        <w:rPr>
          <w:rFonts w:hint="eastAsia"/>
          <w:b w:val="0"/>
          <w:bCs w:val="0"/>
          <w:highlight w:val="none"/>
        </w:rPr>
      </w:pPr>
      <w:r/>
      <w:bookmarkStart w:id="139" w:name="_Toc16938543"/>
      <w:r/>
      <w:bookmarkStart w:id="140" w:name="_Toc20823299"/>
      <w:r/>
      <w:bookmarkStart w:id="141" w:name="_Toc513029227"/>
      <w:r>
        <w:rPr>
          <w:rFonts w:hint="eastAsia"/>
          <w:b w:val="0"/>
          <w:bCs w:val="0"/>
          <w:highlight w:val="none"/>
        </w:rPr>
        <w:t xml:space="preserve">19、投标文件</w:t>
      </w:r>
      <w:bookmarkEnd w:id="139"/>
      <w:r/>
      <w:bookmarkEnd w:id="140"/>
      <w:r/>
      <w:bookmarkEnd w:id="141"/>
      <w:r>
        <w:rPr>
          <w:rFonts w:hint="eastAsia"/>
          <w:b w:val="0"/>
          <w:bCs w:val="0"/>
          <w:highlight w:val="none"/>
        </w:rPr>
        <w:t xml:space="preserve">的拒收</w:t>
      </w:r>
      <w:r>
        <w:rPr>
          <w:rFonts w:hint="eastAsia"/>
          <w:b w:val="0"/>
          <w:bCs w:val="0"/>
          <w:highlight w:val="none"/>
        </w:rPr>
      </w:r>
      <w:r/>
    </w:p>
    <w:p>
      <w:pPr>
        <w:pStyle w:val="967"/>
        <w:ind w:firstLine="480"/>
        <w:spacing w:line="500" w:lineRule="exact"/>
        <w:rPr>
          <w:rFonts w:hint="eastAsia" w:ascii="宋体" w:hAnsi="宋体"/>
          <w:bCs/>
          <w:sz w:val="24"/>
          <w:highlight w:val="none"/>
        </w:rPr>
      </w:pPr>
      <w:r>
        <w:rPr>
          <w:rFonts w:hint="eastAsia" w:ascii="宋体" w:hAnsi="宋体"/>
          <w:sz w:val="24"/>
          <w:highlight w:val="none"/>
        </w:rPr>
        <w:t xml:space="preserve">19.1</w:t>
      </w:r>
      <w:r>
        <w:rPr>
          <w:rFonts w:hint="eastAsia" w:ascii="宋体" w:hAnsi="宋体"/>
          <w:bCs/>
          <w:sz w:val="24"/>
          <w:highlight w:val="none"/>
        </w:rPr>
        <w:t xml:space="preserve">采购代理机构拒绝接收在其规定的投标截止时间后上传的任何投标文件。</w:t>
      </w:r>
      <w:r>
        <w:rPr>
          <w:rFonts w:hint="eastAsia" w:ascii="宋体" w:hAnsi="宋体"/>
          <w:bCs/>
          <w:sz w:val="24"/>
          <w:highlight w:val="none"/>
        </w:rPr>
      </w:r>
      <w:r/>
    </w:p>
    <w:p>
      <w:pPr>
        <w:pStyle w:val="971"/>
        <w:spacing w:before="0" w:after="0" w:line="240" w:lineRule="auto"/>
        <w:rPr>
          <w:rFonts w:hint="eastAsia"/>
          <w:b w:val="0"/>
          <w:bCs w:val="0"/>
          <w:highlight w:val="none"/>
        </w:rPr>
      </w:pPr>
      <w:r/>
      <w:bookmarkStart w:id="142" w:name="_Toc513029228"/>
      <w:r/>
      <w:bookmarkStart w:id="143" w:name="_Toc16938544"/>
      <w:r/>
      <w:bookmarkStart w:id="144" w:name="_Toc20823300"/>
      <w:r>
        <w:rPr>
          <w:rFonts w:hint="eastAsia"/>
          <w:b w:val="0"/>
          <w:bCs w:val="0"/>
          <w:highlight w:val="none"/>
        </w:rPr>
        <w:t xml:space="preserve">20、投标文件的撤回和修改</w:t>
      </w:r>
      <w:bookmarkEnd w:id="142"/>
      <w:r/>
      <w:bookmarkEnd w:id="143"/>
      <w:r/>
      <w:bookmarkEnd w:id="144"/>
      <w:r>
        <w:rPr>
          <w:rFonts w:hint="eastAsia"/>
          <w:b w:val="0"/>
          <w:bCs w:val="0"/>
          <w:highlight w:val="none"/>
        </w:rPr>
      </w:r>
      <w:r/>
    </w:p>
    <w:p>
      <w:pPr>
        <w:pStyle w:val="967"/>
        <w:ind w:firstLine="480"/>
        <w:spacing w:line="480" w:lineRule="exact"/>
        <w:rPr>
          <w:rFonts w:hint="eastAsia" w:ascii="宋体" w:hAnsi="宋体"/>
          <w:sz w:val="24"/>
          <w:highlight w:val="none"/>
        </w:rPr>
      </w:pPr>
      <w:r>
        <w:rPr>
          <w:rFonts w:hint="eastAsia" w:ascii="宋体" w:hAnsi="宋体"/>
          <w:sz w:val="24"/>
          <w:highlight w:val="none"/>
        </w:rPr>
        <w:t xml:space="preserve">20.1 投标文件的撤回</w:t>
      </w:r>
      <w:r>
        <w:rPr>
          <w:rFonts w:hint="eastAsia" w:ascii="宋体" w:hAnsi="宋体"/>
          <w:sz w:val="24"/>
          <w:highlight w:val="none"/>
        </w:rPr>
      </w:r>
      <w:r/>
    </w:p>
    <w:p>
      <w:pPr>
        <w:pStyle w:val="967"/>
        <w:ind w:firstLine="480"/>
        <w:spacing w:line="480" w:lineRule="exact"/>
        <w:rPr>
          <w:rFonts w:hint="eastAsia" w:ascii="宋体" w:hAnsi="宋体"/>
          <w:sz w:val="24"/>
          <w:highlight w:val="none"/>
        </w:rPr>
      </w:pPr>
      <w:r>
        <w:rPr>
          <w:rFonts w:hint="eastAsia" w:ascii="宋体" w:hAnsi="宋体"/>
          <w:sz w:val="24"/>
          <w:highlight w:val="none"/>
        </w:rPr>
        <w:t xml:space="preserve">21.1.1 电子投标文件的撤回</w:t>
      </w:r>
      <w:r>
        <w:rPr>
          <w:rFonts w:hint="eastAsia" w:ascii="宋体" w:hAnsi="宋体"/>
          <w:sz w:val="24"/>
          <w:highlight w:val="none"/>
        </w:rPr>
      </w:r>
      <w:r/>
    </w:p>
    <w:p>
      <w:pPr>
        <w:pStyle w:val="967"/>
        <w:ind w:firstLine="480"/>
        <w:spacing w:line="480" w:lineRule="exact"/>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w:t>
      </w:r>
      <w:r>
        <w:rPr>
          <w:rFonts w:hint="eastAsia" w:ascii="宋体" w:hAnsi="宋体" w:cs="宋体"/>
          <w:bCs/>
          <w:sz w:val="24"/>
          <w:szCs w:val="24"/>
          <w:highlight w:val="none"/>
        </w:rPr>
        <w:t xml:space="preserve">“苏采云”系统供应商操作手册</w:t>
      </w:r>
      <w:r>
        <w:rPr>
          <w:rFonts w:hint="eastAsia" w:ascii="宋体" w:hAnsi="宋体"/>
          <w:sz w:val="24"/>
          <w:highlight w:val="none"/>
        </w:rPr>
        <w:t xml:space="preserve">。</w:t>
      </w:r>
      <w:r>
        <w:rPr>
          <w:rFonts w:hint="eastAsia" w:ascii="宋体" w:hAnsi="宋体"/>
          <w:sz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21.1.</w:t>
      </w:r>
      <w:r>
        <w:rPr>
          <w:rFonts w:ascii="宋体" w:hAnsi="宋体"/>
          <w:sz w:val="24"/>
          <w:szCs w:val="24"/>
          <w:highlight w:val="none"/>
        </w:rPr>
        <w:t xml:space="preserve">2</w:t>
      </w:r>
      <w:r>
        <w:rPr>
          <w:rFonts w:hint="eastAsia" w:ascii="宋体" w:hAnsi="宋体"/>
          <w:sz w:val="24"/>
          <w:szCs w:val="24"/>
          <w:highlight w:val="none"/>
        </w:rPr>
        <w:t xml:space="preserve"> 投标人撤回电子投标文件，则认为其不再参与本项目投标活动。</w:t>
      </w:r>
      <w:r>
        <w:rPr>
          <w:rFonts w:hint="eastAsia"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20.2 投标文件的修改</w:t>
      </w:r>
      <w:r>
        <w:rPr>
          <w:rFonts w:hint="eastAsia" w:ascii="宋体" w:hAnsi="宋体"/>
          <w:sz w:val="24"/>
          <w:szCs w:val="24"/>
          <w:highlight w:val="none"/>
        </w:rPr>
      </w:r>
      <w:r/>
    </w:p>
    <w:p>
      <w:pPr>
        <w:pStyle w:val="967"/>
        <w:ind w:firstLine="480"/>
        <w:spacing w:line="480" w:lineRule="exact"/>
        <w:rPr>
          <w:rFonts w:hint="eastAsia" w:ascii="宋体" w:hAnsi="宋体"/>
          <w:sz w:val="24"/>
          <w:highlight w:val="none"/>
        </w:rPr>
      </w:pPr>
      <w:r>
        <w:rPr>
          <w:rFonts w:hint="eastAsia" w:ascii="宋体" w:hAnsi="宋体"/>
          <w:sz w:val="24"/>
          <w:highlight w:val="none"/>
        </w:rPr>
        <w:t xml:space="preserve">20.2.1投标人可在投标截止时间前，对其电子投标文件进行修改，具体操作方法见</w:t>
      </w:r>
      <w:r>
        <w:rPr>
          <w:rFonts w:hint="eastAsia" w:ascii="宋体" w:hAnsi="宋体" w:cs="宋体"/>
          <w:bCs/>
          <w:sz w:val="24"/>
          <w:szCs w:val="24"/>
          <w:highlight w:val="none"/>
        </w:rPr>
        <w:t xml:space="preserve">“苏采云”系统供应商操作手册</w:t>
      </w:r>
      <w:r>
        <w:rPr>
          <w:rFonts w:hint="eastAsia" w:ascii="宋体" w:hAnsi="宋体"/>
          <w:sz w:val="24"/>
          <w:highlight w:val="none"/>
        </w:rPr>
        <w:t xml:space="preserve">。</w:t>
      </w:r>
      <w:r>
        <w:rPr>
          <w:rFonts w:hint="eastAsia" w:ascii="宋体" w:hAnsi="宋体"/>
          <w:sz w:val="24"/>
          <w:highlight w:val="none"/>
        </w:rPr>
      </w:r>
      <w:r/>
    </w:p>
    <w:p>
      <w:pPr>
        <w:pStyle w:val="967"/>
        <w:ind w:firstLine="480"/>
        <w:spacing w:line="500" w:lineRule="exact"/>
        <w:rPr>
          <w:rFonts w:hint="eastAsia" w:ascii="宋体" w:hAnsi="宋体"/>
          <w:bCs/>
          <w:sz w:val="24"/>
          <w:highlight w:val="none"/>
        </w:rPr>
      </w:pPr>
      <w:r>
        <w:rPr>
          <w:rFonts w:hint="eastAsia" w:ascii="宋体" w:hAnsi="宋体"/>
          <w:sz w:val="24"/>
          <w:highlight w:val="none"/>
        </w:rPr>
        <w:t xml:space="preserve">20.2.2</w:t>
      </w:r>
      <w:r>
        <w:rPr>
          <w:rFonts w:hint="eastAsia" w:ascii="宋体" w:hAnsi="宋体"/>
          <w:bCs/>
          <w:sz w:val="24"/>
          <w:highlight w:val="none"/>
        </w:rPr>
        <w:t xml:space="preserve"> 在投标截止时间之后，投标人不得对其电子投标文件作任何修改。</w:t>
      </w:r>
      <w:r>
        <w:rPr>
          <w:rFonts w:hint="eastAsia" w:ascii="宋体" w:hAnsi="宋体"/>
          <w:bCs/>
          <w:sz w:val="24"/>
          <w:highlight w:val="none"/>
        </w:rPr>
      </w:r>
      <w:r/>
    </w:p>
    <w:p>
      <w:pPr>
        <w:pStyle w:val="967"/>
        <w:ind w:firstLine="480"/>
        <w:spacing w:line="500" w:lineRule="exact"/>
        <w:rPr>
          <w:rFonts w:hint="eastAsia" w:ascii="宋体" w:hAnsi="宋体"/>
          <w:bCs/>
          <w:sz w:val="24"/>
          <w:highlight w:val="none"/>
        </w:rPr>
      </w:pPr>
      <w:r>
        <w:rPr>
          <w:rFonts w:hint="eastAsia" w:ascii="宋体" w:hAnsi="宋体"/>
          <w:sz w:val="24"/>
          <w:highlight w:val="none"/>
        </w:rPr>
        <w:t xml:space="preserve">20.3</w:t>
      </w:r>
      <w:r>
        <w:rPr>
          <w:rFonts w:hint="eastAsia" w:ascii="宋体" w:hAnsi="宋体"/>
          <w:bCs/>
          <w:sz w:val="24"/>
          <w:highlight w:val="none"/>
        </w:rPr>
        <w:t xml:space="preserve"> 在投标截止时间至招标文件中规定的投标有效期满之间的这段时间内，投标人不得撤回其投标。</w:t>
      </w:r>
      <w:r>
        <w:rPr>
          <w:rFonts w:hint="eastAsia" w:ascii="宋体" w:hAnsi="宋体"/>
          <w:bCs/>
          <w:sz w:val="24"/>
          <w:highlight w:val="none"/>
        </w:rPr>
      </w:r>
      <w:r/>
    </w:p>
    <w:p>
      <w:pPr>
        <w:pStyle w:val="970"/>
        <w:spacing w:before="145" w:after="145" w:line="360" w:lineRule="auto"/>
        <w:rPr>
          <w:rFonts w:hint="eastAsia"/>
          <w:highlight w:val="none"/>
        </w:rPr>
      </w:pPr>
      <w:r/>
      <w:bookmarkStart w:id="145" w:name="_Toc16938545"/>
      <w:r/>
      <w:bookmarkStart w:id="146" w:name="_Toc120614218"/>
      <w:r/>
      <w:bookmarkStart w:id="147" w:name="_Toc20823301"/>
      <w:r/>
      <w:bookmarkStart w:id="148" w:name="_Toc513029229"/>
      <w:r>
        <w:rPr>
          <w:rFonts w:hint="eastAsia"/>
          <w:highlight w:val="none"/>
        </w:rPr>
        <w:t xml:space="preserve">五、开标与评标</w:t>
      </w:r>
      <w:bookmarkEnd w:id="145"/>
      <w:r/>
      <w:bookmarkEnd w:id="146"/>
      <w:r/>
      <w:bookmarkEnd w:id="147"/>
      <w:r/>
      <w:bookmarkEnd w:id="148"/>
      <w:r>
        <w:rPr>
          <w:rFonts w:hint="eastAsia"/>
          <w:highlight w:val="none"/>
        </w:rPr>
      </w:r>
      <w:r/>
    </w:p>
    <w:p>
      <w:pPr>
        <w:pStyle w:val="971"/>
        <w:spacing w:before="0" w:after="0" w:line="240" w:lineRule="auto"/>
        <w:rPr>
          <w:rFonts w:hint="eastAsia"/>
          <w:b w:val="0"/>
          <w:bCs w:val="0"/>
          <w:highlight w:val="none"/>
        </w:rPr>
      </w:pPr>
      <w:r/>
      <w:bookmarkStart w:id="149" w:name="_Toc20823302"/>
      <w:r/>
      <w:bookmarkStart w:id="150" w:name="_Toc16938546"/>
      <w:r/>
      <w:bookmarkStart w:id="151" w:name="_Toc513029230"/>
      <w:r>
        <w:rPr>
          <w:rFonts w:hint="eastAsia"/>
          <w:b w:val="0"/>
          <w:bCs w:val="0"/>
          <w:highlight w:val="none"/>
        </w:rPr>
        <w:t xml:space="preserve">21、开标</w:t>
      </w:r>
      <w:bookmarkEnd w:id="149"/>
      <w:r/>
      <w:bookmarkEnd w:id="150"/>
      <w:r/>
      <w:bookmarkEnd w:id="151"/>
      <w:r>
        <w:rPr>
          <w:rFonts w:hint="eastAsia"/>
          <w:b w:val="0"/>
          <w:bCs w:val="0"/>
          <w:highlight w:val="none"/>
        </w:rPr>
      </w:r>
      <w:r/>
    </w:p>
    <w:p>
      <w:pPr>
        <w:pStyle w:val="967"/>
        <w:contextualSpacing/>
        <w:ind w:firstLine="482"/>
        <w:spacing w:line="360" w:lineRule="auto"/>
        <w:rPr>
          <w:rFonts w:ascii="宋体" w:hAnsi="宋体" w:cs="宋体"/>
          <w:bCs/>
          <w:sz w:val="24"/>
          <w:szCs w:val="24"/>
          <w:highlight w:val="none"/>
        </w:rPr>
      </w:pPr>
      <w:r/>
      <w:bookmarkStart w:id="152" w:name="_Toc20823303"/>
      <w:r/>
      <w:bookmarkStart w:id="153" w:name="_Toc513029231"/>
      <w:r/>
      <w:bookmarkStart w:id="154" w:name="_Toc16938547"/>
      <w:r>
        <w:rPr>
          <w:rFonts w:hint="eastAsia" w:ascii="宋体" w:hAnsi="宋体" w:cs="宋体"/>
          <w:bCs/>
          <w:sz w:val="24"/>
          <w:szCs w:val="24"/>
          <w:highlight w:val="none"/>
        </w:rPr>
        <w:t xml:space="preserve">21.1招标人或招标代理机构将在招标公告中规定的时间和地点组织公开开标。</w:t>
      </w:r>
      <w:r>
        <w:rPr>
          <w:rFonts w:hint="eastAsia" w:ascii="宋体" w:hAnsi="宋体" w:cs="宋体"/>
          <w:sz w:val="24"/>
          <w:szCs w:val="24"/>
          <w:highlight w:val="none"/>
        </w:rPr>
        <w:t xml:space="preserve">投标人应当按照</w:t>
      </w:r>
      <w:r>
        <w:rPr>
          <w:rFonts w:hint="eastAsia" w:ascii="宋体" w:hAnsi="宋体" w:cs="宋体"/>
          <w:bCs/>
          <w:sz w:val="24"/>
          <w:szCs w:val="24"/>
          <w:highlight w:val="none"/>
        </w:rPr>
        <w:t xml:space="preserve">“苏采云”系统供应商操作手册</w:t>
      </w:r>
      <w:r>
        <w:rPr>
          <w:rFonts w:hint="eastAsia" w:ascii="宋体" w:hAnsi="宋体" w:cs="宋体"/>
          <w:sz w:val="24"/>
          <w:szCs w:val="24"/>
          <w:highlight w:val="none"/>
        </w:rPr>
        <w:t xml:space="preserve">规定，参加开标活动，在</w:t>
      </w:r>
      <w:r>
        <w:rPr>
          <w:rFonts w:hint="eastAsia" w:ascii="宋体" w:hAnsi="宋体" w:cs="宋体"/>
          <w:b/>
          <w:sz w:val="24"/>
          <w:szCs w:val="24"/>
          <w:highlight w:val="none"/>
        </w:rPr>
        <w:t xml:space="preserve">开标后</w:t>
      </w:r>
      <w:r>
        <w:rPr>
          <w:rFonts w:hint="eastAsia" w:ascii="宋体" w:hAnsi="宋体" w:cs="宋体"/>
          <w:b/>
          <w:sz w:val="24"/>
          <w:szCs w:val="24"/>
          <w:highlight w:val="none"/>
          <w:u w:val="single"/>
        </w:rPr>
        <w:t xml:space="preserve">30分钟</w:t>
      </w:r>
      <w:r>
        <w:rPr>
          <w:rFonts w:hint="eastAsia" w:ascii="宋体" w:hAnsi="宋体" w:cs="宋体"/>
          <w:b/>
          <w:sz w:val="24"/>
          <w:szCs w:val="24"/>
          <w:highlight w:val="none"/>
        </w:rPr>
        <w:t xml:space="preserve">之内</w:t>
      </w:r>
      <w:r>
        <w:rPr>
          <w:rFonts w:hint="eastAsia" w:ascii="宋体" w:hAnsi="宋体" w:cs="宋体"/>
          <w:sz w:val="24"/>
          <w:szCs w:val="24"/>
          <w:highlight w:val="none"/>
        </w:rPr>
        <w:t xml:space="preserve">对投标文件进行解密。</w:t>
      </w:r>
      <w:r>
        <w:rPr>
          <w:rFonts w:ascii="宋体" w:hAnsi="宋体" w:cs="宋体"/>
          <w:bCs/>
          <w:sz w:val="24"/>
          <w:szCs w:val="24"/>
          <w:highlight w:val="none"/>
        </w:rPr>
      </w:r>
      <w:r/>
    </w:p>
    <w:p>
      <w:pPr>
        <w:pStyle w:val="967"/>
        <w:contextualSpacing/>
        <w:ind w:firstLine="480"/>
        <w:spacing w:line="360" w:lineRule="auto"/>
        <w:rPr>
          <w:rFonts w:ascii="宋体" w:hAnsi="宋体" w:cs="宋体"/>
          <w:b/>
          <w:sz w:val="24"/>
          <w:szCs w:val="24"/>
          <w:highlight w:val="none"/>
        </w:rPr>
      </w:pPr>
      <w:r>
        <w:rPr>
          <w:rFonts w:hint="eastAsia" w:ascii="宋体" w:hAnsi="宋体" w:cs="宋体"/>
          <w:b/>
          <w:sz w:val="24"/>
          <w:szCs w:val="24"/>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sz w:val="24"/>
          <w:szCs w:val="24"/>
          <w:highlight w:val="none"/>
        </w:rPr>
        <w:t xml:space="preserve">因招标人（或招标代理机构）原因或网上招投标平台发生故障，导致无法按时完成投标文件解密或开、评标工作无法进行的，可根据实际情况相应延迟解密时间或调整开、评标时间。</w:t>
      </w:r>
      <w:r>
        <w:rPr>
          <w:rFonts w:ascii="宋体" w:hAnsi="宋体" w:cs="宋体"/>
          <w:b/>
          <w:sz w:val="24"/>
          <w:szCs w:val="24"/>
          <w:highlight w:val="none"/>
        </w:rPr>
      </w:r>
      <w:r/>
    </w:p>
    <w:p>
      <w:pPr>
        <w:pStyle w:val="967"/>
        <w:contextualSpacing/>
        <w:ind w:firstLine="482"/>
        <w:spacing w:line="360" w:lineRule="auto"/>
        <w:rPr>
          <w:rFonts w:ascii="宋体" w:hAnsi="宋体" w:cs="宋体"/>
          <w:sz w:val="24"/>
          <w:szCs w:val="24"/>
          <w:highlight w:val="none"/>
        </w:rPr>
      </w:pPr>
      <w:r>
        <w:rPr>
          <w:rFonts w:hint="eastAsia" w:ascii="宋体" w:hAnsi="宋体" w:cs="宋体"/>
          <w:bCs/>
          <w:sz w:val="24"/>
          <w:szCs w:val="24"/>
          <w:highlight w:val="none"/>
        </w:rPr>
        <w:t xml:space="preserve">21.2</w:t>
      </w:r>
      <w:r>
        <w:rPr>
          <w:rFonts w:hint="eastAsia" w:ascii="宋体" w:hAnsi="宋体" w:cs="宋体"/>
          <w:sz w:val="24"/>
          <w:szCs w:val="24"/>
          <w:highlight w:val="none"/>
        </w:rPr>
        <w:t xml:space="preserve">开标仪式由</w:t>
      </w:r>
      <w:r>
        <w:rPr>
          <w:rFonts w:hint="eastAsia" w:ascii="宋体" w:hAnsi="宋体" w:cs="宋体"/>
          <w:bCs/>
          <w:sz w:val="24"/>
          <w:szCs w:val="24"/>
          <w:highlight w:val="none"/>
        </w:rPr>
        <w:t xml:space="preserve">招标代理机构</w:t>
      </w:r>
      <w:r>
        <w:rPr>
          <w:rFonts w:hint="eastAsia" w:ascii="宋体" w:hAnsi="宋体" w:cs="宋体"/>
          <w:sz w:val="24"/>
          <w:szCs w:val="24"/>
          <w:highlight w:val="none"/>
        </w:rPr>
        <w:t xml:space="preserve">组织。苏采云系统将自动对项目进行开标，并宣布各投标人名称和投标价格。</w:t>
      </w:r>
      <w:r>
        <w:rPr>
          <w:rFonts w:ascii="宋体" w:hAnsi="宋体" w:cs="宋体"/>
          <w:sz w:val="24"/>
          <w:szCs w:val="24"/>
          <w:highlight w:val="none"/>
        </w:rPr>
      </w:r>
      <w:r/>
    </w:p>
    <w:p>
      <w:pPr>
        <w:pStyle w:val="967"/>
        <w:contextualSpacing/>
        <w:ind w:firstLine="482"/>
        <w:spacing w:line="360" w:lineRule="auto"/>
        <w:rPr>
          <w:rFonts w:ascii="宋体" w:hAnsi="宋体" w:cs="宋体"/>
          <w:sz w:val="24"/>
          <w:szCs w:val="24"/>
          <w:highlight w:val="none"/>
        </w:rPr>
      </w:pPr>
      <w:r>
        <w:rPr>
          <w:rFonts w:hint="eastAsia" w:ascii="宋体" w:hAnsi="宋体" w:cs="宋体"/>
          <w:bCs/>
          <w:sz w:val="24"/>
          <w:szCs w:val="24"/>
          <w:highlight w:val="none"/>
        </w:rPr>
        <w:t xml:space="preserve">21.3投标人在开标过程中涉及到的投标文件解密、开标结果确认等工作，应按照“苏采云”系统供应商操作手册规定执行。</w:t>
      </w:r>
      <w:r>
        <w:rPr>
          <w:rFonts w:ascii="宋体" w:hAnsi="宋体" w:cs="宋体"/>
          <w:sz w:val="24"/>
          <w:szCs w:val="24"/>
          <w:highlight w:val="none"/>
        </w:rPr>
      </w:r>
      <w:r/>
    </w:p>
    <w:p>
      <w:pPr>
        <w:pStyle w:val="967"/>
        <w:contextualSpacing/>
        <w:ind w:firstLine="482"/>
        <w:spacing w:line="360" w:lineRule="auto"/>
        <w:rPr>
          <w:rFonts w:ascii="宋体" w:hAnsi="宋体" w:cs="宋体"/>
          <w:b/>
          <w:sz w:val="24"/>
          <w:szCs w:val="24"/>
          <w:highlight w:val="none"/>
        </w:rPr>
      </w:pPr>
      <w:r>
        <w:rPr>
          <w:rFonts w:hint="eastAsia" w:ascii="宋体" w:hAnsi="宋体" w:cs="宋体"/>
          <w:sz w:val="24"/>
          <w:szCs w:val="24"/>
          <w:highlight w:val="none"/>
        </w:rPr>
        <w:t xml:space="preserve">21.4投标人如果对开标过程和开标记录有疑义，应当根据</w:t>
      </w:r>
      <w:r>
        <w:rPr>
          <w:rFonts w:hint="eastAsia" w:ascii="宋体" w:hAnsi="宋体" w:cs="宋体"/>
          <w:bCs/>
          <w:sz w:val="24"/>
          <w:szCs w:val="24"/>
          <w:highlight w:val="none"/>
        </w:rPr>
        <w:t xml:space="preserve">“苏采云”系统供应商操作手册</w:t>
      </w:r>
      <w:r>
        <w:rPr>
          <w:rFonts w:hint="eastAsia" w:ascii="宋体" w:hAnsi="宋体" w:cs="宋体"/>
          <w:sz w:val="24"/>
          <w:szCs w:val="24"/>
          <w:highlight w:val="none"/>
        </w:rPr>
        <w:t xml:space="preserve">规定提出，如苏采云系统中《开标记录表》宣布后5分钟内未提出的，视同认可开标结果。</w:t>
      </w:r>
      <w:r>
        <w:rPr>
          <w:rFonts w:ascii="宋体" w:hAnsi="宋体" w:cs="宋体"/>
          <w:b/>
          <w:sz w:val="24"/>
          <w:szCs w:val="24"/>
          <w:highlight w:val="none"/>
        </w:rPr>
      </w:r>
      <w:r/>
    </w:p>
    <w:p>
      <w:pPr>
        <w:pStyle w:val="971"/>
        <w:spacing w:before="0" w:after="0" w:line="240" w:lineRule="auto"/>
        <w:rPr>
          <w:rFonts w:hint="eastAsia"/>
          <w:b w:val="0"/>
          <w:bCs w:val="0"/>
          <w:highlight w:val="none"/>
        </w:rPr>
      </w:pPr>
      <w:r>
        <w:rPr>
          <w:rFonts w:hint="eastAsia"/>
          <w:b w:val="0"/>
          <w:bCs w:val="0"/>
          <w:highlight w:val="none"/>
        </w:rPr>
        <w:t xml:space="preserve">22、评标委员会</w:t>
      </w:r>
      <w:r>
        <w:rPr>
          <w:rFonts w:hint="eastAsia"/>
          <w:b w:val="0"/>
          <w:bCs w:val="0"/>
          <w:highlight w:val="none"/>
        </w:rPr>
      </w:r>
      <w:r/>
    </w:p>
    <w:p>
      <w:pPr>
        <w:pStyle w:val="967"/>
        <w:spacing w:line="48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22.1</w:t>
      </w:r>
      <w:r>
        <w:rPr>
          <w:rFonts w:hint="eastAsia" w:ascii="宋体" w:hAnsi="宋体"/>
          <w:b/>
          <w:sz w:val="24"/>
          <w:szCs w:val="24"/>
          <w:highlight w:val="none"/>
        </w:rPr>
        <w:t xml:space="preserve"> </w:t>
      </w:r>
      <w:r>
        <w:rPr>
          <w:rFonts w:hint="eastAsia" w:ascii="宋体" w:hAnsi="宋体"/>
          <w:sz w:val="24"/>
          <w:szCs w:val="24"/>
          <w:highlight w:val="none"/>
        </w:rPr>
        <w:t xml:space="preserve">开标后，采购代理机构将立即组织评标委员会（以下简称评委会）进行评标。</w:t>
      </w:r>
      <w:r>
        <w:rPr>
          <w:rFonts w:hint="eastAsia" w:ascii="宋体" w:hAnsi="宋体"/>
          <w:b/>
          <w:sz w:val="24"/>
          <w:szCs w:val="24"/>
          <w:highlight w:val="none"/>
        </w:rPr>
      </w:r>
      <w:r/>
    </w:p>
    <w:p>
      <w:pPr>
        <w:pStyle w:val="967"/>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22.2 评委会由采购人代表和有关技术、经济等方面的专家组成，且人员构成符合政府采购有关规定。</w:t>
      </w:r>
      <w:r>
        <w:rPr>
          <w:rFonts w:hint="eastAsia" w:ascii="宋体" w:hAnsi="宋体"/>
          <w:sz w:val="24"/>
          <w:szCs w:val="24"/>
          <w:highlight w:val="none"/>
        </w:rPr>
      </w:r>
      <w:r/>
    </w:p>
    <w:p>
      <w:pPr>
        <w:pStyle w:val="967"/>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22.3评委会独立工作，负责评审所有投标文件并确定中标侯选人。</w:t>
      </w:r>
      <w:r>
        <w:rPr>
          <w:rFonts w:hint="eastAsia" w:ascii="宋体" w:hAnsi="宋体"/>
          <w:sz w:val="24"/>
          <w:szCs w:val="24"/>
          <w:highlight w:val="none"/>
        </w:rPr>
      </w:r>
      <w:r/>
    </w:p>
    <w:p>
      <w:pPr>
        <w:pStyle w:val="971"/>
        <w:spacing w:before="0" w:after="0" w:line="240" w:lineRule="auto"/>
        <w:rPr>
          <w:rFonts w:hint="eastAsia" w:ascii="黑体"/>
          <w:b w:val="0"/>
          <w:bCs w:val="0"/>
          <w:highlight w:val="none"/>
        </w:rPr>
      </w:pPr>
      <w:r>
        <w:rPr>
          <w:rFonts w:hint="eastAsia" w:ascii="黑体"/>
          <w:b w:val="0"/>
          <w:bCs w:val="0"/>
          <w:highlight w:val="none"/>
        </w:rPr>
        <w:t xml:space="preserve">23、评标过程的保密与公正</w:t>
      </w:r>
      <w:r>
        <w:rPr>
          <w:rFonts w:hint="eastAsia" w:ascii="黑体"/>
          <w:b w:val="0"/>
          <w:bCs w:val="0"/>
          <w:highlight w:val="none"/>
        </w:rPr>
      </w:r>
      <w:r/>
    </w:p>
    <w:p>
      <w:pPr>
        <w:pStyle w:val="967"/>
        <w:ind w:firstLine="480"/>
        <w:spacing w:line="500" w:lineRule="exact"/>
        <w:rPr>
          <w:rFonts w:hint="eastAsia" w:ascii="宋体" w:hAnsi="宋体"/>
          <w:bCs/>
          <w:sz w:val="24"/>
          <w:highlight w:val="none"/>
        </w:rPr>
      </w:pPr>
      <w:r/>
      <w:bookmarkEnd w:id="152"/>
      <w:r/>
      <w:bookmarkEnd w:id="153"/>
      <w:r/>
      <w:bookmarkEnd w:id="154"/>
      <w:r>
        <w:rPr>
          <w:rFonts w:hint="eastAsia" w:ascii="宋体" w:hAnsi="宋体"/>
          <w:sz w:val="24"/>
          <w:highlight w:val="none"/>
        </w:rPr>
        <w:t xml:space="preserve">23.1</w:t>
      </w:r>
      <w:r>
        <w:rPr>
          <w:rFonts w:hint="eastAsia" w:ascii="宋体" w:hAnsi="宋体"/>
          <w:bCs/>
          <w:sz w:val="24"/>
          <w:highlight w:val="none"/>
        </w:rPr>
        <w:t xml:space="preserve">凡是与审查、澄清、评价和比较投标的有关资料以及授标建议等，采购人、评委、采购代理机构均不得向投标人或与评标无关的其他人员透露。</w:t>
      </w:r>
      <w:r>
        <w:rPr>
          <w:rFonts w:hint="eastAsia" w:ascii="宋体" w:hAnsi="宋体"/>
          <w:bCs/>
          <w:sz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highlight w:val="none"/>
        </w:rPr>
        <w:t xml:space="preserve">23.2</w:t>
      </w:r>
      <w:r>
        <w:rPr>
          <w:rFonts w:hint="eastAsia" w:ascii="宋体" w:hAnsi="宋体"/>
          <w:sz w:val="24"/>
          <w:szCs w:val="24"/>
          <w:highlight w:val="none"/>
        </w:rPr>
        <w:t xml:space="preserve">在评标过程中，投标人不得以任何行为影响评标过程，否则其投标文件将被作为无效投标文件。</w:t>
      </w:r>
      <w:r>
        <w:rPr>
          <w:rFonts w:hint="eastAsia"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23.</w:t>
      </w:r>
      <w:r>
        <w:rPr>
          <w:rFonts w:ascii="宋体" w:hAnsi="宋体"/>
          <w:sz w:val="24"/>
          <w:szCs w:val="24"/>
          <w:highlight w:val="none"/>
        </w:rPr>
        <w:t xml:space="preserve">3</w:t>
      </w:r>
      <w:r>
        <w:rPr>
          <w:rFonts w:hint="eastAsia" w:ascii="宋体" w:hAnsi="宋体"/>
          <w:sz w:val="24"/>
          <w:szCs w:val="24"/>
          <w:highlight w:val="none"/>
        </w:rPr>
        <w:t xml:space="preserve"> 采购代理机构和评标委员会不向未中标的投标人解释未中标原因，也不公布评标过程中的相关细节。</w:t>
      </w:r>
      <w:r>
        <w:rPr>
          <w:rFonts w:hint="eastAsia" w:ascii="宋体" w:hAnsi="宋体"/>
          <w:sz w:val="24"/>
          <w:szCs w:val="24"/>
          <w:highlight w:val="none"/>
        </w:rPr>
      </w:r>
      <w:r/>
    </w:p>
    <w:p>
      <w:pPr>
        <w:pStyle w:val="967"/>
        <w:ind w:firstLine="480"/>
        <w:spacing w:line="480" w:lineRule="exact"/>
        <w:rPr>
          <w:rFonts w:ascii="宋体" w:hAnsi="宋体"/>
          <w:sz w:val="24"/>
          <w:szCs w:val="24"/>
          <w:highlight w:val="none"/>
        </w:rPr>
      </w:pPr>
      <w:r>
        <w:rPr>
          <w:rFonts w:hint="eastAsia" w:ascii="宋体" w:hAnsi="宋体"/>
          <w:sz w:val="24"/>
          <w:szCs w:val="24"/>
          <w:highlight w:val="none"/>
        </w:rPr>
        <w:t xml:space="preserve">23.4 采用综合评分法的项目，未中标的投标人可于中标结果公告期限届满之日起通过苏采云系统查看自己的评审得分及排序情况。</w:t>
      </w:r>
      <w:r>
        <w:rPr>
          <w:rFonts w:ascii="宋体" w:hAnsi="宋体"/>
          <w:sz w:val="24"/>
          <w:szCs w:val="24"/>
          <w:highlight w:val="none"/>
        </w:rPr>
      </w:r>
      <w:r/>
    </w:p>
    <w:p>
      <w:pPr>
        <w:pStyle w:val="971"/>
        <w:spacing w:before="0" w:after="0" w:line="240" w:lineRule="auto"/>
        <w:rPr>
          <w:rFonts w:hint="eastAsia"/>
          <w:b w:val="0"/>
          <w:bCs w:val="0"/>
          <w:highlight w:val="none"/>
        </w:rPr>
      </w:pPr>
      <w:r/>
      <w:bookmarkStart w:id="155" w:name="_Toc513029232"/>
      <w:r/>
      <w:bookmarkStart w:id="156" w:name="_Toc16938548"/>
      <w:r/>
      <w:bookmarkStart w:id="157" w:name="_Toc20823304"/>
      <w:r>
        <w:rPr>
          <w:rFonts w:hint="eastAsia"/>
          <w:b w:val="0"/>
          <w:bCs w:val="0"/>
          <w:highlight w:val="none"/>
        </w:rPr>
        <w:t xml:space="preserve">24、投标文件的澄清</w:t>
      </w:r>
      <w:bookmarkEnd w:id="155"/>
      <w:r/>
      <w:bookmarkEnd w:id="156"/>
      <w:r/>
      <w:bookmarkEnd w:id="157"/>
      <w:r>
        <w:rPr>
          <w:rFonts w:hint="eastAsia"/>
          <w:b w:val="0"/>
          <w:bCs w:val="0"/>
          <w:highlight w:val="none"/>
        </w:rPr>
      </w:r>
      <w:r/>
    </w:p>
    <w:p>
      <w:pPr>
        <w:pStyle w:val="967"/>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w:t>
      </w:r>
      <w:r>
        <w:rPr>
          <w:rFonts w:ascii="宋体" w:hAnsi="宋体"/>
          <w:sz w:val="24"/>
          <w:szCs w:val="24"/>
          <w:highlight w:val="none"/>
        </w:rPr>
        <w:t xml:space="preserve"> </w:t>
      </w:r>
      <w:r>
        <w:rPr>
          <w:rFonts w:hint="eastAsia" w:ascii="宋体" w:hAnsi="宋体"/>
          <w:sz w:val="24"/>
          <w:szCs w:val="24"/>
          <w:highlight w:val="none"/>
        </w:rPr>
        <w:t xml:space="preserve">，有权要求投标人作出必要的澄清、说明或者补正。</w:t>
      </w:r>
      <w:r>
        <w:rPr>
          <w:rFonts w:ascii="宋体" w:hAnsi="宋体"/>
          <w:sz w:val="24"/>
          <w:szCs w:val="24"/>
          <w:highlight w:val="none"/>
        </w:rPr>
      </w:r>
      <w:r/>
    </w:p>
    <w:p>
      <w:pPr>
        <w:pStyle w:val="967"/>
        <w:ind w:firstLine="480"/>
        <w:spacing w:line="480" w:lineRule="exact"/>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rPr>
          <w:rFonts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评标</w:t>
      </w:r>
      <w:r>
        <w:rPr>
          <w:rFonts w:ascii="宋体" w:hAnsi="宋体"/>
          <w:sz w:val="24"/>
          <w:szCs w:val="24"/>
          <w:highlight w:val="none"/>
        </w:rPr>
        <w:t xml:space="preserve">委员会并非对每个</w:t>
      </w:r>
      <w:r>
        <w:rPr>
          <w:rFonts w:hint="eastAsia" w:ascii="宋体" w:hAnsi="宋体"/>
          <w:sz w:val="24"/>
          <w:szCs w:val="24"/>
          <w:highlight w:val="none"/>
        </w:rPr>
        <w:t xml:space="preserve">投标人</w:t>
      </w:r>
      <w:r>
        <w:rPr>
          <w:rFonts w:ascii="宋体" w:hAnsi="宋体"/>
          <w:sz w:val="24"/>
          <w:szCs w:val="24"/>
          <w:highlight w:val="none"/>
        </w:rPr>
        <w:t xml:space="preserve">都做澄清要求</w:t>
      </w:r>
      <w:r>
        <w:rPr>
          <w:rFonts w:hint="eastAsia" w:ascii="宋体" w:hAnsi="宋体"/>
          <w:sz w:val="24"/>
          <w:szCs w:val="24"/>
          <w:highlight w:val="none"/>
        </w:rPr>
        <w:t xml:space="preserve">。</w:t>
      </w:r>
      <w:r>
        <w:rPr>
          <w:rFonts w:hint="eastAsia"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highlight w:val="none"/>
        </w:rPr>
      </w:r>
      <w:r/>
    </w:p>
    <w:p>
      <w:pPr>
        <w:pStyle w:val="967"/>
        <w:spacing w:line="480" w:lineRule="exact"/>
        <w:rPr>
          <w:rFonts w:hint="eastAsia" w:ascii="宋体" w:hAnsi="宋体"/>
          <w:sz w:val="24"/>
          <w:szCs w:val="24"/>
          <w:highlight w:val="none"/>
        </w:rPr>
      </w:pPr>
      <w:r>
        <w:rPr>
          <w:rFonts w:hint="eastAsia" w:ascii="宋体" w:hAnsi="宋体"/>
          <w:sz w:val="24"/>
          <w:szCs w:val="24"/>
          <w:highlight w:val="none"/>
        </w:rPr>
        <w:t xml:space="preserve">    24.3 接到评委会澄清、说明和补正要求的投标人如未按规定做出澄清、说明和补正，其风险由投标人自行承担。</w:t>
      </w:r>
      <w:r>
        <w:rPr>
          <w:rFonts w:hint="eastAsia" w:ascii="宋体" w:hAnsi="宋体"/>
          <w:sz w:val="24"/>
          <w:szCs w:val="24"/>
          <w:highlight w:val="none"/>
        </w:rPr>
      </w:r>
      <w:r/>
    </w:p>
    <w:p>
      <w:pPr>
        <w:pStyle w:val="971"/>
        <w:spacing w:before="0" w:after="0" w:line="240" w:lineRule="auto"/>
        <w:rPr>
          <w:rFonts w:hint="eastAsia"/>
          <w:b w:val="0"/>
          <w:bCs w:val="0"/>
          <w:highlight w:val="none"/>
        </w:rPr>
      </w:pPr>
      <w:r/>
      <w:bookmarkStart w:id="158" w:name="_Toc16938549"/>
      <w:r/>
      <w:bookmarkStart w:id="159" w:name="_Toc513029233"/>
      <w:r/>
      <w:bookmarkStart w:id="160" w:name="_Toc20823305"/>
      <w:r>
        <w:rPr>
          <w:rFonts w:hint="eastAsia"/>
          <w:b w:val="0"/>
          <w:bCs w:val="0"/>
          <w:highlight w:val="none"/>
        </w:rPr>
        <w:t xml:space="preserve">25、对投标文件的初审</w:t>
      </w:r>
      <w:bookmarkEnd w:id="158"/>
      <w:r/>
      <w:bookmarkEnd w:id="159"/>
      <w:r/>
      <w:bookmarkEnd w:id="160"/>
      <w:r>
        <w:rPr>
          <w:rFonts w:hint="eastAsia"/>
          <w:b w:val="0"/>
          <w:bCs w:val="0"/>
          <w:highlight w:val="none"/>
        </w:rPr>
      </w:r>
      <w:r/>
    </w:p>
    <w:p>
      <w:pPr>
        <w:pStyle w:val="967"/>
        <w:ind w:firstLine="480"/>
        <w:spacing w:line="460" w:lineRule="exact"/>
        <w:rPr>
          <w:rFonts w:hint="eastAsia" w:ascii="宋体" w:hAnsi="宋体"/>
          <w:bCs/>
          <w:sz w:val="24"/>
          <w:highlight w:val="none"/>
        </w:rPr>
      </w:pPr>
      <w:r>
        <w:rPr>
          <w:rFonts w:hint="eastAsia" w:ascii="宋体" w:hAnsi="宋体"/>
          <w:sz w:val="24"/>
          <w:highlight w:val="none"/>
        </w:rPr>
        <w:t xml:space="preserve">25.1</w:t>
      </w:r>
      <w:r>
        <w:rPr>
          <w:rFonts w:hint="eastAsia" w:ascii="宋体" w:hAnsi="宋体"/>
          <w:bCs/>
          <w:sz w:val="24"/>
          <w:highlight w:val="none"/>
        </w:rPr>
        <w:t xml:space="preserve">投标文件初审分为资格审查和符合性审查。</w:t>
      </w:r>
      <w:r>
        <w:rPr>
          <w:rFonts w:hint="eastAsia" w:ascii="宋体" w:hAnsi="宋体"/>
          <w:bCs/>
          <w:sz w:val="24"/>
          <w:highlight w:val="none"/>
        </w:rPr>
      </w:r>
      <w:r/>
    </w:p>
    <w:p>
      <w:pPr>
        <w:pStyle w:val="967"/>
        <w:ind w:firstLine="480"/>
        <w:spacing w:line="460" w:lineRule="exact"/>
        <w:rPr>
          <w:rFonts w:hint="eastAsia" w:ascii="宋体" w:hAnsi="宋体"/>
          <w:bCs/>
          <w:sz w:val="24"/>
          <w:highlight w:val="none"/>
        </w:rPr>
      </w:pPr>
      <w:r>
        <w:rPr>
          <w:rFonts w:hint="eastAsia" w:ascii="宋体" w:hAnsi="宋体"/>
          <w:bCs/>
          <w:sz w:val="24"/>
          <w:highlight w:val="none"/>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highlight w:val="none"/>
        </w:rPr>
      </w:r>
      <w:r/>
    </w:p>
    <w:p>
      <w:pPr>
        <w:pStyle w:val="967"/>
        <w:ind w:firstLine="480"/>
        <w:spacing w:line="460" w:lineRule="exact"/>
        <w:rPr>
          <w:rFonts w:hint="eastAsia" w:ascii="宋体" w:hAnsi="宋体"/>
          <w:bCs/>
          <w:sz w:val="24"/>
          <w:highlight w:val="none"/>
        </w:rPr>
      </w:pPr>
      <w:r>
        <w:rPr>
          <w:rFonts w:hint="eastAsia" w:ascii="宋体" w:hAnsi="宋体"/>
          <w:bCs/>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highlight w:val="none"/>
        </w:rPr>
      </w:r>
      <w:r/>
    </w:p>
    <w:p>
      <w:pPr>
        <w:pStyle w:val="967"/>
        <w:ind w:firstLine="480"/>
        <w:spacing w:line="460" w:lineRule="exact"/>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bCs/>
          <w:sz w:val="24"/>
          <w:highlight w:val="none"/>
        </w:rPr>
      </w:r>
      <w:r/>
    </w:p>
    <w:p>
      <w:pPr>
        <w:pStyle w:val="967"/>
        <w:ind w:firstLine="480"/>
        <w:spacing w:line="460" w:lineRule="exact"/>
        <w:rPr>
          <w:rFonts w:hint="eastAsia" w:ascii="宋体" w:hAnsi="宋体"/>
          <w:bCs/>
          <w:sz w:val="24"/>
          <w:highlight w:val="none"/>
        </w:rPr>
      </w:pPr>
      <w:r>
        <w:rPr>
          <w:rFonts w:hint="eastAsia" w:ascii="宋体" w:hAnsi="宋体"/>
          <w:bCs/>
          <w:sz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highlight w:val="none"/>
        </w:rPr>
      </w:r>
      <w:r/>
    </w:p>
    <w:p>
      <w:pPr>
        <w:pStyle w:val="967"/>
        <w:ind w:firstLine="480"/>
        <w:spacing w:line="460" w:lineRule="exact"/>
        <w:rPr>
          <w:rFonts w:hint="eastAsia" w:ascii="宋体" w:hAnsi="宋体"/>
          <w:sz w:val="24"/>
          <w:highlight w:val="none"/>
        </w:rPr>
      </w:pPr>
      <w:r>
        <w:rPr>
          <w:rFonts w:hint="eastAsia" w:ascii="宋体" w:hAnsi="宋体"/>
          <w:bCs/>
          <w:sz w:val="24"/>
          <w:highlight w:val="none"/>
        </w:rPr>
        <w:t xml:space="preserve">25.</w:t>
      </w:r>
      <w:r>
        <w:rPr>
          <w:rFonts w:ascii="宋体" w:hAnsi="宋体"/>
          <w:bCs/>
          <w:sz w:val="24"/>
          <w:highlight w:val="none"/>
        </w:rPr>
        <w:t xml:space="preserve">1.</w:t>
      </w:r>
      <w:r>
        <w:rPr>
          <w:rFonts w:hint="eastAsia" w:ascii="宋体" w:hAnsi="宋体"/>
          <w:bCs/>
          <w:sz w:val="24"/>
          <w:highlight w:val="none"/>
        </w:rPr>
        <w:t xml:space="preserve">3 未通过资格审查或符合性审查的投标人</w:t>
      </w:r>
      <w:r>
        <w:rPr>
          <w:rFonts w:hint="eastAsia" w:ascii="宋体" w:hAnsi="宋体"/>
          <w:sz w:val="24"/>
          <w:highlight w:val="none"/>
        </w:rPr>
        <w:t xml:space="preserve">，采购代理机构将在苏采云系统中告知未通过资格审查或符合性审查的原因，评标结束后，采购代理机构将不再告知未通过资格审查和符合性审查的原因。</w:t>
      </w:r>
      <w:r>
        <w:rPr>
          <w:rFonts w:hint="eastAsia" w:ascii="宋体" w:hAnsi="宋体"/>
          <w:sz w:val="24"/>
          <w:highlight w:val="none"/>
        </w:rPr>
      </w:r>
      <w:r/>
    </w:p>
    <w:p>
      <w:pPr>
        <w:pStyle w:val="967"/>
        <w:ind w:firstLine="480"/>
        <w:spacing w:line="46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highlight w:val="none"/>
        </w:rPr>
      </w:r>
      <w:r/>
    </w:p>
    <w:p>
      <w:pPr>
        <w:pStyle w:val="967"/>
        <w:ind w:firstLine="480"/>
        <w:spacing w:line="460" w:lineRule="exact"/>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highlight w:val="none"/>
        </w:rPr>
      </w:r>
      <w:r/>
    </w:p>
    <w:p>
      <w:pPr>
        <w:pStyle w:val="967"/>
        <w:ind w:firstLine="480"/>
        <w:spacing w:line="46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highlight w:val="none"/>
        </w:rPr>
      </w:r>
      <w:r/>
    </w:p>
    <w:p>
      <w:pPr>
        <w:pStyle w:val="967"/>
        <w:ind w:firstLine="480"/>
        <w:spacing w:line="460" w:lineRule="exact"/>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bCs/>
          <w:sz w:val="24"/>
          <w:highlight w:val="none"/>
        </w:rPr>
      </w:r>
      <w:r/>
    </w:p>
    <w:p>
      <w:pPr>
        <w:pStyle w:val="967"/>
        <w:ind w:firstLine="480"/>
        <w:spacing w:line="460" w:lineRule="exact"/>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rFonts w:ascii="宋体" w:hAnsi="宋体"/>
          <w:bCs/>
          <w:sz w:val="24"/>
          <w:highlight w:val="none"/>
        </w:rPr>
      </w:r>
      <w:r/>
    </w:p>
    <w:p>
      <w:pPr>
        <w:pStyle w:val="967"/>
        <w:ind w:firstLine="480"/>
        <w:spacing w:line="460" w:lineRule="exact"/>
        <w:rPr>
          <w:rFonts w:ascii="宋体" w:hAnsi="宋体"/>
          <w:bCs/>
          <w:sz w:val="24"/>
          <w:highlight w:val="none"/>
        </w:rPr>
      </w:pPr>
      <w:r>
        <w:rPr>
          <w:rFonts w:hint="eastAsia" w:ascii="宋体" w:hAnsi="宋体"/>
          <w:bCs/>
          <w:sz w:val="24"/>
          <w:highlight w:val="none"/>
        </w:rPr>
        <w:t xml:space="preserve">（2）大写金额和小写金额不一致的，以大写金额为准。</w:t>
      </w:r>
      <w:r>
        <w:rPr>
          <w:rFonts w:ascii="宋体" w:hAnsi="宋体"/>
          <w:bCs/>
          <w:sz w:val="24"/>
          <w:highlight w:val="none"/>
        </w:rPr>
      </w:r>
      <w:r/>
    </w:p>
    <w:p>
      <w:pPr>
        <w:pStyle w:val="967"/>
        <w:ind w:firstLine="480"/>
        <w:spacing w:line="460" w:lineRule="exact"/>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rFonts w:ascii="宋体" w:hAnsi="宋体"/>
          <w:bCs/>
          <w:sz w:val="24"/>
          <w:highlight w:val="none"/>
        </w:rPr>
      </w:r>
      <w:r/>
    </w:p>
    <w:p>
      <w:pPr>
        <w:pStyle w:val="967"/>
        <w:ind w:firstLine="480"/>
        <w:spacing w:line="460" w:lineRule="exact"/>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rFonts w:hint="eastAsia" w:ascii="宋体" w:hAnsi="宋体"/>
          <w:bCs/>
          <w:sz w:val="24"/>
          <w:highlight w:val="none"/>
        </w:rPr>
      </w:r>
      <w:r/>
    </w:p>
    <w:p>
      <w:pPr>
        <w:pStyle w:val="967"/>
        <w:ind w:firstLine="480"/>
        <w:spacing w:line="46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rFonts w:hint="eastAsia" w:ascii="宋体" w:hAnsi="宋体"/>
          <w:bCs/>
          <w:sz w:val="24"/>
          <w:highlight w:val="none"/>
        </w:rPr>
      </w:r>
      <w:r/>
    </w:p>
    <w:p>
      <w:pPr>
        <w:pStyle w:val="967"/>
        <w:ind w:firstLine="480"/>
        <w:spacing w:line="460" w:lineRule="exact"/>
        <w:rPr>
          <w:rFonts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5</w:t>
      </w:r>
      <w:r>
        <w:rPr>
          <w:rFonts w:hint="eastAsia" w:ascii="宋体" w:hAnsi="宋体"/>
          <w:sz w:val="24"/>
          <w:highlight w:val="none"/>
        </w:rPr>
        <w:t xml:space="preserve"> </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sz w:val="24"/>
          <w:szCs w:val="24"/>
          <w:highlight w:val="none"/>
        </w:rPr>
        <w:t xml:space="preserve">苏采云系统</w:t>
      </w:r>
      <w:r>
        <w:rPr>
          <w:rFonts w:hint="eastAsia" w:ascii="宋体" w:hAnsi="宋体"/>
          <w:bCs/>
          <w:sz w:val="24"/>
          <w:highlight w:val="none"/>
        </w:rPr>
        <w:t xml:space="preserve">告知投标人</w:t>
      </w:r>
      <w:r>
        <w:rPr>
          <w:rFonts w:ascii="宋体" w:hAnsi="宋体"/>
          <w:bCs/>
          <w:sz w:val="24"/>
          <w:highlight w:val="none"/>
        </w:rPr>
        <w:t xml:space="preserve">，</w:t>
      </w:r>
      <w:r>
        <w:rPr>
          <w:rFonts w:hint="eastAsia" w:ascii="宋体" w:hAnsi="宋体"/>
          <w:bCs/>
          <w:sz w:val="24"/>
          <w:highlight w:val="none"/>
        </w:rPr>
        <w:t xml:space="preserve">调整后的价格应对投标人具有约束力。如果投标人不接受修正后的价格，则其投标将被拒绝。</w:t>
      </w:r>
      <w:r>
        <w:rPr>
          <w:rFonts w:ascii="宋体" w:hAnsi="宋体"/>
          <w:bCs/>
          <w:sz w:val="24"/>
          <w:highlight w:val="none"/>
        </w:rPr>
      </w:r>
      <w:r/>
    </w:p>
    <w:p>
      <w:pPr>
        <w:pStyle w:val="967"/>
        <w:ind w:firstLine="482"/>
        <w:spacing w:line="460" w:lineRule="exact"/>
        <w:rPr>
          <w:rFonts w:ascii="宋体" w:hAnsi="宋体"/>
          <w:b/>
          <w:sz w:val="24"/>
          <w:highlight w:val="none"/>
        </w:rPr>
      </w:pPr>
      <w:r/>
      <w:bookmarkStart w:id="161" w:name="_Toc513029234"/>
      <w:r/>
      <w:bookmarkStart w:id="162" w:name="_Toc16938550"/>
      <w:r/>
      <w:bookmarkStart w:id="163" w:name="_Toc20823306"/>
      <w:r>
        <w:rPr>
          <w:rFonts w:ascii="宋体" w:hAnsi="宋体"/>
          <w:b/>
          <w:sz w:val="24"/>
          <w:highlight w:val="none"/>
        </w:rPr>
        <w:t xml:space="preserve">2</w:t>
      </w:r>
      <w:r>
        <w:rPr>
          <w:rFonts w:hint="eastAsia" w:ascii="宋体" w:hAnsi="宋体"/>
          <w:b/>
          <w:sz w:val="24"/>
          <w:highlight w:val="none"/>
        </w:rPr>
        <w:t xml:space="preserve">5</w:t>
      </w:r>
      <w:r>
        <w:rPr>
          <w:rFonts w:ascii="宋体" w:hAnsi="宋体"/>
          <w:b/>
          <w:sz w:val="24"/>
          <w:highlight w:val="none"/>
        </w:rPr>
        <w:t xml:space="preserve">.</w:t>
      </w:r>
      <w:r>
        <w:rPr>
          <w:rFonts w:hint="eastAsia" w:ascii="宋体" w:hAnsi="宋体"/>
          <w:b/>
          <w:sz w:val="24"/>
          <w:highlight w:val="none"/>
        </w:rPr>
        <w:t xml:space="preserve">6</w:t>
      </w:r>
      <w:r>
        <w:rPr>
          <w:rFonts w:ascii="宋体" w:hAnsi="宋体"/>
          <w:b/>
          <w:sz w:val="24"/>
          <w:highlight w:val="none"/>
        </w:rPr>
        <w:t xml:space="preserve">相同品牌产品投标的评审（货物项目适用）</w:t>
      </w:r>
      <w:r>
        <w:rPr>
          <w:rFonts w:ascii="宋体" w:hAnsi="宋体"/>
          <w:b/>
          <w:sz w:val="24"/>
          <w:highlight w:val="none"/>
        </w:rPr>
      </w:r>
      <w:r/>
    </w:p>
    <w:p>
      <w:pPr>
        <w:pStyle w:val="967"/>
        <w:ind w:firstLine="480"/>
        <w:spacing w:line="460" w:lineRule="exact"/>
        <w:rPr>
          <w:rFonts w:ascii="宋体" w:hAnsi="宋体"/>
          <w:bCs/>
          <w:sz w:val="24"/>
          <w:highlight w:val="none"/>
        </w:rPr>
      </w:pPr>
      <w:r>
        <w:rPr>
          <w:rFonts w:ascii="宋体" w:hAnsi="宋体"/>
          <w:bCs/>
          <w:sz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宋体" w:hAnsi="宋体"/>
          <w:bCs/>
          <w:sz w:val="24"/>
          <w:highlight w:val="none"/>
        </w:rPr>
      </w:r>
      <w:r/>
    </w:p>
    <w:p>
      <w:pPr>
        <w:pStyle w:val="967"/>
        <w:ind w:firstLine="480"/>
        <w:spacing w:line="460" w:lineRule="exact"/>
        <w:rPr>
          <w:rFonts w:ascii="宋体" w:hAnsi="宋体"/>
          <w:bCs/>
          <w:sz w:val="24"/>
          <w:highlight w:val="none"/>
        </w:rPr>
      </w:pPr>
      <w:r>
        <w:rPr>
          <w:rFonts w:ascii="宋体" w:hAnsi="宋体"/>
          <w:bCs/>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ascii="宋体" w:hAnsi="宋体"/>
          <w:bCs/>
          <w:sz w:val="24"/>
          <w:highlight w:val="none"/>
        </w:rPr>
      </w:r>
      <w:r/>
    </w:p>
    <w:p>
      <w:pPr>
        <w:pStyle w:val="967"/>
        <w:ind w:firstLine="480"/>
        <w:spacing w:line="460" w:lineRule="exact"/>
        <w:rPr>
          <w:rFonts w:ascii="宋体" w:hAnsi="宋体"/>
          <w:bCs/>
          <w:sz w:val="24"/>
          <w:highlight w:val="none"/>
        </w:rPr>
      </w:pPr>
      <w:r>
        <w:rPr>
          <w:rFonts w:ascii="宋体" w:hAnsi="宋体"/>
          <w:bCs/>
          <w:sz w:val="24"/>
          <w:highlight w:val="none"/>
        </w:rPr>
        <w:t xml:space="preserve">非单一产品采购项目，确定核心产品的方法在招标文件技术需求中载明。多家投标人提供的核心产品品牌相同的，按前两款规定处理。</w:t>
      </w:r>
      <w:r>
        <w:rPr>
          <w:rFonts w:ascii="宋体" w:hAnsi="宋体"/>
          <w:b/>
          <w:sz w:val="24"/>
          <w:highlight w:val="none"/>
        </w:rPr>
        <w:t xml:space="preserve">（本项目核心产品详见技术需求）</w:t>
      </w:r>
      <w:r>
        <w:rPr>
          <w:rFonts w:ascii="宋体" w:hAnsi="宋体"/>
          <w:bCs/>
          <w:sz w:val="24"/>
          <w:highlight w:val="none"/>
        </w:rPr>
      </w:r>
      <w:r/>
    </w:p>
    <w:p>
      <w:pPr>
        <w:pStyle w:val="967"/>
        <w:ind w:firstLine="540"/>
        <w:spacing w:line="460" w:lineRule="exact"/>
        <w:rPr>
          <w:rFonts w:hint="eastAsia" w:ascii="宋体" w:hAnsi="宋体"/>
          <w:sz w:val="24"/>
          <w:highlight w:val="none"/>
        </w:rPr>
      </w:pPr>
      <w:r>
        <w:rPr>
          <w:rFonts w:hint="eastAsia" w:ascii="宋体" w:hAnsi="宋体"/>
          <w:sz w:val="24"/>
          <w:highlight w:val="none"/>
        </w:rPr>
        <w:t xml:space="preserve">25.7投标人在开、评标全过程中应保持通讯畅通，及时登录</w:t>
      </w:r>
      <w:r>
        <w:rPr>
          <w:rFonts w:hint="eastAsia" w:ascii="宋体" w:hAnsi="宋体"/>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并安排专人与采购代理机构及评标委员会联系。</w:t>
      </w:r>
      <w:r>
        <w:rPr>
          <w:rFonts w:hint="eastAsia" w:ascii="宋体" w:hAnsi="宋体"/>
          <w:sz w:val="24"/>
          <w:highlight w:val="none"/>
        </w:rPr>
      </w:r>
      <w:r/>
    </w:p>
    <w:p>
      <w:pPr>
        <w:pStyle w:val="971"/>
        <w:spacing w:before="0" w:after="0" w:line="240" w:lineRule="auto"/>
        <w:rPr>
          <w:rFonts w:hint="eastAsia"/>
          <w:b w:val="0"/>
          <w:bCs w:val="0"/>
          <w:highlight w:val="none"/>
        </w:rPr>
      </w:pPr>
      <w:r>
        <w:rPr>
          <w:rFonts w:hint="eastAsia"/>
          <w:b w:val="0"/>
          <w:bCs w:val="0"/>
          <w:highlight w:val="none"/>
        </w:rPr>
        <w:t xml:space="preserve">26、</w:t>
      </w:r>
      <w:bookmarkEnd w:id="161"/>
      <w:r/>
      <w:bookmarkEnd w:id="162"/>
      <w:r/>
      <w:bookmarkEnd w:id="163"/>
      <w:r>
        <w:rPr>
          <w:rFonts w:hint="eastAsia"/>
          <w:b w:val="0"/>
          <w:bCs w:val="0"/>
          <w:highlight w:val="none"/>
        </w:rPr>
        <w:t xml:space="preserve">无效投标条款和废标条款</w:t>
      </w:r>
      <w:r>
        <w:rPr>
          <w:rFonts w:hint="eastAsia"/>
          <w:b w:val="0"/>
          <w:bCs w:val="0"/>
          <w:highlight w:val="none"/>
        </w:rPr>
      </w:r>
      <w:r/>
    </w:p>
    <w:p>
      <w:pPr>
        <w:pStyle w:val="967"/>
        <w:ind w:left="479"/>
        <w:spacing w:line="440" w:lineRule="exact"/>
        <w:rPr>
          <w:rFonts w:hint="eastAsia" w:ascii="宋体" w:hAnsi="宋体"/>
          <w:bCs/>
          <w:sz w:val="24"/>
          <w:highlight w:val="none"/>
        </w:rPr>
      </w:pPr>
      <w:r/>
      <w:bookmarkStart w:id="164" w:name="_Toc513029235"/>
      <w:r/>
      <w:bookmarkStart w:id="165" w:name="_Toc16938551"/>
      <w:r/>
      <w:bookmarkStart w:id="166" w:name="_Toc20823307"/>
      <w:r>
        <w:rPr>
          <w:rFonts w:hint="eastAsia" w:ascii="宋体" w:hAnsi="宋体"/>
          <w:bCs/>
          <w:sz w:val="24"/>
          <w:highlight w:val="none"/>
        </w:rPr>
        <w:t xml:space="preserve">26.1无效投标条款</w:t>
      </w:r>
      <w:r>
        <w:rPr>
          <w:rFonts w:hint="eastAsia" w:ascii="宋体" w:hAnsi="宋体"/>
          <w:bCs/>
          <w:sz w:val="24"/>
          <w:highlight w:val="none"/>
        </w:rPr>
      </w:r>
      <w:r/>
    </w:p>
    <w:p>
      <w:pPr>
        <w:pStyle w:val="967"/>
        <w:ind w:firstLine="480"/>
        <w:spacing w:line="44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规定的时间内未成功解密电子投标文件的。</w:t>
      </w:r>
      <w:r>
        <w:rPr>
          <w:rFonts w:hint="eastAsia" w:ascii="宋体" w:hAnsi="宋体"/>
          <w:bCs/>
          <w:sz w:val="24"/>
          <w:szCs w:val="24"/>
          <w:highlight w:val="none"/>
        </w:rPr>
      </w:r>
      <w:r/>
    </w:p>
    <w:p>
      <w:pPr>
        <w:pStyle w:val="967"/>
        <w:ind w:firstLine="480"/>
        <w:spacing w:line="440" w:lineRule="exact"/>
        <w:rPr>
          <w:rFonts w:hint="eastAsia" w:ascii="宋体" w:hAnsi="宋体"/>
          <w:bCs/>
          <w:sz w:val="24"/>
          <w:highlight w:val="none"/>
        </w:rPr>
      </w:pPr>
      <w:r>
        <w:rPr>
          <w:rFonts w:hint="eastAsia" w:ascii="宋体" w:hAnsi="宋体"/>
          <w:bCs/>
          <w:sz w:val="24"/>
          <w:highlight w:val="none"/>
        </w:rPr>
        <w:t xml:space="preserve">26.1.2 投标人未按照招标文件要求上传电子投标文件的。</w:t>
      </w:r>
      <w:r>
        <w:rPr>
          <w:rFonts w:hint="eastAsia" w:ascii="宋体" w:hAnsi="宋体"/>
          <w:bCs/>
          <w:sz w:val="24"/>
          <w:highlight w:val="none"/>
        </w:rPr>
      </w:r>
      <w:r/>
    </w:p>
    <w:p>
      <w:pPr>
        <w:pStyle w:val="967"/>
        <w:ind w:left="479"/>
        <w:spacing w:line="440" w:lineRule="exact"/>
        <w:rPr>
          <w:rFonts w:hint="eastAsia" w:ascii="宋体" w:hAnsi="宋体"/>
          <w:bCs/>
          <w:sz w:val="24"/>
          <w:highlight w:val="none"/>
        </w:rPr>
      </w:pPr>
      <w:r>
        <w:rPr>
          <w:rFonts w:hint="eastAsia" w:ascii="宋体" w:hAnsi="宋体"/>
          <w:bCs/>
          <w:sz w:val="24"/>
          <w:highlight w:val="none"/>
        </w:rPr>
        <w:t xml:space="preserve">26.1.3同一投标人提交两个（含两个）以上不同的投标报价的。</w:t>
      </w:r>
      <w:r>
        <w:rPr>
          <w:rFonts w:hint="eastAsia" w:ascii="宋体" w:hAnsi="宋体"/>
          <w:bCs/>
          <w:sz w:val="24"/>
          <w:highlight w:val="none"/>
        </w:rPr>
      </w:r>
      <w:r/>
    </w:p>
    <w:p>
      <w:pPr>
        <w:pStyle w:val="967"/>
        <w:ind w:left="479"/>
        <w:spacing w:line="440" w:lineRule="exact"/>
        <w:rPr>
          <w:rFonts w:hint="eastAsia" w:ascii="宋体" w:hAnsi="宋体"/>
          <w:bCs/>
          <w:sz w:val="24"/>
          <w:highlight w:val="none"/>
        </w:rPr>
      </w:pPr>
      <w:r>
        <w:rPr>
          <w:rFonts w:hint="eastAsia" w:ascii="宋体" w:hAnsi="宋体"/>
          <w:bCs/>
          <w:sz w:val="24"/>
          <w:highlight w:val="none"/>
        </w:rPr>
        <w:t xml:space="preserve">26.1.4投标人不具备招标文件中规定资格要求的。</w:t>
      </w:r>
      <w:r>
        <w:rPr>
          <w:rFonts w:hint="eastAsia" w:ascii="宋体" w:hAnsi="宋体"/>
          <w:bCs/>
          <w:sz w:val="24"/>
          <w:highlight w:val="none"/>
        </w:rPr>
      </w:r>
      <w:r/>
    </w:p>
    <w:p>
      <w:pPr>
        <w:pStyle w:val="967"/>
        <w:ind w:firstLine="480"/>
        <w:spacing w:line="440" w:lineRule="exact"/>
        <w:rPr>
          <w:rFonts w:hint="eastAsia" w:ascii="宋体" w:hAnsi="宋体"/>
          <w:bCs/>
          <w:sz w:val="24"/>
          <w:highlight w:val="none"/>
        </w:rPr>
      </w:pPr>
      <w:r>
        <w:rPr>
          <w:rFonts w:hint="eastAsia" w:ascii="宋体" w:hAnsi="宋体"/>
          <w:bCs/>
          <w:sz w:val="24"/>
          <w:highlight w:val="none"/>
        </w:rPr>
        <w:t xml:space="preserve">26.1.5投标人的报价超过了采购预算或最高限价的。</w:t>
      </w:r>
      <w:r>
        <w:rPr>
          <w:rFonts w:hint="eastAsia" w:ascii="宋体" w:hAnsi="宋体"/>
          <w:bCs/>
          <w:sz w:val="24"/>
          <w:highlight w:val="none"/>
        </w:rPr>
      </w:r>
      <w:r/>
    </w:p>
    <w:p>
      <w:pPr>
        <w:pStyle w:val="967"/>
        <w:ind w:firstLine="480"/>
        <w:spacing w:line="440" w:lineRule="exact"/>
        <w:rPr>
          <w:rFonts w:hint="eastAsia" w:ascii="宋体" w:hAnsi="宋体"/>
          <w:bCs/>
          <w:i/>
          <w:sz w:val="24"/>
          <w:highlight w:val="none"/>
          <w:u w:val="single"/>
        </w:rPr>
      </w:pPr>
      <w:r>
        <w:rPr>
          <w:rFonts w:hint="eastAsia" w:ascii="宋体" w:hAnsi="宋体"/>
          <w:bCs/>
          <w:sz w:val="24"/>
          <w:highlight w:val="none"/>
        </w:rPr>
        <w:t xml:space="preserve">26.1.6</w:t>
      </w:r>
      <w:r>
        <w:rPr>
          <w:rFonts w:hint="eastAsia" w:ascii="宋体" w:hAnsi="宋体"/>
          <w:bCs/>
          <w:sz w:val="24"/>
          <w:highlight w:val="none"/>
          <w:u w:val="single"/>
        </w:rPr>
        <w:t xml:space="preserve">未通过符合性审查的</w:t>
      </w:r>
      <w:r>
        <w:rPr>
          <w:rFonts w:hint="eastAsia" w:ascii="宋体" w:hAnsi="宋体"/>
          <w:bCs/>
          <w:sz w:val="24"/>
          <w:highlight w:val="none"/>
        </w:rPr>
        <w:t xml:space="preserve">。</w:t>
      </w:r>
      <w:r>
        <w:rPr>
          <w:rFonts w:hint="eastAsia" w:ascii="宋体" w:hAnsi="宋体"/>
          <w:bCs/>
          <w:i/>
          <w:sz w:val="24"/>
          <w:highlight w:val="none"/>
          <w:u w:val="single"/>
        </w:rPr>
      </w:r>
      <w:r/>
    </w:p>
    <w:p>
      <w:pPr>
        <w:pStyle w:val="967"/>
        <w:ind w:firstLine="360"/>
        <w:spacing w:line="440" w:lineRule="exact"/>
        <w:rPr>
          <w:rFonts w:hint="eastAsia" w:ascii="宋体" w:hAnsi="宋体"/>
          <w:bCs/>
          <w:i/>
          <w:sz w:val="24"/>
          <w:highlight w:val="none"/>
          <w:u w:val="single"/>
        </w:rPr>
      </w:pPr>
      <w:r>
        <w:rPr>
          <w:rFonts w:hint="eastAsia" w:ascii="宋体" w:hAnsi="宋体"/>
          <w:bCs/>
          <w:sz w:val="24"/>
          <w:highlight w:val="none"/>
        </w:rPr>
        <w:t xml:space="preserve"> 26.1.7不符合招标文件中规定的实质性要求和条件的（</w:t>
      </w:r>
      <w:r>
        <w:rPr>
          <w:rFonts w:hint="eastAsia" w:ascii="宋体" w:hAnsi="宋体"/>
          <w:b/>
          <w:i/>
          <w:sz w:val="24"/>
          <w:highlight w:val="none"/>
          <w:u w:val="single"/>
        </w:rPr>
        <w:t xml:space="preserve">本招标文件中斜体且有下划线部分为实质性要求和条件</w:t>
      </w:r>
      <w:r>
        <w:rPr>
          <w:rFonts w:hint="eastAsia" w:ascii="宋体" w:hAnsi="宋体"/>
          <w:bCs/>
          <w:i/>
          <w:sz w:val="24"/>
          <w:highlight w:val="none"/>
          <w:u w:val="single"/>
        </w:rPr>
        <w:t xml:space="preserve">）。</w:t>
      </w:r>
      <w:r>
        <w:rPr>
          <w:rFonts w:hint="eastAsia" w:ascii="宋体" w:hAnsi="宋体"/>
          <w:bCs/>
          <w:i/>
          <w:sz w:val="24"/>
          <w:highlight w:val="none"/>
          <w:u w:val="single"/>
        </w:rPr>
      </w:r>
      <w:r/>
    </w:p>
    <w:p>
      <w:pPr>
        <w:pStyle w:val="967"/>
        <w:ind w:firstLine="480"/>
        <w:spacing w:line="440" w:lineRule="exact"/>
        <w:rPr>
          <w:rFonts w:hint="eastAsia" w:ascii="宋体" w:hAnsi="宋体"/>
          <w:bCs/>
          <w:sz w:val="24"/>
          <w:highlight w:val="none"/>
        </w:rPr>
      </w:pPr>
      <w:r>
        <w:rPr>
          <w:rFonts w:hint="eastAsia" w:ascii="宋体" w:hAnsi="宋体"/>
          <w:bCs/>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highlight w:val="none"/>
        </w:rPr>
      </w:r>
      <w:r/>
    </w:p>
    <w:p>
      <w:pPr>
        <w:pStyle w:val="967"/>
        <w:ind w:firstLine="480"/>
        <w:spacing w:line="440" w:lineRule="exact"/>
        <w:rPr>
          <w:rFonts w:hint="eastAsia" w:ascii="宋体" w:hAnsi="宋体"/>
          <w:bCs/>
          <w:sz w:val="24"/>
          <w:highlight w:val="none"/>
        </w:rPr>
      </w:pPr>
      <w:r>
        <w:rPr>
          <w:rFonts w:hint="eastAsia" w:ascii="宋体" w:hAnsi="宋体"/>
          <w:bCs/>
          <w:sz w:val="24"/>
          <w:highlight w:val="none"/>
        </w:rPr>
        <w:t xml:space="preserve">26.1.9 投标文件含有采购人不能接受的附加条件的。</w:t>
      </w:r>
      <w:r>
        <w:rPr>
          <w:rFonts w:hint="eastAsia" w:ascii="宋体" w:hAnsi="宋体"/>
          <w:bCs/>
          <w:sz w:val="24"/>
          <w:highlight w:val="none"/>
        </w:rPr>
      </w:r>
      <w:r/>
    </w:p>
    <w:p>
      <w:pPr>
        <w:pStyle w:val="967"/>
        <w:ind w:firstLine="480"/>
        <w:spacing w:line="440" w:lineRule="exact"/>
        <w:rPr>
          <w:rFonts w:hint="eastAsia" w:ascii="宋体" w:hAnsi="宋体"/>
          <w:bCs/>
          <w:sz w:val="24"/>
          <w:highlight w:val="none"/>
        </w:rPr>
      </w:pPr>
      <w:r>
        <w:rPr>
          <w:rFonts w:hint="eastAsia" w:ascii="宋体" w:hAnsi="宋体"/>
          <w:bCs/>
          <w:sz w:val="24"/>
          <w:highlight w:val="none"/>
        </w:rPr>
        <w:t xml:space="preserve">26.1.10评标委员会认为投标人的报价明显低于其他通过符合性审查投标人的报价，有可能影响产品质量或者不能诚信履约的，将通过</w:t>
      </w:r>
      <w:r>
        <w:rPr>
          <w:rFonts w:hint="eastAsia" w:ascii="宋体" w:hAnsi="宋体"/>
          <w:sz w:val="24"/>
          <w:szCs w:val="24"/>
          <w:highlight w:val="none"/>
        </w:rPr>
        <w:t xml:space="preserve">苏采云系统</w:t>
      </w:r>
      <w:r>
        <w:rPr>
          <w:rFonts w:hint="eastAsia" w:ascii="宋体" w:hAnsi="宋体"/>
          <w:bCs/>
          <w:sz w:val="24"/>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sz w:val="24"/>
          <w:highlight w:val="none"/>
        </w:rPr>
      </w:r>
      <w:r/>
    </w:p>
    <w:p>
      <w:pPr>
        <w:pStyle w:val="967"/>
        <w:ind w:firstLine="480"/>
        <w:spacing w:line="440" w:lineRule="exact"/>
        <w:rPr>
          <w:rFonts w:hint="eastAsia" w:ascii="宋体" w:hAnsi="宋体"/>
          <w:bCs/>
          <w:sz w:val="24"/>
          <w:highlight w:val="none"/>
        </w:rPr>
      </w:pPr>
      <w:r>
        <w:rPr>
          <w:rFonts w:hint="eastAsia" w:ascii="宋体" w:hAnsi="宋体"/>
          <w:bCs/>
          <w:sz w:val="24"/>
          <w:highlight w:val="none"/>
        </w:rPr>
        <w:t xml:space="preserve">26.1.11 投标文件未按照招标文件要求加盖CA</w:t>
      </w:r>
      <w:r>
        <w:rPr>
          <w:rFonts w:ascii="宋体" w:hAnsi="宋体"/>
          <w:bCs/>
          <w:sz w:val="24"/>
          <w:highlight w:val="none"/>
        </w:rPr>
        <w:t xml:space="preserve">电子公章的</w:t>
      </w:r>
      <w:r>
        <w:rPr>
          <w:rFonts w:hint="eastAsia" w:ascii="宋体" w:hAnsi="宋体"/>
          <w:bCs/>
          <w:sz w:val="24"/>
          <w:highlight w:val="none"/>
        </w:rPr>
        <w:t xml:space="preserve">。</w:t>
      </w:r>
      <w:r>
        <w:rPr>
          <w:rFonts w:hint="eastAsia" w:ascii="宋体" w:hAnsi="宋体"/>
          <w:bCs/>
          <w:sz w:val="24"/>
          <w:highlight w:val="none"/>
        </w:rPr>
      </w:r>
      <w:r/>
    </w:p>
    <w:p>
      <w:pPr>
        <w:pStyle w:val="967"/>
        <w:ind w:firstLine="480"/>
        <w:spacing w:line="480" w:lineRule="exact"/>
        <w:rPr>
          <w:rFonts w:hint="eastAsia" w:ascii="宋体" w:hAnsi="宋体"/>
          <w:bCs/>
          <w:sz w:val="24"/>
          <w:highlight w:val="none"/>
        </w:rPr>
      </w:pPr>
      <w:r>
        <w:rPr>
          <w:rFonts w:hint="eastAsia" w:ascii="宋体" w:hAnsi="宋体"/>
          <w:bCs/>
          <w:sz w:val="24"/>
          <w:highlight w:val="none"/>
        </w:rPr>
        <w:t xml:space="preserve">26.1.12投标人的商务技术部分得分相差异常悬殊，评标委员会一致认为得分畸低者有可能影响产品质量或者不能诚信履约的。</w:t>
      </w:r>
      <w:r>
        <w:rPr>
          <w:rFonts w:hint="eastAsia" w:ascii="宋体" w:hAnsi="宋体"/>
          <w:bCs/>
          <w:sz w:val="24"/>
          <w:highlight w:val="none"/>
        </w:rPr>
      </w:r>
      <w:r/>
    </w:p>
    <w:p>
      <w:pPr>
        <w:pStyle w:val="967"/>
        <w:ind w:firstLine="480"/>
        <w:spacing w:line="440" w:lineRule="exact"/>
        <w:rPr>
          <w:rFonts w:hint="eastAsia" w:ascii="宋体" w:hAnsi="宋体"/>
          <w:bCs/>
          <w:sz w:val="24"/>
          <w:highlight w:val="none"/>
        </w:rPr>
      </w:pPr>
      <w:r>
        <w:rPr>
          <w:rFonts w:hint="eastAsia" w:ascii="宋体" w:hAnsi="宋体"/>
          <w:bCs/>
          <w:sz w:val="24"/>
          <w:highlight w:val="none"/>
        </w:rPr>
        <w:t xml:space="preserve">26.1.13其他法律、法规及本招标文件规定的属无效投标的情形。</w:t>
      </w:r>
      <w:r>
        <w:rPr>
          <w:rFonts w:hint="eastAsia" w:ascii="宋体" w:hAnsi="宋体"/>
          <w:bCs/>
          <w:sz w:val="24"/>
          <w:highlight w:val="none"/>
        </w:rPr>
      </w:r>
      <w:r/>
    </w:p>
    <w:p>
      <w:pPr>
        <w:pStyle w:val="967"/>
        <w:ind w:left="479"/>
        <w:spacing w:line="440" w:lineRule="exact"/>
        <w:rPr>
          <w:rFonts w:hint="eastAsia" w:ascii="宋体" w:hAnsi="宋体"/>
          <w:bCs/>
          <w:sz w:val="24"/>
          <w:highlight w:val="none"/>
        </w:rPr>
      </w:pPr>
      <w:r>
        <w:rPr>
          <w:rFonts w:hint="eastAsia" w:ascii="宋体" w:hAnsi="宋体"/>
          <w:bCs/>
          <w:sz w:val="24"/>
          <w:highlight w:val="none"/>
        </w:rPr>
        <w:t xml:space="preserve">26.2废标条款</w:t>
      </w:r>
      <w:r>
        <w:rPr>
          <w:rFonts w:hint="eastAsia" w:ascii="宋体" w:hAnsi="宋体"/>
          <w:bCs/>
          <w:sz w:val="24"/>
          <w:highlight w:val="none"/>
        </w:rPr>
      </w:r>
      <w:r/>
    </w:p>
    <w:p>
      <w:pPr>
        <w:pStyle w:val="967"/>
        <w:ind w:left="479"/>
        <w:spacing w:line="440" w:lineRule="exact"/>
        <w:rPr>
          <w:rFonts w:hint="eastAsia" w:ascii="宋体" w:hAnsi="宋体"/>
          <w:bCs/>
          <w:sz w:val="24"/>
          <w:highlight w:val="none"/>
        </w:rPr>
      </w:pPr>
      <w:r>
        <w:rPr>
          <w:rFonts w:hint="eastAsia" w:ascii="宋体" w:hAnsi="宋体"/>
          <w:bCs/>
          <w:sz w:val="24"/>
          <w:highlight w:val="none"/>
        </w:rPr>
        <w:t xml:space="preserve">26.2.1符合专业条件的投标人或者对招标文件作实质响应的投标人不足三家的。</w:t>
      </w:r>
      <w:r>
        <w:rPr>
          <w:rFonts w:hint="eastAsia" w:ascii="宋体" w:hAnsi="宋体"/>
          <w:bCs/>
          <w:sz w:val="24"/>
          <w:highlight w:val="none"/>
        </w:rPr>
      </w:r>
      <w:r/>
    </w:p>
    <w:p>
      <w:pPr>
        <w:pStyle w:val="967"/>
        <w:ind w:left="479"/>
        <w:spacing w:line="440" w:lineRule="exact"/>
        <w:rPr>
          <w:rFonts w:hint="eastAsia" w:ascii="宋体" w:hAnsi="宋体"/>
          <w:bCs/>
          <w:sz w:val="24"/>
          <w:highlight w:val="none"/>
        </w:rPr>
      </w:pPr>
      <w:r>
        <w:rPr>
          <w:rFonts w:hint="eastAsia" w:ascii="宋体" w:hAnsi="宋体"/>
          <w:bCs/>
          <w:sz w:val="24"/>
          <w:highlight w:val="none"/>
        </w:rPr>
        <w:t xml:space="preserve">26.2.2出现影响采购公正的违法、违规行为的。</w:t>
      </w:r>
      <w:r>
        <w:rPr>
          <w:rFonts w:hint="eastAsia" w:ascii="宋体" w:hAnsi="宋体"/>
          <w:bCs/>
          <w:sz w:val="24"/>
          <w:highlight w:val="none"/>
        </w:rPr>
      </w:r>
      <w:r/>
    </w:p>
    <w:p>
      <w:pPr>
        <w:pStyle w:val="967"/>
        <w:ind w:left="479"/>
        <w:spacing w:line="440" w:lineRule="exact"/>
        <w:rPr>
          <w:rFonts w:hint="eastAsia" w:ascii="宋体" w:hAnsi="宋体"/>
          <w:bCs/>
          <w:sz w:val="24"/>
          <w:highlight w:val="none"/>
        </w:rPr>
      </w:pPr>
      <w:r>
        <w:rPr>
          <w:rFonts w:hint="eastAsia" w:ascii="宋体" w:hAnsi="宋体"/>
          <w:bCs/>
          <w:sz w:val="24"/>
          <w:highlight w:val="none"/>
        </w:rPr>
        <w:t xml:space="preserve">26.2.3因重大变故，采购任务取消的。</w:t>
      </w:r>
      <w:r>
        <w:rPr>
          <w:rFonts w:hint="eastAsia" w:ascii="宋体" w:hAnsi="宋体"/>
          <w:bCs/>
          <w:sz w:val="24"/>
          <w:highlight w:val="none"/>
        </w:rPr>
      </w:r>
      <w:r/>
    </w:p>
    <w:p>
      <w:pPr>
        <w:pStyle w:val="967"/>
        <w:ind w:left="479"/>
        <w:spacing w:line="440" w:lineRule="exact"/>
        <w:rPr>
          <w:rFonts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rPr>
          <w:rFonts w:ascii="宋体" w:hAnsi="宋体"/>
          <w:bCs/>
          <w:sz w:val="24"/>
          <w:highlight w:val="none"/>
        </w:rPr>
      </w:r>
      <w:r/>
    </w:p>
    <w:p>
      <w:pPr>
        <w:pStyle w:val="967"/>
        <w:ind w:left="479"/>
        <w:spacing w:line="440" w:lineRule="exact"/>
        <w:rPr>
          <w:rFonts w:hint="eastAsia" w:ascii="宋体" w:hAnsi="宋体"/>
          <w:bCs/>
          <w:sz w:val="24"/>
          <w:highlight w:val="none"/>
        </w:rPr>
      </w:pPr>
      <w:r>
        <w:rPr>
          <w:rFonts w:hint="eastAsia" w:ascii="宋体" w:hAnsi="宋体"/>
          <w:bCs/>
          <w:sz w:val="24"/>
          <w:highlight w:val="none"/>
        </w:rPr>
        <w:t xml:space="preserve">26.2.5 因</w:t>
      </w:r>
      <w:r>
        <w:rPr>
          <w:rFonts w:hint="eastAsia" w:ascii="宋体" w:hAnsi="宋体"/>
          <w:sz w:val="24"/>
          <w:szCs w:val="24"/>
          <w:highlight w:val="none"/>
        </w:rPr>
        <w:t xml:space="preserve">苏采云系统</w:t>
      </w:r>
      <w:r>
        <w:rPr>
          <w:rFonts w:ascii="宋体" w:hAnsi="宋体"/>
          <w:bCs/>
          <w:sz w:val="24"/>
          <w:highlight w:val="none"/>
        </w:rPr>
        <w:t xml:space="preserve">系统故障原因造成开标不成功</w:t>
      </w:r>
      <w:r>
        <w:rPr>
          <w:rFonts w:hint="eastAsia" w:ascii="宋体" w:hAnsi="宋体"/>
          <w:bCs/>
          <w:sz w:val="24"/>
          <w:highlight w:val="none"/>
        </w:rPr>
        <w:t xml:space="preserve">的</w:t>
      </w:r>
      <w:r>
        <w:rPr>
          <w:rFonts w:ascii="宋体" w:hAnsi="宋体"/>
          <w:bCs/>
          <w:sz w:val="24"/>
          <w:highlight w:val="none"/>
        </w:rPr>
        <w:t xml:space="preserve">。</w:t>
      </w:r>
      <w:r>
        <w:rPr>
          <w:rFonts w:hint="eastAsia" w:ascii="宋体" w:hAnsi="宋体"/>
          <w:bCs/>
          <w:sz w:val="24"/>
          <w:highlight w:val="none"/>
        </w:rPr>
      </w:r>
      <w:r/>
    </w:p>
    <w:p>
      <w:pPr>
        <w:pStyle w:val="967"/>
        <w:ind w:left="479"/>
        <w:spacing w:line="440" w:lineRule="exact"/>
        <w:rPr>
          <w:rFonts w:hint="eastAsia" w:ascii="宋体" w:hAnsi="宋体"/>
          <w:bCs/>
          <w:sz w:val="24"/>
          <w:highlight w:val="none"/>
        </w:rPr>
      </w:pPr>
      <w:r>
        <w:rPr>
          <w:rFonts w:hint="eastAsia" w:ascii="宋体" w:hAnsi="宋体"/>
          <w:bCs/>
          <w:sz w:val="24"/>
          <w:highlight w:val="none"/>
        </w:rPr>
        <w:t xml:space="preserve">26.3 投标截止时间结束后参加投标的投标人不足三家的处理：</w:t>
      </w:r>
      <w:r>
        <w:rPr>
          <w:rFonts w:hint="eastAsia" w:ascii="宋体" w:hAnsi="宋体"/>
          <w:bCs/>
          <w:sz w:val="24"/>
          <w:highlight w:val="none"/>
        </w:rPr>
      </w:r>
      <w:r/>
    </w:p>
    <w:p>
      <w:pPr>
        <w:pStyle w:val="967"/>
        <w:ind w:firstLine="480"/>
        <w:spacing w:line="440" w:lineRule="exact"/>
        <w:rPr>
          <w:rFonts w:hint="eastAsia" w:ascii="宋体" w:hAnsi="宋体"/>
          <w:bCs/>
          <w:sz w:val="24"/>
          <w:highlight w:val="none"/>
        </w:rPr>
      </w:pPr>
      <w:r>
        <w:rPr>
          <w:rFonts w:hint="eastAsia" w:ascii="宋体" w:hAnsi="宋体"/>
          <w:bCs/>
          <w:sz w:val="24"/>
          <w:highlight w:val="none"/>
        </w:rPr>
        <w:t xml:space="preserve">26.3.1如出现投标截止时间结束后参加投标的投标人或者在评标期间对招标文件做出实质响应的投标人不足三家情况，按政府采购相关规定执行。</w:t>
      </w:r>
      <w:r>
        <w:rPr>
          <w:rFonts w:hint="eastAsia" w:ascii="宋体" w:hAnsi="宋体"/>
          <w:bCs/>
          <w:sz w:val="24"/>
          <w:highlight w:val="none"/>
        </w:rPr>
      </w:r>
      <w:r/>
    </w:p>
    <w:p>
      <w:pPr>
        <w:pStyle w:val="970"/>
        <w:spacing w:before="145" w:after="145" w:line="360" w:lineRule="auto"/>
        <w:rPr>
          <w:rFonts w:hint="eastAsia"/>
          <w:highlight w:val="none"/>
        </w:rPr>
      </w:pPr>
      <w:r/>
      <w:bookmarkStart w:id="167" w:name="_Toc120614219"/>
      <w:r>
        <w:rPr>
          <w:rFonts w:hint="eastAsia"/>
          <w:highlight w:val="none"/>
        </w:rPr>
        <w:t xml:space="preserve">六、</w:t>
      </w:r>
      <w:bookmarkEnd w:id="164"/>
      <w:r/>
      <w:bookmarkEnd w:id="165"/>
      <w:r/>
      <w:bookmarkEnd w:id="166"/>
      <w:r>
        <w:rPr>
          <w:rFonts w:hint="eastAsia"/>
          <w:highlight w:val="none"/>
        </w:rPr>
        <w:t xml:space="preserve">定标</w:t>
      </w:r>
      <w:bookmarkEnd w:id="167"/>
      <w:r>
        <w:rPr>
          <w:rFonts w:hint="eastAsia"/>
          <w:highlight w:val="none"/>
        </w:rPr>
      </w:r>
      <w:r/>
    </w:p>
    <w:p>
      <w:pPr>
        <w:pStyle w:val="971"/>
        <w:spacing w:before="0" w:after="0" w:line="240" w:lineRule="auto"/>
        <w:rPr>
          <w:rFonts w:hint="eastAsia" w:ascii="黑体" w:hAnsi="宋体"/>
          <w:b w:val="0"/>
          <w:sz w:val="30"/>
          <w:szCs w:val="30"/>
          <w:highlight w:val="none"/>
        </w:rPr>
      </w:pPr>
      <w:r/>
      <w:bookmarkStart w:id="168" w:name="_Toc513029238"/>
      <w:r/>
      <w:bookmarkStart w:id="169" w:name="_Toc20823310"/>
      <w:r/>
      <w:bookmarkStart w:id="170" w:name="_Toc16938554"/>
      <w:r>
        <w:rPr>
          <w:rFonts w:hint="eastAsia" w:ascii="黑体" w:hAnsi="宋体"/>
          <w:b w:val="0"/>
          <w:sz w:val="30"/>
          <w:szCs w:val="30"/>
          <w:highlight w:val="none"/>
        </w:rPr>
        <w:t xml:space="preserve">27、</w:t>
      </w:r>
      <w:bookmarkEnd w:id="168"/>
      <w:r>
        <w:rPr>
          <w:rFonts w:hint="eastAsia" w:ascii="黑体" w:hAnsi="宋体"/>
          <w:b w:val="0"/>
          <w:sz w:val="30"/>
          <w:szCs w:val="30"/>
          <w:highlight w:val="none"/>
        </w:rPr>
        <w:t xml:space="preserve">确定</w:t>
      </w:r>
      <w:bookmarkEnd w:id="169"/>
      <w:r/>
      <w:bookmarkEnd w:id="170"/>
      <w:r>
        <w:rPr>
          <w:rFonts w:hint="eastAsia" w:ascii="黑体" w:hAnsi="宋体"/>
          <w:b w:val="0"/>
          <w:sz w:val="30"/>
          <w:szCs w:val="30"/>
          <w:highlight w:val="none"/>
        </w:rPr>
        <w:t xml:space="preserve">中标单位</w:t>
      </w:r>
      <w:r>
        <w:rPr>
          <w:rFonts w:hint="eastAsia" w:ascii="黑体" w:hAnsi="宋体"/>
          <w:b w:val="0"/>
          <w:sz w:val="30"/>
          <w:szCs w:val="30"/>
          <w:highlight w:val="none"/>
        </w:rPr>
      </w:r>
      <w:r/>
    </w:p>
    <w:p>
      <w:pPr>
        <w:pStyle w:val="967"/>
        <w:ind w:firstLine="480"/>
        <w:spacing w:line="440" w:lineRule="exact"/>
        <w:rPr>
          <w:rFonts w:hint="eastAsia" w:ascii="宋体" w:hAnsi="宋体"/>
          <w:bCs/>
          <w:sz w:val="24"/>
          <w:highlight w:val="none"/>
        </w:rPr>
      </w:pPr>
      <w:r>
        <w:rPr>
          <w:rFonts w:hint="eastAsia" w:ascii="宋体" w:hAnsi="宋体"/>
          <w:bCs/>
          <w:sz w:val="24"/>
          <w:highlight w:val="none"/>
        </w:rPr>
        <w:t xml:space="preserve">27.1中标候选人的选取原则和数量见招标文件第五章规定。 </w:t>
      </w:r>
      <w:r>
        <w:rPr>
          <w:rFonts w:hint="eastAsia" w:ascii="宋体" w:hAnsi="宋体"/>
          <w:bCs/>
          <w:sz w:val="24"/>
          <w:highlight w:val="none"/>
        </w:rPr>
      </w:r>
      <w:r/>
    </w:p>
    <w:p>
      <w:pPr>
        <w:pStyle w:val="967"/>
        <w:ind w:firstLine="480"/>
        <w:spacing w:line="440" w:lineRule="exact"/>
        <w:rPr>
          <w:rFonts w:hint="eastAsia" w:ascii="宋体" w:hAnsi="宋体"/>
          <w:bCs/>
          <w:sz w:val="24"/>
          <w:highlight w:val="none"/>
        </w:rPr>
      </w:pPr>
      <w:r>
        <w:rPr>
          <w:rFonts w:hint="eastAsia" w:ascii="宋体" w:hAnsi="宋体"/>
          <w:bCs/>
          <w:sz w:val="24"/>
          <w:highlight w:val="none"/>
        </w:rPr>
        <w:t xml:space="preserve">27.2 采购人应根据评委会推荐的中标候选人确定中标人。</w:t>
      </w:r>
      <w:r>
        <w:rPr>
          <w:rFonts w:hint="eastAsia" w:ascii="宋体" w:hAnsi="宋体"/>
          <w:bCs/>
          <w:sz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27.3 </w:t>
      </w:r>
      <w:r>
        <w:rPr>
          <w:rFonts w:hint="eastAsia" w:ascii="宋体" w:hAnsi="宋体"/>
          <w:sz w:val="24"/>
          <w:szCs w:val="24"/>
          <w:highlight w:val="none"/>
        </w:rPr>
        <w:t xml:space="preserve">采购代理机构将在“江苏政府采购网”发布中标公告，公告期限为1个工作日。</w:t>
      </w:r>
      <w:r>
        <w:rPr>
          <w:rFonts w:hint="eastAsia"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27.4 若有充分证据证明，中标人出现下列情况之一的，一经查实，将被取消中标资格：</w:t>
      </w:r>
      <w:r>
        <w:rPr>
          <w:rFonts w:hint="eastAsia" w:ascii="宋体" w:hAnsi="宋体"/>
          <w:sz w:val="24"/>
          <w:szCs w:val="24"/>
          <w:highlight w:val="none"/>
        </w:rPr>
      </w:r>
      <w:r/>
    </w:p>
    <w:p>
      <w:pPr>
        <w:pStyle w:val="967"/>
        <w:contextualSpacing/>
        <w:ind w:firstLine="482"/>
        <w:spacing w:line="360" w:lineRule="auto"/>
        <w:rPr>
          <w:rFonts w:ascii="宋体" w:hAnsi="宋体" w:cs="宋体"/>
          <w:bCs/>
          <w:sz w:val="24"/>
          <w:szCs w:val="24"/>
          <w:highlight w:val="none"/>
        </w:rPr>
      </w:pPr>
      <w:r/>
      <w:bookmarkStart w:id="171" w:name="_Toc200451960"/>
      <w:r>
        <w:rPr>
          <w:rFonts w:hint="eastAsia" w:ascii="宋体" w:hAnsi="宋体" w:cs="宋体"/>
          <w:bCs/>
          <w:sz w:val="24"/>
          <w:szCs w:val="24"/>
          <w:highlight w:val="none"/>
        </w:rPr>
        <w:t xml:space="preserve">27.4.1提供虚假材料谋取中标的。</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27.4.2向招标人或招标代理机构行贿或者评审专家提供其他不正当利益的。</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27.4.3恶意竞争，报价明显低于其自身合理成本且又无法提供证明的。</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27.4.4属于本文件规定的无效条件，但在评审过程中又未被评标委员会发现的。</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27.4.5与评审专家、招标人、其他投标人或者招标代理机构工作人员恶意串通的。</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27.4.6采取不正当手段诋毁、排挤其他投标人的。</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27.4.7中标后无正当理由拒不与招标人签订政府采购合同或者未按照招标文件确定的事项签订政府采购合同的。</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27.4.8将政府采购合同转包的。</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27.5.有下列情形之一的，视为投标人串通参与投标，投标无效：</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27.5.1不同投标人的投标文件由同一单位或者个人编制；</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27.5.2不同投标人委托同一单位或者个人办理投标事宜；</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27.5.3不同投标人的投标文件载明的项目管理成员或者联系人员为同一人；</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27.5.4不同投标人的投标文件异常一致或者响应报价呈规律性差异；</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27.5.5不同投标人的投标文件相互混装。</w:t>
      </w:r>
      <w:r>
        <w:rPr>
          <w:rFonts w:ascii="宋体" w:hAnsi="宋体" w:cs="宋体"/>
          <w:bCs/>
          <w:sz w:val="24"/>
          <w:szCs w:val="24"/>
          <w:highlight w:val="none"/>
        </w:rPr>
      </w:r>
      <w:r/>
    </w:p>
    <w:p>
      <w:pPr>
        <w:pStyle w:val="971"/>
        <w:spacing w:before="0" w:after="0" w:line="240" w:lineRule="auto"/>
        <w:rPr>
          <w:rFonts w:hint="eastAsia" w:ascii="黑体" w:hAnsi="宋体"/>
          <w:b w:val="0"/>
          <w:sz w:val="30"/>
          <w:szCs w:val="30"/>
          <w:highlight w:val="none"/>
        </w:rPr>
      </w:pPr>
      <w:r>
        <w:rPr>
          <w:rFonts w:hint="eastAsia" w:ascii="黑体" w:hAnsi="宋体"/>
          <w:b w:val="0"/>
          <w:sz w:val="30"/>
          <w:szCs w:val="30"/>
          <w:highlight w:val="none"/>
        </w:rPr>
        <w:t xml:space="preserve">28、质疑处理</w:t>
      </w:r>
      <w:bookmarkEnd w:id="171"/>
      <w:r>
        <w:rPr>
          <w:rFonts w:hint="eastAsia" w:ascii="黑体" w:hAnsi="宋体"/>
          <w:b w:val="0"/>
          <w:sz w:val="30"/>
          <w:szCs w:val="30"/>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28.1 提出质疑的投标人应当是参与所质疑项目采购活动的投标人。潜在投标人依法获取其可质疑的采购文件的，可以对采购文件提出质疑。</w:t>
      </w:r>
      <w:r>
        <w:rPr>
          <w:rFonts w:hint="eastAsia"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sz w:val="24"/>
          <w:szCs w:val="24"/>
          <w:highlight w:val="none"/>
        </w:rPr>
      </w:r>
      <w:r/>
    </w:p>
    <w:p>
      <w:pPr>
        <w:pStyle w:val="967"/>
        <w:ind w:firstLine="480"/>
        <w:spacing w:line="480" w:lineRule="exact"/>
        <w:rPr>
          <w:rFonts w:hint="eastAsia" w:hAnsi="宋体" w:cs="宋体"/>
          <w:sz w:val="24"/>
          <w:szCs w:val="24"/>
          <w:highlight w:val="none"/>
        </w:rPr>
      </w:pPr>
      <w:r>
        <w:rPr>
          <w:rFonts w:hint="eastAsia" w:ascii="宋体" w:hAnsi="宋体"/>
          <w:sz w:val="24"/>
          <w:szCs w:val="24"/>
          <w:highlight w:val="none"/>
        </w:rPr>
        <w:t xml:space="preserve">28.2.1</w:t>
      </w:r>
      <w:r>
        <w:rPr>
          <w:rFonts w:hAnsi="宋体" w:cs="宋体"/>
          <w:sz w:val="24"/>
          <w:szCs w:val="24"/>
          <w:highlight w:val="none"/>
        </w:rPr>
        <w:t xml:space="preserve">对可以质疑的采购文件提出质疑的，为收到采购文件之日或者采购文件公告期限届满之日；</w:t>
      </w:r>
      <w:r>
        <w:rPr>
          <w:rFonts w:hint="eastAsia" w:hAnsi="宋体" w:cs="宋体"/>
          <w:sz w:val="24"/>
          <w:szCs w:val="24"/>
          <w:highlight w:val="none"/>
        </w:rPr>
      </w:r>
      <w:r/>
    </w:p>
    <w:p>
      <w:pPr>
        <w:pStyle w:val="967"/>
        <w:ind w:firstLine="480"/>
        <w:spacing w:line="480" w:lineRule="exact"/>
        <w:rPr>
          <w:rFonts w:hint="eastAsia" w:hAnsi="宋体" w:cs="宋体"/>
          <w:sz w:val="24"/>
          <w:szCs w:val="24"/>
          <w:highlight w:val="none"/>
        </w:rPr>
      </w:pPr>
      <w:r>
        <w:rPr>
          <w:rFonts w:hint="eastAsia" w:ascii="宋体" w:hAnsi="宋体"/>
          <w:sz w:val="24"/>
          <w:szCs w:val="24"/>
          <w:highlight w:val="none"/>
        </w:rPr>
        <w:t xml:space="preserve">28.2.2</w:t>
      </w:r>
      <w:r>
        <w:rPr>
          <w:rFonts w:hAnsi="宋体" w:cs="宋体"/>
          <w:sz w:val="24"/>
          <w:szCs w:val="24"/>
          <w:highlight w:val="none"/>
        </w:rPr>
        <w:t xml:space="preserve">对采购过程提出质疑的，为各采购程序环节结束之日；</w:t>
      </w:r>
      <w:r>
        <w:rPr>
          <w:rFonts w:hint="eastAsia" w:hAnsi="宋体" w:cs="宋体"/>
          <w:sz w:val="24"/>
          <w:szCs w:val="24"/>
          <w:highlight w:val="none"/>
        </w:rPr>
      </w:r>
      <w:r/>
    </w:p>
    <w:p>
      <w:pPr>
        <w:pStyle w:val="967"/>
        <w:ind w:firstLine="480"/>
        <w:spacing w:line="480" w:lineRule="exact"/>
        <w:rPr>
          <w:rFonts w:hint="eastAsia" w:hAnsi="宋体" w:cs="宋体"/>
          <w:sz w:val="24"/>
          <w:szCs w:val="24"/>
          <w:highlight w:val="none"/>
        </w:rPr>
      </w:pPr>
      <w:r>
        <w:rPr>
          <w:rFonts w:hint="eastAsia" w:ascii="宋体" w:hAnsi="宋体"/>
          <w:sz w:val="24"/>
          <w:szCs w:val="24"/>
          <w:highlight w:val="none"/>
        </w:rPr>
        <w:t xml:space="preserve">28.2.3</w:t>
      </w:r>
      <w:r>
        <w:rPr>
          <w:rFonts w:hAnsi="宋体" w:cs="宋体"/>
          <w:sz w:val="24"/>
          <w:szCs w:val="24"/>
          <w:highlight w:val="none"/>
        </w:rPr>
        <w:t xml:space="preserve">对中标或者成交结果提出质疑的，为中标或者成交结果公告期限届满之日。</w:t>
      </w:r>
      <w:r>
        <w:rPr>
          <w:rFonts w:hint="eastAsia" w:hAnsi="宋体" w:cs="宋体"/>
          <w:sz w:val="24"/>
          <w:szCs w:val="24"/>
          <w:highlight w:val="none"/>
        </w:rPr>
      </w:r>
      <w:r/>
    </w:p>
    <w:p>
      <w:pPr>
        <w:pStyle w:val="967"/>
        <w:ind w:firstLine="480"/>
        <w:spacing w:line="480" w:lineRule="exact"/>
        <w:rPr>
          <w:rFonts w:hint="eastAsia" w:hAnsi="宋体" w:cs="宋体"/>
          <w:sz w:val="24"/>
          <w:szCs w:val="24"/>
          <w:highlight w:val="none"/>
        </w:rPr>
      </w:pPr>
      <w:r>
        <w:rPr>
          <w:rFonts w:hint="eastAsia" w:hAnsi="宋体" w:cs="宋体"/>
          <w:sz w:val="24"/>
          <w:szCs w:val="24"/>
          <w:highlight w:val="none"/>
        </w:rPr>
        <w:t xml:space="preserve">投标人应当在法定质疑期内一次性提出针对同一采购程序环节的质疑。投标人如在法定期限内对同一采购程序环节提出多次质疑的，采购代理机构、</w:t>
      </w:r>
      <w:r>
        <w:rPr>
          <w:rFonts w:hAnsi="宋体" w:cs="宋体"/>
          <w:sz w:val="24"/>
          <w:szCs w:val="24"/>
          <w:highlight w:val="none"/>
        </w:rPr>
        <w:t xml:space="preserve">采购人</w:t>
      </w:r>
      <w:r>
        <w:rPr>
          <w:rFonts w:hint="eastAsia" w:hAnsi="宋体" w:cs="宋体"/>
          <w:sz w:val="24"/>
          <w:szCs w:val="24"/>
          <w:highlight w:val="none"/>
        </w:rPr>
        <w:t xml:space="preserve">将只对投标人第一次质疑作出答复。</w:t>
      </w:r>
      <w:r>
        <w:rPr>
          <w:rFonts w:hint="eastAsia" w:hAnsi="宋体" w:cs="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宋体" w:hAnsi="宋体"/>
          <w:sz w:val="24"/>
          <w:szCs w:val="24"/>
          <w:highlight w:val="none"/>
        </w:rPr>
      </w:r>
      <w:r/>
    </w:p>
    <w:p>
      <w:pPr>
        <w:pStyle w:val="967"/>
        <w:ind w:firstLine="480"/>
        <w:spacing w:line="480" w:lineRule="exact"/>
        <w:rPr>
          <w:rFonts w:ascii="宋体" w:hAnsi="宋体"/>
          <w:b/>
          <w:sz w:val="24"/>
          <w:szCs w:val="24"/>
          <w:highlight w:val="none"/>
        </w:rPr>
      </w:pPr>
      <w:r>
        <w:rPr>
          <w:rFonts w:hint="eastAsia" w:ascii="宋体" w:hAnsi="宋体"/>
          <w:sz w:val="24"/>
          <w:szCs w:val="24"/>
          <w:highlight w:val="none"/>
        </w:rPr>
        <w:t xml:space="preserve">28.4投标人（含</w:t>
      </w:r>
      <w:r>
        <w:rPr>
          <w:rFonts w:ascii="宋体" w:hAnsi="宋体"/>
          <w:sz w:val="24"/>
          <w:szCs w:val="24"/>
          <w:highlight w:val="none"/>
        </w:rPr>
        <w:t xml:space="preserve">潜在</w:t>
      </w:r>
      <w:r>
        <w:rPr>
          <w:rFonts w:hint="eastAsia" w:ascii="宋体" w:hAnsi="宋体"/>
          <w:sz w:val="24"/>
          <w:szCs w:val="24"/>
          <w:highlight w:val="none"/>
        </w:rPr>
        <w:t xml:space="preserve">投标人</w:t>
      </w:r>
      <w:r>
        <w:rPr>
          <w:rFonts w:ascii="宋体" w:hAnsi="宋体"/>
          <w:sz w:val="24"/>
          <w:szCs w:val="24"/>
          <w:highlight w:val="none"/>
        </w:rPr>
        <w:t xml:space="preserve">）</w:t>
      </w:r>
      <w:r>
        <w:rPr>
          <w:rFonts w:hint="eastAsia" w:ascii="宋体" w:hAnsi="宋体"/>
          <w:sz w:val="24"/>
          <w:szCs w:val="24"/>
          <w:highlight w:val="none"/>
        </w:rPr>
        <w:t xml:space="preserve">对</w:t>
      </w:r>
      <w:r>
        <w:rPr>
          <w:rFonts w:ascii="宋体" w:hAnsi="宋体"/>
          <w:sz w:val="24"/>
          <w:szCs w:val="24"/>
          <w:highlight w:val="none"/>
        </w:rPr>
        <w:t xml:space="preserve">采购方式、</w:t>
      </w:r>
      <w:r>
        <w:rPr>
          <w:rFonts w:hint="eastAsia" w:ascii="宋体" w:hAnsi="宋体"/>
          <w:sz w:val="24"/>
          <w:szCs w:val="24"/>
          <w:highlight w:val="none"/>
        </w:rPr>
        <w:t xml:space="preserve">采购</w:t>
      </w:r>
      <w:r>
        <w:rPr>
          <w:rFonts w:ascii="宋体" w:hAnsi="宋体"/>
          <w:sz w:val="24"/>
          <w:szCs w:val="24"/>
          <w:highlight w:val="none"/>
        </w:rPr>
        <w:t xml:space="preserve">需求、</w:t>
      </w:r>
      <w:r>
        <w:rPr>
          <w:rFonts w:hint="eastAsia" w:ascii="宋体" w:hAnsi="宋体"/>
          <w:sz w:val="24"/>
          <w:szCs w:val="24"/>
          <w:highlight w:val="none"/>
        </w:rPr>
        <w:t xml:space="preserve">投标人</w:t>
      </w:r>
      <w:r>
        <w:rPr>
          <w:rFonts w:ascii="宋体" w:hAnsi="宋体"/>
          <w:sz w:val="24"/>
          <w:szCs w:val="24"/>
          <w:highlight w:val="none"/>
        </w:rPr>
        <w:t xml:space="preserve">资格条件</w:t>
      </w:r>
      <w:r>
        <w:rPr>
          <w:rFonts w:hint="eastAsia" w:ascii="宋体" w:hAnsi="宋体"/>
          <w:sz w:val="24"/>
          <w:szCs w:val="24"/>
          <w:highlight w:val="none"/>
        </w:rPr>
        <w:t xml:space="preserve">及</w:t>
      </w:r>
      <w:r>
        <w:rPr>
          <w:rFonts w:ascii="宋体" w:hAnsi="宋体"/>
          <w:sz w:val="24"/>
          <w:szCs w:val="24"/>
          <w:highlight w:val="none"/>
        </w:rPr>
        <w:t xml:space="preserve">审查结果、</w:t>
      </w:r>
      <w:r>
        <w:rPr>
          <w:rFonts w:hint="eastAsia" w:ascii="宋体" w:hAnsi="宋体"/>
          <w:sz w:val="24"/>
          <w:szCs w:val="24"/>
          <w:highlight w:val="none"/>
        </w:rPr>
        <w:t xml:space="preserve">评标方法</w:t>
      </w:r>
      <w:r>
        <w:rPr>
          <w:rFonts w:ascii="宋体" w:hAnsi="宋体"/>
          <w:sz w:val="24"/>
          <w:szCs w:val="24"/>
          <w:highlight w:val="none"/>
        </w:rPr>
        <w:t xml:space="preserve">和评标标准、合同文本</w:t>
      </w:r>
      <w:r>
        <w:rPr>
          <w:rFonts w:hint="eastAsia" w:ascii="宋体" w:hAnsi="宋体"/>
          <w:sz w:val="24"/>
          <w:szCs w:val="24"/>
          <w:highlight w:val="none"/>
        </w:rPr>
        <w:t xml:space="preserve">的</w:t>
      </w:r>
      <w:r>
        <w:rPr>
          <w:rFonts w:ascii="宋体" w:hAnsi="宋体"/>
          <w:sz w:val="24"/>
          <w:szCs w:val="24"/>
          <w:highlight w:val="none"/>
        </w:rPr>
        <w:t xml:space="preserve">询问</w:t>
      </w:r>
      <w:r>
        <w:rPr>
          <w:rFonts w:hint="eastAsia" w:ascii="宋体" w:hAnsi="宋体"/>
          <w:sz w:val="24"/>
          <w:szCs w:val="24"/>
          <w:highlight w:val="none"/>
        </w:rPr>
        <w:t xml:space="preserve">、质疑</w:t>
      </w:r>
      <w:r>
        <w:rPr>
          <w:rFonts w:ascii="宋体" w:hAnsi="宋体"/>
          <w:sz w:val="24"/>
          <w:szCs w:val="24"/>
          <w:highlight w:val="none"/>
        </w:rPr>
        <w:t xml:space="preserve">请向采购人提出，由采购人负责答复。</w:t>
      </w:r>
      <w:r>
        <w:rPr>
          <w:rFonts w:hint="eastAsia" w:ascii="宋体" w:hAnsi="宋体"/>
          <w:sz w:val="24"/>
          <w:szCs w:val="24"/>
          <w:highlight w:val="none"/>
        </w:rPr>
        <w:t xml:space="preserve">投标人对除</w:t>
      </w:r>
      <w:r>
        <w:rPr>
          <w:rFonts w:ascii="宋体" w:hAnsi="宋体"/>
          <w:sz w:val="24"/>
          <w:szCs w:val="24"/>
          <w:highlight w:val="none"/>
        </w:rPr>
        <w:t xml:space="preserve">上述事项以外其他事项</w:t>
      </w:r>
      <w:r>
        <w:rPr>
          <w:rFonts w:hint="eastAsia" w:ascii="宋体" w:hAnsi="宋体"/>
          <w:sz w:val="24"/>
          <w:szCs w:val="24"/>
          <w:highlight w:val="none"/>
        </w:rPr>
        <w:t xml:space="preserve">的询问</w:t>
      </w:r>
      <w:r>
        <w:rPr>
          <w:rFonts w:ascii="宋体" w:hAnsi="宋体"/>
          <w:sz w:val="24"/>
          <w:szCs w:val="24"/>
          <w:highlight w:val="none"/>
        </w:rPr>
        <w:t xml:space="preserve">、质疑请向</w:t>
      </w:r>
      <w:r>
        <w:rPr>
          <w:rFonts w:hint="eastAsia" w:ascii="宋体" w:hAnsi="宋体"/>
          <w:sz w:val="24"/>
          <w:szCs w:val="24"/>
          <w:highlight w:val="none"/>
        </w:rPr>
        <w:t xml:space="preserve">采购代理机构</w:t>
      </w:r>
      <w:r>
        <w:rPr>
          <w:rFonts w:ascii="宋体" w:hAnsi="宋体"/>
          <w:sz w:val="24"/>
          <w:szCs w:val="24"/>
          <w:highlight w:val="none"/>
        </w:rPr>
        <w:t xml:space="preserve">提出，由</w:t>
      </w:r>
      <w:r>
        <w:rPr>
          <w:rFonts w:hint="eastAsia" w:ascii="宋体" w:hAnsi="宋体"/>
          <w:sz w:val="24"/>
          <w:szCs w:val="24"/>
          <w:highlight w:val="none"/>
        </w:rPr>
        <w:t xml:space="preserve">采购代理机构负责</w:t>
      </w:r>
      <w:r>
        <w:rPr>
          <w:rFonts w:ascii="宋体" w:hAnsi="宋体"/>
          <w:sz w:val="24"/>
          <w:szCs w:val="24"/>
          <w:highlight w:val="none"/>
        </w:rPr>
        <w:t xml:space="preserve">答复。</w:t>
      </w:r>
      <w:r>
        <w:rPr>
          <w:rFonts w:ascii="宋体" w:hAnsi="宋体"/>
          <w:b/>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采购代理机构及采购人只接收以纸质原件形式送达的质疑,建议投标人尽量通过邮寄方式提交质疑（采购人和采购代理机构不接受未填写快递运单的快件）。</w:t>
      </w:r>
      <w:r>
        <w:rPr>
          <w:rFonts w:hint="eastAsia"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采购代理机构质疑接收人为陈先生，联系地址：</w:t>
      </w:r>
      <w:r>
        <w:rPr>
          <w:rFonts w:hint="eastAsia" w:ascii="宋体" w:hAnsi="宋体" w:cs="宋体"/>
          <w:sz w:val="24"/>
          <w:szCs w:val="24"/>
          <w:highlight w:val="none"/>
        </w:rPr>
        <w:t xml:space="preserve">南通市崇川区外环东路12号2楼南侧</w:t>
      </w:r>
      <w:r>
        <w:rPr>
          <w:rFonts w:hint="eastAsia" w:ascii="宋体" w:hAnsi="宋体"/>
          <w:sz w:val="24"/>
          <w:szCs w:val="24"/>
          <w:highlight w:val="none"/>
        </w:rPr>
        <w:t xml:space="preserve">，联系电话：</w:t>
      </w:r>
      <w:r>
        <w:rPr>
          <w:rFonts w:hint="eastAsia" w:ascii="宋体" w:hAnsi="宋体"/>
          <w:sz w:val="24"/>
          <w:szCs w:val="24"/>
          <w:highlight w:val="none"/>
        </w:rPr>
        <w:t xml:space="preserve">13167486131，0513-85679898</w:t>
      </w:r>
      <w:r>
        <w:rPr>
          <w:rFonts w:hint="eastAsia" w:ascii="宋体" w:hAnsi="宋体"/>
          <w:sz w:val="24"/>
          <w:szCs w:val="24"/>
          <w:highlight w:val="none"/>
        </w:rPr>
        <w:t xml:space="preserve">。</w:t>
      </w:r>
      <w:r>
        <w:rPr>
          <w:rFonts w:hint="eastAsia"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采购人质疑接收人及联系方式见招标文件第一章。</w:t>
      </w:r>
      <w:r>
        <w:rPr>
          <w:rFonts w:hint="eastAsia"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 以下情形的质疑不予受理</w:t>
      </w:r>
      <w:r>
        <w:rPr>
          <w:rFonts w:hint="eastAsia"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28.5.1 内容不符合《政府采购质疑和投诉办法》第十二条规定的质疑。</w:t>
      </w:r>
      <w:r>
        <w:rPr>
          <w:rFonts w:hint="eastAsia"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28.5.2 超出政府采购法定期限的质疑。</w:t>
      </w:r>
      <w:r>
        <w:rPr>
          <w:rFonts w:hint="eastAsia"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28.5.3 以传真、电子邮件等方式递交的非原件形式的质疑。</w:t>
      </w:r>
      <w:r>
        <w:rPr>
          <w:rFonts w:hint="eastAsia"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28.5.4 未参加投标活动的投标人或在投标活动中自身权益未受到损害的投标人所提出的质疑。</w:t>
      </w:r>
      <w:r>
        <w:rPr>
          <w:rFonts w:hint="eastAsia"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28.5.5投标人组成联合体参加投标，联合体中任何一方或多方未按要求签字、盖章、加盖公章的质疑。</w:t>
      </w:r>
      <w:r>
        <w:rPr>
          <w:rFonts w:hint="eastAsia" w:ascii="宋体" w:hAnsi="宋体"/>
          <w:sz w:val="24"/>
          <w:szCs w:val="24"/>
          <w:highlight w:val="none"/>
        </w:rPr>
      </w:r>
      <w:r/>
    </w:p>
    <w:p>
      <w:pPr>
        <w:pStyle w:val="967"/>
        <w:ind w:firstLine="468"/>
        <w:spacing w:line="480" w:lineRule="exact"/>
        <w:rPr>
          <w:rFonts w:hint="eastAsia" w:ascii="宋体" w:hAnsi="宋体"/>
          <w:sz w:val="24"/>
          <w:szCs w:val="24"/>
          <w:highlight w:val="none"/>
        </w:rPr>
      </w:pPr>
      <w:r>
        <w:rPr>
          <w:rFonts w:hint="eastAsia" w:ascii="宋体" w:hAnsi="宋体"/>
          <w:sz w:val="24"/>
          <w:szCs w:val="24"/>
          <w:highlight w:val="none"/>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ascii="宋体" w:hAnsi="宋体"/>
          <w:sz w:val="24"/>
          <w:szCs w:val="24"/>
          <w:highlight w:val="none"/>
        </w:rPr>
      </w:r>
      <w:r/>
    </w:p>
    <w:p>
      <w:pPr>
        <w:pStyle w:val="971"/>
        <w:spacing w:before="0" w:after="0" w:line="240" w:lineRule="auto"/>
        <w:rPr>
          <w:rFonts w:hint="eastAsia" w:ascii="黑体" w:hAnsi="宋体"/>
          <w:b w:val="0"/>
          <w:sz w:val="30"/>
          <w:szCs w:val="30"/>
          <w:highlight w:val="none"/>
        </w:rPr>
      </w:pPr>
      <w:r>
        <w:rPr>
          <w:rFonts w:hint="eastAsia" w:ascii="黑体" w:hAnsi="宋体"/>
          <w:b w:val="0"/>
          <w:sz w:val="30"/>
          <w:szCs w:val="30"/>
          <w:highlight w:val="none"/>
        </w:rPr>
        <w:t xml:space="preserve">29、中标通知书</w:t>
      </w:r>
      <w:r>
        <w:rPr>
          <w:rFonts w:hint="eastAsia" w:ascii="黑体" w:hAnsi="宋体"/>
          <w:b w:val="0"/>
          <w:sz w:val="30"/>
          <w:szCs w:val="30"/>
          <w:highlight w:val="none"/>
        </w:rPr>
      </w:r>
      <w:r/>
    </w:p>
    <w:p>
      <w:pPr>
        <w:pStyle w:val="967"/>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sz w:val="24"/>
          <w:szCs w:val="24"/>
          <w:highlight w:val="none"/>
        </w:rPr>
      </w:r>
      <w:r/>
    </w:p>
    <w:p>
      <w:pPr>
        <w:pStyle w:val="967"/>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highlight w:val="none"/>
        </w:rPr>
      </w:r>
      <w:r/>
    </w:p>
    <w:p>
      <w:pPr>
        <w:pStyle w:val="970"/>
        <w:spacing w:before="145" w:after="145" w:line="360" w:lineRule="auto"/>
        <w:rPr>
          <w:rFonts w:hint="eastAsia"/>
          <w:highlight w:val="none"/>
        </w:rPr>
      </w:pPr>
      <w:r/>
      <w:bookmarkStart w:id="172" w:name="_Toc120614220"/>
      <w:r/>
      <w:bookmarkStart w:id="173" w:name="_Toc513029236"/>
      <w:r/>
      <w:bookmarkStart w:id="174" w:name="_Toc20823308"/>
      <w:r/>
      <w:bookmarkStart w:id="175" w:name="_Toc16938552"/>
      <w:r>
        <w:rPr>
          <w:rFonts w:hint="eastAsia"/>
          <w:highlight w:val="none"/>
        </w:rPr>
        <w:t xml:space="preserve">七、授予合同</w:t>
      </w:r>
      <w:bookmarkEnd w:id="172"/>
      <w:r>
        <w:rPr>
          <w:rFonts w:hint="eastAsia"/>
          <w:highlight w:val="none"/>
        </w:rPr>
      </w:r>
      <w:r/>
    </w:p>
    <w:p>
      <w:pPr>
        <w:pStyle w:val="971"/>
        <w:spacing w:before="0" w:after="0" w:line="240" w:lineRule="auto"/>
        <w:rPr>
          <w:rFonts w:hint="eastAsia" w:ascii="黑体" w:hAnsi="宋体"/>
          <w:b w:val="0"/>
          <w:sz w:val="30"/>
          <w:szCs w:val="30"/>
          <w:highlight w:val="none"/>
        </w:rPr>
      </w:pPr>
      <w:r/>
      <w:bookmarkEnd w:id="173"/>
      <w:r/>
      <w:bookmarkEnd w:id="174"/>
      <w:r/>
      <w:bookmarkEnd w:id="175"/>
      <w:r/>
      <w:bookmarkStart w:id="176" w:name="_Toc20823309"/>
      <w:r/>
      <w:bookmarkStart w:id="177" w:name="_Toc513029237"/>
      <w:r/>
      <w:bookmarkStart w:id="178" w:name="_Toc16938553"/>
      <w:r>
        <w:rPr>
          <w:rFonts w:hint="eastAsia" w:ascii="黑体" w:hAnsi="宋体"/>
          <w:b w:val="0"/>
          <w:sz w:val="30"/>
          <w:szCs w:val="30"/>
          <w:highlight w:val="none"/>
        </w:rPr>
        <w:t xml:space="preserve">30. 签订合同</w:t>
      </w:r>
      <w:r>
        <w:rPr>
          <w:rFonts w:hint="eastAsia" w:ascii="黑体" w:hAnsi="宋体"/>
          <w:b w:val="0"/>
          <w:sz w:val="30"/>
          <w:szCs w:val="30"/>
          <w:highlight w:val="none"/>
        </w:rPr>
      </w:r>
      <w:r/>
    </w:p>
    <w:p>
      <w:pPr>
        <w:pStyle w:val="967"/>
        <w:ind w:firstLine="480"/>
        <w:spacing w:line="360" w:lineRule="auto"/>
        <w:rPr>
          <w:rFonts w:ascii="宋体" w:hAnsi="宋体"/>
          <w:sz w:val="24"/>
          <w:szCs w:val="22"/>
          <w:highlight w:val="none"/>
        </w:rPr>
      </w:pPr>
      <w:r>
        <w:rPr>
          <w:rFonts w:hint="eastAsia" w:ascii="宋体" w:hAnsi="宋体"/>
          <w:sz w:val="24"/>
          <w:szCs w:val="22"/>
          <w:highlight w:val="none"/>
        </w:rPr>
        <w:t xml:space="preserve">30.1履约保证金：无</w:t>
      </w:r>
      <w:r>
        <w:rPr>
          <w:rFonts w:ascii="宋体" w:hAnsi="宋体"/>
          <w:sz w:val="24"/>
          <w:szCs w:val="22"/>
          <w:highlight w:val="none"/>
        </w:rPr>
      </w:r>
      <w:r/>
    </w:p>
    <w:p>
      <w:pPr>
        <w:pStyle w:val="967"/>
        <w:ind w:firstLine="480"/>
        <w:spacing w:line="360" w:lineRule="auto"/>
        <w:rPr>
          <w:rFonts w:hint="eastAsia" w:ascii="宋体" w:hAnsi="宋体"/>
          <w:sz w:val="24"/>
          <w:szCs w:val="22"/>
          <w:highlight w:val="none"/>
        </w:rPr>
      </w:pPr>
      <w:r>
        <w:rPr>
          <w:rFonts w:hint="eastAsia" w:ascii="宋体" w:hAnsi="宋体"/>
          <w:sz w:val="24"/>
          <w:szCs w:val="22"/>
          <w:highlight w:val="none"/>
        </w:rPr>
        <w:t xml:space="preserve">30.2签订合同</w:t>
      </w:r>
      <w:r>
        <w:rPr>
          <w:rFonts w:hint="eastAsia" w:ascii="宋体" w:hAnsi="宋体"/>
          <w:sz w:val="24"/>
          <w:szCs w:val="22"/>
          <w:highlight w:val="none"/>
        </w:rPr>
      </w:r>
      <w:r/>
    </w:p>
    <w:p>
      <w:pPr>
        <w:pStyle w:val="967"/>
        <w:ind w:firstLine="480"/>
        <w:spacing w:line="360" w:lineRule="auto"/>
        <w:rPr>
          <w:rFonts w:hint="eastAsia" w:ascii="宋体" w:hAnsi="宋体"/>
          <w:sz w:val="24"/>
          <w:szCs w:val="22"/>
          <w:highlight w:val="none"/>
        </w:rPr>
      </w:pPr>
      <w:r>
        <w:rPr>
          <w:rFonts w:hint="eastAsia" w:ascii="宋体" w:hAnsi="宋体"/>
          <w:sz w:val="24"/>
          <w:szCs w:val="22"/>
          <w:highlight w:val="none"/>
        </w:rPr>
        <w:t xml:space="preserve">2.l中标供应商应当在中标通知书发出之日起三十日内，按照招标文件确定的事项与采购人签订政府采购合同。</w:t>
      </w:r>
      <w:r>
        <w:rPr>
          <w:rFonts w:hint="eastAsia" w:ascii="宋体" w:hAnsi="宋体"/>
          <w:sz w:val="24"/>
          <w:szCs w:val="22"/>
          <w:highlight w:val="none"/>
        </w:rPr>
      </w:r>
      <w:r/>
    </w:p>
    <w:p>
      <w:pPr>
        <w:pStyle w:val="967"/>
        <w:ind w:firstLine="360"/>
        <w:jc w:val="left"/>
        <w:spacing w:line="360" w:lineRule="auto"/>
        <w:rPr>
          <w:rFonts w:ascii="宋体" w:hAnsi="宋体" w:cs="宋体"/>
          <w:b/>
          <w:bCs/>
          <w:sz w:val="24"/>
          <w:szCs w:val="22"/>
          <w:highlight w:val="none"/>
        </w:rPr>
      </w:pPr>
      <w:r>
        <w:rPr>
          <w:rFonts w:hint="eastAsia" w:ascii="宋体" w:hAnsi="宋体" w:cs="宋体"/>
          <w:sz w:val="24"/>
          <w:szCs w:val="22"/>
          <w:highlight w:val="none"/>
        </w:rPr>
        <w:t xml:space="preserve">★</w:t>
      </w:r>
      <w:r>
        <w:rPr>
          <w:rFonts w:hint="eastAsia" w:ascii="宋体" w:hAnsi="宋体" w:cs="宋体"/>
          <w:b/>
          <w:bCs/>
          <w:sz w:val="24"/>
          <w:szCs w:val="22"/>
          <w:highlight w:val="none"/>
        </w:rPr>
        <w:t xml:space="preserve">签订合同时需做好提交各类声明函、承诺函、业绩证明、资质、职称证书等相应原件的核查准备；核查后发现虚假或违背承诺的，依照相关法律法规规定处理。</w:t>
      </w:r>
      <w:r>
        <w:rPr>
          <w:rFonts w:ascii="宋体" w:hAnsi="宋体" w:cs="宋体"/>
          <w:b/>
          <w:bCs/>
          <w:sz w:val="24"/>
          <w:szCs w:val="22"/>
          <w:highlight w:val="none"/>
        </w:rPr>
      </w:r>
      <w:r/>
    </w:p>
    <w:p>
      <w:pPr>
        <w:pStyle w:val="967"/>
        <w:ind w:firstLine="480"/>
        <w:spacing w:line="360" w:lineRule="auto"/>
        <w:rPr>
          <w:rFonts w:hint="eastAsia" w:ascii="宋体" w:hAnsi="宋体"/>
          <w:sz w:val="24"/>
          <w:szCs w:val="22"/>
          <w:highlight w:val="none"/>
        </w:rPr>
      </w:pPr>
      <w:r>
        <w:rPr>
          <w:rFonts w:hint="eastAsia" w:ascii="宋体" w:hAnsi="宋体"/>
          <w:sz w:val="24"/>
          <w:szCs w:val="22"/>
          <w:highlight w:val="none"/>
        </w:rPr>
        <w:t xml:space="preserve">30.2.2招标文件、中标供应商的投标文件及招投标过程中有关澄清、承诺文件均应作为合同附件。</w:t>
      </w:r>
      <w:r>
        <w:rPr>
          <w:rFonts w:hint="eastAsia" w:ascii="宋体" w:hAnsi="宋体"/>
          <w:sz w:val="24"/>
          <w:szCs w:val="22"/>
          <w:highlight w:val="none"/>
        </w:rPr>
      </w:r>
      <w:r/>
    </w:p>
    <w:p>
      <w:pPr>
        <w:pStyle w:val="967"/>
        <w:ind w:firstLine="480"/>
        <w:spacing w:line="360" w:lineRule="auto"/>
        <w:rPr>
          <w:rFonts w:hint="eastAsia" w:ascii="宋体" w:hAnsi="宋体"/>
          <w:sz w:val="24"/>
          <w:szCs w:val="22"/>
          <w:highlight w:val="none"/>
        </w:rPr>
      </w:pPr>
      <w:r>
        <w:rPr>
          <w:rFonts w:hint="eastAsia" w:ascii="宋体" w:hAnsi="宋体"/>
          <w:sz w:val="24"/>
          <w:szCs w:val="22"/>
          <w:highlight w:val="none"/>
        </w:rPr>
        <w:t xml:space="preserve">30.2.3签订合同后，中标供应商不得将货物及其他相关服务进行转包。未经采购人同意，中标供应商也不得采用分包的形式履行合同，否则采购人有权终止合同，中标供应商的履约保证金将不予退还。政府采购合同分包履行的，中标供应商就采购项目和分包项目向采购人负责，分包供应商就分包项目承担责任。转包或分包造成采购人损失的，中标供应商应承担相应赔偿责任。</w:t>
      </w:r>
      <w:r>
        <w:rPr>
          <w:rFonts w:hint="eastAsia" w:ascii="宋体" w:hAnsi="宋体"/>
          <w:sz w:val="24"/>
          <w:szCs w:val="22"/>
          <w:highlight w:val="none"/>
        </w:rPr>
      </w:r>
      <w:r/>
    </w:p>
    <w:p>
      <w:pPr>
        <w:pStyle w:val="967"/>
        <w:ind w:firstLine="480"/>
        <w:spacing w:line="360" w:lineRule="auto"/>
        <w:rPr>
          <w:rFonts w:hint="eastAsia" w:ascii="宋体" w:hAnsi="宋体"/>
          <w:sz w:val="24"/>
          <w:szCs w:val="22"/>
          <w:highlight w:val="none"/>
        </w:rPr>
      </w:pPr>
      <w:r>
        <w:rPr>
          <w:rFonts w:hint="eastAsia" w:ascii="宋体" w:hAnsi="宋体"/>
          <w:sz w:val="24"/>
          <w:szCs w:val="22"/>
          <w:highlight w:val="none"/>
        </w:rPr>
        <w:t xml:space="preserve">30.3货物和服务的追加、减少和添购。</w:t>
      </w:r>
      <w:r>
        <w:rPr>
          <w:rFonts w:hint="eastAsia" w:ascii="宋体" w:hAnsi="宋体"/>
          <w:sz w:val="24"/>
          <w:szCs w:val="22"/>
          <w:highlight w:val="none"/>
        </w:rPr>
      </w:r>
      <w:r/>
    </w:p>
    <w:p>
      <w:pPr>
        <w:pStyle w:val="967"/>
        <w:ind w:firstLine="480"/>
        <w:spacing w:line="360" w:lineRule="auto"/>
        <w:rPr>
          <w:rFonts w:hint="eastAsia" w:ascii="宋体" w:hAnsi="宋体"/>
          <w:sz w:val="24"/>
          <w:szCs w:val="22"/>
          <w:highlight w:val="none"/>
        </w:rPr>
      </w:pPr>
      <w:r>
        <w:rPr>
          <w:rFonts w:hint="eastAsia" w:ascii="宋体" w:hAnsi="宋体"/>
          <w:sz w:val="24"/>
          <w:szCs w:val="22"/>
          <w:highlight w:val="none"/>
        </w:rPr>
        <w:t xml:space="preserve">30.3.1政府采购合同履行中，采购人需追加与合同标的相同的货物和服务的，在不改变合同其他条款的前提下，可以与中标供应商协商签订补充合同，但所有补充合同的采购金额不超过原合同金额10%。</w:t>
      </w:r>
      <w:r>
        <w:rPr>
          <w:rFonts w:hint="eastAsia" w:ascii="宋体" w:hAnsi="宋体"/>
          <w:sz w:val="24"/>
          <w:szCs w:val="22"/>
          <w:highlight w:val="none"/>
        </w:rPr>
      </w:r>
      <w:r/>
    </w:p>
    <w:p>
      <w:pPr>
        <w:pStyle w:val="967"/>
        <w:ind w:firstLine="480"/>
        <w:spacing w:line="360" w:lineRule="auto"/>
        <w:rPr>
          <w:rFonts w:hint="eastAsia" w:ascii="宋体" w:hAnsi="宋体"/>
          <w:sz w:val="24"/>
          <w:szCs w:val="22"/>
          <w:highlight w:val="none"/>
        </w:rPr>
      </w:pPr>
      <w:r>
        <w:rPr>
          <w:rFonts w:hint="eastAsia" w:ascii="宋体" w:hAnsi="宋体"/>
          <w:sz w:val="24"/>
          <w:szCs w:val="22"/>
          <w:highlight w:val="none"/>
        </w:rPr>
        <w:t xml:space="preserve">30.3.2采购结束后，采购人若由于各种客观原因，必须对采购项目所牵涉的货物和服务进行适当的减少时，在双方协商一致的前提下，可以按照采购时的价格水平做相应的调减，并据此签订补充合同。</w:t>
      </w:r>
      <w:r>
        <w:rPr>
          <w:rFonts w:hint="eastAsia" w:ascii="宋体" w:hAnsi="宋体"/>
          <w:sz w:val="24"/>
          <w:szCs w:val="22"/>
          <w:highlight w:val="none"/>
        </w:rPr>
      </w:r>
      <w:r/>
    </w:p>
    <w:p>
      <w:pPr>
        <w:pStyle w:val="971"/>
        <w:spacing w:before="0" w:after="0" w:line="240" w:lineRule="auto"/>
        <w:rPr>
          <w:rFonts w:ascii="黑体" w:hAnsi="宋体"/>
          <w:b w:val="0"/>
          <w:sz w:val="30"/>
          <w:szCs w:val="30"/>
          <w:highlight w:val="none"/>
        </w:rPr>
      </w:pPr>
      <w:r/>
      <w:bookmarkEnd w:id="176"/>
      <w:r/>
      <w:bookmarkEnd w:id="177"/>
      <w:r/>
      <w:bookmarkEnd w:id="178"/>
      <w:r/>
      <w:bookmarkStart w:id="179" w:name="_Toc16938558"/>
      <w:r/>
      <w:bookmarkStart w:id="180" w:name="_Toc479757207"/>
      <w:r/>
      <w:bookmarkStart w:id="181" w:name="_Toc120614221"/>
      <w:r/>
      <w:bookmarkStart w:id="182" w:name="_Toc513029242"/>
      <w:r/>
      <w:bookmarkStart w:id="183" w:name="_Toc20823314"/>
      <w:r>
        <w:rPr>
          <w:rFonts w:hint="eastAsia" w:ascii="黑体" w:hAnsi="宋体"/>
          <w:b w:val="0"/>
          <w:sz w:val="30"/>
          <w:szCs w:val="30"/>
          <w:highlight w:val="none"/>
        </w:rPr>
        <w:t xml:space="preserve">31、政府采购履约资金扶持政策</w:t>
      </w:r>
      <w:r>
        <w:rPr>
          <w:rFonts w:ascii="黑体" w:hAnsi="宋体"/>
          <w:b w:val="0"/>
          <w:sz w:val="30"/>
          <w:szCs w:val="30"/>
          <w:highlight w:val="none"/>
        </w:rPr>
      </w:r>
      <w:r/>
    </w:p>
    <w:p>
      <w:pPr>
        <w:pStyle w:val="967"/>
        <w:ind w:firstLine="480"/>
        <w:spacing w:line="360" w:lineRule="auto"/>
        <w:rPr>
          <w:rFonts w:hint="eastAsia" w:ascii="宋体" w:hAnsi="宋体"/>
          <w:sz w:val="24"/>
          <w:szCs w:val="22"/>
          <w:highlight w:val="none"/>
        </w:rPr>
        <w:outlineLvl w:val="3"/>
      </w:pPr>
      <w:r>
        <w:rPr>
          <w:rFonts w:hint="eastAsia" w:ascii="宋体" w:hAnsi="宋体"/>
          <w:sz w:val="24"/>
          <w:szCs w:val="22"/>
          <w:highlight w:val="none"/>
        </w:rPr>
        <w:t xml:space="preserve">根据《关于深入开展南通市政府采购线上合同信用融资工作的通知》（通财购〔2022〕68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江苏省政府采购网-政采贷专栏。</w:t>
      </w:r>
      <w:r>
        <w:rPr>
          <w:rFonts w:hint="eastAsia" w:ascii="宋体" w:hAnsi="宋体"/>
          <w:sz w:val="24"/>
          <w:szCs w:val="22"/>
          <w:highlight w:val="none"/>
        </w:rPr>
      </w:r>
      <w:r/>
    </w:p>
    <w:p>
      <w:pPr>
        <w:pStyle w:val="981"/>
        <w:ind w:firstLine="0"/>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ind w:firstLine="480"/>
        <w:spacing w:line="360" w:lineRule="auto"/>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1035"/>
        <w:ind w:firstLine="0"/>
        <w:rPr>
          <w:rFonts w:hint="eastAsia"/>
          <w:highlight w:val="none"/>
        </w:rPr>
      </w:pPr>
      <w:r>
        <w:rPr>
          <w:rFonts w:hint="eastAsia"/>
          <w:highlight w:val="none"/>
        </w:rPr>
      </w:r>
      <w:r/>
    </w:p>
    <w:p>
      <w:pPr>
        <w:pStyle w:val="967"/>
        <w:jc w:val="center"/>
        <w:keepLines/>
        <w:keepNext/>
        <w:pageBreakBefore/>
        <w:rPr>
          <w:rFonts w:hint="eastAsia" w:ascii="Arial" w:hAnsi="Arial" w:eastAsia="黑体"/>
          <w:b/>
          <w:bCs/>
          <w:sz w:val="36"/>
          <w:szCs w:val="36"/>
          <w:highlight w:val="none"/>
        </w:rPr>
        <w:outlineLvl w:val="0"/>
      </w:pPr>
      <w:r/>
      <w:bookmarkEnd w:id="179"/>
      <w:r/>
      <w:bookmarkEnd w:id="180"/>
      <w:r/>
      <w:bookmarkEnd w:id="181"/>
      <w:r/>
      <w:bookmarkEnd w:id="182"/>
      <w:r/>
      <w:bookmarkEnd w:id="183"/>
      <w:r/>
      <w:bookmarkStart w:id="184" w:name="_Hlt16619369"/>
      <w:r/>
      <w:bookmarkEnd w:id="184"/>
      <w:r/>
      <w:bookmarkStart w:id="186" w:name="_Toc20823346"/>
      <w:r/>
      <w:bookmarkStart w:id="187" w:name="_Toc16938590"/>
      <w:r/>
      <w:bookmarkStart w:id="189" w:name="_Hlt16619350"/>
      <w:r/>
      <w:bookmarkStart w:id="190" w:name="_Toc120614244"/>
      <w:r>
        <w:rPr>
          <w:rFonts w:hint="eastAsia" w:ascii="Arial" w:hAnsi="Arial" w:eastAsia="黑体"/>
          <w:b/>
          <w:bCs/>
          <w:sz w:val="36"/>
          <w:szCs w:val="36"/>
          <w:highlight w:val="none"/>
        </w:rPr>
        <w:t xml:space="preserve">第三章   合同文本</w:t>
      </w:r>
      <w:bookmarkStart w:id="191" w:name="_Toc20823315"/>
      <w:r/>
      <w:bookmarkStart w:id="192" w:name="_Toc513029243"/>
      <w:r/>
      <w:bookmarkStart w:id="193" w:name="_Toc16938559"/>
      <w:r>
        <w:rPr>
          <w:rFonts w:hint="eastAsia" w:ascii="Arial" w:hAnsi="Arial" w:eastAsia="黑体"/>
          <w:b/>
          <w:bCs/>
          <w:sz w:val="36"/>
          <w:szCs w:val="36"/>
          <w:highlight w:val="none"/>
        </w:rPr>
      </w:r>
      <w:r/>
    </w:p>
    <w:p>
      <w:pPr>
        <w:pStyle w:val="967"/>
        <w:ind w:firstLine="560"/>
        <w:spacing w:line="480" w:lineRule="exact"/>
        <w:rPr>
          <w:rFonts w:hint="eastAsia" w:ascii="等线" w:hAnsi="等线" w:eastAsia="等线" w:cs="等线"/>
          <w:bCs/>
          <w:szCs w:val="22"/>
          <w:highlight w:val="none"/>
        </w:rPr>
      </w:pPr>
      <w:r/>
      <w:bookmarkEnd w:id="191"/>
      <w:r/>
      <w:bookmarkEnd w:id="192"/>
      <w:r/>
      <w:bookmarkEnd w:id="193"/>
      <w:r/>
      <w:bookmarkStart w:id="194" w:name="_Hlk184286209"/>
      <w:r>
        <w:rPr>
          <w:rFonts w:hint="eastAsia" w:ascii="等线" w:hAnsi="等线" w:eastAsia="等线" w:cs="等线"/>
          <w:bCs/>
          <w:sz w:val="28"/>
          <w:szCs w:val="28"/>
          <w:highlight w:val="none"/>
        </w:rPr>
        <w:t xml:space="preserve">以下为成交后签定本项目合同的通用条款，成交人不得提出实质性的修改。</w:t>
      </w:r>
      <w:r>
        <w:rPr>
          <w:rFonts w:hint="eastAsia" w:ascii="等线" w:hAnsi="等线" w:eastAsia="等线" w:cs="等线"/>
          <w:bCs/>
          <w:szCs w:val="22"/>
          <w:highlight w:val="none"/>
        </w:rPr>
      </w:r>
      <w:r/>
    </w:p>
    <w:p>
      <w:pPr>
        <w:pStyle w:val="967"/>
        <w:jc w:val="center"/>
        <w:rPr>
          <w:rFonts w:hint="eastAsia" w:ascii="等线" w:hAnsi="等线" w:eastAsia="等线" w:cs="等线"/>
          <w:sz w:val="32"/>
          <w:szCs w:val="32"/>
          <w:highlight w:val="none"/>
        </w:rPr>
      </w:pPr>
      <w:r>
        <w:rPr>
          <w:rFonts w:hint="eastAsia" w:ascii="等线" w:hAnsi="等线" w:eastAsia="等线" w:cs="等线"/>
          <w:sz w:val="32"/>
          <w:szCs w:val="32"/>
          <w:highlight w:val="none"/>
        </w:rPr>
        <w:t xml:space="preserve">南通市政府采购合同</w:t>
      </w:r>
      <w:r>
        <w:rPr>
          <w:rFonts w:hint="eastAsia" w:ascii="等线" w:hAnsi="等线" w:eastAsia="等线" w:cs="等线"/>
          <w:sz w:val="32"/>
          <w:szCs w:val="32"/>
          <w:highlight w:val="none"/>
        </w:rPr>
      </w:r>
      <w:r/>
    </w:p>
    <w:p>
      <w:pPr>
        <w:pStyle w:val="967"/>
        <w:ind w:left="-17" w:hanging="124"/>
        <w:spacing w:line="480" w:lineRule="exact"/>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供方：</w:t>
      </w:r>
      <w:r>
        <w:rPr>
          <w:rFonts w:hint="eastAsia" w:ascii="等线" w:hAnsi="等线" w:eastAsia="等线" w:cs="等线"/>
          <w:sz w:val="24"/>
          <w:szCs w:val="20"/>
          <w:highlight w:val="none"/>
          <w:u w:val="single"/>
        </w:rPr>
        <w:t xml:space="preserve">                            </w:t>
      </w:r>
      <w:r>
        <w:rPr>
          <w:rFonts w:hint="eastAsia" w:ascii="等线" w:hAnsi="等线" w:eastAsia="等线" w:cs="等线"/>
          <w:sz w:val="24"/>
          <w:szCs w:val="20"/>
          <w:highlight w:val="none"/>
        </w:rPr>
        <w:t xml:space="preserve">            合同编号：</w:t>
      </w:r>
      <w:r>
        <w:rPr>
          <w:rFonts w:hint="eastAsia" w:ascii="等线" w:hAnsi="等线" w:eastAsia="等线" w:cs="等线"/>
          <w:sz w:val="24"/>
          <w:szCs w:val="20"/>
          <w:highlight w:val="none"/>
          <w:u w:val="single"/>
        </w:rPr>
        <w:t xml:space="preserve">  CL/ZC-20XX-XX     </w:t>
      </w:r>
      <w:r>
        <w:rPr>
          <w:rFonts w:hint="eastAsia" w:ascii="等线" w:hAnsi="等线" w:eastAsia="等线" w:cs="等线"/>
          <w:sz w:val="24"/>
          <w:szCs w:val="20"/>
          <w:highlight w:val="none"/>
        </w:rPr>
      </w:r>
      <w:r/>
    </w:p>
    <w:p>
      <w:pPr>
        <w:pStyle w:val="967"/>
        <w:ind w:left="-140" w:hanging="1"/>
        <w:spacing w:line="480" w:lineRule="exact"/>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需方：</w:t>
      </w:r>
      <w:r>
        <w:rPr>
          <w:rFonts w:hint="eastAsia" w:ascii="等线" w:hAnsi="等线" w:eastAsia="等线" w:cs="等线"/>
          <w:sz w:val="24"/>
          <w:szCs w:val="20"/>
          <w:highlight w:val="none"/>
          <w:u w:val="single"/>
        </w:rPr>
        <w:t xml:space="preserve">  南通市城市照明管理处  </w:t>
      </w:r>
      <w:r>
        <w:rPr>
          <w:rFonts w:hint="eastAsia" w:ascii="等线" w:hAnsi="等线" w:eastAsia="等线" w:cs="等线"/>
          <w:sz w:val="24"/>
          <w:szCs w:val="20"/>
          <w:highlight w:val="none"/>
        </w:rPr>
        <w:t xml:space="preserve">               采购编号：</w:t>
      </w:r>
      <w:r>
        <w:rPr>
          <w:rFonts w:hint="eastAsia" w:ascii="等线" w:hAnsi="等线" w:eastAsia="等线" w:cs="等线"/>
          <w:sz w:val="24"/>
          <w:szCs w:val="20"/>
          <w:highlight w:val="none"/>
          <w:u w:val="single"/>
        </w:rPr>
        <w:t xml:space="preserve"> XXXXXXXXXXXXXXXXXXX</w:t>
      </w:r>
      <w:r>
        <w:rPr>
          <w:rFonts w:hint="eastAsia" w:ascii="等线" w:hAnsi="等线" w:eastAsia="等线" w:cs="等线"/>
          <w:sz w:val="24"/>
          <w:szCs w:val="20"/>
          <w:highlight w:val="none"/>
        </w:rPr>
      </w:r>
      <w:r/>
    </w:p>
    <w:p>
      <w:pPr>
        <w:pStyle w:val="967"/>
        <w:ind w:left="-17" w:hanging="124"/>
        <w:spacing w:line="480" w:lineRule="exact"/>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签订地点：</w:t>
      </w:r>
      <w:r>
        <w:rPr>
          <w:rFonts w:hint="eastAsia" w:ascii="等线" w:hAnsi="等线" w:eastAsia="等线" w:cs="等线"/>
          <w:sz w:val="24"/>
          <w:szCs w:val="20"/>
          <w:highlight w:val="none"/>
          <w:u w:val="single"/>
        </w:rPr>
        <w:t xml:space="preserve">  南通市教育路34#       </w:t>
      </w:r>
      <w:r>
        <w:rPr>
          <w:rFonts w:hint="eastAsia" w:ascii="等线" w:hAnsi="等线" w:eastAsia="等线" w:cs="等线"/>
          <w:sz w:val="24"/>
          <w:szCs w:val="20"/>
          <w:highlight w:val="none"/>
        </w:rPr>
        <w:t xml:space="preserve">           签订时间：</w:t>
      </w:r>
      <w:r>
        <w:rPr>
          <w:rFonts w:hint="eastAsia" w:ascii="等线" w:hAnsi="等线" w:eastAsia="等线" w:cs="等线"/>
          <w:sz w:val="24"/>
          <w:szCs w:val="20"/>
          <w:highlight w:val="none"/>
          <w:u w:val="single"/>
        </w:rPr>
        <w:t xml:space="preserve">     20XX-XX-XX     </w:t>
      </w:r>
      <w:r>
        <w:rPr>
          <w:rFonts w:hint="eastAsia" w:ascii="等线" w:hAnsi="等线" w:eastAsia="等线" w:cs="等线"/>
          <w:sz w:val="24"/>
          <w:szCs w:val="20"/>
          <w:highlight w:val="none"/>
        </w:rPr>
      </w:r>
      <w:r/>
    </w:p>
    <w:p>
      <w:pPr>
        <w:pStyle w:val="967"/>
        <w:numPr>
          <w:ilvl w:val="0"/>
          <w:numId w:val="5"/>
        </w:numPr>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南通市城市照明管理处通过</w:t>
      </w:r>
      <w:r>
        <w:rPr>
          <w:rFonts w:hint="eastAsia" w:ascii="等线" w:hAnsi="等线" w:eastAsia="等线" w:cs="等线"/>
          <w:sz w:val="24"/>
          <w:szCs w:val="20"/>
          <w:highlight w:val="none"/>
          <w:u w:val="single"/>
        </w:rPr>
        <w:t xml:space="preserve">  公开招标  </w:t>
      </w:r>
      <w:r>
        <w:rPr>
          <w:rFonts w:hint="eastAsia" w:ascii="等线" w:hAnsi="等线" w:eastAsia="等线" w:cs="等线"/>
          <w:sz w:val="24"/>
          <w:szCs w:val="20"/>
          <w:highlight w:val="none"/>
        </w:rPr>
        <w:t xml:space="preserve">方式，确定供方为需方的供货商。</w:t>
      </w:r>
      <w:r>
        <w:rPr>
          <w:rFonts w:hint="eastAsia" w:ascii="等线" w:hAnsi="等线" w:eastAsia="等线" w:cs="等线"/>
          <w:sz w:val="24"/>
          <w:szCs w:val="20"/>
          <w:highlight w:val="none"/>
        </w:rPr>
      </w:r>
      <w:r/>
    </w:p>
    <w:p>
      <w:pPr>
        <w:pStyle w:val="967"/>
        <w:numPr>
          <w:ilvl w:val="0"/>
          <w:numId w:val="5"/>
        </w:numPr>
        <w:spacing w:line="360" w:lineRule="auto"/>
        <w:rPr>
          <w:rFonts w:ascii="等线" w:hAnsi="等线" w:eastAsia="等线" w:cs="等线"/>
          <w:sz w:val="24"/>
          <w:szCs w:val="20"/>
          <w:highlight w:val="none"/>
        </w:rPr>
      </w:pPr>
      <w:r>
        <w:rPr>
          <w:rFonts w:hint="eastAsia" w:ascii="等线" w:hAnsi="等线" w:eastAsia="等线" w:cs="等线"/>
          <w:sz w:val="24"/>
          <w:szCs w:val="20"/>
          <w:highlight w:val="none"/>
        </w:rPr>
        <w:t xml:space="preserve">采购清单</w:t>
      </w:r>
      <w:r>
        <w:rPr>
          <w:rFonts w:ascii="等线" w:hAnsi="等线" w:eastAsia="等线" w:cs="等线"/>
          <w:sz w:val="24"/>
          <w:szCs w:val="20"/>
          <w:highlight w:val="none"/>
        </w:rPr>
      </w:r>
      <w:r/>
    </w:p>
    <w:p>
      <w:pPr>
        <w:pStyle w:val="967"/>
        <w:ind w:left="425"/>
        <w:jc w:val="right"/>
        <w:rPr>
          <w:rFonts w:hint="eastAsia" w:ascii="等线" w:hAnsi="等线" w:eastAsia="等线" w:cs="等线"/>
          <w:szCs w:val="18"/>
          <w:highlight w:val="none"/>
        </w:rPr>
      </w:pPr>
      <w:r>
        <w:rPr>
          <w:rFonts w:hint="eastAsia" w:ascii="等线" w:hAnsi="等线" w:eastAsia="等线" w:cs="等线"/>
          <w:szCs w:val="18"/>
          <w:highlight w:val="none"/>
        </w:rPr>
        <w:t xml:space="preserve">金额单位：元</w:t>
      </w:r>
      <w:r>
        <w:rPr>
          <w:rFonts w:hint="eastAsia" w:ascii="等线" w:hAnsi="等线" w:eastAsia="等线" w:cs="等线"/>
          <w:szCs w:val="18"/>
          <w:highlight w:val="none"/>
        </w:rPr>
      </w:r>
      <w:r/>
    </w:p>
    <w:tbl>
      <w:tblPr>
        <w:tblpPr w:horzAnchor="margin" w:tblpXSpec="center" w:vertAnchor="text" w:tblpY="572" w:leftFromText="180" w:topFromText="0" w:rightFromText="180" w:bottomFromText="0"/>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2"/>
        <w:gridCol w:w="1304"/>
        <w:gridCol w:w="1888"/>
        <w:gridCol w:w="3152"/>
        <w:gridCol w:w="709"/>
        <w:gridCol w:w="709"/>
        <w:gridCol w:w="709"/>
        <w:gridCol w:w="850"/>
      </w:tblGrid>
      <w:tr>
        <w:trPr>
          <w:trHeight w:val="397" w:hRule="exact"/>
        </w:trPr>
        <w:tc>
          <w:tcPr>
            <w:tcW w:w="602"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序号</w:t>
            </w:r>
            <w:r>
              <w:rPr>
                <w:rFonts w:hint="eastAsia" w:ascii="宋体" w:hAnsi="宋体" w:cs="等线"/>
                <w:sz w:val="18"/>
                <w:szCs w:val="18"/>
                <w:highlight w:val="none"/>
              </w:rPr>
            </w:r>
            <w:r/>
          </w:p>
        </w:tc>
        <w:tc>
          <w:tcPr>
            <w:tcW w:w="1304"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工程名称</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产品名称</w:t>
            </w:r>
            <w:r>
              <w:rPr>
                <w:rFonts w:hint="eastAsia" w:ascii="宋体" w:hAnsi="宋体" w:cs="等线"/>
                <w:sz w:val="18"/>
                <w:szCs w:val="18"/>
                <w:highlight w:val="none"/>
              </w:rPr>
            </w:r>
            <w:r/>
          </w:p>
        </w:tc>
        <w:tc>
          <w:tcPr>
            <w:tcW w:w="3152"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规格型号</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单位</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数量</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单价</w:t>
            </w: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总金额</w:t>
            </w: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bookmarkStart w:id="195" w:name="_Hlk69215943"/>
            <w:r/>
            <w:bookmarkStart w:id="196" w:name="OLE_LINK18"/>
            <w:r/>
            <w:bookmarkStart w:id="197" w:name="OLE_LINK34"/>
            <w:r/>
            <w:bookmarkStart w:id="198" w:name="OLE_LINK17"/>
            <w:r>
              <w:rPr>
                <w:highlight w:val="none"/>
              </w:rPr>
              <w:t xml:space="preserve">1</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滨江国际街区揽江路（中心路——崇川路）道路照明工程</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B型(12米单挑带卡槽/120W/滨江)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12米单挑不带卡槽/120W/滨江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27</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3</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A型(12米单挑/标志牌L6/120W/滨江)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B-1型(12米单挑/信号灯L6/120W/滨江)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5</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B-2型(12米单挑/信号灯L4/120W/滨江)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bookmarkEnd w:id="195"/>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B-3型(12米单挑/信号灯L6/120W/滨江)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7</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综合杆C型(12米单挑/监控L6/120W/滨江)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7</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8</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C型(12米投光灯带卡槽/2*120W/滨江)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9</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滨江国际街区中心路（洪江路——沿河路）道路照明工程</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A型(10米双挑不带卡槽/120W+60W/滨江)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10</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A型(10米双挑不带卡槽/160W+60W/滨江)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7</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11</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B型(10米双挑带卡槽/160W+60W/滨江)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A型(10米双挑/标志牌3L6/160W+60W/滨江)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13</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B-1型(10米双挑/信号灯L8/160W+60W/滨江)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B-2型(10米双挑/信号灯L10/160W+60W /滨江)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15</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C-1型(10米双挑/监控L8/160W+60W/滨江)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C-2型(10米双挑/监控L6/120W+60W/滨江)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17</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C型(12米2火投光灯/带卡槽/2*280W/滨江)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bookmarkEnd w:id="196"/>
            <w:r/>
            <w:bookmarkEnd w:id="197"/>
            <w:r/>
            <w:bookmarkEnd w:id="198"/>
            <w:r>
              <w:rPr>
                <w:highlight w:val="none"/>
              </w:rPr>
              <w:t xml:space="preserve">18</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滨江国际街区沿河路（长江路——中心路）道路照明工程</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12米单挑不带卡槽/160W/滨江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7</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19</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B型(12米单挑带卡槽/160W/滨江)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20</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A型(12米单挑/标志牌3L6/160W/滨江)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21</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B-1型(12米单挑/信号灯L4/160W/滨江)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22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B-2型(12米单挑/信号灯L8/160W/滨江)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23</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C型(12米单挑/监控L10/160W/滨江)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24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C型(12米3火投光灯/带卡槽/3*280W/滨江)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25</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崇川路南侧规划路道路照明工程</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灯杆(含灯架)</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10m单臂</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根</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26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灯杆(含灯架)</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12m投光灯杆</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根</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27</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LED路灯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100W(暖白)</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28</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LED投光(泛光)灯具</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200W</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29</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桃园路北侧规划路道路照明工程</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灯杆(含灯架)</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8m单臂</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根</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30</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灯杆(含灯架)</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12m投光灯杆</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根</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31</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LED路灯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100W(暖白)</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32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LED投光(泛光)灯具</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200W</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33</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经十一路(幸福路--幸余路)照明工程</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灯杆(含灯架)</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12米单挑路灯</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30</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34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LED路灯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90W（暖白）</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30</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35</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LED投光(泛光)灯具</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200W（3000K）</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36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LED投光(泛光)灯具</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280W（3000K）</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37</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12米双火</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根</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38</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14米三火</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根</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39</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纬十一路(经十一路-通京大道)道路照明工程</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灯杆(含灯架)</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12米单挑路灯</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根</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40</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LED路灯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路灯12W LED</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41</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LED投光(泛光)灯具</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200W（3000K）</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42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12米双火</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43</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经十一路东侧规划路(幸福路-纬十一路)道路照明工程</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灯杆(含灯架)</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12米单挑</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根</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7</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44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LED路灯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12W LED</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7</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45</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LED投光(泛光)灯具</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200W（3000K）</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46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12米双火</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sz w:val="18"/>
                <w:szCs w:val="18"/>
                <w:highlight w:val="none"/>
              </w:rPr>
              <w:framePr w:vAnchor="page" w:hAnchor="page" w:xAlign="center" w:y="572"/>
            </w:pPr>
            <w:r>
              <w:rPr>
                <w:highlight w:val="none"/>
              </w:rPr>
              <w:t xml:space="preserve">47</w:t>
            </w:r>
            <w:r>
              <w:rPr>
                <w:rFonts w:hint="eastAsia" w:ascii="宋体" w:hAnsi="宋体"/>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任港湾和五龙汇纬七路道路照明工程</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sz w:val="18"/>
                <w:szCs w:val="18"/>
                <w:highlight w:val="none"/>
              </w:rPr>
            </w:r>
            <w:r/>
          </w:p>
        </w:tc>
        <w:tc>
          <w:tcPr>
            <w:tcW w:w="3152" w:type="dxa"/>
            <w:vAlign w:val="center"/>
            <w:textDirection w:val="lrTb"/>
            <w:noWrap w:val="false"/>
          </w:tcPr>
          <w:p>
            <w:pPr>
              <w:pStyle w:val="967"/>
              <w:jc w:val="left"/>
              <w:rPr>
                <w:rFonts w:hint="eastAsia" w:ascii="宋体" w:hAnsi="宋体"/>
                <w:sz w:val="18"/>
                <w:szCs w:val="18"/>
                <w:highlight w:val="none"/>
              </w:rPr>
              <w:framePr w:vAnchor="page" w:hAnchor="page" w:xAlign="center" w:y="572"/>
            </w:pPr>
            <w:r>
              <w:rPr>
                <w:rFonts w:hint="eastAsia" w:ascii="宋体" w:hAnsi="宋体"/>
                <w:sz w:val="18"/>
                <w:szCs w:val="18"/>
                <w:highlight w:val="none"/>
              </w:rPr>
              <w:t xml:space="preserve">10m单挑带卡槽/LED90W/纬七路</w:t>
            </w:r>
            <w:r>
              <w:rPr>
                <w:rFonts w:hint="eastAsia" w:ascii="宋体" w:hAnsi="宋体"/>
                <w:sz w:val="18"/>
                <w:szCs w:val="18"/>
                <w:highlight w:val="none"/>
              </w:rPr>
            </w:r>
            <w:r/>
          </w:p>
        </w:tc>
        <w:tc>
          <w:tcPr>
            <w:tcW w:w="709" w:type="dxa"/>
            <w:vAlign w:val="center"/>
            <w:textDirection w:val="lrTb"/>
            <w:noWrap w:val="false"/>
          </w:tcPr>
          <w:p>
            <w:pPr>
              <w:pStyle w:val="967"/>
              <w:jc w:val="center"/>
              <w:rPr>
                <w:rFonts w:hint="eastAsia" w:ascii="宋体" w:hAnsi="宋体"/>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sz w:val="18"/>
                <w:szCs w:val="18"/>
                <w:highlight w:val="none"/>
              </w:rPr>
            </w:r>
            <w:r/>
          </w:p>
        </w:tc>
        <w:tc>
          <w:tcPr>
            <w:tcW w:w="709" w:type="dxa"/>
            <w:vAlign w:val="center"/>
            <w:textDirection w:val="lrTb"/>
            <w:noWrap w:val="false"/>
          </w:tcPr>
          <w:p>
            <w:pPr>
              <w:pStyle w:val="967"/>
              <w:jc w:val="center"/>
              <w:rPr>
                <w:rFonts w:hint="eastAsia" w:ascii="宋体" w:hAnsi="宋体"/>
                <w:sz w:val="18"/>
                <w:szCs w:val="18"/>
                <w:highlight w:val="none"/>
              </w:rPr>
              <w:framePr w:vAnchor="page" w:hAnchor="page" w:xAlign="center" w:y="572"/>
            </w:pPr>
            <w:r>
              <w:rPr>
                <w:rFonts w:hint="eastAsia" w:ascii="宋体" w:hAnsi="宋体"/>
                <w:sz w:val="18"/>
                <w:szCs w:val="18"/>
                <w:highlight w:val="none"/>
              </w:rPr>
              <w:t xml:space="preserve">15</w:t>
            </w:r>
            <w:r>
              <w:rPr>
                <w:rFonts w:hint="eastAsia" w:ascii="宋体" w:hAnsi="宋体"/>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sz w:val="18"/>
                <w:szCs w:val="18"/>
                <w:highlight w:val="none"/>
              </w:rPr>
              <w:framePr w:vAnchor="page" w:hAnchor="page" w:xAlign="center" w:y="572"/>
            </w:pPr>
            <w:r>
              <w:rPr>
                <w:highlight w:val="none"/>
              </w:rPr>
              <w:t xml:space="preserve">48</w:t>
            </w:r>
            <w:r>
              <w:rPr>
                <w:rFonts w:hint="eastAsia" w:ascii="宋体" w:hAnsi="宋体"/>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sz w:val="18"/>
                <w:szCs w:val="18"/>
                <w:highlight w:val="none"/>
              </w:rPr>
              <w:framePr w:vAnchor="page" w:hAnchor="page" w:xAlign="center" w:y="572"/>
            </w:pPr>
            <w:r>
              <w:rPr>
                <w:rFonts w:hint="eastAsia" w:ascii="宋体" w:hAnsi="宋体"/>
                <w:sz w:val="18"/>
                <w:szCs w:val="18"/>
                <w:highlight w:val="none"/>
              </w:rPr>
              <w:t xml:space="preserve">投光灯</w:t>
            </w:r>
            <w:r>
              <w:rPr>
                <w:rFonts w:hint="eastAsia" w:ascii="宋体" w:hAnsi="宋体"/>
                <w:sz w:val="18"/>
                <w:szCs w:val="18"/>
                <w:highlight w:val="none"/>
              </w:rPr>
            </w:r>
            <w:r/>
          </w:p>
        </w:tc>
        <w:tc>
          <w:tcPr>
            <w:tcW w:w="3152" w:type="dxa"/>
            <w:vAlign w:val="center"/>
            <w:textDirection w:val="lrTb"/>
            <w:noWrap w:val="false"/>
          </w:tcPr>
          <w:p>
            <w:pPr>
              <w:pStyle w:val="967"/>
              <w:jc w:val="left"/>
              <w:rPr>
                <w:rFonts w:hint="eastAsia" w:ascii="宋体" w:hAnsi="宋体"/>
                <w:sz w:val="18"/>
                <w:szCs w:val="18"/>
                <w:highlight w:val="none"/>
              </w:rPr>
              <w:framePr w:vAnchor="page" w:hAnchor="page" w:xAlign="center" w:y="572"/>
            </w:pPr>
            <w:r>
              <w:rPr>
                <w:rFonts w:hint="eastAsia" w:ascii="宋体" w:hAnsi="宋体"/>
                <w:sz w:val="18"/>
                <w:szCs w:val="18"/>
                <w:highlight w:val="none"/>
              </w:rPr>
              <w:t xml:space="preserve">12m双火投光灯-LED200W</w:t>
            </w:r>
            <w:r>
              <w:rPr>
                <w:rFonts w:hint="eastAsia" w:ascii="宋体" w:hAnsi="宋体"/>
                <w:sz w:val="18"/>
                <w:szCs w:val="18"/>
                <w:highlight w:val="none"/>
              </w:rPr>
            </w:r>
            <w:r/>
          </w:p>
        </w:tc>
        <w:tc>
          <w:tcPr>
            <w:tcW w:w="709" w:type="dxa"/>
            <w:vAlign w:val="center"/>
            <w:textDirection w:val="lrTb"/>
            <w:noWrap w:val="false"/>
          </w:tcPr>
          <w:p>
            <w:pPr>
              <w:pStyle w:val="967"/>
              <w:jc w:val="center"/>
              <w:rPr>
                <w:rFonts w:hint="eastAsia" w:ascii="宋体" w:hAnsi="宋体"/>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sz w:val="18"/>
                <w:szCs w:val="18"/>
                <w:highlight w:val="none"/>
              </w:rPr>
            </w:r>
            <w:r/>
          </w:p>
        </w:tc>
        <w:tc>
          <w:tcPr>
            <w:tcW w:w="709" w:type="dxa"/>
            <w:vAlign w:val="center"/>
            <w:textDirection w:val="lrTb"/>
            <w:noWrap w:val="false"/>
          </w:tcPr>
          <w:p>
            <w:pPr>
              <w:pStyle w:val="967"/>
              <w:jc w:val="center"/>
              <w:rPr>
                <w:rFonts w:hint="eastAsia" w:ascii="宋体" w:hAnsi="宋体"/>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49</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安达路下穿铁路通道照明工程</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14米投光灯/3*240W/火车站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6</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50</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10m双挑带卡槽/120W+60W/火车站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19</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51</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10m双挑带卡槽/电警L8/120W+60W/火车站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52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10m双挑带卡槽/标志牌3L5.2/120W+60W/火车站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53</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9m单挑带卡槽/60W/火车站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16</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54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隧道灯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60W </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48</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55</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隧道灯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30W</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48</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56</w:t>
            </w:r>
            <w:r>
              <w:rPr>
                <w:rFonts w:hint="eastAsia" w:ascii="宋体" w:hAnsi="宋体" w:cs="等线"/>
                <w:sz w:val="18"/>
                <w:szCs w:val="18"/>
                <w:highlight w:val="none"/>
              </w:rPr>
            </w:r>
            <w:r/>
          </w:p>
        </w:tc>
        <w:tc>
          <w:tcPr>
            <w:tcW w:w="1304" w:type="dxa"/>
            <w:vAlign w:val="center"/>
            <w:vMerge w:val="restart"/>
            <w:textDirection w:val="lrTb"/>
            <w:noWrap w:val="false"/>
          </w:tcPr>
          <w:p>
            <w:pPr>
              <w:pStyle w:val="967"/>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友谊路下穿铁路通道照明工程</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10m双挑带卡槽/120W+60W/火车站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27</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57</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10m双挑带卡槽/电警L10/120W+60W/火车站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58</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10m双挑带卡槽/标志牌3L5.2/120W+60W/火车站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59</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10m单挑带卡槽/160W/火车站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5</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60</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10m单挑带卡槽/标志牌2L4.5/160W/火车站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61</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9m单挑带卡槽/60W/火车站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9</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62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14米投光灯/3*240W/火车站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63</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隧道灯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60W </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44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64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隧道灯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30W</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44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65</w:t>
            </w:r>
            <w:r>
              <w:rPr>
                <w:rFonts w:hint="eastAsia" w:ascii="宋体" w:hAnsi="宋体" w:cs="等线"/>
                <w:sz w:val="18"/>
                <w:szCs w:val="18"/>
                <w:highlight w:val="none"/>
              </w:rPr>
            </w:r>
            <w:r/>
          </w:p>
        </w:tc>
        <w:tc>
          <w:tcPr>
            <w:tcW w:w="1304" w:type="dxa"/>
            <w:vAlign w:val="center"/>
            <w:vMerge w:val="restart"/>
            <w:textDirection w:val="lrTb"/>
            <w:noWrap w:val="false"/>
          </w:tcPr>
          <w:p>
            <w:pPr>
              <w:pStyle w:val="967"/>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石桥路下穿铁路通道工程</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10m双挑带卡槽/120W+60W/火车站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39</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66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10m双挑带卡槽/电警L8 /120W+60W/火车站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67</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10m双挑带卡槽/标志牌3L5.2/120W+60W/火车站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68</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12米投光灯/2*240W/火车站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69</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14米投光灯/3*240W/火车站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70</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隧道灯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60W</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18</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71</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隧道灯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30W</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18</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72</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火车站综合客运枢纽一期照明工程{站西路}</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B06（12m双挑带卡槽/电警L8/120W+60W/火车站）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73</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E01（12m双挑带卡槽/标志牌2L4.5 /120W+60W/火车站）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74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E02（12m单挑带卡槽/标志牌2L4.5/60W/火车站）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75</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D02（12m双挑带卡槽/标志牌2L4/120W+60W/火车站）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76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D01（12m单挑带卡槽/标志牌2L4/60W/火车站）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77</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F02（12m双挑带卡槽/120W+60W/火车站）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78</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F01（12m单挑带卡槽/60W/火车站）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79</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14米投光灯/3*200W/火车站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80</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火车站综合客运枢纽一期照明工程{站东路} </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B05（12m单挑带卡槽/电警L8/60W/火车站）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81</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E01（12m双挑带卡槽/标志牌2L4.5/120W+60W/火车站）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82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E02（12m单挑带卡槽/标志牌2L4.5/60W/火车站）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83</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D02（12m双挑带卡槽/标志牌2L4 /120W+60W/火车站）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84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D01（12m单挑带卡槽/标志牌2L4 /60W/火车站）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85</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F02（12m双挑带卡槽/120W+60W/火车站）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86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F01（12m单挑带卡槽/60W/火车站）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87</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14米投光灯/3*200W/火车站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88</w:t>
            </w:r>
            <w:r>
              <w:rPr>
                <w:rFonts w:hint="eastAsia" w:ascii="宋体" w:hAnsi="宋体" w:cs="等线"/>
                <w:sz w:val="18"/>
                <w:szCs w:val="18"/>
                <w:highlight w:val="none"/>
              </w:rPr>
            </w:r>
            <w:r/>
          </w:p>
        </w:tc>
        <w:tc>
          <w:tcPr>
            <w:tcW w:w="1304" w:type="dxa"/>
            <w:vAlign w:val="center"/>
            <w:vMerge w:val="restart"/>
            <w:textDirection w:val="lrTb"/>
            <w:noWrap w:val="false"/>
          </w:tcPr>
          <w:p>
            <w:pPr>
              <w:pStyle w:val="967"/>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火车站综合客运枢纽一期照明工程{顺达路（幸福大道~经九路）}</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A02（12m双挑带卡槽/信号灯L8/120W+60W/火车站）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89</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A02（12m双挑带卡槽/信号灯L8/160W+60W/火车站）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90</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B07（12m双挑带卡槽/电警L10+4/160W+60W/火车站）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91</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B08（12m双挑带卡槽/电警L12+4/120W+60W/火车站）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92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B08（12m双挑带卡槽/电警L12+4/160W+60W/火车站）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93</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B09（12m双挑带卡槽/电警L4+4/160W+60W/火车站）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94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C02（12m双挑带卡槽/标志牌3L5.2/120W+60W/火车站）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95</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C02（12m双挑带卡槽/标志牌3L5.2/160W+60W/火车站）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96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D02（12m双挑带卡槽/标志牌2L4/120W+60W/火车站）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97</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D02（12m双挑带卡槽/标志牌2L4/160W+60W/火车站）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98</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F02（12m双挑带卡槽/120W+60W/火车站）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16</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99</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F02（12m双挑带卡槽/160W+60W/火车站）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100</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14米投光灯/3*200W/火车站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8</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101</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A01（12m单挑带卡槽/信号灯L8 /160W/火车站）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102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A01（12m单挑带卡槽/信号灯L8/200W/火车站）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103</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A02（12m双挑带卡槽/信号灯L8/120W+60W/火车站）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104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A02（12m双挑带卡槽/信号灯L8/200W+60W/火车站）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105</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B01（12m单挑带卡槽/电警L12/160W/火车站）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106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B04（12m单挑带卡槽/电警L16/200W/火车站）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107</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B09（12m双挑带卡槽/电警L4+4/120W+60W/火车站）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108</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B09（12m双挑带卡槽/电警L4+4/200W+60W/火车站）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109</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C01（12m单挑带卡槽/标志牌3L5.2/160W/火车站）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110</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C01（12m单挑带卡槽/标志牌3L5.2/200W/火车站）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111</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F01（12m单挑带卡槽/160W/火车站）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7</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112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F01（12m单挑带卡槽/200W/火车站）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113</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F02（12m双挑带卡槽/90W+60W/火车站）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114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F02（12m双挑带卡槽/120W+60W/火车站）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9</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115</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F02（12m双挑带卡槽/200W+60W/火车站）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116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14米投光灯/3*200W/火车站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5</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117</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火车站综合客运枢纽一期照明工程{站北路}</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F01（12m单挑带卡槽/60W/火车站）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5</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118</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14米投光灯/3*200W/火车站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6</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119</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B10（14m中杆带卡槽/电警L6 /投光灯3*200W/火车站）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120</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灯杆(含灯架)</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9m单臂/120W/火车站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121</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护栏灯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6W</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150</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122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吸顶灯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60W</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43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123</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A01（12m单挑带卡槽/信号灯L8 /60W/火车站）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124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B02（12m双挑带卡槽/电警L12 /90W+60W/火车站）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125</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B03（10m单挑带卡槽/电警L10/60W/火车站）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126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C01（12m单挑带卡槽/标志牌3L5.2 /120W/火车站）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127</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C03（10m单挑带卡槽/标志牌3L5.2/60W/火车站）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128</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D03（10m单挑带卡槽/标志牌2L4 /60W/火车站）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129</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E03（10m单挑带卡槽/标志牌2L4.5 /90W/火车站）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130</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E04（12m单臂带卡槽/标志牌2L2.745+3 /60W/火车站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131</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E05（12m双臂带卡槽/标志牌2L2.745+3 /90W+60W/火车站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132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A03（14m中杆带卡槽/信号灯L3 /投光灯3*200W/火车站）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133</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B10（14m中杆带卡槽/电警L6/投光灯3*200W/火车站）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134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F01（12m单挑带卡槽/60W/火车站）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15</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135</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F01（12m单挑带卡槽/120W/火车站）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136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F02（12m双挑带卡槽/90W+60W/火车站）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137</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F03（10m单挑带卡槽/60W/火车站）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17</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138</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F03（10m单挑带卡槽/90W/火车站）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139</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灯杆(含灯架)</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12m单臂</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杆</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6</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140</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LED路灯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160W(暖白)</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6</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141</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14米投光灯/3*200W/火车站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7</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142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护栏灯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6W</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sz w:val="18"/>
                <w:szCs w:val="18"/>
                <w:highlight w:val="none"/>
              </w:rPr>
              <w:t xml:space="preserve">530</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397" w:hRule="exact"/>
        </w:trPr>
        <w:tc>
          <w:tcPr>
            <w:gridSpan w:val="2"/>
            <w:tcW w:w="1906"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合计</w:t>
            </w:r>
            <w:r>
              <w:rPr>
                <w:rFonts w:hint="eastAsia" w:ascii="宋体" w:hAnsi="宋体" w:cs="等线"/>
                <w:sz w:val="18"/>
                <w:szCs w:val="18"/>
                <w:highlight w:val="none"/>
              </w:rPr>
            </w:r>
            <w:r/>
          </w:p>
        </w:tc>
        <w:tc>
          <w:tcPr>
            <w:gridSpan w:val="5"/>
            <w:tcW w:w="7167"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（大写）</w:t>
            </w: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1990" w:hRule="exact"/>
        </w:trPr>
        <w:tc>
          <w:tcPr>
            <w:tcW w:w="602"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备注</w:t>
            </w:r>
            <w:r>
              <w:rPr>
                <w:rFonts w:hint="eastAsia" w:ascii="宋体" w:hAnsi="宋体" w:cs="等线"/>
                <w:sz w:val="18"/>
                <w:szCs w:val="18"/>
                <w:highlight w:val="none"/>
              </w:rPr>
            </w:r>
            <w:r/>
          </w:p>
        </w:tc>
        <w:tc>
          <w:tcPr>
            <w:gridSpan w:val="7"/>
            <w:tcW w:w="9321" w:type="dxa"/>
            <w:vAlign w:val="center"/>
            <w:textDirection w:val="lrTb"/>
            <w:noWrap w:val="false"/>
          </w:tcPr>
          <w:p>
            <w:pPr>
              <w:pStyle w:val="967"/>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1.报价表中应含清单明细（灯具壳体、LED可调光电源、模组等）报价单。</w:t>
            </w:r>
            <w:r>
              <w:rPr>
                <w:rFonts w:hint="eastAsia" w:ascii="宋体" w:hAnsi="宋体" w:cs="等线"/>
                <w:sz w:val="18"/>
                <w:szCs w:val="18"/>
                <w:highlight w:val="none"/>
              </w:rPr>
            </w:r>
            <w:r/>
          </w:p>
          <w:p>
            <w:pPr>
              <w:pStyle w:val="967"/>
              <w:rPr>
                <w:rFonts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2.灯杆含瓷插板等附件，灯杆门内需要有规格型号、合格标志、生产厂家的永久标识。</w:t>
            </w:r>
            <w:r>
              <w:rPr>
                <w:rFonts w:ascii="宋体" w:hAnsi="宋体" w:cs="等线"/>
                <w:sz w:val="18"/>
                <w:szCs w:val="18"/>
                <w:highlight w:val="none"/>
              </w:rPr>
            </w:r>
            <w:r/>
          </w:p>
          <w:p>
            <w:pPr>
              <w:pStyle w:val="967"/>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3.LED灯具采用NEMA接口，单灯控制器由需方提供，供方采用接口必须完全适配。</w:t>
            </w:r>
            <w:r>
              <w:rPr>
                <w:rFonts w:hint="eastAsia" w:ascii="宋体" w:hAnsi="宋体" w:cs="等线"/>
                <w:sz w:val="18"/>
                <w:szCs w:val="18"/>
                <w:highlight w:val="none"/>
              </w:rPr>
            </w:r>
            <w:r/>
          </w:p>
          <w:p>
            <w:pPr>
              <w:pStyle w:val="967"/>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4.由于市政工程的特殊性，如遇施工延期导致供货期延长的，供货单位必须考虑适当风险成本，并列入投标报价中。</w:t>
            </w:r>
            <w:r>
              <w:rPr>
                <w:rFonts w:hint="eastAsia" w:ascii="宋体" w:hAnsi="宋体" w:cs="等线"/>
                <w:sz w:val="18"/>
                <w:szCs w:val="18"/>
                <w:highlight w:val="none"/>
              </w:rPr>
            </w:r>
            <w:r/>
          </w:p>
          <w:p>
            <w:pPr>
              <w:pStyle w:val="967"/>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5.灯型、电源，根据工程实际变化进行调整，最终按实际供货数量为准。</w:t>
            </w:r>
            <w:r>
              <w:rPr>
                <w:rFonts w:hint="eastAsia" w:ascii="宋体" w:hAnsi="宋体" w:cs="等线"/>
                <w:sz w:val="18"/>
                <w:szCs w:val="18"/>
                <w:highlight w:val="none"/>
              </w:rPr>
            </w:r>
            <w:r/>
          </w:p>
          <w:p>
            <w:pPr>
              <w:pStyle w:val="967"/>
              <w:widowControl/>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6.根据需方实际需要进行生产安排，合同签订后安排生产数量。</w:t>
            </w:r>
            <w:r>
              <w:rPr>
                <w:rFonts w:hint="eastAsia" w:ascii="宋体" w:hAnsi="宋体" w:cs="等线"/>
                <w:sz w:val="18"/>
                <w:szCs w:val="18"/>
                <w:highlight w:val="none"/>
              </w:rPr>
            </w:r>
            <w:r/>
          </w:p>
        </w:tc>
      </w:tr>
    </w:tbl>
    <w:p>
      <w:pPr>
        <w:pStyle w:val="967"/>
        <w:ind w:firstLine="420"/>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三、质量要求、技术标准、供方对质量负责的条件和期限：</w:t>
      </w:r>
      <w:r>
        <w:rPr>
          <w:rFonts w:hint="eastAsia" w:ascii="等线" w:hAnsi="等线" w:eastAsia="等线" w:cs="等线"/>
          <w:sz w:val="24"/>
          <w:szCs w:val="20"/>
          <w:highlight w:val="none"/>
        </w:rPr>
      </w:r>
      <w:r/>
    </w:p>
    <w:p>
      <w:pPr>
        <w:pStyle w:val="967"/>
        <w:ind w:firstLine="420"/>
        <w:spacing w:after="120"/>
        <w:rPr>
          <w:rFonts w:hint="eastAsia" w:ascii="等线" w:hAnsi="等线" w:eastAsia="等线" w:cs="等线"/>
          <w:sz w:val="24"/>
          <w:szCs w:val="20"/>
          <w:highlight w:val="none"/>
          <w:u w:val="single"/>
        </w:rPr>
      </w:pPr>
      <w:r>
        <w:rPr>
          <w:rFonts w:hint="eastAsia" w:ascii="等线" w:hAnsi="等线" w:eastAsia="等线" w:cs="等线"/>
          <w:sz w:val="24"/>
          <w:szCs w:val="20"/>
          <w:highlight w:val="none"/>
        </w:rPr>
        <w:t xml:space="preserve">3.1 质量要求：</w:t>
      </w:r>
      <w:r>
        <w:rPr>
          <w:rFonts w:hint="eastAsia" w:ascii="等线" w:hAnsi="等线" w:eastAsia="等线" w:cs="等线"/>
          <w:sz w:val="24"/>
          <w:szCs w:val="20"/>
          <w:highlight w:val="none"/>
          <w:u w:val="single"/>
        </w:rPr>
        <w:t xml:space="preserve">按照公开招标文件要求。</w:t>
      </w:r>
      <w:r>
        <w:rPr>
          <w:rFonts w:hint="eastAsia" w:ascii="等线" w:hAnsi="等线" w:eastAsia="等线" w:cs="等线"/>
          <w:sz w:val="24"/>
          <w:szCs w:val="20"/>
          <w:highlight w:val="none"/>
          <w:u w:val="single"/>
        </w:rPr>
      </w:r>
      <w:r/>
    </w:p>
    <w:p>
      <w:pPr>
        <w:pStyle w:val="967"/>
        <w:ind w:firstLine="420"/>
        <w:spacing w:after="120"/>
        <w:rPr>
          <w:rFonts w:hint="eastAsia" w:ascii="等线" w:hAnsi="等线" w:eastAsia="等线" w:cs="等线"/>
          <w:sz w:val="24"/>
          <w:szCs w:val="20"/>
          <w:highlight w:val="none"/>
          <w:u w:val="single"/>
        </w:rPr>
      </w:pPr>
      <w:r>
        <w:rPr>
          <w:rFonts w:hint="eastAsia" w:ascii="等线" w:hAnsi="等线" w:eastAsia="等线" w:cs="等线"/>
          <w:sz w:val="24"/>
          <w:szCs w:val="20"/>
          <w:highlight w:val="none"/>
        </w:rPr>
        <w:t xml:space="preserve">3.2 技术标准：</w:t>
      </w:r>
      <w:r>
        <w:rPr>
          <w:rFonts w:hint="eastAsia" w:ascii="等线" w:hAnsi="等线" w:eastAsia="等线" w:cs="等线"/>
          <w:sz w:val="24"/>
          <w:szCs w:val="20"/>
          <w:highlight w:val="none"/>
          <w:u w:val="single"/>
        </w:rPr>
        <w:t xml:space="preserve">按照公开招标文件要求。</w:t>
      </w:r>
      <w:r>
        <w:rPr>
          <w:rFonts w:hint="eastAsia" w:ascii="等线" w:hAnsi="等线" w:eastAsia="等线" w:cs="等线"/>
          <w:sz w:val="24"/>
          <w:szCs w:val="20"/>
          <w:highlight w:val="none"/>
          <w:u w:val="single"/>
        </w:rPr>
      </w:r>
      <w:r/>
    </w:p>
    <w:p>
      <w:pPr>
        <w:pStyle w:val="967"/>
        <w:ind w:firstLine="409"/>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3.3 供方对质量负责的条件和期限：质保期为3年。质保期计算日自验收合格之日开始。质保期内对本项目提供免费维护和免费更换。</w:t>
      </w:r>
      <w:r>
        <w:rPr>
          <w:rFonts w:hint="eastAsia" w:ascii="等线" w:hAnsi="等线" w:eastAsia="等线" w:cs="等线"/>
          <w:sz w:val="24"/>
          <w:szCs w:val="20"/>
          <w:highlight w:val="none"/>
        </w:rPr>
      </w:r>
      <w:r/>
    </w:p>
    <w:p>
      <w:pPr>
        <w:pStyle w:val="967"/>
        <w:ind w:left="420"/>
        <w:spacing w:line="360" w:lineRule="auto"/>
        <w:rPr>
          <w:rFonts w:hint="eastAsia" w:ascii="等线" w:hAnsi="等线" w:eastAsia="等线" w:cs="等线"/>
          <w:sz w:val="24"/>
          <w:szCs w:val="20"/>
          <w:highlight w:val="none"/>
          <w:u w:val="single"/>
        </w:rPr>
      </w:pPr>
      <w:r>
        <w:rPr>
          <w:rFonts w:hint="eastAsia" w:ascii="等线" w:hAnsi="等线" w:eastAsia="等线" w:cs="等线"/>
          <w:sz w:val="24"/>
          <w:szCs w:val="20"/>
          <w:highlight w:val="none"/>
        </w:rPr>
        <w:t xml:space="preserve">四、交（提）货地点、方式：</w:t>
      </w:r>
      <w:r>
        <w:rPr>
          <w:rFonts w:hint="eastAsia" w:ascii="等线" w:hAnsi="等线" w:eastAsia="等线" w:cs="等线"/>
          <w:sz w:val="24"/>
          <w:szCs w:val="20"/>
          <w:highlight w:val="none"/>
          <w:u w:val="single"/>
        </w:rPr>
        <w:t xml:space="preserve">按公开招标文件要求。</w:t>
      </w:r>
      <w:r>
        <w:rPr>
          <w:rFonts w:hint="eastAsia" w:ascii="等线" w:hAnsi="等线" w:eastAsia="等线" w:cs="等线"/>
          <w:sz w:val="24"/>
          <w:szCs w:val="20"/>
          <w:highlight w:val="none"/>
          <w:u w:val="single"/>
        </w:rPr>
      </w:r>
      <w:r/>
    </w:p>
    <w:p>
      <w:pPr>
        <w:pStyle w:val="967"/>
        <w:ind w:firstLine="480"/>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供方接需方的生产通知后 20 日内完成生产。全部交付时应同时交付产品的产品合格证。</w:t>
      </w:r>
      <w:r>
        <w:rPr>
          <w:rFonts w:hint="eastAsia" w:ascii="等线" w:hAnsi="等线" w:eastAsia="等线" w:cs="等线"/>
          <w:sz w:val="24"/>
          <w:szCs w:val="20"/>
          <w:highlight w:val="none"/>
        </w:rPr>
      </w:r>
      <w:r/>
    </w:p>
    <w:p>
      <w:pPr>
        <w:pStyle w:val="967"/>
        <w:ind w:firstLine="480"/>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供方应负责滨江国际街区揽江路（中心路——崇川路）道路照明工程、滨江国际街区中心路（洪江路——沿河路）道路照明工程、滨江国际街区沿河路（长江路——中心路）道路照明工程、安达路下穿铁路通道照明工程、友谊路下穿铁路通道照明工程、石桥路下穿铁路通道工程、火车站综合客运枢纽一期照明工程{站西路}、{站东路}、{站北路} 、{顺达路（幸福大道~经九路）}的安装调试工作。在完成所有杆件及灯具安装后，还应参与本工程路灯所照明系统联机调试运行，确保所有路灯单灯控制及各项功能能够正常运行。</w:t>
      </w:r>
      <w:r>
        <w:rPr>
          <w:rFonts w:hint="eastAsia" w:ascii="等线" w:hAnsi="等线" w:eastAsia="等线" w:cs="等线"/>
          <w:sz w:val="24"/>
          <w:szCs w:val="20"/>
          <w:highlight w:val="none"/>
        </w:rPr>
      </w:r>
      <w:r/>
    </w:p>
    <w:p>
      <w:pPr>
        <w:pStyle w:val="967"/>
        <w:ind w:firstLine="480"/>
        <w:spacing w:line="360" w:lineRule="auto"/>
        <w:rPr>
          <w:szCs w:val="20"/>
          <w:highlight w:val="none"/>
        </w:rPr>
      </w:pPr>
      <w:r>
        <w:rPr>
          <w:rFonts w:hint="eastAsia" w:ascii="等线" w:hAnsi="等线" w:eastAsia="等线" w:cs="等线"/>
          <w:sz w:val="24"/>
          <w:szCs w:val="20"/>
          <w:highlight w:val="none"/>
        </w:rPr>
        <w:t xml:space="preserve">所涉及的所有设备、材料均包括：供货、安装、调试、试运行、验收、售后服务等工作，为总价承包，不得调整。</w:t>
      </w:r>
      <w:r>
        <w:rPr>
          <w:szCs w:val="20"/>
          <w:highlight w:val="none"/>
        </w:rPr>
      </w:r>
      <w:r/>
    </w:p>
    <w:p>
      <w:pPr>
        <w:pStyle w:val="967"/>
        <w:ind w:firstLine="420"/>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五、需方验收前，货物损耗、运费、卸货费等由</w:t>
      </w:r>
      <w:r>
        <w:rPr>
          <w:rFonts w:hint="eastAsia" w:ascii="等线" w:hAnsi="等线" w:eastAsia="等线" w:cs="等线"/>
          <w:sz w:val="24"/>
          <w:szCs w:val="20"/>
          <w:highlight w:val="none"/>
          <w:u w:val="single"/>
        </w:rPr>
        <w:t xml:space="preserve"> 供 </w:t>
      </w:r>
      <w:r>
        <w:rPr>
          <w:rFonts w:hint="eastAsia" w:ascii="等线" w:hAnsi="等线" w:eastAsia="等线" w:cs="等线"/>
          <w:sz w:val="24"/>
          <w:szCs w:val="20"/>
          <w:highlight w:val="none"/>
        </w:rPr>
        <w:t xml:space="preserve">方承担。</w:t>
      </w:r>
      <w:r>
        <w:rPr>
          <w:rFonts w:hint="eastAsia" w:ascii="等线" w:hAnsi="等线" w:eastAsia="等线" w:cs="等线"/>
          <w:sz w:val="24"/>
          <w:szCs w:val="20"/>
          <w:highlight w:val="none"/>
        </w:rPr>
      </w:r>
      <w:r/>
    </w:p>
    <w:p>
      <w:pPr>
        <w:pStyle w:val="967"/>
        <w:ind w:left="420"/>
        <w:spacing w:line="360" w:lineRule="auto"/>
        <w:rPr>
          <w:rFonts w:hint="eastAsia" w:ascii="等线" w:hAnsi="等线" w:eastAsia="等线" w:cs="等线"/>
          <w:sz w:val="24"/>
          <w:szCs w:val="20"/>
          <w:highlight w:val="none"/>
          <w:u w:val="single"/>
        </w:rPr>
      </w:pPr>
      <w:r>
        <w:rPr>
          <w:rFonts w:hint="eastAsia" w:ascii="等线" w:hAnsi="等线" w:eastAsia="等线" w:cs="等线"/>
          <w:sz w:val="24"/>
          <w:szCs w:val="20"/>
          <w:highlight w:val="none"/>
        </w:rPr>
        <w:t xml:space="preserve">六、包装标准、包装物的供应与回收：</w:t>
      </w:r>
      <w:r>
        <w:rPr>
          <w:rFonts w:hint="eastAsia" w:ascii="等线" w:hAnsi="等线" w:eastAsia="等线" w:cs="等线"/>
          <w:sz w:val="24"/>
          <w:szCs w:val="20"/>
          <w:highlight w:val="none"/>
          <w:u w:val="single"/>
        </w:rPr>
      </w:r>
      <w:r/>
    </w:p>
    <w:p>
      <w:pPr>
        <w:pStyle w:val="967"/>
        <w:contextualSpacing/>
        <w:ind w:firstLine="480"/>
        <w:spacing w:line="360" w:lineRule="auto"/>
        <w:tabs>
          <w:tab w:val="left" w:pos="5325" w:leader="none"/>
        </w:tabs>
        <w:rPr>
          <w:rFonts w:hint="eastAsia" w:ascii="等线" w:hAnsi="等线" w:eastAsia="等线" w:cs="等线"/>
          <w:b/>
          <w:sz w:val="24"/>
          <w:szCs w:val="20"/>
          <w:highlight w:val="none"/>
        </w:rPr>
      </w:pPr>
      <w:r>
        <w:rPr>
          <w:rFonts w:hint="eastAsia" w:ascii="等线" w:hAnsi="等线" w:eastAsia="等线" w:cs="等线"/>
          <w:b/>
          <w:sz w:val="24"/>
          <w:szCs w:val="20"/>
          <w:highlight w:val="none"/>
        </w:rPr>
        <w:t xml:space="preserve">6.1灯具的包装要求</w:t>
      </w:r>
      <w:r>
        <w:rPr>
          <w:rFonts w:hint="eastAsia" w:ascii="等线" w:hAnsi="等线" w:eastAsia="等线" w:cs="等线"/>
          <w:b/>
          <w:sz w:val="24"/>
          <w:szCs w:val="20"/>
          <w:highlight w:val="none"/>
        </w:rPr>
      </w:r>
      <w:r/>
    </w:p>
    <w:p>
      <w:pPr>
        <w:pStyle w:val="967"/>
        <w:contextualSpacing/>
        <w:ind w:left="420"/>
        <w:spacing w:line="360" w:lineRule="auto"/>
        <w:tabs>
          <w:tab w:val="left" w:pos="5325" w:leader="none"/>
        </w:tabs>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1.每盏灯独立包装，将灯具的说明书，配件放置在灯具包装箱内；</w:t>
      </w:r>
      <w:r>
        <w:rPr>
          <w:rFonts w:hint="eastAsia" w:ascii="等线" w:hAnsi="等线" w:eastAsia="等线" w:cs="等线"/>
          <w:sz w:val="24"/>
          <w:szCs w:val="20"/>
          <w:highlight w:val="none"/>
        </w:rPr>
        <w:br w:type="textWrapping" w:clear="all"/>
      </w:r>
      <w:r>
        <w:rPr>
          <w:rFonts w:hint="eastAsia" w:ascii="等线" w:hAnsi="等线" w:eastAsia="等线" w:cs="等线"/>
          <w:sz w:val="24"/>
          <w:szCs w:val="20"/>
          <w:highlight w:val="none"/>
        </w:rPr>
        <w:t xml:space="preserve">2.先用PE袋进行包装，再用专用的发泡板（发泡包装模）进行保护，最外层采用AB双瓦楞纸板，面纸200g，里纸170g，A瓦B瓦140g，堆高建议八层；</w:t>
      </w:r>
      <w:r>
        <w:rPr>
          <w:rFonts w:hint="eastAsia" w:ascii="等线" w:hAnsi="等线" w:eastAsia="等线" w:cs="等线"/>
          <w:sz w:val="24"/>
          <w:szCs w:val="20"/>
          <w:highlight w:val="none"/>
        </w:rPr>
        <w:br w:type="textWrapping" w:clear="all"/>
      </w:r>
      <w:r>
        <w:rPr>
          <w:rFonts w:hint="eastAsia" w:ascii="等线" w:hAnsi="等线" w:eastAsia="等线" w:cs="等线"/>
          <w:sz w:val="24"/>
          <w:szCs w:val="20"/>
          <w:highlight w:val="none"/>
        </w:rPr>
        <w:t xml:space="preserve">3.封口胶将灯具的外箱进行封箱，对灯具的外箱进行标识。</w:t>
      </w:r>
      <w:r>
        <w:rPr>
          <w:rFonts w:hint="eastAsia" w:ascii="等线" w:hAnsi="等线" w:eastAsia="等线" w:cs="等线"/>
          <w:sz w:val="24"/>
          <w:szCs w:val="20"/>
          <w:highlight w:val="none"/>
        </w:rPr>
      </w:r>
      <w:r/>
    </w:p>
    <w:p>
      <w:pPr>
        <w:pStyle w:val="967"/>
        <w:ind w:left="420"/>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七、验收标准、方法及提出异议期限：</w:t>
      </w:r>
      <w:r>
        <w:rPr>
          <w:rFonts w:hint="eastAsia" w:ascii="等线" w:hAnsi="等线" w:eastAsia="等线" w:cs="等线"/>
          <w:sz w:val="24"/>
          <w:szCs w:val="20"/>
          <w:highlight w:val="none"/>
        </w:rPr>
      </w:r>
      <w:r/>
    </w:p>
    <w:p>
      <w:pPr>
        <w:pStyle w:val="967"/>
        <w:contextualSpacing/>
        <w:ind w:firstLine="420"/>
        <w:spacing w:line="360" w:lineRule="auto"/>
        <w:shd w:val="clear" w:color="auto" w:fill="ffffff"/>
        <w:widowControl/>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7.1验收标准</w:t>
      </w:r>
      <w:r>
        <w:rPr>
          <w:rFonts w:hint="eastAsia" w:ascii="等线" w:hAnsi="等线" w:eastAsia="等线" w:cs="等线"/>
          <w:sz w:val="24"/>
          <w:szCs w:val="20"/>
          <w:highlight w:val="none"/>
        </w:rPr>
      </w:r>
      <w:r/>
    </w:p>
    <w:p>
      <w:pPr>
        <w:pStyle w:val="967"/>
        <w:contextualSpacing/>
        <w:ind w:firstLine="420"/>
        <w:spacing w:line="360" w:lineRule="auto"/>
        <w:shd w:val="clear" w:color="auto" w:fill="ffffff"/>
        <w:widowControl/>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7.1.1国家相关标准、行业标准、地方标准或者其他标准、规范。</w:t>
      </w:r>
      <w:r>
        <w:rPr>
          <w:rFonts w:hint="eastAsia" w:ascii="等线" w:hAnsi="等线" w:eastAsia="等线" w:cs="等线"/>
          <w:sz w:val="24"/>
          <w:szCs w:val="20"/>
          <w:highlight w:val="none"/>
        </w:rPr>
      </w:r>
      <w:r/>
    </w:p>
    <w:p>
      <w:pPr>
        <w:pStyle w:val="967"/>
        <w:contextualSpacing/>
        <w:ind w:firstLine="420"/>
        <w:spacing w:line="360" w:lineRule="auto"/>
        <w:shd w:val="clear" w:color="auto" w:fill="ffffff"/>
        <w:widowControl/>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7.1.2本公开招标文件提出的技术要求。</w:t>
      </w:r>
      <w:r>
        <w:rPr>
          <w:rFonts w:hint="eastAsia" w:ascii="等线" w:hAnsi="等线" w:eastAsia="等线" w:cs="等线"/>
          <w:sz w:val="24"/>
          <w:szCs w:val="20"/>
          <w:highlight w:val="none"/>
        </w:rPr>
      </w:r>
      <w:r/>
    </w:p>
    <w:p>
      <w:pPr>
        <w:pStyle w:val="967"/>
        <w:contextualSpacing/>
        <w:ind w:firstLine="420"/>
        <w:spacing w:line="360" w:lineRule="auto"/>
        <w:shd w:val="clear" w:color="auto" w:fill="ffffff"/>
        <w:widowControl/>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7.2验收方法</w:t>
      </w:r>
      <w:r>
        <w:rPr>
          <w:rFonts w:hint="eastAsia" w:ascii="等线" w:hAnsi="等线" w:eastAsia="等线" w:cs="等线"/>
          <w:sz w:val="24"/>
          <w:szCs w:val="20"/>
          <w:highlight w:val="none"/>
        </w:rPr>
      </w:r>
      <w:r/>
    </w:p>
    <w:p>
      <w:pPr>
        <w:pStyle w:val="967"/>
        <w:contextualSpacing/>
        <w:ind w:firstLine="420"/>
        <w:spacing w:line="360" w:lineRule="auto"/>
        <w:shd w:val="clear" w:color="auto" w:fill="ffffff"/>
        <w:widowControl/>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7.2.1在供货后</w:t>
      </w:r>
      <w:r>
        <w:rPr>
          <w:rFonts w:hint="eastAsia" w:ascii="等线" w:hAnsi="等线" w:eastAsia="等线" w:cs="等线"/>
          <w:sz w:val="24"/>
          <w:szCs w:val="20"/>
          <w:highlight w:val="none"/>
          <w:u w:val="single"/>
        </w:rPr>
        <w:t xml:space="preserve">5个工作日</w:t>
      </w:r>
      <w:r>
        <w:rPr>
          <w:rFonts w:hint="eastAsia" w:ascii="等线" w:hAnsi="等线" w:eastAsia="等线" w:cs="等线"/>
          <w:sz w:val="24"/>
          <w:szCs w:val="20"/>
          <w:highlight w:val="none"/>
        </w:rPr>
        <w:t xml:space="preserve">内,采购单位将通知供应厂商共同组织验收。对通知而未参加的供应厂商视同接受验收结论。</w:t>
      </w:r>
      <w:r>
        <w:rPr>
          <w:rFonts w:hint="eastAsia" w:ascii="等线" w:hAnsi="等线" w:eastAsia="等线" w:cs="等线"/>
          <w:sz w:val="24"/>
          <w:szCs w:val="20"/>
          <w:highlight w:val="none"/>
          <w:u w:val="single"/>
        </w:rPr>
        <w:t xml:space="preserve">如验收不合格，供应厂商须在2个工作日内对验收结论作出响应，整改完毕后，采购单位重新组织验收</w:t>
      </w:r>
      <w:r>
        <w:rPr>
          <w:rFonts w:hint="eastAsia" w:ascii="等线" w:hAnsi="等线" w:eastAsia="等线" w:cs="等线"/>
          <w:sz w:val="24"/>
          <w:szCs w:val="20"/>
          <w:highlight w:val="none"/>
        </w:rPr>
        <w:t xml:space="preserve">。</w:t>
      </w:r>
      <w:r>
        <w:rPr>
          <w:rFonts w:hint="eastAsia" w:ascii="等线" w:hAnsi="等线" w:eastAsia="等线" w:cs="等线"/>
          <w:sz w:val="24"/>
          <w:szCs w:val="20"/>
          <w:highlight w:val="none"/>
        </w:rPr>
      </w:r>
      <w:r/>
    </w:p>
    <w:p>
      <w:pPr>
        <w:pStyle w:val="967"/>
        <w:contextualSpacing/>
        <w:ind w:firstLine="420"/>
        <w:spacing w:line="360" w:lineRule="auto"/>
        <w:shd w:val="clear" w:color="auto" w:fill="ffffff"/>
        <w:widowControl/>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7.2.2符合公开招标文件规定的，同时制造商必须是提交响应文件时所明确的生产制造厂商的产品为合格产品，供方对质量问题负责包退、包换和包修，因此发生的费用由供方自行负责。在合同有效期内，如与本合同标的物相关的国家质量标准发生变化，则以国家最新颁布的标准及规范执行。如有不符合的，由供方承担全部责任。</w:t>
      </w:r>
      <w:r>
        <w:rPr>
          <w:rFonts w:hint="eastAsia" w:ascii="等线" w:hAnsi="等线" w:eastAsia="等线" w:cs="等线"/>
          <w:sz w:val="24"/>
          <w:szCs w:val="20"/>
          <w:highlight w:val="none"/>
        </w:rPr>
      </w:r>
      <w:r/>
    </w:p>
    <w:p>
      <w:pPr>
        <w:pStyle w:val="967"/>
        <w:contextualSpacing/>
        <w:ind w:firstLine="420"/>
        <w:spacing w:line="360" w:lineRule="auto"/>
        <w:shd w:val="clear" w:color="auto" w:fill="ffffff"/>
        <w:widowControl/>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7.3 提出异议期限：2个工作日内。 </w:t>
      </w:r>
      <w:r>
        <w:rPr>
          <w:rFonts w:hint="eastAsia" w:ascii="等线" w:hAnsi="等线" w:eastAsia="等线" w:cs="等线"/>
          <w:sz w:val="24"/>
          <w:szCs w:val="20"/>
          <w:highlight w:val="none"/>
        </w:rPr>
      </w:r>
      <w:r/>
    </w:p>
    <w:p>
      <w:pPr>
        <w:pStyle w:val="967"/>
        <w:ind w:left="420"/>
        <w:spacing w:line="360" w:lineRule="auto"/>
        <w:rPr>
          <w:rFonts w:hint="eastAsia" w:ascii="等线" w:hAnsi="等线" w:eastAsia="等线" w:cs="等线"/>
          <w:sz w:val="24"/>
          <w:szCs w:val="20"/>
          <w:highlight w:val="none"/>
          <w:u w:val="single"/>
        </w:rPr>
      </w:pPr>
      <w:r>
        <w:rPr>
          <w:rFonts w:hint="eastAsia" w:ascii="等线" w:hAnsi="等线" w:eastAsia="等线" w:cs="等线"/>
          <w:sz w:val="24"/>
          <w:szCs w:val="20"/>
          <w:highlight w:val="none"/>
        </w:rPr>
        <w:t xml:space="preserve">八、安装调试：</w:t>
      </w:r>
      <w:r>
        <w:rPr>
          <w:rFonts w:hint="eastAsia" w:ascii="等线" w:hAnsi="等线" w:eastAsia="等线" w:cs="等线"/>
          <w:sz w:val="24"/>
          <w:szCs w:val="20"/>
          <w:highlight w:val="none"/>
          <w:u w:val="single"/>
        </w:rPr>
      </w:r>
      <w:r/>
    </w:p>
    <w:p>
      <w:pPr>
        <w:pStyle w:val="967"/>
        <w:contextualSpacing/>
        <w:ind w:firstLine="420"/>
        <w:spacing w:line="360" w:lineRule="auto"/>
        <w:shd w:val="clear" w:color="auto" w:fill="ffffff"/>
        <w:widowControl/>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 根据公开招标文件要求。</w:t>
      </w:r>
      <w:r>
        <w:rPr>
          <w:rFonts w:hint="eastAsia" w:ascii="等线" w:hAnsi="等线" w:eastAsia="等线" w:cs="等线"/>
          <w:sz w:val="24"/>
          <w:szCs w:val="20"/>
          <w:highlight w:val="none"/>
        </w:rPr>
      </w:r>
      <w:r/>
    </w:p>
    <w:p>
      <w:pPr>
        <w:pStyle w:val="967"/>
        <w:contextualSpacing/>
        <w:ind w:firstLine="420"/>
        <w:spacing w:line="360" w:lineRule="auto"/>
        <w:shd w:val="clear" w:color="auto" w:fill="ffffff"/>
        <w:widowControl/>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九、随机必备品、配件、工具数量及供应方法：</w:t>
      </w:r>
      <w:r>
        <w:rPr>
          <w:rFonts w:hint="eastAsia" w:ascii="等线" w:hAnsi="等线" w:eastAsia="等线" w:cs="等线"/>
          <w:sz w:val="24"/>
          <w:szCs w:val="20"/>
          <w:highlight w:val="none"/>
          <w:u w:val="single"/>
        </w:rPr>
        <w:t xml:space="preserve">根据公开招标文件要求。</w:t>
      </w:r>
      <w:r>
        <w:rPr>
          <w:rFonts w:hint="eastAsia" w:ascii="等线" w:hAnsi="等线" w:eastAsia="等线" w:cs="等线"/>
          <w:sz w:val="24"/>
          <w:szCs w:val="20"/>
          <w:highlight w:val="none"/>
        </w:rPr>
      </w:r>
      <w:r/>
    </w:p>
    <w:p>
      <w:pPr>
        <w:pStyle w:val="967"/>
        <w:contextualSpacing/>
        <w:ind w:firstLine="420"/>
        <w:spacing w:line="360" w:lineRule="auto"/>
        <w:tabs>
          <w:tab w:val="left" w:pos="5325" w:leader="none"/>
        </w:tabs>
        <w:rPr>
          <w:rFonts w:hint="eastAsia" w:ascii="等线" w:hAnsi="等线" w:eastAsia="等线" w:cs="等线"/>
          <w:sz w:val="24"/>
          <w:szCs w:val="20"/>
          <w:highlight w:val="none"/>
          <w:u w:val="single"/>
        </w:rPr>
      </w:pPr>
      <w:r>
        <w:rPr>
          <w:rFonts w:hint="eastAsia" w:ascii="等线" w:hAnsi="等线" w:eastAsia="等线" w:cs="等线"/>
          <w:sz w:val="24"/>
          <w:szCs w:val="20"/>
          <w:highlight w:val="none"/>
        </w:rPr>
        <w:t xml:space="preserve">十、结算方式及期限：</w:t>
      </w:r>
      <w:r>
        <w:rPr>
          <w:rFonts w:hint="eastAsia" w:ascii="等线" w:hAnsi="等线" w:eastAsia="等线" w:cs="等线"/>
          <w:sz w:val="24"/>
          <w:szCs w:val="20"/>
          <w:highlight w:val="none"/>
          <w:u w:val="single"/>
        </w:rPr>
        <w:t xml:space="preserve">合同签订后，支付合同价的30%作为预付款；货物安装到位并验收合格后付至所供货物金额的50％（应付款项金额超过预付款金额后，需方开始实际支付）。</w:t>
      </w:r>
      <w:bookmarkStart w:id="199" w:name="OLE_LINK31"/>
      <w:r>
        <w:rPr>
          <w:rFonts w:hint="eastAsia" w:ascii="等线" w:hAnsi="等线" w:eastAsia="等线" w:cs="等线"/>
          <w:sz w:val="24"/>
          <w:szCs w:val="20"/>
          <w:highlight w:val="none"/>
          <w:u w:val="single"/>
        </w:rPr>
        <w:t xml:space="preserve">18个月后</w:t>
      </w:r>
      <w:bookmarkEnd w:id="199"/>
      <w:r>
        <w:rPr>
          <w:rFonts w:hint="eastAsia" w:ascii="等线" w:hAnsi="等线" w:eastAsia="等线" w:cs="等线"/>
          <w:sz w:val="24"/>
          <w:szCs w:val="20"/>
          <w:highlight w:val="none"/>
          <w:u w:val="single"/>
        </w:rPr>
        <w:t xml:space="preserve">付清余款。实际支付金额按实际供货量照实结算。</w:t>
      </w:r>
      <w:r>
        <w:rPr>
          <w:rFonts w:hint="eastAsia" w:ascii="等线" w:hAnsi="等线" w:eastAsia="等线" w:cs="等线"/>
          <w:sz w:val="24"/>
          <w:szCs w:val="20"/>
          <w:highlight w:val="none"/>
          <w:u w:val="single"/>
        </w:rPr>
      </w:r>
      <w:r/>
    </w:p>
    <w:p>
      <w:pPr>
        <w:pStyle w:val="967"/>
        <w:ind w:firstLine="420"/>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十一、标的物所有权自</w:t>
      </w:r>
      <w:r>
        <w:rPr>
          <w:rFonts w:hint="eastAsia" w:ascii="等线" w:hAnsi="等线" w:eastAsia="等线" w:cs="等线"/>
          <w:sz w:val="24"/>
          <w:szCs w:val="20"/>
          <w:highlight w:val="none"/>
          <w:u w:val="single"/>
        </w:rPr>
        <w:t xml:space="preserve">现场移交</w:t>
      </w:r>
      <w:r>
        <w:rPr>
          <w:rFonts w:hint="eastAsia" w:ascii="等线" w:hAnsi="等线" w:eastAsia="等线" w:cs="等线"/>
          <w:sz w:val="24"/>
          <w:szCs w:val="20"/>
          <w:highlight w:val="none"/>
        </w:rPr>
        <w:t xml:space="preserve">时转移。</w:t>
      </w:r>
      <w:r>
        <w:rPr>
          <w:rFonts w:hint="eastAsia" w:ascii="等线" w:hAnsi="等线" w:eastAsia="等线" w:cs="等线"/>
          <w:sz w:val="24"/>
          <w:szCs w:val="20"/>
          <w:highlight w:val="none"/>
        </w:rPr>
      </w:r>
      <w:r/>
    </w:p>
    <w:p>
      <w:pPr>
        <w:pStyle w:val="967"/>
        <w:ind w:firstLine="420"/>
        <w:spacing w:line="360" w:lineRule="auto"/>
        <w:rPr>
          <w:rFonts w:hint="eastAsia" w:ascii="等线" w:hAnsi="等线" w:eastAsia="等线" w:cs="等线"/>
          <w:sz w:val="24"/>
          <w:szCs w:val="20"/>
          <w:highlight w:val="none"/>
          <w:u w:val="single"/>
        </w:rPr>
      </w:pPr>
      <w:r>
        <w:rPr>
          <w:rFonts w:hint="eastAsia" w:ascii="等线" w:hAnsi="等线" w:eastAsia="等线" w:cs="等线"/>
          <w:sz w:val="24"/>
          <w:szCs w:val="20"/>
          <w:highlight w:val="none"/>
        </w:rPr>
        <w:t xml:space="preserve">十二、履约约定：</w:t>
      </w:r>
      <w:r>
        <w:rPr>
          <w:rFonts w:hint="eastAsia" w:ascii="等线" w:hAnsi="等线" w:eastAsia="等线" w:cs="等线"/>
          <w:sz w:val="24"/>
          <w:szCs w:val="20"/>
          <w:highlight w:val="none"/>
          <w:u w:val="single"/>
        </w:rPr>
        <w:t xml:space="preserve">需方因供方严重偏离公开招标技术标准供货，需方要求全部退货的，供方须付给需方合同总价款5%的违约金。并根据此次供货情况对需方造成的损失进行赔偿。在供货过程中，若未按期供货的每延迟1天将按未按期供货货款的1%予以扣减；若供货出现瑕疵但尚未影响使用，按供货货款的1-5%予以扣减。供方如若发生5次及以上不能按期、按质供货，需方有权单方面停止采购，由此造成的损失由供方自行承担。</w:t>
      </w:r>
      <w:r>
        <w:rPr>
          <w:rFonts w:hint="eastAsia" w:ascii="等线" w:hAnsi="等线" w:eastAsia="等线" w:cs="等线"/>
          <w:sz w:val="24"/>
          <w:szCs w:val="20"/>
          <w:highlight w:val="none"/>
          <w:u w:val="single"/>
        </w:rPr>
      </w:r>
      <w:r/>
    </w:p>
    <w:p>
      <w:pPr>
        <w:pStyle w:val="967"/>
        <w:ind w:firstLine="420"/>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十三、本合同在履行过程中发生争议及解决纠纷方式：由双方当事人协商解决；也可提交当地财政政府采购管理部门或工商管理部门调解，协商或调解不成的，按下列第</w:t>
      </w:r>
      <w:r>
        <w:rPr>
          <w:rFonts w:hint="eastAsia" w:ascii="等线" w:hAnsi="等线" w:eastAsia="等线" w:cs="等线"/>
          <w:sz w:val="24"/>
          <w:szCs w:val="20"/>
          <w:highlight w:val="none"/>
          <w:u w:val="single"/>
        </w:rPr>
        <w:t xml:space="preserve"> 1 </w:t>
      </w:r>
      <w:r>
        <w:rPr>
          <w:rFonts w:hint="eastAsia" w:ascii="等线" w:hAnsi="等线" w:eastAsia="等线" w:cs="等线"/>
          <w:sz w:val="24"/>
          <w:szCs w:val="20"/>
          <w:highlight w:val="none"/>
        </w:rPr>
        <w:t xml:space="preserve">种方式解决：</w:t>
      </w:r>
      <w:r>
        <w:rPr>
          <w:rFonts w:hint="eastAsia" w:ascii="等线" w:hAnsi="等线" w:eastAsia="等线" w:cs="等线"/>
          <w:sz w:val="24"/>
          <w:szCs w:val="20"/>
          <w:highlight w:val="none"/>
        </w:rPr>
      </w:r>
      <w:r/>
    </w:p>
    <w:p>
      <w:pPr>
        <w:pStyle w:val="967"/>
        <w:ind w:firstLine="420"/>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1、提交南通仲裁委员会仲裁。2、依法向人民法院起诉。</w:t>
      </w:r>
      <w:r>
        <w:rPr>
          <w:rFonts w:hint="eastAsia" w:ascii="等线" w:hAnsi="等线" w:eastAsia="等线" w:cs="等线"/>
          <w:sz w:val="24"/>
          <w:szCs w:val="20"/>
          <w:highlight w:val="none"/>
        </w:rPr>
      </w:r>
      <w:r/>
    </w:p>
    <w:p>
      <w:pPr>
        <w:pStyle w:val="967"/>
        <w:ind w:firstLine="420"/>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十四、合同经签署后生效。公开招标文件和公开招标响应文件是合同的附件，与合同有同等效力。</w:t>
      </w:r>
      <w:r>
        <w:rPr>
          <w:rFonts w:hint="eastAsia" w:ascii="等线" w:hAnsi="等线" w:eastAsia="等线" w:cs="等线"/>
          <w:sz w:val="24"/>
          <w:szCs w:val="20"/>
          <w:highlight w:val="none"/>
        </w:rPr>
      </w:r>
      <w:r/>
    </w:p>
    <w:p>
      <w:pPr>
        <w:pStyle w:val="967"/>
        <w:ind w:firstLine="420"/>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十五、本合同一式两份。</w:t>
      </w:r>
      <w:r>
        <w:rPr>
          <w:rFonts w:hint="eastAsia" w:ascii="等线" w:hAnsi="等线" w:eastAsia="等线" w:cs="等线"/>
          <w:sz w:val="24"/>
          <w:szCs w:val="20"/>
          <w:highlight w:val="none"/>
        </w:rPr>
      </w:r>
      <w:r/>
    </w:p>
    <w:tbl>
      <w:tblPr>
        <w:tblW w:w="83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64"/>
        <w:gridCol w:w="4317"/>
      </w:tblGrid>
      <w:tr>
        <w:trPr>
          <w:trHeight w:val="391" w:hRule="exact"/>
        </w:trPr>
        <w:tc>
          <w:tcPr>
            <w:tcW w:w="4064" w:type="dxa"/>
            <w:vAlign w:val="top"/>
            <w:textDirection w:val="lrTb"/>
            <w:noWrap w:val="false"/>
          </w:tcPr>
          <w:p>
            <w:pPr>
              <w:pStyle w:val="967"/>
              <w:jc w:val="center"/>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供方</w:t>
            </w:r>
            <w:r>
              <w:rPr>
                <w:rFonts w:hint="eastAsia" w:ascii="等线" w:hAnsi="等线" w:eastAsia="等线" w:cs="等线"/>
                <w:sz w:val="24"/>
                <w:szCs w:val="20"/>
                <w:highlight w:val="none"/>
              </w:rPr>
            </w:r>
            <w:r/>
          </w:p>
        </w:tc>
        <w:tc>
          <w:tcPr>
            <w:tcW w:w="4317" w:type="dxa"/>
            <w:vAlign w:val="top"/>
            <w:textDirection w:val="lrTb"/>
            <w:noWrap w:val="false"/>
          </w:tcPr>
          <w:p>
            <w:pPr>
              <w:pStyle w:val="967"/>
              <w:jc w:val="center"/>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需方</w:t>
            </w:r>
            <w:r>
              <w:rPr>
                <w:rFonts w:hint="eastAsia" w:ascii="等线" w:hAnsi="等线" w:eastAsia="等线" w:cs="等线"/>
                <w:sz w:val="24"/>
                <w:szCs w:val="20"/>
                <w:highlight w:val="none"/>
              </w:rPr>
            </w:r>
            <w:r/>
          </w:p>
        </w:tc>
      </w:tr>
      <w:tr>
        <w:trPr>
          <w:trHeight w:val="3175" w:hRule="exact"/>
        </w:trPr>
        <w:tc>
          <w:tcPr>
            <w:tcW w:w="4064" w:type="dxa"/>
            <w:vAlign w:val="top"/>
            <w:textDirection w:val="lrTb"/>
            <w:noWrap w:val="false"/>
          </w:tcPr>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法定代表人或授权人：</w:t>
            </w:r>
            <w:r>
              <w:rPr>
                <w:rFonts w:hint="eastAsia" w:ascii="等线" w:hAnsi="等线" w:eastAsia="等线" w:cs="等线"/>
                <w:sz w:val="24"/>
                <w:szCs w:val="20"/>
                <w:highlight w:val="none"/>
              </w:rPr>
            </w:r>
            <w:r/>
          </w:p>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r>
            <w:r/>
          </w:p>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r>
            <w:r/>
          </w:p>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单位名称（章）：</w:t>
            </w:r>
            <w:r>
              <w:rPr>
                <w:rFonts w:hint="eastAsia" w:ascii="等线" w:hAnsi="等线" w:eastAsia="等线" w:cs="等线"/>
                <w:sz w:val="24"/>
                <w:szCs w:val="20"/>
                <w:highlight w:val="none"/>
              </w:rPr>
            </w:r>
            <w:r/>
          </w:p>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r>
            <w:r/>
          </w:p>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r>
            <w:r/>
          </w:p>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r>
            <w:r/>
          </w:p>
        </w:tc>
        <w:tc>
          <w:tcPr>
            <w:tcW w:w="4317" w:type="dxa"/>
            <w:vAlign w:val="top"/>
            <w:textDirection w:val="lrTb"/>
            <w:noWrap w:val="false"/>
          </w:tcPr>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法定代表人或授权人：</w:t>
            </w:r>
            <w:r>
              <w:rPr>
                <w:rFonts w:hint="eastAsia" w:ascii="等线" w:hAnsi="等线" w:eastAsia="等线" w:cs="等线"/>
                <w:sz w:val="24"/>
                <w:szCs w:val="20"/>
                <w:highlight w:val="none"/>
              </w:rPr>
            </w:r>
            <w:r/>
          </w:p>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r>
            <w:r/>
          </w:p>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r>
            <w:r/>
          </w:p>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单位名称（章）：</w:t>
            </w:r>
            <w:r>
              <w:rPr>
                <w:rFonts w:hint="eastAsia" w:ascii="等线" w:hAnsi="等线" w:eastAsia="等线" w:cs="等线"/>
                <w:sz w:val="24"/>
                <w:szCs w:val="20"/>
                <w:highlight w:val="none"/>
              </w:rPr>
            </w:r>
            <w:r/>
          </w:p>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r>
            <w:r/>
          </w:p>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r>
            <w:r/>
          </w:p>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r>
            <w:r/>
          </w:p>
        </w:tc>
      </w:tr>
    </w:tbl>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有效期限：根据公开招标文件要求</w:t>
      </w:r>
      <w:r>
        <w:rPr>
          <w:rFonts w:hint="eastAsia" w:ascii="等线" w:hAnsi="等线" w:eastAsia="等线" w:cs="等线"/>
          <w:sz w:val="24"/>
          <w:szCs w:val="20"/>
          <w:highlight w:val="none"/>
        </w:rPr>
      </w:r>
      <w:r/>
    </w:p>
    <w:p>
      <w:pPr>
        <w:pStyle w:val="967"/>
        <w:jc w:val="center"/>
        <w:spacing w:line="360" w:lineRule="auto"/>
        <w:rPr>
          <w:rFonts w:hint="eastAsia" w:ascii="宋体" w:hAnsi="宋体" w:cs="宋体"/>
          <w:sz w:val="24"/>
          <w:szCs w:val="24"/>
          <w:highlight w:val="none"/>
        </w:rPr>
        <w:outlineLvl w:val="0"/>
      </w:pPr>
      <w:r>
        <w:rPr>
          <w:rFonts w:hint="eastAsia" w:ascii="宋体" w:hAnsi="宋体" w:cs="宋体"/>
          <w:bCs/>
          <w:sz w:val="44"/>
          <w:highlight w:val="none"/>
        </w:rPr>
        <w:br w:type="page" w:clear="all"/>
      </w:r>
      <w:r>
        <w:rPr>
          <w:rFonts w:hint="eastAsia" w:ascii="宋体" w:hAnsi="宋体" w:cs="宋体"/>
          <w:bCs/>
          <w:sz w:val="44"/>
          <w:highlight w:val="none"/>
        </w:rPr>
        <w:t xml:space="preserve">第四章 采购需求</w:t>
      </w:r>
      <w:r>
        <w:rPr>
          <w:rFonts w:hint="eastAsia" w:ascii="宋体" w:hAnsi="宋体" w:cs="宋体"/>
          <w:sz w:val="24"/>
          <w:szCs w:val="24"/>
          <w:highlight w:val="none"/>
        </w:rPr>
      </w:r>
      <w:r/>
    </w:p>
    <w:p>
      <w:pPr>
        <w:pStyle w:val="967"/>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项目属性:货物类项目</w:t>
      </w:r>
      <w:r>
        <w:rPr>
          <w:rFonts w:hint="eastAsia" w:ascii="宋体" w:hAnsi="宋体" w:cs="宋体"/>
          <w:sz w:val="24"/>
          <w:szCs w:val="24"/>
          <w:highlight w:val="none"/>
        </w:rPr>
      </w:r>
      <w:r/>
    </w:p>
    <w:p>
      <w:pPr>
        <w:pStyle w:val="967"/>
        <w:spacing w:line="480" w:lineRule="exact"/>
        <w:rPr>
          <w:rFonts w:hint="eastAsia" w:ascii="宋体" w:hAnsi="宋体" w:cs="宋体"/>
          <w:b/>
          <w:sz w:val="24"/>
          <w:szCs w:val="24"/>
          <w:highlight w:val="none"/>
        </w:rPr>
      </w:pPr>
      <w:r/>
      <w:bookmarkEnd w:id="194"/>
      <w:r>
        <w:rPr>
          <w:rFonts w:hint="eastAsia" w:ascii="宋体" w:hAnsi="宋体" w:cs="宋体"/>
          <w:b/>
          <w:sz w:val="24"/>
          <w:szCs w:val="24"/>
          <w:highlight w:val="none"/>
        </w:rPr>
        <w:t xml:space="preserve">一、采购标的清单</w:t>
      </w:r>
      <w:r>
        <w:rPr>
          <w:rFonts w:hint="eastAsia" w:ascii="宋体" w:hAnsi="宋体" w:cs="宋体"/>
          <w:b/>
          <w:sz w:val="24"/>
          <w:szCs w:val="24"/>
          <w:highlight w:val="none"/>
        </w:rPr>
      </w:r>
      <w:r/>
    </w:p>
    <w:tbl>
      <w:tblPr>
        <w:tblW w:w="0" w:type="auto"/>
        <w:tblInd w:w="6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1"/>
        <w:gridCol w:w="3058"/>
        <w:gridCol w:w="3635"/>
      </w:tblGrid>
      <w:tr>
        <w:trPr>
          <w:trHeight w:val="454"/>
        </w:trPr>
        <w:tc>
          <w:tcPr>
            <w:tcW w:w="1081" w:type="dxa"/>
            <w:vAlign w:val="center"/>
            <w:textDirection w:val="lrTb"/>
            <w:noWrap w:val="false"/>
          </w:tcPr>
          <w:p>
            <w:pPr>
              <w:pStyle w:val="967"/>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分包</w:t>
            </w:r>
            <w:r>
              <w:rPr>
                <w:rFonts w:hint="eastAsia" w:ascii="宋体" w:hAnsi="宋体" w:cs="宋体"/>
                <w:sz w:val="24"/>
                <w:szCs w:val="24"/>
                <w:highlight w:val="none"/>
              </w:rPr>
            </w:r>
            <w:r/>
          </w:p>
        </w:tc>
        <w:tc>
          <w:tcPr>
            <w:tcW w:w="3058" w:type="dxa"/>
            <w:vAlign w:val="center"/>
            <w:textDirection w:val="lrTb"/>
            <w:noWrap w:val="false"/>
          </w:tcPr>
          <w:p>
            <w:pPr>
              <w:pStyle w:val="967"/>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采购标的</w:t>
            </w:r>
            <w:r>
              <w:rPr>
                <w:rFonts w:hint="eastAsia" w:ascii="宋体" w:hAnsi="宋体" w:cs="宋体"/>
                <w:sz w:val="24"/>
                <w:szCs w:val="24"/>
                <w:highlight w:val="none"/>
              </w:rPr>
            </w:r>
            <w:r/>
          </w:p>
        </w:tc>
        <w:tc>
          <w:tcPr>
            <w:tcW w:w="3635" w:type="dxa"/>
            <w:vAlign w:val="center"/>
            <w:textDirection w:val="lrTb"/>
            <w:noWrap w:val="false"/>
          </w:tcPr>
          <w:p>
            <w:pPr>
              <w:pStyle w:val="967"/>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对应中小企业划分标准所属行业</w:t>
            </w:r>
            <w:r>
              <w:rPr>
                <w:rFonts w:hint="eastAsia" w:ascii="宋体" w:hAnsi="宋体" w:cs="宋体"/>
                <w:sz w:val="24"/>
                <w:szCs w:val="24"/>
                <w:highlight w:val="none"/>
              </w:rPr>
            </w:r>
            <w:r/>
          </w:p>
        </w:tc>
      </w:tr>
      <w:tr>
        <w:trPr>
          <w:trHeight w:val="454"/>
        </w:trPr>
        <w:tc>
          <w:tcPr>
            <w:tcW w:w="1081" w:type="dxa"/>
            <w:vAlign w:val="center"/>
            <w:textDirection w:val="lrTb"/>
            <w:noWrap w:val="false"/>
          </w:tcPr>
          <w:p>
            <w:pPr>
              <w:pStyle w:val="967"/>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3058" w:type="dxa"/>
            <w:vAlign w:val="center"/>
            <w:textDirection w:val="lrTb"/>
            <w:noWrap w:val="false"/>
          </w:tcPr>
          <w:p>
            <w:pPr>
              <w:pStyle w:val="967"/>
              <w:jc w:val="center"/>
              <w:spacing w:line="0" w:lineRule="atLeast"/>
              <w:tabs>
                <w:tab w:val="left" w:pos="2022" w:leader="none"/>
              </w:tabs>
              <w:rPr>
                <w:rFonts w:hint="eastAsia" w:ascii="宋体" w:hAnsi="宋体" w:cs="宋体"/>
                <w:sz w:val="24"/>
                <w:szCs w:val="24"/>
                <w:highlight w:val="none"/>
              </w:rPr>
            </w:pPr>
            <w:r>
              <w:rPr>
                <w:rFonts w:hint="eastAsia" w:ascii="宋体" w:hAnsi="宋体"/>
                <w:bCs/>
                <w:sz w:val="24"/>
                <w:szCs w:val="24"/>
                <w:highlight w:val="none"/>
              </w:rPr>
              <w:t xml:space="preserve">南通市城市照明管理处路灯主材（灯杆灯具）</w:t>
            </w:r>
            <w:r>
              <w:rPr>
                <w:rFonts w:hint="eastAsia" w:ascii="宋体" w:hAnsi="宋体" w:cs="宋体"/>
                <w:sz w:val="24"/>
                <w:szCs w:val="24"/>
                <w:highlight w:val="none"/>
              </w:rPr>
            </w:r>
            <w:r/>
          </w:p>
        </w:tc>
        <w:tc>
          <w:tcPr>
            <w:tcW w:w="3635" w:type="dxa"/>
            <w:vAlign w:val="center"/>
            <w:textDirection w:val="lrTb"/>
            <w:noWrap w:val="false"/>
          </w:tcPr>
          <w:p>
            <w:pPr>
              <w:pStyle w:val="967"/>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工</w:t>
            </w:r>
            <w:r>
              <w:rPr>
                <w:rFonts w:hint="eastAsia" w:ascii="宋体" w:hAnsi="宋体" w:cs="宋体"/>
                <w:sz w:val="24"/>
                <w:szCs w:val="24"/>
                <w:highlight w:val="none"/>
                <w:lang w:val="zh-CN"/>
              </w:rPr>
              <w:t xml:space="preserve">业</w:t>
            </w:r>
            <w:r>
              <w:rPr>
                <w:rFonts w:hint="eastAsia" w:ascii="宋体" w:hAnsi="宋体" w:cs="宋体"/>
                <w:sz w:val="24"/>
                <w:szCs w:val="24"/>
                <w:highlight w:val="none"/>
              </w:rPr>
            </w:r>
            <w:r/>
          </w:p>
        </w:tc>
      </w:tr>
    </w:tbl>
    <w:p>
      <w:pPr>
        <w:pStyle w:val="1099"/>
        <w:rPr>
          <w:rFonts w:hint="eastAsia" w:hAnsi="宋体"/>
          <w:color w:val="000000"/>
          <w:highlight w:val="none"/>
        </w:rPr>
      </w:pPr>
      <w:r>
        <w:rPr>
          <w:rFonts w:hint="eastAsia" w:hAnsi="宋体"/>
          <w:color w:val="000000"/>
          <w:highlight w:val="none"/>
        </w:rPr>
      </w:r>
      <w:r/>
    </w:p>
    <w:p>
      <w:pPr>
        <w:pStyle w:val="967"/>
        <w:spacing w:line="480" w:lineRule="exact"/>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二、采购标的需执行的国家相关标准、行业标准、地方标准或者其他标准、规范；</w:t>
      </w:r>
      <w:r>
        <w:rPr>
          <w:rFonts w:hint="eastAsia" w:ascii="宋体" w:hAnsi="宋体" w:cs="宋体"/>
          <w:b/>
          <w:sz w:val="24"/>
          <w:szCs w:val="24"/>
          <w:highlight w:val="none"/>
          <w:lang w:val="zh-CN"/>
        </w:rPr>
      </w:r>
      <w:r/>
    </w:p>
    <w:p>
      <w:pPr>
        <w:pStyle w:val="967"/>
        <w:spacing w:line="360" w:lineRule="auto"/>
        <w:rPr>
          <w:rFonts w:hint="eastAsia" w:ascii="宋体" w:hAnsi="宋体" w:cs="宋体"/>
          <w:b/>
          <w:sz w:val="24"/>
          <w:szCs w:val="24"/>
          <w:highlight w:val="none"/>
        </w:rPr>
      </w:pPr>
      <w:r/>
      <w:bookmarkStart w:id="200" w:name="OLE_LINK1"/>
      <w:r>
        <w:rPr>
          <w:rFonts w:hint="eastAsia" w:ascii="宋体" w:hAnsi="宋体" w:cs="宋体"/>
          <w:b/>
          <w:sz w:val="24"/>
          <w:szCs w:val="24"/>
          <w:highlight w:val="none"/>
        </w:rPr>
      </w:r>
      <w:r/>
    </w:p>
    <w:p>
      <w:pPr>
        <w:pStyle w:val="967"/>
        <w:spacing w:line="360" w:lineRule="auto"/>
        <w:rPr>
          <w:rFonts w:hint="eastAsia" w:ascii="宋体" w:hAnsi="宋体" w:cs="宋体"/>
          <w:b/>
          <w:sz w:val="24"/>
          <w:szCs w:val="24"/>
          <w:highlight w:val="none"/>
        </w:rPr>
      </w:pPr>
      <w:r/>
      <w:bookmarkEnd w:id="200"/>
      <w:r>
        <w:rPr>
          <w:rFonts w:ascii="Wingdings" w:hAnsi="Wingdings" w:eastAsia="Wingdings" w:cs="Wingdings"/>
          <w:b/>
          <w:sz w:val="24"/>
          <w:szCs w:val="24"/>
          <w:highlight w:val="none"/>
        </w:rPr>
        <w:t xml:space="preserve">Y</w:t>
      </w:r>
      <w:r>
        <w:rPr>
          <w:rFonts w:hint="eastAsia" w:ascii="宋体" w:hAnsi="宋体" w:cs="宋体"/>
          <w:b/>
          <w:sz w:val="24"/>
          <w:szCs w:val="24"/>
          <w:highlight w:val="none"/>
        </w:rPr>
        <w:t xml:space="preserve">产品必须符合下列文件中的条款，引用文件其最新版本适用于本标准。</w:t>
      </w:r>
      <w:r>
        <w:rPr>
          <w:rFonts w:hint="eastAsia" w:ascii="宋体" w:hAnsi="宋体" w:cs="宋体"/>
          <w:b/>
          <w:sz w:val="24"/>
          <w:szCs w:val="24"/>
          <w:highlight w:val="none"/>
        </w:rPr>
      </w:r>
      <w:r/>
    </w:p>
    <w:p>
      <w:pPr>
        <w:pStyle w:val="967"/>
        <w:rPr>
          <w:rFonts w:hint="eastAsia" w:ascii="宋体" w:hAnsi="宋体" w:cs="宋体"/>
          <w:sz w:val="24"/>
          <w:szCs w:val="24"/>
          <w:highlight w:val="none"/>
        </w:rPr>
      </w:pPr>
      <w:r>
        <w:rPr>
          <w:rFonts w:hint="eastAsia" w:ascii="宋体" w:hAnsi="宋体" w:cs="宋体"/>
          <w:sz w:val="24"/>
          <w:szCs w:val="24"/>
          <w:highlight w:val="none"/>
        </w:rPr>
        <w:t xml:space="preserve">技术标准规</w:t>
      </w:r>
      <w:r>
        <w:rPr>
          <w:rFonts w:hint="eastAsia" w:ascii="宋体" w:hAnsi="宋体" w:cs="宋体"/>
          <w:sz w:val="24"/>
          <w:szCs w:val="24"/>
          <w:highlight w:val="none"/>
        </w:rPr>
      </w:r>
      <w:r/>
    </w:p>
    <w:p>
      <w:pPr>
        <w:pStyle w:val="967"/>
        <w:numPr>
          <w:ilvl w:val="0"/>
          <w:numId w:val="6"/>
        </w:num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GB 7000.1  灯具 第1部分：一般要求与试验；</w:t>
      </w:r>
      <w:r>
        <w:rPr>
          <w:rFonts w:hint="eastAsia" w:ascii="宋体" w:hAnsi="宋体" w:cs="宋体"/>
          <w:sz w:val="24"/>
          <w:szCs w:val="24"/>
          <w:highlight w:val="none"/>
        </w:rPr>
      </w:r>
      <w:r/>
    </w:p>
    <w:p>
      <w:pPr>
        <w:pStyle w:val="967"/>
        <w:numPr>
          <w:ilvl w:val="0"/>
          <w:numId w:val="6"/>
        </w:num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GB 7000.203灯具 第2-3部分：特殊要求 道路与街路照明灯具；</w:t>
      </w:r>
      <w:r>
        <w:rPr>
          <w:rFonts w:hint="eastAsia" w:ascii="宋体" w:hAnsi="宋体" w:cs="宋体"/>
          <w:sz w:val="24"/>
          <w:szCs w:val="24"/>
          <w:highlight w:val="none"/>
        </w:rPr>
      </w:r>
      <w:r/>
    </w:p>
    <w:p>
      <w:pPr>
        <w:pStyle w:val="967"/>
        <w:numPr>
          <w:ilvl w:val="0"/>
          <w:numId w:val="6"/>
        </w:num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GB/T 9468 灯具分布光度测量的一般要求；</w:t>
      </w:r>
      <w:r>
        <w:rPr>
          <w:rFonts w:hint="eastAsia" w:ascii="宋体" w:hAnsi="宋体" w:cs="宋体"/>
          <w:sz w:val="24"/>
          <w:szCs w:val="24"/>
          <w:highlight w:val="none"/>
        </w:rPr>
      </w:r>
      <w:r/>
    </w:p>
    <w:p>
      <w:pPr>
        <w:pStyle w:val="967"/>
        <w:numPr>
          <w:ilvl w:val="0"/>
          <w:numId w:val="6"/>
        </w:num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GB 17625.1电磁兼容限值谐波电流发射限值(设备每相输入电流≤16A)；</w:t>
      </w:r>
      <w:r>
        <w:rPr>
          <w:rFonts w:hint="eastAsia" w:ascii="宋体" w:hAnsi="宋体" w:cs="宋体"/>
          <w:sz w:val="24"/>
          <w:szCs w:val="24"/>
          <w:highlight w:val="none"/>
        </w:rPr>
      </w:r>
      <w:r/>
    </w:p>
    <w:p>
      <w:pPr>
        <w:pStyle w:val="967"/>
        <w:numPr>
          <w:ilvl w:val="0"/>
          <w:numId w:val="6"/>
        </w:num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GB 17625.2 电磁兼容限值 对每相额定电流≤16A 且无条件接入设备在公用低压供电系统中产生的电压变化、电压波动和闪烁的限值；</w:t>
      </w:r>
      <w:r>
        <w:rPr>
          <w:rFonts w:hint="eastAsia" w:ascii="宋体" w:hAnsi="宋体" w:cs="宋体"/>
          <w:sz w:val="24"/>
          <w:szCs w:val="24"/>
          <w:highlight w:val="none"/>
        </w:rPr>
      </w:r>
      <w:r/>
    </w:p>
    <w:p>
      <w:pPr>
        <w:pStyle w:val="967"/>
        <w:numPr>
          <w:ilvl w:val="0"/>
          <w:numId w:val="6"/>
        </w:num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GB 17743  电器照明和类似设备的无线电骚扰特性的限值和测量方法；</w:t>
      </w:r>
      <w:r>
        <w:rPr>
          <w:rFonts w:hint="eastAsia" w:ascii="宋体" w:hAnsi="宋体" w:cs="宋体"/>
          <w:sz w:val="24"/>
          <w:szCs w:val="24"/>
          <w:highlight w:val="none"/>
        </w:rPr>
      </w:r>
      <w:r/>
    </w:p>
    <w:p>
      <w:pPr>
        <w:pStyle w:val="967"/>
        <w:numPr>
          <w:ilvl w:val="0"/>
          <w:numId w:val="6"/>
        </w:num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GB/T 18595  一般照明用设备电磁兼容抗扰度要求；</w:t>
      </w:r>
      <w:r>
        <w:rPr>
          <w:rFonts w:hint="eastAsia" w:ascii="宋体" w:hAnsi="宋体" w:cs="宋体"/>
          <w:sz w:val="24"/>
          <w:szCs w:val="24"/>
          <w:highlight w:val="none"/>
        </w:rPr>
      </w:r>
      <w:r/>
    </w:p>
    <w:p>
      <w:pPr>
        <w:pStyle w:val="967"/>
        <w:numPr>
          <w:ilvl w:val="0"/>
          <w:numId w:val="6"/>
        </w:num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CJJ 45  城市道路照明设计标准；</w:t>
      </w:r>
      <w:r>
        <w:rPr>
          <w:rFonts w:hint="eastAsia" w:ascii="宋体" w:hAnsi="宋体" w:cs="宋体"/>
          <w:sz w:val="24"/>
          <w:szCs w:val="24"/>
          <w:highlight w:val="none"/>
        </w:rPr>
      </w:r>
      <w:r/>
    </w:p>
    <w:p>
      <w:pPr>
        <w:pStyle w:val="967"/>
        <w:numPr>
          <w:ilvl w:val="0"/>
          <w:numId w:val="6"/>
        </w:num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CIE 140  道路照明计算；</w:t>
      </w:r>
      <w:r>
        <w:rPr>
          <w:rFonts w:hint="eastAsia" w:ascii="宋体" w:hAnsi="宋体" w:cs="宋体"/>
          <w:sz w:val="24"/>
          <w:szCs w:val="24"/>
          <w:highlight w:val="none"/>
        </w:rPr>
      </w:r>
      <w:r/>
    </w:p>
    <w:p>
      <w:pPr>
        <w:pStyle w:val="967"/>
        <w:numPr>
          <w:ilvl w:val="0"/>
          <w:numId w:val="6"/>
        </w:num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GB/T24827 道路与街路照明灯具性能要求；</w:t>
      </w:r>
      <w:r>
        <w:rPr>
          <w:rFonts w:hint="eastAsia" w:ascii="宋体" w:hAnsi="宋体" w:cs="宋体"/>
          <w:sz w:val="24"/>
          <w:szCs w:val="24"/>
          <w:highlight w:val="none"/>
        </w:rPr>
      </w:r>
      <w:r/>
    </w:p>
    <w:p>
      <w:pPr>
        <w:pStyle w:val="967"/>
        <w:numPr>
          <w:ilvl w:val="0"/>
          <w:numId w:val="6"/>
        </w:num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GB/T31832  LED城市道路照明应用技术要求；</w:t>
      </w:r>
      <w:r>
        <w:rPr>
          <w:rFonts w:hint="eastAsia" w:ascii="宋体" w:hAnsi="宋体" w:cs="宋体"/>
          <w:sz w:val="24"/>
          <w:szCs w:val="24"/>
          <w:highlight w:val="none"/>
        </w:rPr>
      </w:r>
      <w:r/>
    </w:p>
    <w:p>
      <w:pPr>
        <w:pStyle w:val="967"/>
        <w:numPr>
          <w:ilvl w:val="0"/>
          <w:numId w:val="6"/>
        </w:num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LED灯具谐波电流限值应符合GB17625.1的规定；</w:t>
      </w:r>
      <w:r>
        <w:rPr>
          <w:rFonts w:hint="eastAsia" w:ascii="宋体" w:hAnsi="宋体" w:cs="宋体"/>
          <w:sz w:val="24"/>
          <w:szCs w:val="24"/>
          <w:highlight w:val="none"/>
        </w:rPr>
      </w:r>
      <w:r/>
    </w:p>
    <w:p>
      <w:pPr>
        <w:pStyle w:val="967"/>
        <w:numPr>
          <w:ilvl w:val="0"/>
          <w:numId w:val="6"/>
        </w:num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抗浪涌保护器应符合GB18802.11的规定，使用Ⅲ类实验方法进行实验；</w:t>
      </w:r>
      <w:r>
        <w:rPr>
          <w:rFonts w:hint="eastAsia" w:ascii="宋体" w:hAnsi="宋体" w:cs="宋体"/>
          <w:sz w:val="24"/>
          <w:szCs w:val="24"/>
          <w:highlight w:val="none"/>
        </w:rPr>
      </w:r>
      <w:r/>
    </w:p>
    <w:p>
      <w:pPr>
        <w:pStyle w:val="967"/>
        <w:numPr>
          <w:ilvl w:val="0"/>
          <w:numId w:val="6"/>
        </w:numPr>
        <w:spacing w:line="360" w:lineRule="auto"/>
        <w:rPr>
          <w:rFonts w:ascii="宋体" w:hAnsi="宋体" w:cs="宋体"/>
          <w:sz w:val="24"/>
          <w:szCs w:val="24"/>
          <w:highlight w:val="none"/>
        </w:rPr>
      </w:pPr>
      <w:r>
        <w:rPr>
          <w:rFonts w:hint="eastAsia" w:ascii="宋体" w:hAnsi="宋体" w:cs="宋体"/>
          <w:sz w:val="24"/>
          <w:szCs w:val="24"/>
          <w:highlight w:val="none"/>
        </w:rPr>
        <w:t xml:space="preserve">T/CMEA 001 《LED道路照明应用技术导则》</w:t>
      </w:r>
      <w:r>
        <w:rPr>
          <w:rFonts w:ascii="宋体" w:hAnsi="宋体" w:cs="宋体"/>
          <w:sz w:val="24"/>
          <w:szCs w:val="24"/>
          <w:highlight w:val="none"/>
        </w:rPr>
      </w:r>
      <w:r/>
    </w:p>
    <w:p>
      <w:pPr>
        <w:pStyle w:val="967"/>
        <w:numPr>
          <w:ilvl w:val="0"/>
          <w:numId w:val="6"/>
        </w:num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GB∕T 35269 LED照明应用与接口要求 非集成式LED模块的道路灯具</w:t>
      </w:r>
      <w:r>
        <w:rPr>
          <w:rFonts w:hint="eastAsia" w:ascii="宋体" w:hAnsi="宋体" w:cs="宋体"/>
          <w:sz w:val="24"/>
          <w:szCs w:val="24"/>
          <w:highlight w:val="none"/>
        </w:rPr>
      </w:r>
      <w:r/>
    </w:p>
    <w:p>
      <w:pPr>
        <w:pStyle w:val="967"/>
        <w:numPr>
          <w:ilvl w:val="0"/>
          <w:numId w:val="6"/>
        </w:num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其他国家及江苏省现行标准规范、图集等；</w:t>
      </w:r>
      <w:r>
        <w:rPr>
          <w:rFonts w:hint="eastAsia" w:ascii="宋体" w:hAnsi="宋体" w:cs="宋体"/>
          <w:sz w:val="24"/>
          <w:szCs w:val="24"/>
          <w:highlight w:val="none"/>
        </w:rPr>
      </w:r>
      <w:r/>
    </w:p>
    <w:p>
      <w:pPr>
        <w:pStyle w:val="967"/>
        <w:numPr>
          <w:ilvl w:val="0"/>
          <w:numId w:val="6"/>
        </w:num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上海市道路合杆整治技术导则</w:t>
      </w:r>
      <w:r>
        <w:rPr>
          <w:rFonts w:hint="eastAsia" w:ascii="宋体" w:hAnsi="宋体" w:cs="宋体"/>
          <w:sz w:val="24"/>
          <w:szCs w:val="24"/>
          <w:highlight w:val="none"/>
        </w:rPr>
      </w:r>
      <w:r/>
    </w:p>
    <w:p>
      <w:pPr>
        <w:pStyle w:val="967"/>
        <w:contextualSpacing/>
        <w:pageBreakBefore/>
        <w:spacing w:line="360" w:lineRule="auto"/>
        <w:tabs>
          <w:tab w:val="left" w:pos="5325" w:leader="none"/>
        </w:tabs>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t xml:space="preserve">三、采购标的需满足的质量、安全、技术规格、物理特性等要求；</w:t>
      </w:r>
      <w:r>
        <w:rPr>
          <w:rFonts w:hint="eastAsia" w:ascii="宋体" w:hAnsi="宋体" w:cs="宋体"/>
          <w:b/>
          <w:bCs/>
          <w:sz w:val="24"/>
          <w:szCs w:val="24"/>
          <w:highlight w:val="none"/>
          <w:lang w:val="zh-CN"/>
        </w:rPr>
      </w:r>
      <w:r/>
    </w:p>
    <w:p>
      <w:pPr>
        <w:pStyle w:val="967"/>
        <w:keepNext/>
        <w:spacing w:line="360" w:lineRule="auto"/>
        <w:rPr>
          <w:rFonts w:hint="eastAsia" w:ascii="宋体" w:hAnsi="宋体" w:cs="宋体"/>
          <w:sz w:val="24"/>
          <w:szCs w:val="24"/>
          <w:highlight w:val="none"/>
        </w:rPr>
        <w:outlineLvl w:val="1"/>
      </w:pPr>
      <w:r/>
      <w:bookmarkStart w:id="201" w:name="OLE_LINK2"/>
      <w:r/>
      <w:bookmarkStart w:id="202" w:name="OLE_LINK3"/>
      <w:r>
        <w:rPr>
          <w:rFonts w:hint="eastAsia" w:ascii="宋体" w:hAnsi="宋体" w:cs="宋体"/>
          <w:b/>
          <w:sz w:val="24"/>
          <w:szCs w:val="24"/>
          <w:highlight w:val="none"/>
        </w:rPr>
        <w:t xml:space="preserve">3.1杆件技术要求</w:t>
      </w:r>
      <w:r>
        <w:rPr>
          <w:rFonts w:hint="eastAsia" w:ascii="宋体" w:hAnsi="宋体" w:cs="宋体"/>
          <w:sz w:val="24"/>
          <w:szCs w:val="24"/>
          <w:highlight w:val="none"/>
        </w:rPr>
      </w:r>
      <w:r/>
    </w:p>
    <w:p>
      <w:pPr>
        <w:pStyle w:val="967"/>
        <w:numPr>
          <w:ilvl w:val="0"/>
          <w:numId w:val="7"/>
        </w:num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杆体结构应满足各种计算载荷条件下刚度和强度的要求:详见附件施工图。</w:t>
      </w:r>
      <w:r>
        <w:rPr>
          <w:rFonts w:hint="eastAsia" w:ascii="宋体" w:hAnsi="宋体" w:cs="宋体"/>
          <w:sz w:val="24"/>
          <w:szCs w:val="24"/>
          <w:highlight w:val="none"/>
        </w:rPr>
      </w:r>
      <w:r/>
    </w:p>
    <w:p>
      <w:pPr>
        <w:pStyle w:val="967"/>
        <w:numPr>
          <w:ilvl w:val="0"/>
          <w:numId w:val="7"/>
        </w:num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灯杆样式、颜色、（由业主确定）必须统一、协调，并根据周围环境满足美观要求。</w:t>
      </w:r>
      <w:r>
        <w:rPr>
          <w:rFonts w:hint="eastAsia" w:ascii="宋体" w:hAnsi="宋体" w:cs="宋体"/>
          <w:sz w:val="24"/>
          <w:szCs w:val="24"/>
          <w:highlight w:val="none"/>
        </w:rPr>
      </w:r>
      <w:r/>
    </w:p>
    <w:p>
      <w:pPr>
        <w:pStyle w:val="967"/>
        <w:numPr>
          <w:ilvl w:val="0"/>
          <w:numId w:val="7"/>
        </w:num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灯杆的细节由厂家深化设计，需按照南通市50年一遇基本风压0.45KN/㎡计算分析，并提供深化设计图,结构有限元分析与受力计算书，保证灯杆强度达到要求。</w:t>
      </w:r>
      <w:r>
        <w:rPr>
          <w:rFonts w:hint="eastAsia" w:ascii="宋体" w:hAnsi="宋体" w:cs="宋体"/>
          <w:sz w:val="24"/>
          <w:szCs w:val="24"/>
          <w:highlight w:val="none"/>
        </w:rPr>
      </w:r>
      <w:r/>
    </w:p>
    <w:p>
      <w:pPr>
        <w:pStyle w:val="967"/>
        <w:numPr>
          <w:ilvl w:val="0"/>
          <w:numId w:val="7"/>
        </w:numPr>
        <w:spacing w:line="360" w:lineRule="auto"/>
        <w:rPr>
          <w:rFonts w:ascii="宋体" w:hAnsi="宋体" w:cs="宋体"/>
          <w:sz w:val="24"/>
          <w:szCs w:val="24"/>
          <w:highlight w:val="none"/>
        </w:rPr>
      </w:pPr>
      <w:r>
        <w:rPr>
          <w:rFonts w:hint="eastAsia" w:ascii="宋体" w:hAnsi="宋体" w:cs="宋体"/>
          <w:sz w:val="24"/>
          <w:szCs w:val="24"/>
          <w:highlight w:val="none"/>
        </w:rPr>
        <w:t xml:space="preserve">杆体设施搭载应采用卡槽形式,预留接口，接口型式标准化。</w:t>
      </w:r>
      <w:r>
        <w:rPr>
          <w:rFonts w:ascii="宋体" w:hAnsi="宋体" w:cs="宋体"/>
          <w:sz w:val="24"/>
          <w:szCs w:val="24"/>
          <w:highlight w:val="none"/>
        </w:rPr>
      </w:r>
      <w:r/>
    </w:p>
    <w:p>
      <w:pPr>
        <w:pStyle w:val="967"/>
        <w:numPr>
          <w:ilvl w:val="0"/>
          <w:numId w:val="7"/>
        </w:num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滨江国际街区相关道路灯杆灯型需与滨江已完工道路保持一致。</w:t>
      </w:r>
      <w:r>
        <w:rPr>
          <w:rFonts w:hint="eastAsia" w:ascii="宋体" w:hAnsi="宋体" w:cs="宋体"/>
          <w:sz w:val="24"/>
          <w:szCs w:val="24"/>
          <w:highlight w:val="none"/>
        </w:rPr>
      </w:r>
      <w:r/>
    </w:p>
    <w:p>
      <w:pPr>
        <w:pStyle w:val="967"/>
        <w:keepNext/>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3.2灯具技术要求</w:t>
      </w:r>
      <w:r>
        <w:rPr>
          <w:rFonts w:hint="eastAsia" w:ascii="宋体" w:hAnsi="宋体" w:cs="宋体"/>
          <w:b/>
          <w:sz w:val="24"/>
          <w:szCs w:val="24"/>
          <w:highlight w:val="none"/>
        </w:rPr>
      </w:r>
      <w:r/>
    </w:p>
    <w:p>
      <w:pPr>
        <w:pStyle w:val="967"/>
        <w:ind w:firstLine="482"/>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3.2.1  LED照明灯具（以下简称“灯具”）应符合安全可靠、技术先进、经济合理、节能环保和维修方便的要求。</w:t>
      </w:r>
      <w:r>
        <w:rPr>
          <w:rFonts w:hint="eastAsia" w:ascii="宋体" w:hAnsi="宋体" w:cs="宋体"/>
          <w:sz w:val="24"/>
          <w:szCs w:val="24"/>
          <w:highlight w:val="none"/>
        </w:rPr>
      </w:r>
      <w:r/>
    </w:p>
    <w:p>
      <w:pPr>
        <w:pStyle w:val="967"/>
        <w:ind w:firstLine="482"/>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3.2.2  灯具应便于更换和维修光源与控制装置，且更换后应保证原有的性能。</w:t>
      </w:r>
      <w:r>
        <w:rPr>
          <w:rFonts w:hint="eastAsia" w:ascii="宋体" w:hAnsi="宋体" w:cs="宋体"/>
          <w:sz w:val="24"/>
          <w:szCs w:val="24"/>
          <w:highlight w:val="none"/>
        </w:rPr>
      </w:r>
      <w:r/>
    </w:p>
    <w:p>
      <w:pPr>
        <w:pStyle w:val="967"/>
        <w:ind w:firstLine="426"/>
        <w:spacing w:before="134" w:after="120"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3.2.3 灯具的选择应符合国家有关规范标准的要求。</w:t>
      </w:r>
      <w:r>
        <w:rPr>
          <w:rFonts w:hint="eastAsia" w:ascii="宋体" w:hAnsi="宋体" w:cs="宋体"/>
          <w:sz w:val="24"/>
          <w:szCs w:val="24"/>
          <w:highlight w:val="none"/>
        </w:rPr>
      </w:r>
      <w:r/>
    </w:p>
    <w:p>
      <w:pPr>
        <w:pStyle w:val="967"/>
        <w:ind w:firstLine="482"/>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3.2.4  灯具的结构应符合下列规定：</w:t>
      </w:r>
      <w:r>
        <w:rPr>
          <w:rFonts w:hint="eastAsia" w:ascii="宋体" w:hAnsi="宋体" w:cs="宋体"/>
          <w:sz w:val="24"/>
          <w:szCs w:val="24"/>
          <w:highlight w:val="none"/>
        </w:rPr>
      </w:r>
      <w:r/>
    </w:p>
    <w:p>
      <w:pPr>
        <w:pStyle w:val="967"/>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1）灯具各类接插件、内外部接线和接线端子等在灯具内部应规范布置，避免阳光直射。</w:t>
      </w:r>
      <w:r>
        <w:rPr>
          <w:rFonts w:hint="eastAsia" w:ascii="宋体" w:hAnsi="宋体" w:cs="宋体"/>
          <w:sz w:val="24"/>
          <w:szCs w:val="24"/>
          <w:highlight w:val="none"/>
        </w:rPr>
      </w:r>
      <w:r/>
    </w:p>
    <w:p>
      <w:pPr>
        <w:pStyle w:val="967"/>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2）灯具宜在满足功能要求的前提下兼顾美观，结构与外观颜色等与周围环境相协调。</w:t>
      </w:r>
      <w:r>
        <w:rPr>
          <w:rFonts w:hint="eastAsia" w:ascii="宋体" w:hAnsi="宋体" w:cs="宋体"/>
          <w:sz w:val="24"/>
          <w:szCs w:val="24"/>
          <w:highlight w:val="none"/>
        </w:rPr>
      </w:r>
      <w:r/>
    </w:p>
    <w:p>
      <w:pPr>
        <w:pStyle w:val="967"/>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3）灯具开孔内嵌LED模组，模组安装维护方便。</w:t>
      </w:r>
      <w:r>
        <w:rPr>
          <w:rFonts w:hint="eastAsia" w:ascii="宋体" w:hAnsi="宋体" w:cs="宋体"/>
          <w:sz w:val="24"/>
          <w:szCs w:val="24"/>
          <w:highlight w:val="none"/>
        </w:rPr>
      </w:r>
      <w:r/>
    </w:p>
    <w:p>
      <w:pPr>
        <w:pStyle w:val="967"/>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4）灯具应具有承受外界机械碰撞能力，防冲击性能不低于IK10。</w:t>
      </w:r>
      <w:r>
        <w:rPr>
          <w:rFonts w:hint="eastAsia" w:ascii="宋体" w:hAnsi="宋体" w:cs="宋体"/>
          <w:sz w:val="24"/>
          <w:szCs w:val="24"/>
          <w:highlight w:val="none"/>
        </w:rPr>
      </w:r>
      <w:r/>
    </w:p>
    <w:p>
      <w:pPr>
        <w:pStyle w:val="967"/>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5）灯具上盖含有合页与手拧螺丝，方便维护。上盖开通风孔，保证模组对流散热。</w:t>
      </w:r>
      <w:r>
        <w:rPr>
          <w:rFonts w:hint="eastAsia" w:ascii="宋体" w:hAnsi="宋体" w:cs="宋体"/>
          <w:sz w:val="24"/>
          <w:szCs w:val="24"/>
          <w:highlight w:val="none"/>
        </w:rPr>
      </w:r>
      <w:r/>
    </w:p>
    <w:p>
      <w:pPr>
        <w:pStyle w:val="967"/>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6）灯具与固定构件（灯臂或其他固定件）连接应牢固。灯具应具有防坠落装置。</w:t>
      </w:r>
      <w:r>
        <w:rPr>
          <w:rFonts w:hint="eastAsia" w:ascii="宋体" w:hAnsi="宋体" w:cs="宋体"/>
          <w:sz w:val="24"/>
          <w:szCs w:val="24"/>
          <w:highlight w:val="none"/>
        </w:rPr>
      </w:r>
      <w:r/>
    </w:p>
    <w:p>
      <w:pPr>
        <w:pStyle w:val="967"/>
        <w:ind w:firstLine="482"/>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3.2.5  灯具的外观和材料应符合下列规定：</w:t>
      </w:r>
      <w:r>
        <w:rPr>
          <w:rFonts w:hint="eastAsia" w:ascii="宋体" w:hAnsi="宋体" w:cs="宋体"/>
          <w:sz w:val="24"/>
          <w:szCs w:val="24"/>
          <w:highlight w:val="none"/>
        </w:rPr>
      </w:r>
      <w:r/>
    </w:p>
    <w:p>
      <w:pPr>
        <w:pStyle w:val="967"/>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  灯具外壳构造设计应具备自清洁功能。表面应光滑、无损伤、变形或涂层剥落。光学材料应无气泡、明显划痕或裂纹等缺陷。</w:t>
      </w:r>
      <w:r>
        <w:rPr>
          <w:rFonts w:hint="eastAsia" w:ascii="宋体" w:hAnsi="宋体" w:cs="宋体"/>
          <w:sz w:val="24"/>
          <w:szCs w:val="24"/>
          <w:highlight w:val="none"/>
        </w:rPr>
      </w:r>
      <w:r/>
    </w:p>
    <w:p>
      <w:pPr>
        <w:pStyle w:val="967"/>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  灯具尺寸应满足附件技术参数的要求（±5%）：</w:t>
      </w:r>
      <w:r>
        <w:rPr>
          <w:rFonts w:hint="eastAsia" w:ascii="宋体" w:hAnsi="宋体" w:cs="宋体"/>
          <w:sz w:val="24"/>
          <w:szCs w:val="24"/>
          <w:highlight w:val="none"/>
        </w:rPr>
      </w:r>
      <w:r/>
    </w:p>
    <w:p>
      <w:pPr>
        <w:pStyle w:val="967"/>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  灯具材料应符合下列规定：</w:t>
      </w:r>
      <w:r>
        <w:rPr>
          <w:rFonts w:hint="eastAsia" w:ascii="宋体" w:hAnsi="宋体" w:cs="宋体"/>
          <w:sz w:val="24"/>
          <w:szCs w:val="24"/>
          <w:highlight w:val="none"/>
        </w:rPr>
      </w:r>
      <w:r/>
    </w:p>
    <w:p>
      <w:pPr>
        <w:pStyle w:val="967"/>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与外界接触的部件应满足WF2类防腐要求，防腐层吸附性强，应具有抗紫外线、高温和冷热交替的环境耐受性能。</w:t>
      </w:r>
      <w:r>
        <w:rPr>
          <w:rFonts w:hint="eastAsia" w:ascii="宋体" w:hAnsi="宋体" w:cs="宋体"/>
          <w:sz w:val="24"/>
          <w:szCs w:val="24"/>
          <w:highlight w:val="none"/>
        </w:rPr>
      </w:r>
      <w:r/>
    </w:p>
    <w:p>
      <w:pPr>
        <w:pStyle w:val="967"/>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4）  灯具塑料件应具有抗紫外线、高温和冷热交替的环境耐受性能。</w:t>
      </w:r>
      <w:r>
        <w:rPr>
          <w:rFonts w:hint="eastAsia" w:ascii="宋体" w:hAnsi="宋体" w:cs="宋体"/>
          <w:sz w:val="24"/>
          <w:szCs w:val="24"/>
          <w:highlight w:val="none"/>
        </w:rPr>
      </w:r>
      <w:r/>
    </w:p>
    <w:p>
      <w:pPr>
        <w:pStyle w:val="967"/>
        <w:ind w:firstLine="482"/>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3.2.6 灯具的光学性能应符合下列规定：</w:t>
      </w:r>
      <w:r>
        <w:rPr>
          <w:rFonts w:hint="eastAsia" w:ascii="宋体" w:hAnsi="宋体" w:cs="宋体"/>
          <w:sz w:val="24"/>
          <w:szCs w:val="24"/>
          <w:highlight w:val="none"/>
        </w:rPr>
      </w:r>
      <w:r/>
    </w:p>
    <w:p>
      <w:pPr>
        <w:pStyle w:val="967"/>
        <w:ind w:left="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 LED发光芯片采用大功率LED发光管，不得采用集成式芯片。</w:t>
      </w:r>
      <w:r>
        <w:rPr>
          <w:rFonts w:hint="eastAsia" w:ascii="宋体" w:hAnsi="宋体" w:cs="宋体"/>
          <w:sz w:val="24"/>
          <w:szCs w:val="24"/>
          <w:highlight w:val="none"/>
        </w:rPr>
      </w:r>
      <w:r/>
    </w:p>
    <w:p>
      <w:pPr>
        <w:pStyle w:val="967"/>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2）灯具配光应采用等亮度配光设计，实际照射不得有明显暗区。</w:t>
      </w:r>
      <w:r>
        <w:rPr>
          <w:rFonts w:hint="eastAsia" w:ascii="宋体" w:hAnsi="宋体" w:cs="宋体"/>
          <w:sz w:val="24"/>
          <w:szCs w:val="24"/>
          <w:highlight w:val="none"/>
        </w:rPr>
      </w:r>
      <w:r/>
    </w:p>
    <w:p>
      <w:pPr>
        <w:pStyle w:val="967"/>
        <w:ind w:firstLine="482"/>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3.2.7  灯具的电学性能应符合下列规定：</w:t>
      </w:r>
      <w:r>
        <w:rPr>
          <w:rFonts w:hint="eastAsia" w:ascii="宋体" w:hAnsi="宋体" w:cs="宋体"/>
          <w:sz w:val="24"/>
          <w:szCs w:val="24"/>
          <w:highlight w:val="none"/>
        </w:rPr>
      </w:r>
      <w:r/>
    </w:p>
    <w:p>
      <w:pPr>
        <w:pStyle w:val="967"/>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 路灯灯具的驱动方式应采用直流开关电源单独供电。</w:t>
      </w:r>
      <w:r>
        <w:rPr>
          <w:rFonts w:hint="eastAsia" w:ascii="宋体" w:hAnsi="宋体" w:cs="宋体"/>
          <w:sz w:val="24"/>
          <w:szCs w:val="24"/>
          <w:highlight w:val="none"/>
        </w:rPr>
      </w:r>
      <w:r/>
    </w:p>
    <w:p>
      <w:pPr>
        <w:pStyle w:val="967"/>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 路灯灯具在电压90-305VAC 范围内应正常工作。</w:t>
      </w:r>
      <w:r>
        <w:rPr>
          <w:rFonts w:hint="eastAsia" w:ascii="宋体" w:hAnsi="宋体" w:cs="宋体"/>
          <w:sz w:val="24"/>
          <w:szCs w:val="24"/>
          <w:highlight w:val="none"/>
        </w:rPr>
      </w:r>
      <w:r/>
    </w:p>
    <w:p>
      <w:pPr>
        <w:pStyle w:val="967"/>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 灯具在额定工作条件下的实测功率与标称功率的允许偏差为10%。</w:t>
      </w:r>
      <w:r>
        <w:rPr>
          <w:rFonts w:hint="eastAsia" w:ascii="宋体" w:hAnsi="宋体" w:cs="宋体"/>
          <w:sz w:val="24"/>
          <w:szCs w:val="24"/>
          <w:highlight w:val="none"/>
        </w:rPr>
      </w:r>
      <w:r/>
    </w:p>
    <w:p>
      <w:pPr>
        <w:pStyle w:val="967"/>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4） 灯具的谐波电流应符合《电磁兼容限值 谐波电流发射限值（设备每相输入电流≤16A）》GB 17625.1中关于照明设备的规定。</w:t>
      </w:r>
      <w:r>
        <w:rPr>
          <w:rFonts w:hint="eastAsia" w:ascii="宋体" w:hAnsi="宋体" w:cs="宋体"/>
          <w:sz w:val="24"/>
          <w:szCs w:val="24"/>
          <w:highlight w:val="none"/>
        </w:rPr>
      </w:r>
      <w:r/>
    </w:p>
    <w:p>
      <w:pPr>
        <w:pStyle w:val="967"/>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5） 灯具的无线电骚扰应符合《电气照明和类似设备的无线电骚扰特性的限值和测量方法》GB 17743的规定。</w:t>
      </w:r>
      <w:r>
        <w:rPr>
          <w:rFonts w:hint="eastAsia" w:ascii="宋体" w:hAnsi="宋体" w:cs="宋体"/>
          <w:sz w:val="24"/>
          <w:szCs w:val="24"/>
          <w:highlight w:val="none"/>
        </w:rPr>
      </w:r>
      <w:r/>
    </w:p>
    <w:p>
      <w:pPr>
        <w:pStyle w:val="967"/>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6） 灯具的浪涌抗扰度应符合《一般照明用设备电磁兼容抗扰度要求》GB/T18595的规定。</w:t>
      </w:r>
      <w:r>
        <w:rPr>
          <w:rFonts w:hint="eastAsia" w:ascii="宋体" w:hAnsi="宋体" w:cs="宋体"/>
          <w:sz w:val="24"/>
          <w:szCs w:val="24"/>
          <w:highlight w:val="none"/>
        </w:rPr>
      </w:r>
      <w:r/>
    </w:p>
    <w:p>
      <w:pPr>
        <w:pStyle w:val="967"/>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7） 电源应集成具有抗浪涌保护功能，抗浪涌电压不应低于10KV。</w:t>
      </w:r>
      <w:r>
        <w:rPr>
          <w:rFonts w:hint="eastAsia" w:ascii="宋体" w:hAnsi="宋体" w:cs="宋体"/>
          <w:sz w:val="24"/>
          <w:szCs w:val="24"/>
          <w:highlight w:val="none"/>
        </w:rPr>
      </w:r>
      <w:r/>
    </w:p>
    <w:p>
      <w:pPr>
        <w:pStyle w:val="967"/>
        <w:ind w:firstLine="482"/>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3.2.</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  灯具的外观、重量和材料应符合下列规定：</w:t>
      </w:r>
      <w:r>
        <w:rPr>
          <w:rFonts w:hint="eastAsia" w:ascii="宋体" w:hAnsi="宋体" w:cs="宋体"/>
          <w:sz w:val="24"/>
          <w:szCs w:val="24"/>
          <w:highlight w:val="none"/>
        </w:rPr>
      </w:r>
      <w:r/>
    </w:p>
    <w:p>
      <w:pPr>
        <w:pStyle w:val="967"/>
        <w:ind w:firstLine="482"/>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  灯具外壳构造设计应具备自清洁功能。表面应光滑、无损伤、变形或涂层剥落。光学材料应无气泡、明显划痕或裂纹等缺陷。</w:t>
      </w:r>
      <w:r>
        <w:rPr>
          <w:rFonts w:hint="eastAsia" w:ascii="宋体" w:hAnsi="宋体" w:cs="宋体"/>
          <w:sz w:val="24"/>
          <w:szCs w:val="24"/>
          <w:highlight w:val="none"/>
        </w:rPr>
      </w:r>
      <w:r/>
    </w:p>
    <w:p>
      <w:pPr>
        <w:pStyle w:val="967"/>
        <w:numPr>
          <w:ilvl w:val="0"/>
          <w:numId w:val="0"/>
        </w:numPr>
        <w:ind w:left="141" w:firstLine="2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t xml:space="preserve">滨江国际街区相关道路灯杆灯型需与滨江已完工道路保持一致。</w:t>
      </w:r>
      <w:r>
        <w:rPr>
          <w:rFonts w:hint="eastAsia" w:ascii="宋体" w:hAnsi="宋体" w:cs="宋体"/>
          <w:sz w:val="24"/>
          <w:szCs w:val="24"/>
          <w:highlight w:val="none"/>
        </w:rPr>
      </w:r>
      <w:r/>
    </w:p>
    <w:p>
      <w:pPr>
        <w:pStyle w:val="967"/>
        <w:ind w:firstLine="482"/>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p>
      <w:pPr>
        <w:pStyle w:val="967"/>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 NEMA接口要求：</w:t>
      </w:r>
      <w:r>
        <w:rPr>
          <w:rFonts w:hint="eastAsia" w:ascii="宋体" w:hAnsi="宋体" w:cs="宋体"/>
          <w:sz w:val="24"/>
          <w:szCs w:val="24"/>
          <w:highlight w:val="none"/>
        </w:rPr>
      </w:r>
      <w:r/>
    </w:p>
    <w:p>
      <w:pPr>
        <w:pStyle w:val="967"/>
        <w:contextualSpacing/>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NEMA底座技术参数</w:t>
      </w:r>
      <w:r>
        <w:rPr>
          <w:rFonts w:ascii="宋体" w:hAnsi="宋体" w:cs="宋体"/>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61"/>
        <w:gridCol w:w="6302"/>
      </w:tblGrid>
      <w:tr>
        <w:trPr>
          <w:trHeight w:val="891" w:hRule="exact"/>
        </w:trPr>
        <w:tc>
          <w:tcPr>
            <w:tcW w:w="2561" w:type="dxa"/>
            <w:vAlign w:val="center"/>
            <w:textDirection w:val="lrTb"/>
            <w:noWrap w:val="false"/>
          </w:tcPr>
          <w:p>
            <w:pPr>
              <w:pStyle w:val="967"/>
              <w:rPr>
                <w:rFonts w:hint="eastAsia" w:ascii="宋体" w:hAnsi="宋体" w:cs="宋体"/>
                <w:b/>
                <w:color w:val="000000"/>
                <w:highlight w:val="none"/>
              </w:rPr>
            </w:pPr>
            <w:r>
              <w:rPr>
                <w:rFonts w:hint="eastAsia" w:ascii="宋体" w:hAnsi="宋体" w:cs="宋体"/>
                <w:b/>
                <w:color w:val="000000"/>
                <w:highlight w:val="none"/>
              </w:rPr>
              <w:t xml:space="preserve">标准</w:t>
            </w:r>
            <w:r>
              <w:rPr>
                <w:rFonts w:hint="eastAsia" w:ascii="宋体" w:hAnsi="宋体" w:cs="宋体"/>
                <w:b/>
                <w:color w:val="000000"/>
                <w:highlight w:val="none"/>
              </w:rPr>
            </w:r>
            <w:r/>
          </w:p>
        </w:tc>
        <w:tc>
          <w:tcPr>
            <w:tcW w:w="6302" w:type="dxa"/>
            <w:vAlign w:val="center"/>
            <w:textDirection w:val="lrTb"/>
            <w:noWrap w:val="false"/>
          </w:tcPr>
          <w:p>
            <w:pPr>
              <w:pStyle w:val="967"/>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ANSI C136.41   UL773</w:t>
            </w:r>
            <w:r>
              <w:rPr>
                <w:rFonts w:hint="eastAsia" w:ascii="宋体" w:hAnsi="宋体" w:cs="宋体"/>
                <w:color w:val="000000"/>
                <w:highlight w:val="none"/>
              </w:rPr>
            </w:r>
            <w:r/>
          </w:p>
        </w:tc>
      </w:tr>
      <w:tr>
        <w:trPr>
          <w:trHeight w:val="891" w:hRule="exact"/>
        </w:trPr>
        <w:tc>
          <w:tcPr>
            <w:tcW w:w="2561" w:type="dxa"/>
            <w:vAlign w:val="center"/>
            <w:textDirection w:val="lrTb"/>
            <w:noWrap w:val="false"/>
          </w:tcPr>
          <w:p>
            <w:pPr>
              <w:pStyle w:val="967"/>
              <w:rPr>
                <w:rFonts w:hint="eastAsia" w:ascii="宋体" w:hAnsi="宋体" w:cs="宋体"/>
                <w:b/>
                <w:color w:val="000000"/>
                <w:highlight w:val="none"/>
              </w:rPr>
            </w:pPr>
            <w:r>
              <w:rPr>
                <w:rFonts w:hint="eastAsia" w:ascii="宋体" w:hAnsi="宋体" w:cs="宋体"/>
                <w:b/>
                <w:color w:val="000000"/>
                <w:highlight w:val="none"/>
              </w:rPr>
              <w:t xml:space="preserve">额定电压</w:t>
            </w:r>
            <w:r>
              <w:rPr>
                <w:rFonts w:hint="eastAsia" w:ascii="宋体" w:hAnsi="宋体" w:cs="宋体"/>
                <w:b/>
                <w:color w:val="000000"/>
                <w:highlight w:val="none"/>
              </w:rPr>
            </w:r>
            <w:r/>
          </w:p>
        </w:tc>
        <w:tc>
          <w:tcPr>
            <w:tcW w:w="6302" w:type="dxa"/>
            <w:vAlign w:val="center"/>
            <w:textDirection w:val="lrTb"/>
            <w:noWrap w:val="false"/>
          </w:tcPr>
          <w:p>
            <w:pPr>
              <w:pStyle w:val="967"/>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电源接口：480V</w:t>
            </w:r>
            <w:r>
              <w:rPr>
                <w:rFonts w:hint="eastAsia" w:ascii="宋体" w:hAnsi="宋体" w:cs="宋体"/>
                <w:color w:val="000000"/>
                <w:highlight w:val="none"/>
              </w:rPr>
            </w:r>
            <w:r/>
          </w:p>
          <w:p>
            <w:pPr>
              <w:pStyle w:val="967"/>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调光接口：30V</w:t>
            </w:r>
            <w:r>
              <w:rPr>
                <w:rFonts w:hint="eastAsia" w:ascii="宋体" w:hAnsi="宋体" w:cs="宋体"/>
                <w:color w:val="000000"/>
                <w:highlight w:val="none"/>
              </w:rPr>
            </w:r>
            <w:r/>
          </w:p>
        </w:tc>
      </w:tr>
      <w:tr>
        <w:trPr>
          <w:trHeight w:val="891" w:hRule="exact"/>
        </w:trPr>
        <w:tc>
          <w:tcPr>
            <w:tcW w:w="2561" w:type="dxa"/>
            <w:vAlign w:val="center"/>
            <w:textDirection w:val="lrTb"/>
            <w:noWrap w:val="false"/>
          </w:tcPr>
          <w:p>
            <w:pPr>
              <w:pStyle w:val="967"/>
              <w:rPr>
                <w:rFonts w:hint="eastAsia" w:ascii="宋体" w:hAnsi="宋体" w:cs="宋体"/>
                <w:b/>
                <w:color w:val="000000"/>
                <w:highlight w:val="none"/>
              </w:rPr>
            </w:pPr>
            <w:r>
              <w:rPr>
                <w:rFonts w:hint="eastAsia" w:ascii="宋体" w:hAnsi="宋体" w:cs="宋体"/>
                <w:b/>
                <w:color w:val="000000"/>
                <w:highlight w:val="none"/>
              </w:rPr>
              <w:t xml:space="preserve">频率</w:t>
            </w:r>
            <w:r>
              <w:rPr>
                <w:rFonts w:hint="eastAsia" w:ascii="宋体" w:hAnsi="宋体" w:cs="宋体"/>
                <w:b/>
                <w:color w:val="000000"/>
                <w:highlight w:val="none"/>
              </w:rPr>
            </w:r>
            <w:r/>
          </w:p>
        </w:tc>
        <w:tc>
          <w:tcPr>
            <w:tcW w:w="6302" w:type="dxa"/>
            <w:vAlign w:val="center"/>
            <w:textDirection w:val="lrTb"/>
            <w:noWrap w:val="false"/>
          </w:tcPr>
          <w:p>
            <w:pPr>
              <w:pStyle w:val="967"/>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50/60Hz</w:t>
            </w:r>
            <w:r>
              <w:rPr>
                <w:rFonts w:hint="eastAsia" w:ascii="宋体" w:hAnsi="宋体" w:cs="宋体"/>
                <w:color w:val="000000"/>
                <w:highlight w:val="none"/>
              </w:rPr>
            </w:r>
            <w:r/>
          </w:p>
        </w:tc>
      </w:tr>
      <w:tr>
        <w:trPr>
          <w:trHeight w:val="891" w:hRule="exact"/>
        </w:trPr>
        <w:tc>
          <w:tcPr>
            <w:tcW w:w="2561" w:type="dxa"/>
            <w:vAlign w:val="center"/>
            <w:textDirection w:val="lrTb"/>
            <w:noWrap w:val="false"/>
          </w:tcPr>
          <w:p>
            <w:pPr>
              <w:pStyle w:val="967"/>
              <w:rPr>
                <w:rFonts w:hint="eastAsia" w:ascii="宋体" w:hAnsi="宋体" w:cs="宋体"/>
                <w:b/>
                <w:color w:val="000000"/>
                <w:highlight w:val="none"/>
              </w:rPr>
            </w:pPr>
            <w:r>
              <w:rPr>
                <w:rFonts w:hint="eastAsia" w:ascii="宋体" w:hAnsi="宋体" w:cs="宋体"/>
                <w:b/>
                <w:color w:val="000000"/>
                <w:highlight w:val="none"/>
              </w:rPr>
              <w:t xml:space="preserve">额定电流</w:t>
            </w:r>
            <w:r>
              <w:rPr>
                <w:rFonts w:hint="eastAsia" w:ascii="宋体" w:hAnsi="宋体" w:cs="宋体"/>
                <w:b/>
                <w:color w:val="000000"/>
                <w:highlight w:val="none"/>
              </w:rPr>
            </w:r>
            <w:r/>
          </w:p>
        </w:tc>
        <w:tc>
          <w:tcPr>
            <w:tcW w:w="6302" w:type="dxa"/>
            <w:vAlign w:val="center"/>
            <w:textDirection w:val="lrTb"/>
            <w:noWrap w:val="false"/>
          </w:tcPr>
          <w:p>
            <w:pPr>
              <w:pStyle w:val="967"/>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电源接口：15A</w:t>
            </w:r>
            <w:r>
              <w:rPr>
                <w:rFonts w:hint="eastAsia" w:ascii="宋体" w:hAnsi="宋体" w:cs="宋体"/>
                <w:color w:val="000000"/>
                <w:highlight w:val="none"/>
              </w:rPr>
            </w:r>
            <w:r/>
          </w:p>
          <w:p>
            <w:pPr>
              <w:pStyle w:val="967"/>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调光接口：0.25A</w:t>
            </w:r>
            <w:r>
              <w:rPr>
                <w:rFonts w:hint="eastAsia" w:ascii="宋体" w:hAnsi="宋体" w:cs="宋体"/>
                <w:color w:val="000000"/>
                <w:highlight w:val="none"/>
              </w:rPr>
            </w:r>
            <w:r/>
          </w:p>
        </w:tc>
      </w:tr>
      <w:tr>
        <w:trPr>
          <w:trHeight w:val="1279" w:hRule="exact"/>
        </w:trPr>
        <w:tc>
          <w:tcPr>
            <w:tcW w:w="2561" w:type="dxa"/>
            <w:vAlign w:val="center"/>
            <w:textDirection w:val="lrTb"/>
            <w:noWrap w:val="false"/>
          </w:tcPr>
          <w:p>
            <w:pPr>
              <w:pStyle w:val="967"/>
              <w:rPr>
                <w:rFonts w:hint="eastAsia" w:ascii="宋体" w:hAnsi="宋体" w:cs="宋体"/>
                <w:b/>
                <w:color w:val="000000"/>
                <w:highlight w:val="none"/>
              </w:rPr>
            </w:pPr>
            <w:r>
              <w:rPr>
                <w:rFonts w:hint="eastAsia" w:ascii="宋体" w:hAnsi="宋体" w:cs="宋体"/>
                <w:b/>
                <w:color w:val="000000"/>
                <w:highlight w:val="none"/>
              </w:rPr>
              <w:t xml:space="preserve">出线规格</w:t>
            </w:r>
            <w:r>
              <w:rPr>
                <w:rFonts w:hint="eastAsia" w:ascii="宋体" w:hAnsi="宋体" w:cs="宋体"/>
                <w:b/>
                <w:color w:val="000000"/>
                <w:highlight w:val="none"/>
              </w:rPr>
            </w:r>
            <w:r/>
          </w:p>
        </w:tc>
        <w:tc>
          <w:tcPr>
            <w:tcW w:w="6302" w:type="dxa"/>
            <w:vAlign w:val="center"/>
            <w:textDirection w:val="lrTb"/>
            <w:noWrap w:val="false"/>
          </w:tcPr>
          <w:p>
            <w:pPr>
              <w:pStyle w:val="967"/>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电源线：14AWG/16AWG</w:t>
            </w:r>
            <w:r>
              <w:rPr>
                <w:rFonts w:hint="eastAsia" w:ascii="宋体" w:hAnsi="宋体" w:cs="宋体"/>
                <w:color w:val="000000"/>
                <w:highlight w:val="none"/>
              </w:rPr>
            </w:r>
            <w:r/>
          </w:p>
          <w:p>
            <w:pPr>
              <w:pStyle w:val="967"/>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调光线：18AWG</w:t>
            </w:r>
            <w:r>
              <w:rPr>
                <w:rFonts w:hint="eastAsia" w:ascii="宋体" w:hAnsi="宋体" w:cs="宋体"/>
                <w:color w:val="000000"/>
                <w:highlight w:val="none"/>
              </w:rPr>
            </w:r>
            <w:r/>
          </w:p>
          <w:p>
            <w:pPr>
              <w:pStyle w:val="967"/>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预留线：18AWG</w:t>
            </w:r>
            <w:r>
              <w:rPr>
                <w:rFonts w:hint="eastAsia" w:ascii="宋体" w:hAnsi="宋体" w:cs="宋体"/>
                <w:color w:val="000000"/>
                <w:highlight w:val="none"/>
              </w:rPr>
            </w:r>
            <w:r/>
          </w:p>
        </w:tc>
      </w:tr>
      <w:tr>
        <w:trPr>
          <w:trHeight w:val="891" w:hRule="exact"/>
        </w:trPr>
        <w:tc>
          <w:tcPr>
            <w:tcW w:w="2561" w:type="dxa"/>
            <w:vAlign w:val="center"/>
            <w:textDirection w:val="lrTb"/>
            <w:noWrap w:val="false"/>
          </w:tcPr>
          <w:p>
            <w:pPr>
              <w:pStyle w:val="967"/>
              <w:rPr>
                <w:rFonts w:hint="eastAsia" w:ascii="宋体" w:hAnsi="宋体" w:cs="宋体"/>
                <w:b/>
                <w:color w:val="000000"/>
                <w:highlight w:val="none"/>
              </w:rPr>
            </w:pPr>
            <w:r>
              <w:rPr>
                <w:rFonts w:hint="eastAsia" w:ascii="宋体" w:hAnsi="宋体" w:cs="宋体"/>
                <w:b/>
                <w:color w:val="000000"/>
                <w:highlight w:val="none"/>
              </w:rPr>
              <w:t xml:space="preserve">接线数量</w:t>
            </w:r>
            <w:r>
              <w:rPr>
                <w:rFonts w:hint="eastAsia" w:ascii="宋体" w:hAnsi="宋体" w:cs="宋体"/>
                <w:b/>
                <w:color w:val="000000"/>
                <w:highlight w:val="none"/>
              </w:rPr>
            </w:r>
            <w:r/>
          </w:p>
        </w:tc>
        <w:tc>
          <w:tcPr>
            <w:tcW w:w="6302" w:type="dxa"/>
            <w:vAlign w:val="center"/>
            <w:textDirection w:val="lrTb"/>
            <w:noWrap w:val="false"/>
          </w:tcPr>
          <w:p>
            <w:pPr>
              <w:pStyle w:val="967"/>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7线（3*电源线+2*调光线+2*预留线）</w:t>
            </w:r>
            <w:r>
              <w:rPr>
                <w:rFonts w:hint="eastAsia" w:ascii="宋体" w:hAnsi="宋体" w:cs="宋体"/>
                <w:color w:val="000000"/>
                <w:highlight w:val="none"/>
              </w:rPr>
            </w:r>
            <w:r/>
          </w:p>
        </w:tc>
      </w:tr>
      <w:tr>
        <w:trPr>
          <w:trHeight w:val="891" w:hRule="exact"/>
        </w:trPr>
        <w:tc>
          <w:tcPr>
            <w:tcW w:w="2561" w:type="dxa"/>
            <w:vAlign w:val="center"/>
            <w:textDirection w:val="lrTb"/>
            <w:noWrap w:val="false"/>
          </w:tcPr>
          <w:p>
            <w:pPr>
              <w:pStyle w:val="967"/>
              <w:rPr>
                <w:rFonts w:hint="eastAsia" w:ascii="宋体" w:hAnsi="宋体" w:cs="宋体"/>
                <w:b/>
                <w:color w:val="000000"/>
                <w:highlight w:val="none"/>
              </w:rPr>
            </w:pPr>
            <w:r>
              <w:rPr>
                <w:rFonts w:hint="eastAsia" w:ascii="宋体" w:hAnsi="宋体" w:cs="宋体"/>
                <w:b/>
                <w:color w:val="000000"/>
                <w:highlight w:val="none"/>
              </w:rPr>
              <w:t xml:space="preserve">辅件</w:t>
            </w:r>
            <w:r>
              <w:rPr>
                <w:rFonts w:hint="eastAsia" w:ascii="宋体" w:hAnsi="宋体" w:cs="宋体"/>
                <w:b/>
                <w:color w:val="000000"/>
                <w:highlight w:val="none"/>
              </w:rPr>
            </w:r>
            <w:r/>
          </w:p>
        </w:tc>
        <w:tc>
          <w:tcPr>
            <w:tcW w:w="6302" w:type="dxa"/>
            <w:vAlign w:val="center"/>
            <w:textDirection w:val="lrTb"/>
            <w:noWrap w:val="false"/>
          </w:tcPr>
          <w:p>
            <w:pPr>
              <w:pStyle w:val="967"/>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配备短路帽</w:t>
            </w:r>
            <w:r>
              <w:rPr>
                <w:rFonts w:hint="eastAsia" w:ascii="宋体" w:hAnsi="宋体" w:cs="宋体"/>
                <w:color w:val="000000"/>
                <w:highlight w:val="none"/>
              </w:rPr>
            </w:r>
            <w:r/>
          </w:p>
        </w:tc>
      </w:tr>
    </w:tbl>
    <w:p>
      <w:pPr>
        <w:pStyle w:val="967"/>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NEMA底座接线示意图</w:t>
      </w:r>
      <w:r>
        <w:rPr>
          <w:rFonts w:hint="eastAsia" w:ascii="宋体" w:hAnsi="宋体" w:cs="宋体"/>
          <w:sz w:val="24"/>
          <w:szCs w:val="24"/>
          <w:highlight w:val="none"/>
        </w:rPr>
      </w:r>
      <w:r/>
    </w:p>
    <w:p>
      <w:pPr>
        <w:pStyle w:val="967"/>
        <w:contextualSpacing/>
        <w:ind w:firstLine="480"/>
        <w:spacing w:line="360" w:lineRule="auto"/>
        <w:rPr>
          <w:rFonts w:ascii="宋体" w:hAnsi="宋体" w:cs="宋体"/>
          <w:sz w:val="24"/>
          <w:szCs w:val="24"/>
          <w:highlight w:val="none"/>
        </w:rPr>
      </w:pPr>
      <w:r>
        <w:rPr>
          <w:rFonts w:ascii="宋体" w:hAnsi="宋体" w:cs="宋体"/>
          <w:color w:val="000000"/>
          <w:sz w:val="24"/>
          <w:szCs w:val="24"/>
          <w:highlight w:val="none"/>
        </w:rPr>
        <mc:AlternateContent>
          <mc:Choice Requires="wpg">
            <w:drawing>
              <wp:inline xmlns:wp="http://schemas.openxmlformats.org/drawingml/2006/wordprocessingDrawing" distT="0" distB="0" distL="0" distR="0">
                <wp:extent cx="5100320" cy="252285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100320" cy="2522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1.6pt;height:198.6pt;mso-wrap-distance-left:0.0pt;mso-wrap-distance-top:0.0pt;mso-wrap-distance-right:0.0pt;mso-wrap-distance-bottom:0.0pt;" stroked="f">
                <v:path textboxrect="0,0,0,0"/>
                <v:imagedata r:id="rId15" o:title=""/>
              </v:shape>
            </w:pict>
          </mc:Fallback>
        </mc:AlternateContent>
      </w:r>
      <w:r>
        <w:rPr>
          <w:rFonts w:ascii="宋体" w:hAnsi="宋体" w:cs="宋体"/>
          <w:sz w:val="24"/>
          <w:szCs w:val="24"/>
          <w:highlight w:val="none"/>
        </w:rPr>
      </w:r>
      <w:r/>
    </w:p>
    <w:p>
      <w:pPr>
        <w:pStyle w:val="967"/>
        <w:contextualSpacing/>
        <w:ind w:firstLine="480"/>
        <w:spacing w:line="360" w:lineRule="auto"/>
        <w:rPr>
          <w:rFonts w:ascii="宋体" w:hAnsi="宋体" w:cs="宋体"/>
          <w:sz w:val="24"/>
          <w:szCs w:val="24"/>
          <w:highlight w:val="none"/>
        </w:rPr>
      </w:pPr>
      <w:r>
        <w:rPr>
          <w:rFonts w:ascii="宋体" w:hAnsi="宋体" w:cs="宋体"/>
          <w:sz w:val="24"/>
          <w:szCs w:val="24"/>
          <w:highlight w:val="none"/>
        </w:rPr>
      </w:r>
      <w:r/>
    </w:p>
    <w:p>
      <w:pPr>
        <w:pStyle w:val="967"/>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注意：火线输入（黑色）/火线输出（红色）/共用零线（白色）/负极调光（灰色）/正极调光（紫色）/预留线1为棕色/预留线2为橘黄色/，两根预留线（图中未画）一并接在接线端子上。</w:t>
      </w:r>
      <w:r>
        <w:rPr>
          <w:rFonts w:hint="eastAsia" w:ascii="宋体" w:hAnsi="宋体" w:cs="宋体"/>
          <w:sz w:val="24"/>
          <w:szCs w:val="24"/>
          <w:highlight w:val="none"/>
        </w:rPr>
      </w:r>
      <w:r/>
    </w:p>
    <w:p>
      <w:pPr>
        <w:pStyle w:val="967"/>
        <w:ind w:firstLine="361"/>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*上述技术要求为通用参数，如与施工图有冲突，以施工图为准。</w:t>
      </w:r>
      <w:r>
        <w:rPr>
          <w:rFonts w:hint="eastAsia" w:ascii="宋体" w:hAnsi="宋体" w:cs="宋体"/>
          <w:b/>
          <w:sz w:val="24"/>
          <w:szCs w:val="24"/>
          <w:highlight w:val="none"/>
        </w:rPr>
      </w:r>
      <w:r/>
    </w:p>
    <w:p>
      <w:pPr>
        <w:pStyle w:val="967"/>
        <w:ind w:firstLine="361"/>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w:t>
      </w:r>
      <w:bookmarkStart w:id="203" w:name="OLE_LINK26"/>
      <w:r>
        <w:rPr>
          <w:rFonts w:hint="eastAsia" w:ascii="宋体" w:hAnsi="宋体" w:cs="宋体"/>
          <w:b/>
          <w:sz w:val="24"/>
          <w:szCs w:val="24"/>
          <w:highlight w:val="none"/>
        </w:rPr>
        <w:t xml:space="preserve">本合同承包人应负责滨江国际街区揽江路（中心路——崇川路）道路照明工程、滨江国际街区中心路（洪江路——沿河路）道路照明工程、滨江国际街区沿河路（长江路——中心路）道路照明工程、安达路下穿铁路通道照明工程、友谊路下穿铁路通道照明工程、石桥路下穿铁路通道工程、火车站综合客运枢纽一期照明工程{站西路}、{站东路}、{站北路} 、{顺达路（幸福大道~经九路）}的安装调试工作。在完成所有杆件及灯具安装后，还应参与本工程路灯所照明系统联机调试运行，确保所有路灯单灯控制及各项功能能够正常运行。</w:t>
      </w:r>
      <w:r>
        <w:rPr>
          <w:rFonts w:hint="eastAsia" w:ascii="宋体" w:hAnsi="宋体" w:cs="宋体"/>
          <w:b/>
          <w:sz w:val="24"/>
          <w:szCs w:val="24"/>
          <w:highlight w:val="none"/>
        </w:rPr>
      </w:r>
      <w:r/>
    </w:p>
    <w:p>
      <w:pPr>
        <w:pStyle w:val="967"/>
        <w:ind w:firstLine="361"/>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*本次招标内容所涉及的所有设备、材料均包括：供货、安装、调试、试运行、验收、售后服务等工作，为总价承包，中标后不得调整。</w:t>
      </w:r>
      <w:bookmarkEnd w:id="203"/>
      <w:r>
        <w:rPr>
          <w:rFonts w:hint="eastAsia" w:ascii="宋体" w:hAnsi="宋体" w:cs="宋体"/>
          <w:b/>
          <w:sz w:val="24"/>
          <w:szCs w:val="24"/>
          <w:highlight w:val="none"/>
        </w:rPr>
      </w:r>
      <w:r/>
    </w:p>
    <w:p>
      <w:pPr>
        <w:pStyle w:val="967"/>
        <w:ind w:firstLine="361"/>
        <w:spacing w:line="360" w:lineRule="auto"/>
        <w:rPr>
          <w:rFonts w:hint="eastAsia" w:ascii="宋体" w:hAnsi="宋体" w:cs="宋体"/>
          <w:b/>
          <w:sz w:val="24"/>
          <w:szCs w:val="24"/>
          <w:highlight w:val="none"/>
        </w:rPr>
      </w:pPr>
      <w:r/>
      <w:bookmarkEnd w:id="202"/>
      <w:r>
        <w:rPr>
          <w:rFonts w:hint="eastAsia" w:ascii="宋体" w:hAnsi="宋体" w:cs="宋体"/>
          <w:b/>
          <w:sz w:val="24"/>
          <w:szCs w:val="24"/>
          <w:highlight w:val="none"/>
        </w:rPr>
        <w:t xml:space="preserve">四、采购标的的数量、采购项目交付或实施的时间和地点；</w:t>
      </w:r>
      <w:r>
        <w:rPr>
          <w:rFonts w:hint="eastAsia" w:ascii="宋体" w:hAnsi="宋体" w:cs="宋体"/>
          <w:b/>
          <w:sz w:val="24"/>
          <w:szCs w:val="24"/>
          <w:highlight w:val="none"/>
        </w:rPr>
      </w:r>
      <w:r/>
    </w:p>
    <w:p>
      <w:pPr>
        <w:pStyle w:val="967"/>
        <w:ind w:firstLine="481"/>
        <w:spacing w:line="500" w:lineRule="exact"/>
        <w:rPr>
          <w:rFonts w:hint="eastAsia" w:ascii="宋体" w:hAnsi="宋体" w:cs="宋体"/>
          <w:b/>
          <w:sz w:val="24"/>
          <w:szCs w:val="24"/>
          <w:highlight w:val="none"/>
        </w:rPr>
      </w:pPr>
      <w:r/>
      <w:bookmarkStart w:id="204" w:name="OLE_LINK4"/>
      <w:r>
        <w:rPr>
          <w:rFonts w:hint="eastAsia" w:ascii="宋体" w:hAnsi="宋体" w:cs="宋体"/>
          <w:b/>
          <w:sz w:val="24"/>
          <w:szCs w:val="24"/>
          <w:highlight w:val="none"/>
        </w:rPr>
        <w:t xml:space="preserve">4.1、货物清单</w:t>
      </w:r>
      <w:r>
        <w:rPr>
          <w:rFonts w:hint="eastAsia" w:ascii="宋体" w:hAnsi="宋体" w:cs="宋体"/>
          <w:b/>
          <w:sz w:val="24"/>
          <w:szCs w:val="24"/>
          <w:highlight w:val="none"/>
        </w:rPr>
      </w:r>
      <w:r/>
    </w:p>
    <w:p>
      <w:pPr>
        <w:pStyle w:val="967"/>
        <w:ind w:firstLine="361"/>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tbl>
      <w:tblPr>
        <w:tblW w:w="93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134"/>
        <w:gridCol w:w="1999"/>
        <w:gridCol w:w="3402"/>
        <w:gridCol w:w="709"/>
        <w:gridCol w:w="576"/>
        <w:gridCol w:w="851"/>
      </w:tblGrid>
      <w:tr>
        <w:trPr>
          <w:trHeight w:val="567" w:hRule="exact"/>
        </w:trPr>
        <w:tc>
          <w:tcPr>
            <w:tcW w:w="710"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t xml:space="preserve">序号</w:t>
            </w:r>
            <w:r>
              <w:rPr>
                <w:rFonts w:hint="eastAsia" w:ascii="宋体" w:hAnsi="宋体" w:cs="宋体"/>
                <w:sz w:val="18"/>
                <w:szCs w:val="18"/>
                <w:highlight w:val="none"/>
              </w:rPr>
            </w:r>
            <w:r/>
          </w:p>
        </w:tc>
        <w:tc>
          <w:tcPr>
            <w:tcW w:w="1134"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t xml:space="preserve">工程名称</w:t>
            </w: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t xml:space="preserve">产品名称</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t xml:space="preserve">规格型号</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t xml:space="preserve">单位</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t xml:space="preserve">数量</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t xml:space="preserve">备注</w:t>
            </w: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w:t>
            </w:r>
            <w:r>
              <w:rPr>
                <w:rFonts w:hint="eastAsia" w:ascii="宋体" w:hAnsi="宋体"/>
                <w:sz w:val="18"/>
                <w:szCs w:val="18"/>
                <w:highlight w:val="none"/>
              </w:rPr>
            </w:r>
            <w:r/>
          </w:p>
        </w:tc>
        <w:tc>
          <w:tcPr>
            <w:tcW w:w="1134" w:type="dxa"/>
            <w:vAlign w:val="center"/>
            <w:vMerge w:val="restart"/>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滨江国际街区揽江路（中心路——崇川路）道路照明工程</w:t>
            </w: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普通杆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B型(12米单挑带卡槽/120W/滨江)</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3</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2</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普通杆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12米单挑不带卡槽/120W/滨江</w:t>
            </w:r>
            <w:r>
              <w:rPr>
                <w:rFonts w:hint="eastAsia" w:ascii="宋体" w:hAnsi="宋体"/>
                <w:sz w:val="18"/>
                <w:szCs w:val="18"/>
                <w:highlight w:val="none"/>
              </w:rPr>
            </w:r>
            <w:r/>
          </w:p>
          <w:p>
            <w:pPr>
              <w:pStyle w:val="967"/>
              <w:jc w:val="center"/>
              <w:rPr>
                <w:rFonts w:hint="eastAsia" w:ascii="宋体" w:hAnsi="宋体"/>
                <w:sz w:val="18"/>
                <w:szCs w:val="18"/>
                <w:highlight w:val="none"/>
              </w:rPr>
            </w:pPr>
            <w:r>
              <w:rPr>
                <w:rFonts w:hint="eastAsia" w:ascii="宋体" w:hAnsi="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27</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3</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A型(12米单挑/标志牌L6/120W/滨江)</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4</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B-1型(12米单挑/信号灯L6/120W/滨江)</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3</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5</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B-2型(12米单挑/信号灯L4/120W/滨江)</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6</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B-3型(12米单挑/信号灯L6/120W/滨江)</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ascii="宋体" w:hAnsi="宋体" w:cs="宋体"/>
                <w:sz w:val="18"/>
                <w:szCs w:val="18"/>
                <w:highlight w:val="none"/>
              </w:rPr>
            </w:pPr>
            <w:r>
              <w:rPr>
                <w:rFonts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7</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综合杆C型(12米单挑/监控L6/120W /滨江)</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7</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8</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投光灯</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C型(12米投光灯带卡槽/2*120W/滨江)</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9</w:t>
            </w:r>
            <w:r>
              <w:rPr>
                <w:rFonts w:hint="eastAsia" w:ascii="宋体" w:hAnsi="宋体"/>
                <w:sz w:val="18"/>
                <w:szCs w:val="18"/>
                <w:highlight w:val="none"/>
              </w:rPr>
            </w:r>
            <w:r/>
          </w:p>
        </w:tc>
        <w:tc>
          <w:tcPr>
            <w:tcW w:w="1134" w:type="dxa"/>
            <w:vAlign w:val="center"/>
            <w:vMerge w:val="restart"/>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滨江国际街区中心路（洪江路——沿河路）道路照明工程</w:t>
            </w: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普通杆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A型(10米双挑不带卡槽/120W+60W/滨江)</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14</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10</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普通杆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A型(10米双挑不带卡槽/160W+60W/滨江)</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7</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11</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普通杆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B型(10米双挑带卡槽/160W+60W/滨江)</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4</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12</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A型(10米双挑/标志牌3L6/160W+60W/滨江)</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主要标的</w:t>
            </w:r>
            <w:r>
              <w:rPr>
                <w:rFonts w:ascii="宋体" w:hAnsi="宋体" w:eastAsia="宋体" w:cs="宋体"/>
                <w:sz w:val="18"/>
                <w:szCs w:val="18"/>
                <w:highlight w:val="none"/>
                <w:lang w:val="en-US" w:eastAsia="zh-CN"/>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13</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B-1型(10米双挑/信号灯L8/160W+60W/滨江)</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14</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B-2型(10米双挑/信号灯L10/160W+60W /滨江)</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15</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C-1型(10米双挑/监控L8/160W+60W/滨江)</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16</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C-2型(10米双挑/监控L6/120W+60W/滨江)</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17</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投光灯</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C型(12米2火投光灯/带卡槽/2*280W/滨江)</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4</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18</w:t>
            </w:r>
            <w:r>
              <w:rPr>
                <w:rFonts w:hint="eastAsia" w:ascii="宋体" w:hAnsi="宋体"/>
                <w:sz w:val="18"/>
                <w:szCs w:val="18"/>
                <w:highlight w:val="none"/>
              </w:rPr>
            </w:r>
            <w:r/>
          </w:p>
        </w:tc>
        <w:tc>
          <w:tcPr>
            <w:tcW w:w="1134" w:type="dxa"/>
            <w:vAlign w:val="center"/>
            <w:vMerge w:val="restart"/>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滨江国际街区沿河路（长江路——中心路）道路照明工程</w:t>
            </w: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普通杆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12米单挑不带卡槽/160W/滨江</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7</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19</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普通杆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B型(12米单挑带卡槽/160W/滨江)</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20</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A型(12米单挑/标志牌3L6/160W/滨江)</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ascii="宋体" w:hAnsi="宋体" w:cs="宋体"/>
                <w:sz w:val="18"/>
                <w:szCs w:val="18"/>
                <w:highlight w:val="none"/>
              </w:rPr>
            </w:pPr>
            <w:r>
              <w:rPr>
                <w:rFonts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21</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B-1型(12米单挑/信号灯L4/160W/滨江)</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22</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rPr>
                <w:rFonts w:hint="eastAsia" w:ascii="宋体" w:hAnsi="宋体" w:cs="宋体"/>
                <w:sz w:val="18"/>
                <w:szCs w:val="18"/>
                <w:highlight w:val="none"/>
              </w:rPr>
            </w:pPr>
            <w:r>
              <w:rPr>
                <w:rFonts w:hint="eastAsia" w:ascii="宋体" w:hAnsi="宋体"/>
                <w:sz w:val="18"/>
                <w:szCs w:val="18"/>
                <w:highlight w:val="none"/>
              </w:rPr>
              <w:t xml:space="preserve">B-2型(12米单挑/信号灯L8/160W/滨江)</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23</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rPr>
                <w:rFonts w:hint="eastAsia" w:ascii="宋体" w:hAnsi="宋体" w:cs="宋体"/>
                <w:sz w:val="18"/>
                <w:szCs w:val="18"/>
                <w:highlight w:val="none"/>
              </w:rPr>
            </w:pPr>
            <w:r>
              <w:rPr>
                <w:rFonts w:hint="eastAsia" w:ascii="宋体" w:hAnsi="宋体"/>
                <w:sz w:val="18"/>
                <w:szCs w:val="18"/>
                <w:highlight w:val="none"/>
              </w:rPr>
              <w:t xml:space="preserve">C型(12米单挑/监控L10/160W/滨江)</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24</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投光灯</w:t>
            </w:r>
            <w:r>
              <w:rPr>
                <w:rFonts w:hint="eastAsia" w:ascii="宋体" w:hAnsi="宋体" w:cs="宋体"/>
                <w:sz w:val="18"/>
                <w:szCs w:val="18"/>
                <w:highlight w:val="none"/>
              </w:rPr>
            </w:r>
            <w:r/>
          </w:p>
        </w:tc>
        <w:tc>
          <w:tcPr>
            <w:tcW w:w="3402" w:type="dxa"/>
            <w:vAlign w:val="center"/>
            <w:textDirection w:val="lrTb"/>
            <w:noWrap w:val="false"/>
          </w:tcPr>
          <w:p>
            <w:pPr>
              <w:pStyle w:val="967"/>
              <w:rPr>
                <w:rFonts w:hint="eastAsia" w:ascii="宋体" w:hAnsi="宋体" w:cs="宋体"/>
                <w:sz w:val="18"/>
                <w:szCs w:val="18"/>
                <w:highlight w:val="none"/>
              </w:rPr>
            </w:pPr>
            <w:r>
              <w:rPr>
                <w:rFonts w:hint="eastAsia" w:ascii="宋体" w:hAnsi="宋体"/>
                <w:sz w:val="18"/>
                <w:szCs w:val="18"/>
                <w:highlight w:val="none"/>
              </w:rPr>
              <w:t xml:space="preserve">C型(12米3火投光灯/带卡槽/3*280W/滨江)</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25</w:t>
            </w:r>
            <w:r>
              <w:rPr>
                <w:rFonts w:hint="eastAsia" w:ascii="宋体" w:hAnsi="宋体"/>
                <w:sz w:val="18"/>
                <w:szCs w:val="18"/>
                <w:highlight w:val="none"/>
              </w:rPr>
            </w:r>
            <w:r/>
          </w:p>
        </w:tc>
        <w:tc>
          <w:tcPr>
            <w:tcW w:w="1134" w:type="dxa"/>
            <w:vAlign w:val="center"/>
            <w:vMerge w:val="restart"/>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崇川路南侧规划路道路照明工程</w:t>
            </w: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灯杆(含灯架)</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10m单臂</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根</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4</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26</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灯杆(含灯架)</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12m投光灯杆</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根</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27</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LED路灯</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100W(暖白)</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4</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28</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LED投光(泛光)灯具</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200W</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4</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29</w:t>
            </w:r>
            <w:r>
              <w:rPr>
                <w:rFonts w:hint="eastAsia" w:ascii="宋体" w:hAnsi="宋体"/>
                <w:sz w:val="18"/>
                <w:szCs w:val="18"/>
                <w:highlight w:val="none"/>
              </w:rPr>
            </w:r>
            <w:r/>
          </w:p>
        </w:tc>
        <w:tc>
          <w:tcPr>
            <w:tcW w:w="1134" w:type="dxa"/>
            <w:vAlign w:val="center"/>
            <w:vMerge w:val="restart"/>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桃园路北侧规划路道路照明工程</w:t>
            </w: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灯杆(含灯架)</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8m单臂</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根</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4</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30</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灯杆(含灯架)</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12m投光灯杆</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根</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31</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LED路灯</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100W(暖白)</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4</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32</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LED投光(泛光)灯具</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200W</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4</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33</w:t>
            </w:r>
            <w:r>
              <w:rPr>
                <w:rFonts w:hint="eastAsia" w:ascii="宋体" w:hAnsi="宋体"/>
                <w:sz w:val="18"/>
                <w:szCs w:val="18"/>
                <w:highlight w:val="none"/>
              </w:rPr>
            </w:r>
            <w:r/>
          </w:p>
        </w:tc>
        <w:tc>
          <w:tcPr>
            <w:tcW w:w="1134" w:type="dxa"/>
            <w:vAlign w:val="center"/>
            <w:vMerge w:val="restart"/>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经十一路(幸福路--幸余路)照明工程</w:t>
            </w: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灯杆(含灯架)</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12米单挑路灯</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30</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34</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LED路灯</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90W（暖白）</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30</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35</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LED投光(泛光)灯具</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200W（3000K）</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36</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LED投光(泛光)灯具</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280W（3000K）</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37</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投光灯</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12米双火</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根</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38</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投光灯</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14米三火</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根</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4</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39</w:t>
            </w:r>
            <w:r>
              <w:rPr>
                <w:rFonts w:hint="eastAsia" w:ascii="宋体" w:hAnsi="宋体"/>
                <w:sz w:val="18"/>
                <w:szCs w:val="18"/>
                <w:highlight w:val="none"/>
              </w:rPr>
            </w:r>
            <w:r/>
          </w:p>
        </w:tc>
        <w:tc>
          <w:tcPr>
            <w:tcW w:w="1134" w:type="dxa"/>
            <w:vAlign w:val="center"/>
            <w:vMerge w:val="restart"/>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t xml:space="preserve">纬十一路(经十一路-通京大道)道路照明工程)</w:t>
            </w: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灯杆(含灯架)</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12米单挑路灯</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根</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13</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40</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LED路灯</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路灯12W LED</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13</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41</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LED投光(泛光)灯具</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200W（3000K）</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42</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投光灯</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12米双火</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43</w:t>
            </w:r>
            <w:r>
              <w:rPr>
                <w:rFonts w:hint="eastAsia" w:ascii="宋体" w:hAnsi="宋体"/>
                <w:sz w:val="18"/>
                <w:szCs w:val="18"/>
                <w:highlight w:val="none"/>
              </w:rPr>
            </w:r>
            <w:r/>
          </w:p>
        </w:tc>
        <w:tc>
          <w:tcPr>
            <w:tcW w:w="1134" w:type="dxa"/>
            <w:vAlign w:val="center"/>
            <w:vMerge w:val="restart"/>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经十一路东侧规划路(幸福路-纬十一路)道路照明工程</w:t>
            </w: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灯杆(含灯架)</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12米单挑</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根</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7</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44</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LED路灯</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12W LED</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7</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45</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LED投光(泛光)灯具</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200W（3000K）</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4</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46</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投光灯</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12米双火</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47</w:t>
            </w:r>
            <w:r>
              <w:rPr>
                <w:rFonts w:hint="eastAsia" w:ascii="宋体" w:hAnsi="宋体"/>
                <w:sz w:val="18"/>
                <w:szCs w:val="18"/>
                <w:highlight w:val="none"/>
              </w:rPr>
            </w:r>
            <w:r/>
          </w:p>
        </w:tc>
        <w:tc>
          <w:tcPr>
            <w:tcW w:w="1134" w:type="dxa"/>
            <w:vAlign w:val="center"/>
            <w:vMerge w:val="restart"/>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任港湾和五龙汇纬七路道路照明工程</w:t>
            </w: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普通杆</w:t>
            </w:r>
            <w:r>
              <w:rPr>
                <w:rFonts w:hint="eastAsia" w:ascii="宋体" w:hAnsi="宋体"/>
                <w:sz w:val="18"/>
                <w:szCs w:val="18"/>
                <w:highlight w:val="none"/>
              </w:rPr>
            </w:r>
            <w:r/>
          </w:p>
        </w:tc>
        <w:tc>
          <w:tcPr>
            <w:tcW w:w="3402"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10m单挑带卡槽/LED90W/纬七路</w:t>
            </w:r>
            <w:r>
              <w:rPr>
                <w:rFonts w:hint="eastAsia" w:ascii="宋体" w:hAnsi="宋体"/>
                <w:sz w:val="18"/>
                <w:szCs w:val="18"/>
                <w:highlight w:val="none"/>
              </w:rPr>
            </w:r>
            <w:r/>
          </w:p>
        </w:tc>
        <w:tc>
          <w:tcPr>
            <w:tcW w:w="709"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套</w:t>
            </w:r>
            <w:r>
              <w:rPr>
                <w:rFonts w:hint="eastAsia" w:ascii="宋体" w:hAnsi="宋体"/>
                <w:sz w:val="18"/>
                <w:szCs w:val="18"/>
                <w:highlight w:val="none"/>
              </w:rPr>
            </w:r>
            <w:r/>
          </w:p>
        </w:tc>
        <w:tc>
          <w:tcPr>
            <w:tcW w:w="576"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15</w:t>
            </w:r>
            <w:r>
              <w:rPr>
                <w:rFonts w:hint="eastAsia" w:ascii="宋体" w:hAnsi="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48</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投光灯</w:t>
            </w:r>
            <w:r>
              <w:rPr>
                <w:rFonts w:hint="eastAsia" w:ascii="宋体" w:hAnsi="宋体"/>
                <w:sz w:val="18"/>
                <w:szCs w:val="18"/>
                <w:highlight w:val="none"/>
              </w:rPr>
            </w:r>
            <w:r/>
          </w:p>
        </w:tc>
        <w:tc>
          <w:tcPr>
            <w:tcW w:w="3402"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12m双火投光灯-LED200W</w:t>
            </w:r>
            <w:r>
              <w:rPr>
                <w:rFonts w:hint="eastAsia" w:ascii="宋体" w:hAnsi="宋体"/>
                <w:sz w:val="18"/>
                <w:szCs w:val="18"/>
                <w:highlight w:val="none"/>
              </w:rPr>
            </w:r>
            <w:r/>
          </w:p>
        </w:tc>
        <w:tc>
          <w:tcPr>
            <w:tcW w:w="709"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套</w:t>
            </w:r>
            <w:r>
              <w:rPr>
                <w:rFonts w:hint="eastAsia" w:ascii="宋体" w:hAnsi="宋体"/>
                <w:sz w:val="18"/>
                <w:szCs w:val="18"/>
                <w:highlight w:val="none"/>
              </w:rPr>
            </w:r>
            <w:r/>
          </w:p>
        </w:tc>
        <w:tc>
          <w:tcPr>
            <w:tcW w:w="576"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2</w:t>
            </w:r>
            <w:r>
              <w:rPr>
                <w:rFonts w:hint="eastAsia" w:ascii="宋体" w:hAnsi="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49</w:t>
            </w:r>
            <w:r>
              <w:rPr>
                <w:rFonts w:hint="eastAsia" w:ascii="宋体" w:hAnsi="宋体"/>
                <w:sz w:val="18"/>
                <w:szCs w:val="18"/>
                <w:highlight w:val="none"/>
              </w:rPr>
            </w:r>
            <w:r/>
          </w:p>
        </w:tc>
        <w:tc>
          <w:tcPr>
            <w:tcW w:w="1134" w:type="dxa"/>
            <w:vAlign w:val="center"/>
            <w:vMerge w:val="restart"/>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安达路下穿铁路通道照明工程</w:t>
            </w: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投光灯</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14米投光灯/3*240W/火车站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6</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50</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普通杆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10m双挑带卡槽/120W+60W/火车站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19</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51</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10m双挑带卡槽/电警L8/120W+60W/火车站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52</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10m双挑带卡槽/标志牌3L5.2/120W+60W/火车站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53</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普通杆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9m单挑带卡槽/60W/火车站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16</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54</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隧道灯</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60W </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48</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55</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隧道灯</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30W</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48</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56</w:t>
            </w:r>
            <w:r>
              <w:rPr>
                <w:rFonts w:hint="eastAsia" w:ascii="宋体" w:hAnsi="宋体"/>
                <w:sz w:val="18"/>
                <w:szCs w:val="18"/>
                <w:highlight w:val="none"/>
              </w:rPr>
            </w:r>
            <w:r/>
          </w:p>
        </w:tc>
        <w:tc>
          <w:tcPr>
            <w:tcW w:w="1134" w:type="dxa"/>
            <w:vAlign w:val="center"/>
            <w:vMerge w:val="restart"/>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友谊路下穿铁路通道照明工程</w:t>
            </w: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普通杆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10m双挑带卡槽/120W+60W/火车站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27</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57</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10m双挑带卡槽/电警L10/120W+60W/火车站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58</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10m双挑带卡槽/标志牌3L5.2/120W+60W/火车站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4</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59</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普通杆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10m单挑带卡槽/160W/火车站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5</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60</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10m单挑带卡槽/标志牌2L4.5/160W/火车站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61</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普通杆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9m单挑带卡槽/60W/火车站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9</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62</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投光灯</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14米投光灯/3*240W/火车站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4</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63</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隧道灯</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60W </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44</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64</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olor w:val="000000"/>
                <w:sz w:val="18"/>
                <w:szCs w:val="18"/>
                <w:highlight w:val="none"/>
              </w:rPr>
            </w:pPr>
            <w:r>
              <w:rPr>
                <w:rFonts w:hint="eastAsia" w:ascii="宋体" w:hAnsi="宋体"/>
                <w:sz w:val="18"/>
                <w:szCs w:val="18"/>
                <w:highlight w:val="none"/>
              </w:rPr>
              <w:t xml:space="preserve">隧道灯</w:t>
            </w:r>
            <w:r>
              <w:rPr>
                <w:rFonts w:hint="eastAsia" w:ascii="宋体" w:hAnsi="宋体"/>
                <w:color w:val="000000"/>
                <w:sz w:val="18"/>
                <w:szCs w:val="18"/>
                <w:highlight w:val="none"/>
              </w:rPr>
            </w:r>
            <w:r/>
          </w:p>
        </w:tc>
        <w:tc>
          <w:tcPr>
            <w:tcW w:w="3402" w:type="dxa"/>
            <w:vAlign w:val="center"/>
            <w:textDirection w:val="lrTb"/>
            <w:noWrap w:val="false"/>
          </w:tcPr>
          <w:p>
            <w:pPr>
              <w:pStyle w:val="967"/>
              <w:jc w:val="center"/>
              <w:rPr>
                <w:rFonts w:hint="eastAsia" w:ascii="宋体" w:hAnsi="宋体"/>
                <w:color w:val="000000"/>
                <w:sz w:val="18"/>
                <w:szCs w:val="18"/>
                <w:highlight w:val="none"/>
              </w:rPr>
            </w:pPr>
            <w:r>
              <w:rPr>
                <w:rFonts w:hint="eastAsia" w:ascii="宋体" w:hAnsi="宋体"/>
                <w:sz w:val="18"/>
                <w:szCs w:val="18"/>
                <w:highlight w:val="none"/>
              </w:rPr>
              <w:t xml:space="preserve">30W</w:t>
            </w:r>
            <w:r>
              <w:rPr>
                <w:rFonts w:hint="eastAsia" w:ascii="宋体" w:hAnsi="宋体"/>
                <w:color w:val="000000"/>
                <w:sz w:val="18"/>
                <w:szCs w:val="18"/>
                <w:highlight w:val="none"/>
              </w:rPr>
            </w:r>
            <w:r/>
          </w:p>
        </w:tc>
        <w:tc>
          <w:tcPr>
            <w:tcW w:w="709" w:type="dxa"/>
            <w:vAlign w:val="center"/>
            <w:textDirection w:val="lrTb"/>
            <w:noWrap w:val="false"/>
          </w:tcPr>
          <w:p>
            <w:pPr>
              <w:pStyle w:val="967"/>
              <w:jc w:val="center"/>
              <w:rPr>
                <w:rFonts w:hint="eastAsia" w:ascii="宋体" w:hAnsi="宋体"/>
                <w:color w:val="000000"/>
                <w:sz w:val="18"/>
                <w:szCs w:val="18"/>
                <w:highlight w:val="none"/>
              </w:rPr>
            </w:pPr>
            <w:r>
              <w:rPr>
                <w:rFonts w:hint="eastAsia" w:ascii="宋体" w:hAnsi="宋体"/>
                <w:sz w:val="18"/>
                <w:szCs w:val="18"/>
                <w:highlight w:val="none"/>
              </w:rPr>
              <w:t xml:space="preserve">套</w:t>
            </w:r>
            <w:r>
              <w:rPr>
                <w:rFonts w:hint="eastAsia" w:ascii="宋体" w:hAnsi="宋体"/>
                <w:color w:val="000000"/>
                <w:sz w:val="18"/>
                <w:szCs w:val="18"/>
                <w:highlight w:val="none"/>
              </w:rPr>
            </w:r>
            <w:r/>
          </w:p>
        </w:tc>
        <w:tc>
          <w:tcPr>
            <w:tcW w:w="576" w:type="dxa"/>
            <w:vAlign w:val="center"/>
            <w:textDirection w:val="lrTb"/>
            <w:noWrap w:val="false"/>
          </w:tcPr>
          <w:p>
            <w:pPr>
              <w:pStyle w:val="967"/>
              <w:jc w:val="center"/>
              <w:rPr>
                <w:rFonts w:hint="eastAsia" w:ascii="宋体" w:hAnsi="宋体"/>
                <w:color w:val="000000"/>
                <w:sz w:val="18"/>
                <w:szCs w:val="18"/>
                <w:highlight w:val="none"/>
              </w:rPr>
            </w:pPr>
            <w:r>
              <w:rPr>
                <w:rFonts w:hint="eastAsia" w:ascii="宋体" w:hAnsi="宋体"/>
                <w:sz w:val="18"/>
                <w:szCs w:val="18"/>
                <w:highlight w:val="none"/>
              </w:rPr>
              <w:t xml:space="preserve">44</w:t>
            </w:r>
            <w:r>
              <w:rPr>
                <w:rFonts w:hint="eastAsia" w:ascii="宋体" w:hAnsi="宋体"/>
                <w:color w:val="000000"/>
                <w:sz w:val="18"/>
                <w:szCs w:val="18"/>
                <w:highlight w:val="none"/>
              </w:rPr>
            </w:r>
            <w:r/>
          </w:p>
        </w:tc>
        <w:tc>
          <w:tcPr>
            <w:tcW w:w="851" w:type="dxa"/>
            <w:vAlign w:val="center"/>
            <w:textDirection w:val="lrTb"/>
            <w:noWrap w:val="false"/>
          </w:tcPr>
          <w:p>
            <w:pPr>
              <w:pStyle w:val="967"/>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65</w:t>
            </w:r>
            <w:r>
              <w:rPr>
                <w:rFonts w:hint="eastAsia" w:ascii="宋体" w:hAnsi="宋体"/>
                <w:sz w:val="18"/>
                <w:szCs w:val="18"/>
                <w:highlight w:val="none"/>
              </w:rPr>
            </w:r>
            <w:r/>
          </w:p>
        </w:tc>
        <w:tc>
          <w:tcPr>
            <w:tcW w:w="1134" w:type="dxa"/>
            <w:vAlign w:val="center"/>
            <w:vMerge w:val="restart"/>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石桥路下穿铁路通道工程</w:t>
            </w: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olor w:val="000000"/>
                <w:sz w:val="18"/>
                <w:szCs w:val="18"/>
                <w:highlight w:val="none"/>
              </w:rPr>
            </w:pPr>
            <w:r>
              <w:rPr>
                <w:rFonts w:hint="eastAsia" w:ascii="宋体" w:hAnsi="宋体"/>
                <w:sz w:val="18"/>
                <w:szCs w:val="18"/>
                <w:highlight w:val="none"/>
              </w:rPr>
              <w:t xml:space="preserve">普通杆</w:t>
            </w:r>
            <w:r>
              <w:rPr>
                <w:rFonts w:hint="eastAsia" w:ascii="宋体" w:hAnsi="宋体"/>
                <w:color w:val="000000"/>
                <w:sz w:val="18"/>
                <w:szCs w:val="18"/>
                <w:highlight w:val="none"/>
              </w:rPr>
            </w:r>
            <w:r/>
          </w:p>
        </w:tc>
        <w:tc>
          <w:tcPr>
            <w:tcW w:w="3402" w:type="dxa"/>
            <w:vAlign w:val="center"/>
            <w:textDirection w:val="lrTb"/>
            <w:noWrap w:val="false"/>
          </w:tcPr>
          <w:p>
            <w:pPr>
              <w:pStyle w:val="967"/>
              <w:jc w:val="center"/>
              <w:rPr>
                <w:rFonts w:hint="eastAsia" w:ascii="宋体" w:hAnsi="宋体"/>
                <w:color w:val="000000"/>
                <w:sz w:val="18"/>
                <w:szCs w:val="18"/>
                <w:highlight w:val="none"/>
              </w:rPr>
            </w:pPr>
            <w:r>
              <w:rPr>
                <w:rFonts w:hint="eastAsia" w:ascii="宋体" w:hAnsi="宋体"/>
                <w:sz w:val="18"/>
                <w:szCs w:val="18"/>
                <w:highlight w:val="none"/>
              </w:rPr>
              <w:t xml:space="preserve">10m双挑带卡槽/120W+60W/火车站</w:t>
            </w:r>
            <w:r>
              <w:rPr>
                <w:rFonts w:hint="eastAsia" w:ascii="宋体" w:hAnsi="宋体"/>
                <w:color w:val="000000"/>
                <w:sz w:val="18"/>
                <w:szCs w:val="18"/>
                <w:highlight w:val="none"/>
              </w:rPr>
            </w:r>
            <w:r/>
          </w:p>
        </w:tc>
        <w:tc>
          <w:tcPr>
            <w:tcW w:w="709" w:type="dxa"/>
            <w:vAlign w:val="center"/>
            <w:textDirection w:val="lrTb"/>
            <w:noWrap w:val="false"/>
          </w:tcPr>
          <w:p>
            <w:pPr>
              <w:pStyle w:val="967"/>
              <w:jc w:val="center"/>
              <w:rPr>
                <w:rFonts w:hint="eastAsia" w:ascii="宋体" w:hAnsi="宋体"/>
                <w:color w:val="000000"/>
                <w:sz w:val="18"/>
                <w:szCs w:val="18"/>
                <w:highlight w:val="none"/>
              </w:rPr>
            </w:pPr>
            <w:r>
              <w:rPr>
                <w:rFonts w:hint="eastAsia" w:ascii="宋体" w:hAnsi="宋体"/>
                <w:sz w:val="18"/>
                <w:szCs w:val="18"/>
                <w:highlight w:val="none"/>
              </w:rPr>
              <w:t xml:space="preserve">套</w:t>
            </w:r>
            <w:r>
              <w:rPr>
                <w:rFonts w:hint="eastAsia" w:ascii="宋体" w:hAnsi="宋体"/>
                <w:color w:val="000000"/>
                <w:sz w:val="18"/>
                <w:szCs w:val="18"/>
                <w:highlight w:val="none"/>
              </w:rPr>
            </w:r>
            <w:r/>
          </w:p>
        </w:tc>
        <w:tc>
          <w:tcPr>
            <w:tcW w:w="576" w:type="dxa"/>
            <w:vAlign w:val="center"/>
            <w:textDirection w:val="lrTb"/>
            <w:noWrap w:val="false"/>
          </w:tcPr>
          <w:p>
            <w:pPr>
              <w:pStyle w:val="967"/>
              <w:jc w:val="center"/>
              <w:rPr>
                <w:rFonts w:hint="eastAsia" w:ascii="宋体" w:hAnsi="宋体"/>
                <w:color w:val="000000"/>
                <w:sz w:val="18"/>
                <w:szCs w:val="18"/>
                <w:highlight w:val="none"/>
              </w:rPr>
            </w:pPr>
            <w:r>
              <w:rPr>
                <w:rFonts w:hint="eastAsia" w:ascii="宋体" w:hAnsi="宋体"/>
                <w:sz w:val="18"/>
                <w:szCs w:val="18"/>
                <w:highlight w:val="none"/>
              </w:rPr>
              <w:t xml:space="preserve">39</w:t>
            </w:r>
            <w:r>
              <w:rPr>
                <w:rFonts w:hint="eastAsia" w:ascii="宋体" w:hAnsi="宋体"/>
                <w:color w:val="000000"/>
                <w:sz w:val="18"/>
                <w:szCs w:val="18"/>
                <w:highlight w:val="none"/>
              </w:rPr>
            </w:r>
            <w:r/>
          </w:p>
        </w:tc>
        <w:tc>
          <w:tcPr>
            <w:tcW w:w="851" w:type="dxa"/>
            <w:vAlign w:val="center"/>
            <w:textDirection w:val="lrTb"/>
            <w:noWrap w:val="false"/>
          </w:tcPr>
          <w:p>
            <w:pPr>
              <w:pStyle w:val="967"/>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66</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10m双挑带卡槽/电警L8 /120W+60W/火车站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67</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10m双挑带卡槽/标志牌3L5.2/120W+60W/火车站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4</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68</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投光灯</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12米投光灯/2*240W/火车站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3</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69</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投光灯</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14米投光灯/3*240W/火车站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70</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隧道灯</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60W</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18</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71</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olor w:val="000000"/>
                <w:sz w:val="18"/>
                <w:szCs w:val="18"/>
                <w:highlight w:val="none"/>
              </w:rPr>
            </w:pPr>
            <w:r>
              <w:rPr>
                <w:rFonts w:hint="eastAsia" w:ascii="宋体" w:hAnsi="宋体"/>
                <w:sz w:val="18"/>
                <w:szCs w:val="18"/>
                <w:highlight w:val="none"/>
              </w:rPr>
              <w:t xml:space="preserve">隧道灯</w:t>
            </w:r>
            <w:r>
              <w:rPr>
                <w:rFonts w:hint="eastAsia" w:ascii="宋体" w:hAnsi="宋体"/>
                <w:color w:val="000000"/>
                <w:sz w:val="18"/>
                <w:szCs w:val="18"/>
                <w:highlight w:val="none"/>
              </w:rPr>
            </w:r>
            <w:r/>
          </w:p>
        </w:tc>
        <w:tc>
          <w:tcPr>
            <w:tcW w:w="3402" w:type="dxa"/>
            <w:vAlign w:val="center"/>
            <w:textDirection w:val="lrTb"/>
            <w:noWrap w:val="false"/>
          </w:tcPr>
          <w:p>
            <w:pPr>
              <w:pStyle w:val="967"/>
              <w:jc w:val="center"/>
              <w:rPr>
                <w:rFonts w:hint="eastAsia" w:ascii="宋体" w:hAnsi="宋体"/>
                <w:color w:val="000000"/>
                <w:sz w:val="18"/>
                <w:szCs w:val="18"/>
                <w:highlight w:val="none"/>
              </w:rPr>
            </w:pPr>
            <w:r>
              <w:rPr>
                <w:rFonts w:hint="eastAsia" w:ascii="宋体" w:hAnsi="宋体"/>
                <w:sz w:val="18"/>
                <w:szCs w:val="18"/>
                <w:highlight w:val="none"/>
              </w:rPr>
              <w:t xml:space="preserve">30W</w:t>
            </w:r>
            <w:r>
              <w:rPr>
                <w:rFonts w:hint="eastAsia" w:ascii="宋体" w:hAnsi="宋体"/>
                <w:color w:val="000000"/>
                <w:sz w:val="18"/>
                <w:szCs w:val="18"/>
                <w:highlight w:val="none"/>
              </w:rPr>
            </w:r>
            <w:r/>
          </w:p>
        </w:tc>
        <w:tc>
          <w:tcPr>
            <w:tcW w:w="709" w:type="dxa"/>
            <w:vAlign w:val="center"/>
            <w:textDirection w:val="lrTb"/>
            <w:noWrap w:val="false"/>
          </w:tcPr>
          <w:p>
            <w:pPr>
              <w:pStyle w:val="967"/>
              <w:jc w:val="center"/>
              <w:rPr>
                <w:rFonts w:hint="eastAsia" w:ascii="宋体" w:hAnsi="宋体"/>
                <w:color w:val="000000"/>
                <w:sz w:val="18"/>
                <w:szCs w:val="18"/>
                <w:highlight w:val="none"/>
              </w:rPr>
            </w:pPr>
            <w:r>
              <w:rPr>
                <w:rFonts w:hint="eastAsia" w:ascii="宋体" w:hAnsi="宋体"/>
                <w:sz w:val="18"/>
                <w:szCs w:val="18"/>
                <w:highlight w:val="none"/>
              </w:rPr>
              <w:t xml:space="preserve">套</w:t>
            </w:r>
            <w:r>
              <w:rPr>
                <w:rFonts w:hint="eastAsia" w:ascii="宋体" w:hAnsi="宋体"/>
                <w:color w:val="000000"/>
                <w:sz w:val="18"/>
                <w:szCs w:val="18"/>
                <w:highlight w:val="none"/>
              </w:rPr>
            </w:r>
            <w:r/>
          </w:p>
        </w:tc>
        <w:tc>
          <w:tcPr>
            <w:tcW w:w="576" w:type="dxa"/>
            <w:vAlign w:val="center"/>
            <w:textDirection w:val="lrTb"/>
            <w:noWrap w:val="false"/>
          </w:tcPr>
          <w:p>
            <w:pPr>
              <w:pStyle w:val="967"/>
              <w:jc w:val="center"/>
              <w:rPr>
                <w:rFonts w:hint="eastAsia" w:ascii="宋体" w:hAnsi="宋体"/>
                <w:color w:val="000000"/>
                <w:sz w:val="18"/>
                <w:szCs w:val="18"/>
                <w:highlight w:val="none"/>
              </w:rPr>
            </w:pPr>
            <w:r>
              <w:rPr>
                <w:rFonts w:hint="eastAsia" w:ascii="宋体" w:hAnsi="宋体"/>
                <w:sz w:val="18"/>
                <w:szCs w:val="18"/>
                <w:highlight w:val="none"/>
              </w:rPr>
              <w:t xml:space="preserve">18</w:t>
            </w:r>
            <w:r>
              <w:rPr>
                <w:rFonts w:hint="eastAsia" w:ascii="宋体" w:hAnsi="宋体"/>
                <w:color w:val="000000"/>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72</w:t>
            </w:r>
            <w:r>
              <w:rPr>
                <w:rFonts w:hint="eastAsia" w:ascii="宋体" w:hAnsi="宋体"/>
                <w:sz w:val="18"/>
                <w:szCs w:val="18"/>
                <w:highlight w:val="none"/>
              </w:rPr>
            </w:r>
            <w:r/>
          </w:p>
        </w:tc>
        <w:tc>
          <w:tcPr>
            <w:tcW w:w="1134" w:type="dxa"/>
            <w:vAlign w:val="center"/>
            <w:vMerge w:val="restart"/>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t xml:space="preserve">火车站综合客运枢纽一期照明工程{站西路}</w:t>
            </w: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olor w:val="000000"/>
                <w:sz w:val="18"/>
                <w:szCs w:val="18"/>
                <w:highlight w:val="none"/>
              </w:rPr>
            </w:pPr>
            <w:r>
              <w:rPr>
                <w:rFonts w:hint="eastAsia" w:ascii="宋体" w:hAnsi="宋体"/>
                <w:sz w:val="18"/>
                <w:szCs w:val="18"/>
                <w:highlight w:val="none"/>
              </w:rPr>
              <w:t xml:space="preserve">综合杆</w:t>
            </w:r>
            <w:r>
              <w:rPr>
                <w:rFonts w:hint="eastAsia" w:ascii="宋体" w:hAnsi="宋体"/>
                <w:color w:val="000000"/>
                <w:sz w:val="18"/>
                <w:szCs w:val="18"/>
                <w:highlight w:val="none"/>
              </w:rPr>
            </w:r>
            <w:r/>
          </w:p>
        </w:tc>
        <w:tc>
          <w:tcPr>
            <w:tcW w:w="3402" w:type="dxa"/>
            <w:vAlign w:val="center"/>
            <w:textDirection w:val="lrTb"/>
            <w:noWrap w:val="false"/>
          </w:tcPr>
          <w:p>
            <w:pPr>
              <w:pStyle w:val="967"/>
              <w:jc w:val="center"/>
              <w:rPr>
                <w:rFonts w:hint="eastAsia" w:ascii="宋体" w:hAnsi="宋体"/>
                <w:color w:val="000000"/>
                <w:sz w:val="18"/>
                <w:szCs w:val="18"/>
                <w:highlight w:val="none"/>
              </w:rPr>
            </w:pPr>
            <w:r>
              <w:rPr>
                <w:rFonts w:hint="eastAsia" w:ascii="宋体" w:hAnsi="宋体"/>
                <w:sz w:val="18"/>
                <w:szCs w:val="18"/>
                <w:highlight w:val="none"/>
              </w:rPr>
              <w:t xml:space="preserve">B06（12m双挑带卡槽/电警L8/120W+60W/火车站）</w:t>
            </w:r>
            <w:r>
              <w:rPr>
                <w:rFonts w:hint="eastAsia" w:ascii="宋体" w:hAnsi="宋体"/>
                <w:color w:val="000000"/>
                <w:sz w:val="18"/>
                <w:szCs w:val="18"/>
                <w:highlight w:val="none"/>
              </w:rPr>
            </w:r>
            <w:r/>
          </w:p>
        </w:tc>
        <w:tc>
          <w:tcPr>
            <w:tcW w:w="709" w:type="dxa"/>
            <w:vAlign w:val="center"/>
            <w:textDirection w:val="lrTb"/>
            <w:noWrap w:val="false"/>
          </w:tcPr>
          <w:p>
            <w:pPr>
              <w:pStyle w:val="967"/>
              <w:jc w:val="center"/>
              <w:rPr>
                <w:rFonts w:hint="eastAsia" w:ascii="宋体" w:hAnsi="宋体"/>
                <w:color w:val="000000"/>
                <w:sz w:val="18"/>
                <w:szCs w:val="18"/>
                <w:highlight w:val="none"/>
              </w:rPr>
            </w:pPr>
            <w:r>
              <w:rPr>
                <w:rFonts w:hint="eastAsia" w:ascii="宋体" w:hAnsi="宋体"/>
                <w:sz w:val="18"/>
                <w:szCs w:val="18"/>
                <w:highlight w:val="none"/>
              </w:rPr>
              <w:t xml:space="preserve">套</w:t>
            </w:r>
            <w:r>
              <w:rPr>
                <w:rFonts w:hint="eastAsia" w:ascii="宋体" w:hAnsi="宋体"/>
                <w:color w:val="000000"/>
                <w:sz w:val="18"/>
                <w:szCs w:val="18"/>
                <w:highlight w:val="none"/>
              </w:rPr>
            </w:r>
            <w:r/>
          </w:p>
        </w:tc>
        <w:tc>
          <w:tcPr>
            <w:tcW w:w="576" w:type="dxa"/>
            <w:vAlign w:val="center"/>
            <w:textDirection w:val="lrTb"/>
            <w:noWrap w:val="false"/>
          </w:tcPr>
          <w:p>
            <w:pPr>
              <w:pStyle w:val="967"/>
              <w:jc w:val="center"/>
              <w:rPr>
                <w:rFonts w:hint="eastAsia" w:ascii="宋体" w:hAnsi="宋体"/>
                <w:color w:val="000000"/>
                <w:sz w:val="18"/>
                <w:szCs w:val="18"/>
                <w:highlight w:val="none"/>
              </w:rPr>
            </w:pPr>
            <w:r>
              <w:rPr>
                <w:rFonts w:hint="eastAsia" w:ascii="宋体" w:hAnsi="宋体"/>
                <w:sz w:val="18"/>
                <w:szCs w:val="18"/>
                <w:highlight w:val="none"/>
              </w:rPr>
              <w:t xml:space="preserve">1</w:t>
            </w:r>
            <w:r>
              <w:rPr>
                <w:rFonts w:hint="eastAsia" w:ascii="宋体" w:hAnsi="宋体"/>
                <w:color w:val="000000"/>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73</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E01（12m双挑带卡槽/标志牌2L4.5 /120W+60W/火车站）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74</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E02（12m单挑带卡槽/标志牌2L4.5/60W/火车站）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75</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D02（12m双挑带卡槽/标志牌2L4/120W+60W/火车站）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76</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D01（12m单挑带卡槽/标志牌2L4/60W/火车站）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77</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普通杆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F02（12m双挑带卡槽/120W+60W/火车站）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78</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普通杆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F01（12m单挑带卡槽/60W/火车站）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3</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79</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投光灯</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14米投光灯/3*200W/火车站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80</w:t>
            </w:r>
            <w:r>
              <w:rPr>
                <w:rFonts w:hint="eastAsia" w:ascii="宋体" w:hAnsi="宋体"/>
                <w:sz w:val="18"/>
                <w:szCs w:val="18"/>
                <w:highlight w:val="none"/>
              </w:rPr>
            </w:r>
            <w:r/>
          </w:p>
        </w:tc>
        <w:tc>
          <w:tcPr>
            <w:tcW w:w="1134" w:type="dxa"/>
            <w:vAlign w:val="center"/>
            <w:vMerge w:val="restart"/>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火车站综合客运枢纽一期照明工程{站东路} </w:t>
            </w: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B05（12m单挑带卡槽/电警L8/60W/火车站）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81</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E01（12m双挑带卡槽/标志牌2L4.5/120W+60W/火车站）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82</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E02（12m单挑带卡槽/标志牌2L4.5/60W/火车站）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83</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D02（12m双挑带卡槽/标志牌2L4 /120W+60W/火车站）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84</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D01（12m单挑带卡槽/标志牌2L4 /60W/火车站）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85</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普通杆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F02（12m双挑带卡槽/120W+60W/火车站）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3</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86</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普通杆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F01（12m单挑带卡槽/60W/火车站）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87</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投光灯</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14米投光灯/3*200W/火车站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88</w:t>
            </w:r>
            <w:r>
              <w:rPr>
                <w:rFonts w:hint="eastAsia" w:ascii="宋体" w:hAnsi="宋体"/>
                <w:sz w:val="18"/>
                <w:szCs w:val="18"/>
                <w:highlight w:val="none"/>
              </w:rPr>
            </w:r>
            <w:r/>
          </w:p>
        </w:tc>
        <w:tc>
          <w:tcPr>
            <w:tcW w:w="1134" w:type="dxa"/>
            <w:vAlign w:val="center"/>
            <w:vMerge w:val="restart"/>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t xml:space="preserve">火车站综合客运枢纽一期照明工程{顺达路（幸福大道~经九路）}</w:t>
            </w: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A02（12m双挑带卡槽/信号灯L8/120W+60W/火车站）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3</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89</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A02（12m双挑带卡槽/信号灯L8/160W+60W/火车站）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4</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90</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B07（12m双挑带卡槽/电警L10+4/160W+60W/火车站）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91</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B08（12m双挑带卡槽/电警L12+4/120W+60W/火车站）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92</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B08（12m双挑带卡槽/电警L12+4/160W+60W/火车站）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93</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B09（12m双挑带卡槽/电警L4+4/160W+60W/火车站）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94</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C02（12m双挑带卡槽/标志牌3L5.2/120W+60W/火车站）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95</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C02（12m双挑带卡槽/标志牌3L5.2/160W+60W/火车站）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96</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D02（12m双挑带卡槽/标志牌2L4/120W+60W/火车站）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97</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D02（12m双挑带卡槽/标志牌2L4/160W+60W/火车站）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color w:val="000000"/>
                <w:sz w:val="18"/>
                <w:szCs w:val="18"/>
                <w:highlight w:val="none"/>
              </w:rPr>
            </w:pPr>
            <w:r>
              <w:rPr>
                <w:rFonts w:hint="eastAsia" w:ascii="宋体" w:hAnsi="宋体"/>
                <w:sz w:val="18"/>
                <w:szCs w:val="18"/>
                <w:highlight w:val="none"/>
              </w:rPr>
              <w:t xml:space="preserve">1</w:t>
            </w:r>
            <w:r>
              <w:rPr>
                <w:rFonts w:hint="eastAsia" w:ascii="宋体" w:hAnsi="宋体" w:cs="宋体"/>
                <w:color w:val="000000"/>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98</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普通杆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F02（12m双挑带卡槽/120W+60W/火车站）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color w:val="000000"/>
                <w:sz w:val="18"/>
                <w:szCs w:val="18"/>
                <w:highlight w:val="none"/>
              </w:rPr>
            </w:pPr>
            <w:r>
              <w:rPr>
                <w:rFonts w:hint="eastAsia" w:ascii="宋体" w:hAnsi="宋体"/>
                <w:sz w:val="18"/>
                <w:szCs w:val="18"/>
                <w:highlight w:val="none"/>
              </w:rPr>
              <w:t xml:space="preserve">16</w:t>
            </w:r>
            <w:r>
              <w:rPr>
                <w:rFonts w:hint="eastAsia" w:ascii="宋体" w:hAnsi="宋体" w:cs="宋体"/>
                <w:color w:val="000000"/>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99</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普通杆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F02（12m双挑带卡槽/160W+60W/火车站）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color w:val="000000"/>
                <w:sz w:val="18"/>
                <w:szCs w:val="18"/>
                <w:highlight w:val="none"/>
              </w:rPr>
            </w:pPr>
            <w:r>
              <w:rPr>
                <w:rFonts w:hint="eastAsia" w:ascii="宋体" w:hAnsi="宋体"/>
                <w:sz w:val="18"/>
                <w:szCs w:val="18"/>
                <w:highlight w:val="none"/>
              </w:rPr>
              <w:t xml:space="preserve">2</w:t>
            </w:r>
            <w:r>
              <w:rPr>
                <w:rFonts w:hint="eastAsia" w:ascii="宋体" w:hAnsi="宋体" w:cs="宋体"/>
                <w:color w:val="000000"/>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100</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投光灯</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14米投光灯/3*200W/火车站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color w:val="000000"/>
                <w:sz w:val="18"/>
                <w:szCs w:val="18"/>
                <w:highlight w:val="none"/>
              </w:rPr>
            </w:pPr>
            <w:r>
              <w:rPr>
                <w:rFonts w:hint="eastAsia" w:ascii="宋体" w:hAnsi="宋体"/>
                <w:sz w:val="18"/>
                <w:szCs w:val="18"/>
                <w:highlight w:val="none"/>
              </w:rPr>
              <w:t xml:space="preserve">8</w:t>
            </w:r>
            <w:r>
              <w:rPr>
                <w:rFonts w:hint="eastAsia" w:ascii="宋体" w:hAnsi="宋体" w:cs="宋体"/>
                <w:color w:val="000000"/>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101</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A01（12m单挑带卡槽/信号灯L8 /160W/火车站）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102</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A01（12m单挑带卡槽/信号灯L8/200W/火车站）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103</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A02（12m双挑带卡槽/信号灯L8/120W+60W/火车站）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3</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104</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A02（12m双挑带卡槽/信号灯L8/200W+60W/火车站）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105</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B01（12m单挑带卡槽/电警L12/160W/火车站）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106</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B04（12m单挑带卡槽/电警L16/200W/火车站）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107</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B09（12m双挑带卡槽/电警L4+4/120W+60W/火车站）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3</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108</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B09（12m双挑带卡槽/电警L4+4/200W+60W/火车站）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109</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C01（12m单挑带卡槽/标志牌3L5.2/160W/火车站）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110</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C01（12m单挑带卡槽/标志牌3L5.2/200W/火车站）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111</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普通杆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F01（12m单挑带卡槽/160W/火车站）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7</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112</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普通杆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F01（12m单挑带卡槽/200W/火车站）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113</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普通杆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F02（12m双挑带卡槽/90W+60W/火车站）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114</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普通杆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F02（12m双挑带卡槽/120W+60W/火车站）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9</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115</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普通杆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F02（12m双挑带卡槽/200W+60W/火车站）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116</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投光灯</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14米投光灯/3*200W/火车站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5</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117</w:t>
            </w:r>
            <w:r>
              <w:rPr>
                <w:rFonts w:hint="eastAsia" w:ascii="宋体" w:hAnsi="宋体"/>
                <w:sz w:val="18"/>
                <w:szCs w:val="18"/>
                <w:highlight w:val="none"/>
              </w:rPr>
            </w:r>
            <w:r/>
          </w:p>
        </w:tc>
        <w:tc>
          <w:tcPr>
            <w:tcW w:w="1134" w:type="dxa"/>
            <w:vAlign w:val="center"/>
            <w:vMerge w:val="restart"/>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t xml:space="preserve">火车站综合客运枢纽一期照明工程{站北路}</w:t>
            </w: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普通杆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F01（12m单挑带卡槽/60W/火车站）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5</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118</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投光灯</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14米投光灯/3*200W/火车站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6</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119</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B10（14m中杆带卡槽/电警L6 /投光灯3*200W/火车站）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120</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灯杆(含灯架)</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9m单臂/120W/火车站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24</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121</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护栏灯</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6W</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150</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122</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吸顶灯</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60W</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43</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123</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A01（12m单挑带卡槽/信号灯L8 /60W/火车站）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124</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B02（12m双挑带卡槽/电警L12 /90W+60W/火车站）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125</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B03（10m单挑带卡槽/电警L10/60W/火车站）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126</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C01（12m单挑带卡槽/标志牌3L5.2 /120W/火车站）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127</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C03（10m单挑带卡槽/标志牌3L5.2/60W/火车站）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128</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D03（10m单挑带卡槽/标志牌2L4 /60W/火车站）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129</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E03（10m单挑带卡槽/标志牌2L4.5 /90W/火车站）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130</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E04（12m单臂带卡槽/标志牌2L2.745+3 /60W/火车站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131</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E05（12m双臂带卡槽/标志牌2L2.745+3 /90W+60W/火车站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132</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A03（14m中杆带卡槽/信号灯L3 /投光灯3*200W/火车站）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133</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综合杆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B10（14m中杆带卡槽/电警L6/投光灯3*200W/火车站）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134</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普通杆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F01（12m单挑带卡槽/60W/火车站）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15</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135</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普通杆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F01（12m单挑带卡槽/120W/火车站）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4</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136</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普通杆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F02（12m双挑带卡槽/90W+60W/火车站）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137</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普通杆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F03（10m单挑带卡槽/60W/火车站）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17</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138</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普通杆</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F03（10m单挑带卡槽/90W/火车站）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3</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139</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灯杆(含灯架)</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12m单臂</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杆</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6</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140</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LED路灯</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160W(暖白)</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6</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141</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投光灯</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14米投光灯/3*200W/火车站</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7</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142</w:t>
            </w:r>
            <w:r>
              <w:rPr>
                <w:rFonts w:hint="eastAsia" w:ascii="宋体" w:hAnsi="宋体"/>
                <w:sz w:val="18"/>
                <w:szCs w:val="18"/>
                <w:highlight w:val="none"/>
              </w:rPr>
            </w:r>
            <w:r/>
          </w:p>
        </w:tc>
        <w:tc>
          <w:tcPr>
            <w:tcW w:w="113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199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护栏灯</w:t>
            </w:r>
            <w:r>
              <w:rPr>
                <w:rFonts w:hint="eastAsia" w:ascii="宋体" w:hAnsi="宋体" w:cs="宋体"/>
                <w:sz w:val="18"/>
                <w:szCs w:val="18"/>
                <w:highlight w:val="none"/>
              </w:rPr>
            </w:r>
            <w:r/>
          </w:p>
        </w:tc>
        <w:tc>
          <w:tcPr>
            <w:tcW w:w="3402"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6W</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套</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sz w:val="18"/>
                <w:szCs w:val="18"/>
                <w:highlight w:val="none"/>
              </w:rPr>
              <w:t xml:space="preserve">530</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2421" w:hRule="exact"/>
        </w:trPr>
        <w:tc>
          <w:tcPr>
            <w:tcW w:w="710"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t xml:space="preserve">备注</w:t>
            </w:r>
            <w:r>
              <w:rPr>
                <w:rFonts w:hint="eastAsia" w:ascii="宋体" w:hAnsi="宋体" w:cs="宋体"/>
                <w:sz w:val="18"/>
                <w:szCs w:val="18"/>
                <w:highlight w:val="none"/>
              </w:rPr>
            </w:r>
            <w:r/>
          </w:p>
        </w:tc>
        <w:tc>
          <w:tcPr>
            <w:gridSpan w:val="6"/>
            <w:tcW w:w="8671" w:type="dxa"/>
            <w:vAlign w:val="center"/>
            <w:textDirection w:val="lrTb"/>
            <w:noWrap w:val="false"/>
          </w:tcPr>
          <w:p>
            <w:pPr>
              <w:pStyle w:val="967"/>
              <w:numPr>
                <w:ilvl w:val="0"/>
                <w:numId w:val="8"/>
              </w:numPr>
              <w:tabs>
                <w:tab w:val="left" w:pos="312" w:leader="none"/>
              </w:tabs>
              <w:rPr>
                <w:rFonts w:hint="eastAsia" w:ascii="宋体" w:hAnsi="宋体" w:cs="宋体"/>
                <w:sz w:val="18"/>
                <w:szCs w:val="18"/>
                <w:highlight w:val="none"/>
              </w:rPr>
            </w:pPr>
            <w:r>
              <w:rPr>
                <w:rFonts w:hint="eastAsia" w:ascii="宋体" w:hAnsi="宋体" w:cs="宋体"/>
                <w:sz w:val="18"/>
                <w:szCs w:val="18"/>
                <w:highlight w:val="none"/>
              </w:rPr>
              <w:t xml:space="preserve">报价表中应含清单明细（灯具壳体、LED可调光电源、模组、瓷插板等）报价单。</w:t>
            </w:r>
            <w:r>
              <w:rPr>
                <w:rFonts w:hint="eastAsia" w:ascii="宋体" w:hAnsi="宋体" w:cs="宋体"/>
                <w:sz w:val="18"/>
                <w:szCs w:val="18"/>
                <w:highlight w:val="none"/>
              </w:rPr>
            </w:r>
            <w:r/>
          </w:p>
          <w:p>
            <w:pPr>
              <w:pStyle w:val="967"/>
              <w:numPr>
                <w:ilvl w:val="0"/>
                <w:numId w:val="8"/>
              </w:numPr>
              <w:tabs>
                <w:tab w:val="left" w:pos="312" w:leader="none"/>
              </w:tabs>
              <w:rPr>
                <w:rFonts w:ascii="宋体" w:hAnsi="宋体" w:cs="宋体"/>
                <w:sz w:val="18"/>
                <w:szCs w:val="18"/>
                <w:highlight w:val="none"/>
              </w:rPr>
            </w:pPr>
            <w:r>
              <w:rPr>
                <w:rFonts w:hint="eastAsia" w:ascii="宋体" w:hAnsi="宋体" w:cs="宋体"/>
                <w:sz w:val="18"/>
                <w:szCs w:val="18"/>
                <w:highlight w:val="none"/>
              </w:rPr>
              <w:t xml:space="preserve">灯杆含瓷插板等附件，</w:t>
            </w:r>
            <w:r>
              <w:rPr>
                <w:rFonts w:hint="eastAsia" w:ascii="宋体" w:hAnsi="宋体" w:cs="等线"/>
                <w:sz w:val="18"/>
                <w:szCs w:val="18"/>
                <w:highlight w:val="none"/>
              </w:rPr>
              <w:t xml:space="preserve">灯杆门内需要有规格型号、合格标志、生产厂家的永久标识。</w:t>
            </w:r>
            <w:r>
              <w:rPr>
                <w:rFonts w:ascii="宋体" w:hAnsi="宋体" w:cs="宋体"/>
                <w:sz w:val="18"/>
                <w:szCs w:val="18"/>
                <w:highlight w:val="none"/>
              </w:rPr>
            </w:r>
            <w:r/>
          </w:p>
          <w:p>
            <w:pPr>
              <w:pStyle w:val="967"/>
              <w:numPr>
                <w:ilvl w:val="0"/>
                <w:numId w:val="8"/>
              </w:numPr>
              <w:tabs>
                <w:tab w:val="left" w:pos="312" w:leader="none"/>
              </w:tabs>
              <w:rPr>
                <w:rFonts w:hint="eastAsia" w:ascii="宋体" w:hAnsi="宋体" w:cs="宋体"/>
                <w:strike/>
                <w:sz w:val="18"/>
                <w:szCs w:val="18"/>
                <w:highlight w:val="none"/>
              </w:rPr>
            </w:pPr>
            <w:r>
              <w:rPr>
                <w:rFonts w:hint="eastAsia" w:ascii="宋体" w:hAnsi="宋体" w:cs="宋体"/>
                <w:sz w:val="18"/>
                <w:szCs w:val="18"/>
                <w:highlight w:val="none"/>
              </w:rPr>
              <w:t xml:space="preserve">LED灯具采用NEMA接口，单灯控制器由需方提供，供方采用接口必须完全适配。</w:t>
            </w:r>
            <w:r>
              <w:rPr>
                <w:rFonts w:hint="eastAsia" w:ascii="宋体" w:hAnsi="宋体" w:cs="宋体"/>
                <w:strike/>
                <w:sz w:val="18"/>
                <w:szCs w:val="18"/>
                <w:highlight w:val="none"/>
              </w:rPr>
            </w:r>
            <w:r/>
          </w:p>
          <w:p>
            <w:pPr>
              <w:pStyle w:val="967"/>
              <w:numPr>
                <w:ilvl w:val="0"/>
                <w:numId w:val="8"/>
              </w:numPr>
              <w:tabs>
                <w:tab w:val="left" w:pos="312" w:leader="none"/>
              </w:tabs>
              <w:rPr>
                <w:rFonts w:hint="eastAsia" w:ascii="宋体" w:hAnsi="宋体" w:cs="宋体"/>
                <w:sz w:val="18"/>
                <w:szCs w:val="18"/>
                <w:highlight w:val="none"/>
              </w:rPr>
            </w:pPr>
            <w:r>
              <w:rPr>
                <w:rFonts w:hint="eastAsia" w:ascii="宋体" w:hAnsi="宋体" w:cs="宋体"/>
                <w:sz w:val="18"/>
                <w:szCs w:val="18"/>
                <w:highlight w:val="none"/>
              </w:rPr>
              <w:t xml:space="preserve">由于市政工程的特殊性，如遇施工延期导致供货期延长的，供货单位必须考虑适当风险成本，并列入投标报价中。</w:t>
            </w:r>
            <w:r>
              <w:rPr>
                <w:rFonts w:hint="eastAsia" w:ascii="宋体" w:hAnsi="宋体" w:cs="宋体"/>
                <w:sz w:val="18"/>
                <w:szCs w:val="18"/>
                <w:highlight w:val="none"/>
              </w:rPr>
            </w:r>
            <w:r/>
          </w:p>
          <w:p>
            <w:pPr>
              <w:pStyle w:val="967"/>
              <w:numPr>
                <w:ilvl w:val="0"/>
                <w:numId w:val="8"/>
              </w:numPr>
              <w:tabs>
                <w:tab w:val="left" w:pos="312" w:leader="none"/>
              </w:tabs>
              <w:rPr>
                <w:rFonts w:hint="eastAsia" w:ascii="宋体" w:hAnsi="宋体" w:cs="宋体"/>
                <w:sz w:val="18"/>
                <w:szCs w:val="18"/>
                <w:highlight w:val="none"/>
              </w:rPr>
            </w:pPr>
            <w:r>
              <w:rPr>
                <w:rFonts w:hint="eastAsia" w:ascii="宋体" w:hAnsi="宋体" w:cs="宋体"/>
                <w:sz w:val="18"/>
                <w:szCs w:val="18"/>
                <w:highlight w:val="none"/>
              </w:rPr>
              <w:t xml:space="preserve">灯型、电源，根据工程实际变化进行调整，最终按实际供货数量为准。</w:t>
            </w:r>
            <w:r>
              <w:rPr>
                <w:rFonts w:hint="eastAsia" w:ascii="宋体" w:hAnsi="宋体" w:cs="宋体"/>
                <w:sz w:val="18"/>
                <w:szCs w:val="18"/>
                <w:highlight w:val="none"/>
              </w:rPr>
            </w:r>
            <w:r/>
          </w:p>
          <w:p>
            <w:pPr>
              <w:pStyle w:val="967"/>
              <w:numPr>
                <w:ilvl w:val="0"/>
                <w:numId w:val="8"/>
              </w:numPr>
              <w:tabs>
                <w:tab w:val="left" w:pos="312" w:leader="none"/>
              </w:tabs>
              <w:rPr>
                <w:rFonts w:hint="eastAsia" w:ascii="宋体" w:hAnsi="宋体" w:cs="宋体"/>
                <w:sz w:val="18"/>
                <w:szCs w:val="18"/>
                <w:highlight w:val="none"/>
              </w:rPr>
            </w:pPr>
            <w:r>
              <w:rPr>
                <w:rFonts w:hint="eastAsia" w:ascii="宋体" w:hAnsi="宋体" w:cs="宋体"/>
                <w:sz w:val="18"/>
                <w:szCs w:val="18"/>
                <w:highlight w:val="none"/>
              </w:rPr>
              <w:t xml:space="preserve">根据需方实际需要进行生产安排，合同签订后安排生产数量。</w:t>
            </w:r>
            <w:r>
              <w:rPr>
                <w:rFonts w:hint="eastAsia" w:ascii="宋体" w:hAnsi="宋体" w:cs="宋体"/>
                <w:sz w:val="18"/>
                <w:szCs w:val="18"/>
                <w:highlight w:val="none"/>
              </w:rPr>
            </w:r>
            <w:r/>
          </w:p>
        </w:tc>
      </w:tr>
    </w:tbl>
    <w:p>
      <w:pPr>
        <w:pStyle w:val="967"/>
        <w:ind w:firstLine="361"/>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67"/>
        <w:spacing w:line="360" w:lineRule="auto"/>
        <w:rPr>
          <w:rFonts w:hint="eastAsia" w:ascii="宋体" w:hAnsi="宋体" w:cs="宋体"/>
          <w:b/>
          <w:sz w:val="24"/>
          <w:szCs w:val="24"/>
          <w:highlight w:val="none"/>
        </w:rPr>
      </w:pPr>
      <w:r/>
      <w:bookmarkEnd w:id="201"/>
      <w:r>
        <w:rPr>
          <w:rFonts w:hint="eastAsia" w:ascii="宋体" w:hAnsi="宋体" w:cs="宋体"/>
          <w:b/>
          <w:sz w:val="24"/>
          <w:szCs w:val="24"/>
          <w:highlight w:val="none"/>
        </w:rPr>
        <w:t xml:space="preserve">4.2、施工图（见附件）</w:t>
      </w:r>
      <w:r>
        <w:rPr>
          <w:rFonts w:hint="eastAsia" w:ascii="宋体" w:hAnsi="宋体" w:cs="宋体"/>
          <w:b/>
          <w:sz w:val="24"/>
          <w:szCs w:val="24"/>
          <w:highlight w:val="none"/>
        </w:rPr>
      </w:r>
      <w:r/>
    </w:p>
    <w:p>
      <w:pPr>
        <w:pStyle w:val="967"/>
        <w:contextualSpacing/>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4.3、交货期、地点</w:t>
      </w:r>
      <w:r>
        <w:rPr>
          <w:rFonts w:hint="eastAsia" w:ascii="宋体" w:hAnsi="宋体" w:cs="宋体"/>
          <w:b/>
          <w:sz w:val="24"/>
          <w:szCs w:val="24"/>
          <w:highlight w:val="none"/>
        </w:rPr>
      </w:r>
      <w:r/>
    </w:p>
    <w:p>
      <w:pPr>
        <w:pStyle w:val="96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中标供应商接采购单位的生产通知后20日内完成生产，25日内完成安装调试。同时由采购单位质量管理小组及相关专业技术人员会同厂家相关负责人共同组织验收，中标供应商须承担包装费用、运输和装卸到指定仓库或场所以及安装调试的费用。</w:t>
      </w:r>
      <w:r>
        <w:rPr>
          <w:rFonts w:hint="eastAsia" w:ascii="宋体" w:hAnsi="宋体" w:cs="宋体"/>
          <w:sz w:val="24"/>
          <w:szCs w:val="24"/>
          <w:highlight w:val="none"/>
        </w:rPr>
      </w:r>
      <w:r/>
    </w:p>
    <w:p>
      <w:pPr>
        <w:pStyle w:val="967"/>
        <w:contextualSpacing/>
        <w:ind w:firstLine="528"/>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全部交付时应同时交付产品的合格证。</w:t>
      </w:r>
      <w:r>
        <w:rPr>
          <w:rFonts w:hint="eastAsia" w:ascii="宋体" w:hAnsi="宋体" w:cs="宋体"/>
          <w:sz w:val="24"/>
          <w:szCs w:val="24"/>
          <w:highlight w:val="none"/>
        </w:rPr>
      </w:r>
      <w:r/>
    </w:p>
    <w:p>
      <w:pPr>
        <w:pStyle w:val="967"/>
        <w:contextualSpacing/>
        <w:spacing w:line="360" w:lineRule="auto"/>
        <w:shd w:val="clear" w:color="auto" w:fill="ffffff"/>
        <w:widowControl/>
        <w:rPr>
          <w:rFonts w:hint="eastAsia" w:ascii="宋体" w:hAnsi="宋体" w:cs="宋体"/>
          <w:b/>
          <w:sz w:val="24"/>
          <w:szCs w:val="24"/>
          <w:highlight w:val="none"/>
        </w:rPr>
      </w:pPr>
      <w:r/>
      <w:bookmarkEnd w:id="204"/>
      <w:r>
        <w:rPr>
          <w:rFonts w:hint="eastAsia" w:ascii="宋体" w:hAnsi="宋体" w:cs="宋体"/>
          <w:b/>
          <w:sz w:val="24"/>
          <w:szCs w:val="24"/>
          <w:highlight w:val="none"/>
        </w:rPr>
        <w:t xml:space="preserve">五、采购标的需满足的服务标准、期限、效率等要求</w:t>
      </w:r>
      <w:r>
        <w:rPr>
          <w:rFonts w:hint="eastAsia" w:ascii="宋体" w:hAnsi="宋体" w:cs="宋体"/>
          <w:b/>
          <w:sz w:val="24"/>
          <w:szCs w:val="24"/>
          <w:highlight w:val="none"/>
        </w:rPr>
      </w:r>
      <w:r/>
    </w:p>
    <w:p>
      <w:pPr>
        <w:pStyle w:val="967"/>
        <w:ind w:firstLine="482"/>
        <w:spacing w:line="360" w:lineRule="auto"/>
        <w:rPr>
          <w:rFonts w:hint="eastAsia" w:ascii="宋体" w:hAnsi="宋体" w:cs="宋体"/>
          <w:b/>
          <w:sz w:val="24"/>
          <w:szCs w:val="24"/>
          <w:highlight w:val="none"/>
        </w:rPr>
      </w:pPr>
      <w:r/>
      <w:bookmarkStart w:id="205" w:name="OLE_LINK5"/>
      <w:r>
        <w:rPr>
          <w:rFonts w:hint="eastAsia" w:ascii="宋体" w:hAnsi="宋体" w:cs="宋体"/>
          <w:b/>
          <w:sz w:val="24"/>
          <w:szCs w:val="24"/>
          <w:highlight w:val="none"/>
        </w:rPr>
        <w:t xml:space="preserve">1、质保期限</w:t>
      </w:r>
      <w:r>
        <w:rPr>
          <w:rFonts w:hint="eastAsia" w:ascii="宋体" w:hAnsi="宋体" w:cs="宋体"/>
          <w:b/>
          <w:sz w:val="24"/>
          <w:szCs w:val="24"/>
          <w:highlight w:val="none"/>
        </w:rPr>
      </w:r>
      <w:r/>
    </w:p>
    <w:p>
      <w:pPr>
        <w:pStyle w:val="96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质保期为3年，质保期计算日自验收合格之日开始。在安装调试结束正常运行5个工作日后，采购单位将通知供应厂商共同组织验收，对通知而未参加的供应厂商视同接受验收结论。</w:t>
      </w:r>
      <w:r>
        <w:rPr>
          <w:rFonts w:hint="eastAsia" w:ascii="宋体" w:hAnsi="宋体" w:cs="宋体"/>
          <w:bCs/>
          <w:sz w:val="24"/>
          <w:szCs w:val="24"/>
          <w:highlight w:val="none"/>
        </w:rPr>
      </w:r>
      <w:r/>
    </w:p>
    <w:p>
      <w:pPr>
        <w:pStyle w:val="967"/>
        <w:contextualSpacing/>
        <w:ind w:left="551"/>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2、履约约定</w:t>
      </w:r>
      <w:r>
        <w:rPr>
          <w:rFonts w:hint="eastAsia" w:ascii="宋体" w:hAnsi="宋体" w:cs="宋体"/>
          <w:b/>
          <w:sz w:val="24"/>
          <w:szCs w:val="24"/>
          <w:highlight w:val="none"/>
        </w:rPr>
      </w:r>
      <w:r/>
    </w:p>
    <w:p>
      <w:pPr>
        <w:pStyle w:val="96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采购单位因成交供应商严重偏离招标技术标准供货，采购单位要求全部退货的，成交供应商须付给采购单位合同总价款5%的违约金。并根据此次供货情况对采购单位造成的损失进行赔偿。</w:t>
      </w:r>
      <w:r>
        <w:rPr>
          <w:rFonts w:hint="eastAsia" w:ascii="宋体" w:hAnsi="宋体" w:cs="宋体"/>
          <w:sz w:val="24"/>
          <w:szCs w:val="24"/>
          <w:highlight w:val="none"/>
        </w:rPr>
      </w:r>
      <w:r/>
    </w:p>
    <w:p>
      <w:pPr>
        <w:pStyle w:val="96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在供货过程中，若未按期供货的每延迟1天将按未按期供货货款的1%予以扣减；若供货出现瑕疵但尚未影响使用，按供货货款的1-5%予以扣减。</w:t>
      </w:r>
      <w:r>
        <w:rPr>
          <w:rFonts w:hint="eastAsia" w:ascii="宋体" w:hAnsi="宋体" w:cs="宋体"/>
          <w:sz w:val="24"/>
          <w:szCs w:val="24"/>
          <w:highlight w:val="none"/>
        </w:rPr>
      </w:r>
      <w:r/>
    </w:p>
    <w:p>
      <w:pPr>
        <w:pStyle w:val="96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中标单位如若发生5次及以上不能按期、按质供货采购单位有权单方面停止采购，由此造成的损失由供货单位自行承担。</w:t>
      </w:r>
      <w:r>
        <w:rPr>
          <w:rFonts w:ascii="宋体" w:hAnsi="宋体" w:cs="宋体"/>
          <w:sz w:val="24"/>
          <w:szCs w:val="24"/>
          <w:highlight w:val="none"/>
        </w:rPr>
      </w:r>
      <w:r/>
    </w:p>
    <w:p>
      <w:pPr>
        <w:pStyle w:val="967"/>
        <w:spacing w:line="360" w:lineRule="auto"/>
        <w:tabs>
          <w:tab w:val="left" w:pos="5325" w:leader="none"/>
        </w:tabs>
        <w:rPr>
          <w:rFonts w:hint="eastAsia" w:ascii="宋体" w:hAnsi="宋体" w:cs="宋体"/>
          <w:b/>
          <w:sz w:val="24"/>
          <w:szCs w:val="24"/>
          <w:highlight w:val="none"/>
        </w:rPr>
      </w:pPr>
      <w:r/>
      <w:bookmarkEnd w:id="205"/>
      <w:r>
        <w:rPr>
          <w:rFonts w:hint="eastAsia" w:ascii="宋体" w:hAnsi="宋体" w:cs="宋体"/>
          <w:b/>
          <w:sz w:val="24"/>
          <w:szCs w:val="24"/>
          <w:highlight w:val="none"/>
        </w:rPr>
        <w:t xml:space="preserve">六、采购标的的验收标准；</w:t>
      </w:r>
      <w:r>
        <w:rPr>
          <w:rFonts w:hint="eastAsia" w:ascii="宋体" w:hAnsi="宋体" w:cs="宋体"/>
          <w:b/>
          <w:sz w:val="24"/>
          <w:szCs w:val="24"/>
          <w:highlight w:val="none"/>
        </w:rPr>
      </w:r>
      <w:r/>
    </w:p>
    <w:p>
      <w:pPr>
        <w:pStyle w:val="967"/>
        <w:contextualSpacing/>
        <w:ind w:firstLine="480"/>
        <w:spacing w:line="360" w:lineRule="auto"/>
        <w:tabs>
          <w:tab w:val="left" w:pos="5325" w:leader="none"/>
        </w:tabs>
        <w:rPr>
          <w:rFonts w:hint="eastAsia" w:ascii="宋体" w:hAnsi="宋体" w:cs="宋体"/>
          <w:bCs/>
          <w:sz w:val="24"/>
          <w:szCs w:val="24"/>
          <w:highlight w:val="none"/>
        </w:rPr>
      </w:pPr>
      <w:r/>
      <w:bookmarkStart w:id="206" w:name="OLE_LINK6"/>
      <w:r>
        <w:rPr>
          <w:rFonts w:hint="eastAsia" w:ascii="宋体" w:hAnsi="宋体" w:cs="宋体"/>
          <w:bCs/>
          <w:sz w:val="24"/>
          <w:szCs w:val="24"/>
          <w:highlight w:val="none"/>
        </w:rPr>
        <w:t xml:space="preserve">1、国家相关标准、行业标准、地方标准或者其他标准、规范。</w:t>
      </w:r>
      <w:r>
        <w:rPr>
          <w:rFonts w:hint="eastAsia" w:ascii="宋体" w:hAnsi="宋体" w:cs="宋体"/>
          <w:bCs/>
          <w:sz w:val="24"/>
          <w:szCs w:val="24"/>
          <w:highlight w:val="none"/>
        </w:rPr>
      </w:r>
      <w:r/>
    </w:p>
    <w:p>
      <w:pPr>
        <w:pStyle w:val="967"/>
        <w:contextualSpacing/>
        <w:ind w:firstLine="480"/>
        <w:spacing w:line="360" w:lineRule="auto"/>
        <w:tabs>
          <w:tab w:val="left" w:pos="532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2、本招标文件提出的技术要求。</w:t>
      </w:r>
      <w:r>
        <w:rPr>
          <w:rFonts w:hint="eastAsia" w:ascii="宋体" w:hAnsi="宋体" w:cs="宋体"/>
          <w:bCs/>
          <w:sz w:val="24"/>
          <w:szCs w:val="24"/>
          <w:highlight w:val="none"/>
        </w:rPr>
      </w:r>
      <w:r/>
    </w:p>
    <w:p>
      <w:pPr>
        <w:pStyle w:val="967"/>
        <w:contextualSpacing/>
        <w:ind w:firstLine="480"/>
        <w:spacing w:line="360" w:lineRule="auto"/>
        <w:shd w:val="clear" w:color="auto" w:fill="ffffff"/>
        <w:widowControl/>
        <w:rPr>
          <w:rFonts w:hint="eastAsia" w:ascii="宋体" w:hAnsi="宋体" w:cs="宋体"/>
          <w:sz w:val="24"/>
          <w:szCs w:val="24"/>
          <w:highlight w:val="none"/>
          <w:lang w:val="zh-CN"/>
        </w:rPr>
      </w:pPr>
      <w:r>
        <w:rPr>
          <w:rFonts w:hint="eastAsia" w:ascii="宋体" w:hAnsi="宋体" w:cs="宋体"/>
          <w:bCs/>
          <w:sz w:val="24"/>
          <w:szCs w:val="24"/>
          <w:highlight w:val="none"/>
        </w:rPr>
        <w:t xml:space="preserve">3、</w:t>
      </w:r>
      <w:r>
        <w:rPr>
          <w:rFonts w:hint="eastAsia" w:ascii="宋体" w:hAnsi="宋体" w:cs="宋体"/>
          <w:sz w:val="24"/>
          <w:szCs w:val="24"/>
          <w:highlight w:val="none"/>
          <w:lang w:val="zh-CN"/>
        </w:rPr>
        <w:t xml:space="preserve">验收要求：符合招标文件规定的，同时制造商必须是投标时所明确的生产制造厂商的产品为合格产品，中标供应商对质量问题负责包退、包换和包修，因此发生的费用由成交供应商自行负责。在合同有效期内，如与本合同标的物相关的国家质量标准发生变化，则以国家最新颁布的标准及规范执行。如有不符合的，由中标人承担全部责任。</w:t>
      </w:r>
      <w:r>
        <w:rPr>
          <w:rFonts w:hint="eastAsia" w:ascii="宋体" w:hAnsi="宋体" w:cs="宋体"/>
          <w:sz w:val="24"/>
          <w:szCs w:val="24"/>
          <w:highlight w:val="none"/>
          <w:lang w:val="zh-CN"/>
        </w:rPr>
      </w:r>
      <w:r/>
    </w:p>
    <w:p>
      <w:pPr>
        <w:pStyle w:val="967"/>
        <w:spacing w:line="360" w:lineRule="auto"/>
        <w:tabs>
          <w:tab w:val="left" w:pos="5325" w:leader="none"/>
        </w:tabs>
        <w:rPr>
          <w:rFonts w:hint="eastAsia" w:ascii="宋体" w:hAnsi="宋体" w:cs="宋体"/>
          <w:b/>
          <w:sz w:val="24"/>
          <w:szCs w:val="24"/>
          <w:highlight w:val="none"/>
        </w:rPr>
      </w:pPr>
      <w:r/>
      <w:bookmarkEnd w:id="206"/>
      <w:r>
        <w:rPr>
          <w:rFonts w:hint="eastAsia" w:ascii="宋体" w:hAnsi="宋体" w:cs="宋体"/>
          <w:b/>
          <w:sz w:val="24"/>
          <w:szCs w:val="24"/>
          <w:highlight w:val="none"/>
        </w:rPr>
        <w:t xml:space="preserve">七、采购标的的其他技术、服务等要求。</w:t>
      </w:r>
      <w:r>
        <w:rPr>
          <w:rFonts w:hint="eastAsia" w:ascii="宋体" w:hAnsi="宋体" w:cs="宋体"/>
          <w:b/>
          <w:sz w:val="24"/>
          <w:szCs w:val="24"/>
          <w:highlight w:val="none"/>
        </w:rPr>
      </w:r>
      <w:r/>
    </w:p>
    <w:p>
      <w:pPr>
        <w:pStyle w:val="967"/>
        <w:contextualSpacing/>
        <w:ind w:firstLine="482"/>
        <w:spacing w:line="360" w:lineRule="auto"/>
        <w:tabs>
          <w:tab w:val="left" w:pos="5325" w:leader="none"/>
        </w:tabs>
        <w:rPr>
          <w:rFonts w:hint="eastAsia" w:ascii="宋体" w:hAnsi="宋体" w:cs="宋体"/>
          <w:b/>
          <w:sz w:val="24"/>
          <w:szCs w:val="24"/>
          <w:highlight w:val="none"/>
        </w:rPr>
      </w:pPr>
      <w:r/>
      <w:bookmarkStart w:id="207" w:name="OLE_LINK7"/>
      <w:r>
        <w:rPr>
          <w:rFonts w:hint="eastAsia" w:ascii="宋体" w:hAnsi="宋体" w:cs="宋体"/>
          <w:b/>
          <w:sz w:val="24"/>
          <w:szCs w:val="24"/>
          <w:highlight w:val="none"/>
        </w:rPr>
        <w:t xml:space="preserve">1、检测报告</w:t>
      </w:r>
      <w:r>
        <w:rPr>
          <w:rFonts w:hint="eastAsia" w:ascii="宋体" w:hAnsi="宋体" w:cs="宋体"/>
          <w:b/>
          <w:sz w:val="24"/>
          <w:szCs w:val="24"/>
          <w:highlight w:val="none"/>
        </w:rPr>
      </w:r>
      <w:r/>
    </w:p>
    <w:p>
      <w:pPr>
        <w:pStyle w:val="967"/>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投标人须提供以下检测报告，不提供视为未实质性响应招标文件。</w:t>
      </w:r>
      <w:r>
        <w:rPr>
          <w:rFonts w:hint="eastAsia" w:ascii="宋体" w:hAnsi="宋体" w:cs="宋体"/>
          <w:b/>
          <w:sz w:val="24"/>
          <w:szCs w:val="24"/>
          <w:highlight w:val="none"/>
        </w:rPr>
      </w:r>
      <w:r/>
    </w:p>
    <w:p>
      <w:pPr>
        <w:pStyle w:val="967"/>
        <w:spacing w:line="360" w:lineRule="auto"/>
        <w:rPr>
          <w:rFonts w:ascii="宋体" w:hAnsi="宋体" w:cs="宋体"/>
          <w:sz w:val="24"/>
          <w:szCs w:val="24"/>
          <w:highlight w:val="none"/>
        </w:rPr>
      </w:pPr>
      <w:r>
        <w:rPr>
          <w:rFonts w:hint="eastAsia" w:ascii="宋体" w:hAnsi="宋体" w:cs="宋体"/>
          <w:sz w:val="24"/>
          <w:szCs w:val="24"/>
          <w:highlight w:val="none"/>
        </w:rPr>
        <w:t xml:space="preserve">1.1、提供一款与该项目需求清单中综合杆类似的</w:t>
      </w:r>
      <w:r>
        <w:rPr>
          <w:rFonts w:hint="eastAsia" w:ascii="宋体" w:hAnsi="宋体" w:cs="宋体"/>
          <w:bCs/>
          <w:sz w:val="24"/>
          <w:szCs w:val="24"/>
          <w:highlight w:val="none"/>
        </w:rPr>
        <w:t xml:space="preserve">由</w:t>
      </w:r>
      <w:r>
        <w:rPr>
          <w:rFonts w:hint="eastAsia" w:ascii="宋体" w:hAnsi="宋体" w:cs="宋体"/>
          <w:sz w:val="24"/>
          <w:szCs w:val="24"/>
          <w:highlight w:val="none"/>
        </w:rPr>
        <w:t xml:space="preserve">国家级检测机构出具的的检测报告，其中结构分析必须有计算检验过程。检测项目包括：杆体材料强度、杆件防腐层厚度、杆件外观质量及尺寸、杆件结构分析、焊接质量。</w:t>
      </w:r>
      <w:r>
        <w:rPr>
          <w:rFonts w:ascii="宋体" w:hAnsi="宋体" w:cs="宋体"/>
          <w:sz w:val="24"/>
          <w:szCs w:val="24"/>
          <w:highlight w:val="none"/>
        </w:rPr>
      </w:r>
      <w:r/>
    </w:p>
    <w:tbl>
      <w:tblPr>
        <w:tblW w:w="9180" w:type="dxa"/>
        <w:tblInd w:w="-108" w:type="dxa"/>
        <w:tblLayout w:type="fixed"/>
        <w:tblCellMar>
          <w:left w:w="108" w:type="dxa"/>
          <w:top w:w="0" w:type="dxa"/>
          <w:right w:w="108" w:type="dxa"/>
          <w:bottom w:w="0" w:type="dxa"/>
        </w:tblCellMar>
        <w:tblLook w:val="04A0" w:firstRow="1" w:lastRow="0" w:firstColumn="1" w:lastColumn="0" w:noHBand="0" w:noVBand="1"/>
      </w:tblPr>
      <w:tblGrid>
        <w:gridCol w:w="2522"/>
        <w:gridCol w:w="6658"/>
      </w:tblGrid>
      <w:tr>
        <w:trPr>
          <w:trHeight w:val="375"/>
        </w:trPr>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tcPr>
          <w:p>
            <w:pPr>
              <w:pStyle w:val="967"/>
              <w:jc w:val="center"/>
              <w:widowControl/>
              <w:rPr>
                <w:rFonts w:ascii="等线" w:hAnsi="等线" w:eastAsia="等线" w:cs="宋体"/>
                <w:sz w:val="22"/>
                <w:szCs w:val="22"/>
                <w:highlight w:val="none"/>
              </w:rPr>
            </w:pPr>
            <w:r>
              <w:rPr>
                <w:rFonts w:hint="eastAsia" w:ascii="等线" w:hAnsi="等线" w:eastAsia="等线" w:cs="宋体"/>
                <w:sz w:val="22"/>
                <w:szCs w:val="22"/>
                <w:highlight w:val="none"/>
              </w:rPr>
              <w:t xml:space="preserve">检测项目</w:t>
            </w:r>
            <w:r>
              <w:rPr>
                <w:rFonts w:ascii="等线" w:hAnsi="等线" w:eastAsia="等线" w:cs="宋体"/>
                <w:sz w:val="22"/>
                <w:szCs w:val="22"/>
                <w:highlight w:val="none"/>
              </w:rPr>
            </w:r>
            <w:r/>
          </w:p>
        </w:tc>
        <w:tc>
          <w:tcPr>
            <w:tcBorders>
              <w:top w:val="single" w:color="000000" w:sz="4" w:space="0"/>
              <w:left w:val="none" w:color="000000" w:sz="4" w:space="0"/>
              <w:bottom w:val="single" w:color="000000" w:sz="4" w:space="0"/>
              <w:right w:val="single" w:color="000000" w:sz="4" w:space="0"/>
            </w:tcBorders>
            <w:tcW w:w="6658" w:type="dxa"/>
            <w:vAlign w:val="center"/>
            <w:textDirection w:val="lrTb"/>
            <w:noWrap/>
          </w:tcPr>
          <w:p>
            <w:pPr>
              <w:pStyle w:val="967"/>
              <w:jc w:val="center"/>
              <w:widowControl/>
              <w:rPr>
                <w:rFonts w:ascii="等线" w:hAnsi="等线" w:eastAsia="等线" w:cs="宋体"/>
                <w:sz w:val="22"/>
                <w:szCs w:val="22"/>
                <w:highlight w:val="none"/>
              </w:rPr>
            </w:pPr>
            <w:r>
              <w:rPr>
                <w:rFonts w:hint="eastAsia" w:ascii="等线" w:hAnsi="等线" w:eastAsia="等线" w:cs="宋体"/>
                <w:sz w:val="22"/>
                <w:szCs w:val="22"/>
                <w:highlight w:val="none"/>
              </w:rPr>
              <w:t xml:space="preserve">检测要求</w:t>
            </w:r>
            <w:r>
              <w:rPr>
                <w:rFonts w:ascii="等线" w:hAnsi="等线" w:eastAsia="等线" w:cs="宋体"/>
                <w:sz w:val="22"/>
                <w:szCs w:val="22"/>
                <w:highlight w:val="none"/>
              </w:rPr>
            </w:r>
            <w:r/>
          </w:p>
        </w:tc>
      </w:tr>
      <w:tr>
        <w:trPr>
          <w:trHeight w:val="375"/>
        </w:trPr>
        <w:tc>
          <w:tcPr>
            <w:tcBorders>
              <w:top w:val="none" w:color="000000" w:sz="4" w:space="0"/>
              <w:left w:val="single" w:color="000000" w:sz="4" w:space="0"/>
              <w:bottom w:val="single" w:color="000000" w:sz="4" w:space="0"/>
              <w:right w:val="single" w:color="000000" w:sz="4" w:space="0"/>
            </w:tcBorders>
            <w:tcW w:w="2522" w:type="dxa"/>
            <w:vAlign w:val="center"/>
            <w:textDirection w:val="lrTb"/>
            <w:noWrap/>
          </w:tcPr>
          <w:p>
            <w:pPr>
              <w:pStyle w:val="967"/>
              <w:jc w:val="center"/>
              <w:widowControl/>
              <w:rPr>
                <w:rFonts w:ascii="等线" w:hAnsi="等线" w:eastAsia="等线" w:cs="宋体"/>
                <w:sz w:val="22"/>
                <w:szCs w:val="22"/>
                <w:highlight w:val="none"/>
              </w:rPr>
            </w:pPr>
            <w:r>
              <w:rPr>
                <w:rFonts w:hint="eastAsia" w:ascii="等线" w:hAnsi="等线" w:eastAsia="等线" w:cs="宋体"/>
                <w:sz w:val="22"/>
                <w:szCs w:val="22"/>
                <w:highlight w:val="none"/>
              </w:rPr>
              <w:t xml:space="preserve">杆体材料强度</w:t>
            </w:r>
            <w:r>
              <w:rPr>
                <w:rFonts w:ascii="等线" w:hAnsi="等线" w:eastAsia="等线" w:cs="宋体"/>
                <w:sz w:val="22"/>
                <w:szCs w:val="22"/>
                <w:highlight w:val="none"/>
              </w:rPr>
            </w:r>
            <w:r/>
          </w:p>
        </w:tc>
        <w:tc>
          <w:tcPr>
            <w:tcBorders>
              <w:top w:val="none" w:color="000000" w:sz="4" w:space="0"/>
              <w:left w:val="none" w:color="000000" w:sz="4" w:space="0"/>
              <w:bottom w:val="single" w:color="000000" w:sz="4" w:space="0"/>
              <w:right w:val="single" w:color="000000" w:sz="4" w:space="0"/>
            </w:tcBorders>
            <w:tcW w:w="6658" w:type="dxa"/>
            <w:vAlign w:val="center"/>
            <w:textDirection w:val="lrTb"/>
            <w:noWrap/>
          </w:tcPr>
          <w:p>
            <w:pPr>
              <w:pStyle w:val="967"/>
              <w:jc w:val="center"/>
              <w:widowControl/>
              <w:rPr>
                <w:rFonts w:ascii="等线" w:hAnsi="等线" w:eastAsia="等线" w:cs="宋体"/>
                <w:sz w:val="22"/>
                <w:szCs w:val="22"/>
                <w:highlight w:val="none"/>
              </w:rPr>
            </w:pPr>
            <w:r>
              <w:rPr>
                <w:rFonts w:hint="eastAsia" w:ascii="等线" w:hAnsi="等线" w:eastAsia="等线" w:cs="宋体"/>
                <w:sz w:val="22"/>
                <w:szCs w:val="22"/>
                <w:highlight w:val="none"/>
              </w:rPr>
              <w:t xml:space="preserve">主杆Q460或Q355，上立杆</w:t>
            </w:r>
            <w:r>
              <w:rPr>
                <w:rFonts w:ascii="等线" w:hAnsi="等线" w:eastAsia="等线" w:cs="宋体"/>
                <w:sz w:val="22"/>
                <w:szCs w:val="22"/>
                <w:highlight w:val="none"/>
              </w:rPr>
              <w:t xml:space="preserve">Q235</w:t>
            </w:r>
            <w:r>
              <w:rPr>
                <w:rFonts w:hint="eastAsia" w:ascii="等线" w:hAnsi="等线" w:eastAsia="等线" w:cs="宋体"/>
                <w:sz w:val="22"/>
                <w:szCs w:val="22"/>
                <w:highlight w:val="none"/>
              </w:rPr>
              <w:t xml:space="preserve">，横臂Q3</w:t>
            </w:r>
            <w:r>
              <w:rPr>
                <w:rFonts w:ascii="等线" w:hAnsi="等线" w:eastAsia="等线" w:cs="宋体"/>
                <w:sz w:val="22"/>
                <w:szCs w:val="22"/>
                <w:highlight w:val="none"/>
              </w:rPr>
              <w:t xml:space="preserve">55</w:t>
            </w:r>
            <w:r>
              <w:rPr>
                <w:rFonts w:ascii="等线" w:hAnsi="等线" w:eastAsia="等线" w:cs="宋体"/>
                <w:sz w:val="22"/>
                <w:szCs w:val="22"/>
                <w:highlight w:val="none"/>
              </w:rPr>
            </w:r>
            <w:r/>
          </w:p>
        </w:tc>
      </w:tr>
      <w:tr>
        <w:trPr>
          <w:trHeight w:val="375"/>
        </w:trPr>
        <w:tc>
          <w:tcPr>
            <w:tcBorders>
              <w:top w:val="none" w:color="000000" w:sz="4" w:space="0"/>
              <w:left w:val="single" w:color="000000" w:sz="4" w:space="0"/>
              <w:bottom w:val="single" w:color="000000" w:sz="4" w:space="0"/>
              <w:right w:val="single" w:color="000000" w:sz="4" w:space="0"/>
            </w:tcBorders>
            <w:tcW w:w="2522" w:type="dxa"/>
            <w:vAlign w:val="center"/>
            <w:textDirection w:val="lrTb"/>
            <w:noWrap/>
          </w:tcPr>
          <w:p>
            <w:pPr>
              <w:pStyle w:val="967"/>
              <w:jc w:val="center"/>
              <w:widowControl/>
              <w:rPr>
                <w:rFonts w:ascii="等线" w:hAnsi="等线" w:eastAsia="等线" w:cs="宋体"/>
                <w:sz w:val="22"/>
                <w:szCs w:val="22"/>
                <w:highlight w:val="none"/>
              </w:rPr>
            </w:pPr>
            <w:r>
              <w:rPr>
                <w:rFonts w:hint="eastAsia" w:ascii="等线" w:hAnsi="等线" w:eastAsia="等线" w:cs="宋体"/>
                <w:sz w:val="22"/>
                <w:szCs w:val="22"/>
                <w:highlight w:val="none"/>
              </w:rPr>
              <w:t xml:space="preserve">杆件防腐层厚度</w:t>
            </w:r>
            <w:r>
              <w:rPr>
                <w:rFonts w:ascii="等线" w:hAnsi="等线" w:eastAsia="等线" w:cs="宋体"/>
                <w:sz w:val="22"/>
                <w:szCs w:val="22"/>
                <w:highlight w:val="none"/>
              </w:rPr>
            </w:r>
            <w:r/>
          </w:p>
        </w:tc>
        <w:tc>
          <w:tcPr>
            <w:tcBorders>
              <w:top w:val="none" w:color="000000" w:sz="4" w:space="0"/>
              <w:left w:val="none" w:color="000000" w:sz="4" w:space="0"/>
              <w:bottom w:val="single" w:color="000000" w:sz="4" w:space="0"/>
              <w:right w:val="single" w:color="000000" w:sz="4" w:space="0"/>
            </w:tcBorders>
            <w:tcW w:w="6658" w:type="dxa"/>
            <w:vAlign w:val="center"/>
            <w:textDirection w:val="lrTb"/>
            <w:noWrap/>
          </w:tcPr>
          <w:p>
            <w:pPr>
              <w:pStyle w:val="967"/>
              <w:jc w:val="center"/>
              <w:widowControl/>
              <w:rPr>
                <w:rFonts w:ascii="等线" w:hAnsi="等线" w:eastAsia="等线" w:cs="宋体"/>
                <w:sz w:val="22"/>
                <w:szCs w:val="22"/>
                <w:highlight w:val="none"/>
              </w:rPr>
            </w:pPr>
            <w:r>
              <w:rPr>
                <w:rFonts w:hint="eastAsia" w:ascii="等线" w:hAnsi="等线" w:eastAsia="等线" w:cs="宋体"/>
                <w:sz w:val="22"/>
                <w:szCs w:val="22"/>
                <w:highlight w:val="none"/>
              </w:rPr>
              <w:t xml:space="preserve">镀锌和喷塑厚度各不小于80μm</w:t>
            </w:r>
            <w:r>
              <w:rPr>
                <w:rFonts w:ascii="等线" w:hAnsi="等线" w:eastAsia="等线" w:cs="宋体"/>
                <w:sz w:val="22"/>
                <w:szCs w:val="22"/>
                <w:highlight w:val="none"/>
              </w:rPr>
            </w:r>
            <w:r/>
          </w:p>
        </w:tc>
      </w:tr>
      <w:tr>
        <w:trPr>
          <w:trHeight w:val="375"/>
        </w:trPr>
        <w:tc>
          <w:tcPr>
            <w:tcBorders>
              <w:top w:val="none" w:color="000000" w:sz="4" w:space="0"/>
              <w:left w:val="single" w:color="000000" w:sz="4" w:space="0"/>
              <w:bottom w:val="single" w:color="000000" w:sz="4" w:space="0"/>
              <w:right w:val="single" w:color="000000" w:sz="4" w:space="0"/>
            </w:tcBorders>
            <w:tcW w:w="2522" w:type="dxa"/>
            <w:vAlign w:val="center"/>
            <w:textDirection w:val="lrTb"/>
            <w:noWrap/>
          </w:tcPr>
          <w:p>
            <w:pPr>
              <w:pStyle w:val="967"/>
              <w:jc w:val="center"/>
              <w:widowControl/>
              <w:rPr>
                <w:rFonts w:ascii="等线" w:hAnsi="等线" w:eastAsia="等线" w:cs="宋体"/>
                <w:sz w:val="22"/>
                <w:szCs w:val="22"/>
                <w:highlight w:val="none"/>
              </w:rPr>
            </w:pPr>
            <w:r>
              <w:rPr>
                <w:rFonts w:hint="eastAsia" w:ascii="等线" w:hAnsi="等线" w:eastAsia="等线" w:cs="宋体"/>
                <w:sz w:val="22"/>
                <w:szCs w:val="22"/>
                <w:highlight w:val="none"/>
              </w:rPr>
              <w:t xml:space="preserve">杆件外观质量及尺寸</w:t>
            </w:r>
            <w:r>
              <w:rPr>
                <w:rFonts w:ascii="等线" w:hAnsi="等线" w:eastAsia="等线" w:cs="宋体"/>
                <w:sz w:val="22"/>
                <w:szCs w:val="22"/>
                <w:highlight w:val="none"/>
              </w:rPr>
            </w:r>
            <w:r/>
          </w:p>
        </w:tc>
        <w:tc>
          <w:tcPr>
            <w:tcBorders>
              <w:top w:val="none" w:color="000000" w:sz="4" w:space="0"/>
              <w:left w:val="none" w:color="000000" w:sz="4" w:space="0"/>
              <w:bottom w:val="single" w:color="000000" w:sz="4" w:space="0"/>
              <w:right w:val="single" w:color="000000" w:sz="4" w:space="0"/>
            </w:tcBorders>
            <w:tcW w:w="6658" w:type="dxa"/>
            <w:vAlign w:val="center"/>
            <w:textDirection w:val="lrTb"/>
            <w:noWrap/>
          </w:tcPr>
          <w:p>
            <w:pPr>
              <w:pStyle w:val="967"/>
              <w:jc w:val="center"/>
              <w:widowControl/>
              <w:rPr>
                <w:rFonts w:ascii="等线" w:hAnsi="等线" w:eastAsia="等线" w:cs="宋体"/>
                <w:sz w:val="22"/>
                <w:szCs w:val="22"/>
                <w:highlight w:val="none"/>
              </w:rPr>
            </w:pPr>
            <w:r>
              <w:rPr>
                <w:rFonts w:hint="eastAsia" w:ascii="等线" w:hAnsi="等线" w:eastAsia="等线" w:cs="宋体"/>
                <w:sz w:val="22"/>
                <w:szCs w:val="22"/>
                <w:highlight w:val="none"/>
              </w:rPr>
              <w:t xml:space="preserve">无外观质量缺陷，尺寸符合设计图纸要求</w:t>
            </w:r>
            <w:r>
              <w:rPr>
                <w:rFonts w:ascii="等线" w:hAnsi="等线" w:eastAsia="等线" w:cs="宋体"/>
                <w:sz w:val="22"/>
                <w:szCs w:val="22"/>
                <w:highlight w:val="none"/>
              </w:rPr>
            </w:r>
            <w:r/>
          </w:p>
        </w:tc>
      </w:tr>
      <w:tr>
        <w:trPr>
          <w:trHeight w:val="1020"/>
        </w:trPr>
        <w:tc>
          <w:tcPr>
            <w:tcBorders>
              <w:top w:val="none" w:color="000000" w:sz="4" w:space="0"/>
              <w:left w:val="single" w:color="000000" w:sz="4" w:space="0"/>
              <w:bottom w:val="single" w:color="000000" w:sz="4" w:space="0"/>
              <w:right w:val="single" w:color="000000" w:sz="4" w:space="0"/>
            </w:tcBorders>
            <w:tcW w:w="2522" w:type="dxa"/>
            <w:vAlign w:val="center"/>
            <w:textDirection w:val="lrTb"/>
            <w:noWrap/>
          </w:tcPr>
          <w:p>
            <w:pPr>
              <w:pStyle w:val="967"/>
              <w:jc w:val="center"/>
              <w:widowControl/>
              <w:rPr>
                <w:rFonts w:ascii="等线" w:hAnsi="等线" w:eastAsia="等线" w:cs="宋体"/>
                <w:sz w:val="22"/>
                <w:szCs w:val="22"/>
                <w:highlight w:val="none"/>
              </w:rPr>
            </w:pPr>
            <w:r>
              <w:rPr>
                <w:rFonts w:hint="eastAsia" w:ascii="等线" w:hAnsi="等线" w:eastAsia="等线" w:cs="宋体"/>
                <w:sz w:val="22"/>
                <w:szCs w:val="22"/>
                <w:highlight w:val="none"/>
              </w:rPr>
              <w:t xml:space="preserve">杆件结构分析</w:t>
            </w:r>
            <w:r>
              <w:rPr>
                <w:rFonts w:ascii="等线" w:hAnsi="等线" w:eastAsia="等线" w:cs="宋体"/>
                <w:sz w:val="22"/>
                <w:szCs w:val="22"/>
                <w:highlight w:val="none"/>
              </w:rPr>
            </w:r>
            <w:r/>
          </w:p>
        </w:tc>
        <w:tc>
          <w:tcPr>
            <w:tcBorders>
              <w:top w:val="none" w:color="000000" w:sz="4" w:space="0"/>
              <w:left w:val="none" w:color="000000" w:sz="4" w:space="0"/>
              <w:bottom w:val="single" w:color="000000" w:sz="4" w:space="0"/>
              <w:right w:val="single" w:color="000000" w:sz="4" w:space="0"/>
            </w:tcBorders>
            <w:tcW w:w="6658" w:type="dxa"/>
            <w:vAlign w:val="center"/>
            <w:textDirection w:val="lrTb"/>
            <w:noWrap w:val="false"/>
          </w:tcPr>
          <w:p>
            <w:pPr>
              <w:pStyle w:val="967"/>
              <w:jc w:val="center"/>
              <w:widowControl/>
              <w:rPr>
                <w:rFonts w:ascii="等线" w:hAnsi="等线" w:eastAsia="等线" w:cs="宋体"/>
                <w:sz w:val="22"/>
                <w:szCs w:val="22"/>
                <w:highlight w:val="none"/>
              </w:rPr>
            </w:pPr>
            <w:r>
              <w:rPr>
                <w:rFonts w:hint="eastAsia" w:ascii="等线" w:hAnsi="等线" w:eastAsia="等线" w:cs="宋体"/>
                <w:sz w:val="22"/>
                <w:szCs w:val="22"/>
                <w:highlight w:val="none"/>
              </w:rPr>
              <w:t xml:space="preserve">按照南通市50年一遇基本风压0.45KN/㎡计算分析，应力验算及位移验算满足《高耸结构设计规范》要求</w:t>
            </w:r>
            <w:r>
              <w:rPr>
                <w:rFonts w:ascii="等线" w:hAnsi="等线" w:eastAsia="等线" w:cs="宋体"/>
                <w:sz w:val="22"/>
                <w:szCs w:val="22"/>
                <w:highlight w:val="none"/>
              </w:rPr>
            </w:r>
            <w:r/>
          </w:p>
        </w:tc>
      </w:tr>
      <w:tr>
        <w:trPr>
          <w:trHeight w:val="375"/>
        </w:trPr>
        <w:tc>
          <w:tcPr>
            <w:tcBorders>
              <w:top w:val="none" w:color="000000" w:sz="4" w:space="0"/>
              <w:left w:val="single" w:color="000000" w:sz="4" w:space="0"/>
              <w:bottom w:val="single" w:color="000000" w:sz="4" w:space="0"/>
              <w:right w:val="single" w:color="000000" w:sz="4" w:space="0"/>
            </w:tcBorders>
            <w:tcW w:w="2522" w:type="dxa"/>
            <w:vAlign w:val="center"/>
            <w:textDirection w:val="lrTb"/>
            <w:noWrap/>
          </w:tcPr>
          <w:p>
            <w:pPr>
              <w:pStyle w:val="967"/>
              <w:jc w:val="center"/>
              <w:widowControl/>
              <w:rPr>
                <w:rFonts w:ascii="等线" w:hAnsi="等线" w:eastAsia="等线" w:cs="宋体"/>
                <w:sz w:val="22"/>
                <w:szCs w:val="22"/>
                <w:highlight w:val="none"/>
              </w:rPr>
            </w:pPr>
            <w:r>
              <w:rPr>
                <w:rFonts w:hint="eastAsia" w:ascii="等线" w:hAnsi="等线" w:eastAsia="等线" w:cs="宋体"/>
                <w:sz w:val="22"/>
                <w:szCs w:val="22"/>
                <w:highlight w:val="none"/>
              </w:rPr>
              <w:t xml:space="preserve">焊接质量</w:t>
            </w:r>
            <w:r>
              <w:rPr>
                <w:rFonts w:ascii="等线" w:hAnsi="等线" w:eastAsia="等线" w:cs="宋体"/>
                <w:sz w:val="22"/>
                <w:szCs w:val="22"/>
                <w:highlight w:val="none"/>
              </w:rPr>
            </w:r>
            <w:r/>
          </w:p>
        </w:tc>
        <w:tc>
          <w:tcPr>
            <w:tcBorders>
              <w:top w:val="none" w:color="000000" w:sz="4" w:space="0"/>
              <w:left w:val="none" w:color="000000" w:sz="4" w:space="0"/>
              <w:bottom w:val="single" w:color="000000" w:sz="4" w:space="0"/>
              <w:right w:val="single" w:color="000000" w:sz="4" w:space="0"/>
            </w:tcBorders>
            <w:tcW w:w="6658" w:type="dxa"/>
            <w:vAlign w:val="center"/>
            <w:textDirection w:val="lrTb"/>
            <w:noWrap/>
          </w:tcPr>
          <w:p>
            <w:pPr>
              <w:pStyle w:val="967"/>
              <w:jc w:val="center"/>
              <w:widowControl/>
              <w:rPr>
                <w:rFonts w:ascii="等线" w:hAnsi="等线" w:eastAsia="等线" w:cs="宋体"/>
                <w:sz w:val="22"/>
                <w:szCs w:val="22"/>
                <w:highlight w:val="none"/>
              </w:rPr>
            </w:pPr>
            <w:r>
              <w:rPr>
                <w:rFonts w:hint="eastAsia" w:ascii="等线" w:hAnsi="等线" w:eastAsia="等线" w:cs="宋体"/>
                <w:sz w:val="22"/>
                <w:szCs w:val="22"/>
                <w:highlight w:val="none"/>
              </w:rPr>
              <w:t xml:space="preserve">采用无损检测探伤，焊缝无缺陷</w:t>
            </w:r>
            <w:r>
              <w:rPr>
                <w:rFonts w:ascii="等线" w:hAnsi="等线" w:eastAsia="等线" w:cs="宋体"/>
                <w:sz w:val="22"/>
                <w:szCs w:val="22"/>
                <w:highlight w:val="none"/>
              </w:rPr>
            </w:r>
            <w:r/>
          </w:p>
        </w:tc>
      </w:tr>
    </w:tbl>
    <w:p>
      <w:pPr>
        <w:pStyle w:val="967"/>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67"/>
        <w:widowControl/>
        <w:rPr>
          <w:rFonts w:hint="eastAsia" w:ascii="宋体" w:hAnsi="宋体" w:cs="宋体"/>
          <w:sz w:val="28"/>
          <w:szCs w:val="28"/>
          <w:highlight w:val="none"/>
        </w:rPr>
      </w:pPr>
      <w:r>
        <w:rPr>
          <w:rFonts w:hint="eastAsia" w:ascii="宋体" w:hAnsi="宋体" w:cs="宋体"/>
          <w:sz w:val="24"/>
          <w:szCs w:val="24"/>
          <w:highlight w:val="none"/>
        </w:rPr>
        <w:t xml:space="preserve">1.2、提供国家级检测中心出具的路灯灯具检测报告，检测项目及要求详见下表：</w:t>
      </w:r>
      <w:r>
        <w:rPr>
          <w:rFonts w:hint="eastAsia" w:ascii="宋体" w:hAnsi="宋体" w:cs="宋体"/>
          <w:sz w:val="28"/>
          <w:szCs w:val="28"/>
          <w:highlight w:val="none"/>
        </w:rPr>
      </w:r>
      <w:r/>
    </w:p>
    <w:tbl>
      <w:tblPr>
        <w:tblW w:w="92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4206"/>
        <w:gridCol w:w="3802"/>
      </w:tblGrid>
      <w:tr>
        <w:trPr>
          <w:trHeight w:val="360"/>
        </w:trPr>
        <w:tc>
          <w:tcPr>
            <w:tcMar>
              <w:left w:w="108" w:type="dxa"/>
              <w:top w:w="0" w:type="dxa"/>
              <w:right w:w="108" w:type="dxa"/>
              <w:bottom w:w="0" w:type="dxa"/>
            </w:tcMar>
            <w:tcW w:w="1277" w:type="dxa"/>
            <w:vAlign w:val="center"/>
            <w:textDirection w:val="lrTb"/>
            <w:noWrap/>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路灯功率</w:t>
            </w:r>
            <w:r>
              <w:rPr>
                <w:rFonts w:ascii="宋体" w:hAnsi="宋体" w:cs="宋体"/>
                <w:sz w:val="24"/>
                <w:highlight w:val="none"/>
              </w:rPr>
            </w:r>
            <w:r/>
          </w:p>
        </w:tc>
        <w:tc>
          <w:tcPr>
            <w:tcMar>
              <w:left w:w="108" w:type="dxa"/>
              <w:top w:w="0" w:type="dxa"/>
              <w:right w:w="108" w:type="dxa"/>
              <w:bottom w:w="0" w:type="dxa"/>
            </w:tcMar>
            <w:tcW w:w="4206" w:type="dxa"/>
            <w:vAlign w:val="center"/>
            <w:textDirection w:val="lrTb"/>
            <w:noWrap/>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检测项目</w:t>
            </w:r>
            <w:r>
              <w:rPr>
                <w:rFonts w:ascii="宋体" w:hAnsi="宋体" w:cs="宋体"/>
                <w:sz w:val="24"/>
                <w:highlight w:val="none"/>
              </w:rPr>
            </w:r>
            <w:r/>
          </w:p>
        </w:tc>
        <w:tc>
          <w:tcPr>
            <w:tcMar>
              <w:left w:w="108" w:type="dxa"/>
              <w:top w:w="0" w:type="dxa"/>
              <w:right w:w="108" w:type="dxa"/>
              <w:bottom w:w="0" w:type="dxa"/>
            </w:tcMar>
            <w:tcW w:w="3802" w:type="dxa"/>
            <w:vAlign w:val="center"/>
            <w:textDirection w:val="lrTb"/>
            <w:noWrap/>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检测要求</w:t>
            </w:r>
            <w:r>
              <w:rPr>
                <w:rFonts w:ascii="宋体" w:hAnsi="宋体" w:cs="宋体"/>
                <w:sz w:val="24"/>
                <w:highlight w:val="none"/>
              </w:rPr>
            </w:r>
            <w:r/>
          </w:p>
        </w:tc>
      </w:tr>
      <w:tr>
        <w:trPr>
          <w:trHeight w:val="286"/>
        </w:trPr>
        <w:tc>
          <w:tcPr>
            <w:tcW w:w="1277" w:type="dxa"/>
            <w:vAlign w:val="center"/>
            <w:vMerge w:val="restart"/>
            <w:textDirection w:val="lrTb"/>
            <w:noWrap w:val="false"/>
          </w:tcPr>
          <w:p>
            <w:pPr>
              <w:pStyle w:val="967"/>
              <w:jc w:val="center"/>
              <w:widowControl/>
              <w:rPr>
                <w:rFonts w:ascii="宋体" w:hAnsi="宋体" w:cs="宋体"/>
                <w:sz w:val="24"/>
                <w:highlight w:val="none"/>
              </w:rPr>
            </w:pPr>
            <w:r>
              <w:rPr>
                <w:rFonts w:ascii="宋体" w:hAnsi="宋体" w:cs="宋体"/>
                <w:sz w:val="24"/>
                <w:highlight w:val="none"/>
              </w:rPr>
              <w:t xml:space="preserve">120W</w:t>
            </w:r>
            <w:r>
              <w:rPr>
                <w:rFonts w:ascii="宋体" w:hAnsi="宋体" w:cs="宋体"/>
                <w:sz w:val="24"/>
                <w:highlight w:val="none"/>
              </w:rPr>
            </w:r>
            <w:r/>
          </w:p>
        </w:tc>
        <w:tc>
          <w:tcPr>
            <w:tcMar>
              <w:left w:w="108" w:type="dxa"/>
              <w:top w:w="0" w:type="dxa"/>
              <w:right w:w="108" w:type="dxa"/>
              <w:bottom w:w="0" w:type="dxa"/>
            </w:tcMar>
            <w:tcW w:w="4206"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仿宋"/>
                <w:sz w:val="22"/>
                <w:szCs w:val="22"/>
                <w:highlight w:val="none"/>
              </w:rPr>
              <w:t xml:space="preserve">灯具尺寸</w:t>
            </w:r>
            <w:r>
              <w:rPr>
                <w:rFonts w:ascii="宋体" w:hAnsi="宋体" w:cs="宋体"/>
                <w:sz w:val="24"/>
                <w:highlight w:val="none"/>
              </w:rPr>
            </w:r>
            <w:r/>
          </w:p>
        </w:tc>
        <w:tc>
          <w:tcPr>
            <w:tcMar>
              <w:left w:w="108" w:type="dxa"/>
              <w:top w:w="0" w:type="dxa"/>
              <w:right w:w="108" w:type="dxa"/>
              <w:bottom w:w="0" w:type="dxa"/>
            </w:tcMar>
            <w:tcW w:w="3802"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仿宋"/>
                <w:sz w:val="22"/>
                <w:szCs w:val="22"/>
                <w:highlight w:val="none"/>
              </w:rPr>
              <w:t xml:space="preserve">长2615*宽530*高1220mm（长宽±5%，厚度±10%）</w:t>
            </w:r>
            <w:r>
              <w:rPr>
                <w:rFonts w:ascii="宋体" w:hAnsi="宋体" w:cs="宋体"/>
                <w:sz w:val="24"/>
                <w:highlight w:val="none"/>
              </w:rPr>
            </w:r>
            <w:r/>
          </w:p>
        </w:tc>
      </w:tr>
      <w:tr>
        <w:trPr>
          <w:trHeight w:val="286"/>
        </w:trPr>
        <w:tc>
          <w:tcPr>
            <w:tcW w:w="1277" w:type="dxa"/>
            <w:vAlign w:val="center"/>
            <w:vMerge w:val="continue"/>
            <w:textDirection w:val="lrTb"/>
            <w:noWrap w:val="false"/>
          </w:tcPr>
          <w:p>
            <w:pPr>
              <w:pStyle w:val="967"/>
              <w:jc w:val="center"/>
              <w:widowControl/>
              <w:rPr>
                <w:rFonts w:ascii="宋体" w:hAnsi="宋体" w:cs="宋体"/>
                <w:sz w:val="24"/>
                <w:highlight w:val="none"/>
              </w:rPr>
            </w:pPr>
            <w:r>
              <w:rPr>
                <w:rFonts w:ascii="宋体" w:hAnsi="宋体" w:cs="宋体"/>
                <w:sz w:val="24"/>
                <w:highlight w:val="none"/>
              </w:rPr>
            </w:r>
            <w:r/>
          </w:p>
        </w:tc>
        <w:tc>
          <w:tcPr>
            <w:tcMar>
              <w:left w:w="108" w:type="dxa"/>
              <w:top w:w="0" w:type="dxa"/>
              <w:right w:w="108" w:type="dxa"/>
              <w:bottom w:w="0" w:type="dxa"/>
            </w:tcMar>
            <w:tcW w:w="4206" w:type="dxa"/>
            <w:vAlign w:val="center"/>
            <w:textDirection w:val="lrTb"/>
            <w:noWrap w:val="false"/>
          </w:tcPr>
          <w:p>
            <w:pPr>
              <w:pStyle w:val="967"/>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t xml:space="preserve">IP防护等级</w:t>
            </w:r>
            <w:r>
              <w:rPr>
                <w:rFonts w:hint="eastAsia" w:ascii="等线" w:hAnsi="等线" w:eastAsia="等线" w:cs="宋体"/>
                <w:sz w:val="22"/>
                <w:szCs w:val="22"/>
                <w:highlight w:val="none"/>
              </w:rPr>
            </w:r>
            <w:r/>
          </w:p>
        </w:tc>
        <w:tc>
          <w:tcPr>
            <w:tcMar>
              <w:left w:w="108" w:type="dxa"/>
              <w:top w:w="0" w:type="dxa"/>
              <w:right w:w="108" w:type="dxa"/>
              <w:bottom w:w="0" w:type="dxa"/>
            </w:tcMar>
            <w:tcW w:w="3802" w:type="dxa"/>
            <w:vAlign w:val="center"/>
            <w:textDirection w:val="lrTb"/>
            <w:noWrap w:val="false"/>
          </w:tcPr>
          <w:p>
            <w:pPr>
              <w:pStyle w:val="967"/>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t xml:space="preserve">IP66及以上</w:t>
            </w:r>
            <w:r>
              <w:rPr>
                <w:rFonts w:hint="eastAsia" w:ascii="等线" w:hAnsi="等线" w:eastAsia="等线" w:cs="宋体"/>
                <w:sz w:val="22"/>
                <w:szCs w:val="22"/>
                <w:highlight w:val="none"/>
              </w:rPr>
            </w:r>
            <w:r/>
          </w:p>
        </w:tc>
      </w:tr>
      <w:tr>
        <w:trPr>
          <w:trHeight w:val="247"/>
        </w:trPr>
        <w:tc>
          <w:tcPr>
            <w:tcW w:w="1277" w:type="dxa"/>
            <w:vAlign w:val="center"/>
            <w:vMerge w:val="continue"/>
            <w:textDirection w:val="lrTb"/>
            <w:noWrap w:val="false"/>
          </w:tcPr>
          <w:p>
            <w:pPr>
              <w:pStyle w:val="967"/>
              <w:jc w:val="left"/>
              <w:widowControl/>
              <w:rPr>
                <w:rFonts w:ascii="宋体" w:hAnsi="宋体" w:cs="宋体"/>
                <w:sz w:val="24"/>
                <w:highlight w:val="none"/>
              </w:rPr>
            </w:pPr>
            <w:r>
              <w:rPr>
                <w:rFonts w:ascii="宋体" w:hAnsi="宋体" w:cs="宋体"/>
                <w:sz w:val="24"/>
                <w:highlight w:val="none"/>
              </w:rPr>
            </w:r>
            <w:r/>
          </w:p>
        </w:tc>
        <w:tc>
          <w:tcPr>
            <w:tcMar>
              <w:left w:w="108" w:type="dxa"/>
              <w:top w:w="0" w:type="dxa"/>
              <w:right w:w="108" w:type="dxa"/>
              <w:bottom w:w="0" w:type="dxa"/>
            </w:tcMar>
            <w:tcW w:w="4206"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灯具效能</w:t>
            </w:r>
            <w:r>
              <w:rPr>
                <w:rFonts w:ascii="宋体" w:hAnsi="宋体" w:cs="宋体"/>
                <w:sz w:val="24"/>
                <w:highlight w:val="none"/>
              </w:rPr>
            </w:r>
            <w:r/>
          </w:p>
        </w:tc>
        <w:tc>
          <w:tcPr>
            <w:tcMar>
              <w:left w:w="108" w:type="dxa"/>
              <w:top w:w="0" w:type="dxa"/>
              <w:right w:w="108" w:type="dxa"/>
              <w:bottom w:w="0" w:type="dxa"/>
            </w:tcMar>
            <w:tcW w:w="3802"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≥140Lm/W</w:t>
            </w:r>
            <w:r>
              <w:rPr>
                <w:rFonts w:ascii="宋体" w:hAnsi="宋体" w:cs="宋体"/>
                <w:sz w:val="24"/>
                <w:highlight w:val="none"/>
              </w:rPr>
            </w:r>
            <w:r/>
          </w:p>
        </w:tc>
      </w:tr>
      <w:tr>
        <w:trPr>
          <w:trHeight w:val="238"/>
        </w:trPr>
        <w:tc>
          <w:tcPr>
            <w:tcW w:w="1277" w:type="dxa"/>
            <w:vAlign w:val="center"/>
            <w:vMerge w:val="continue"/>
            <w:textDirection w:val="lrTb"/>
            <w:noWrap w:val="false"/>
          </w:tcPr>
          <w:p>
            <w:pPr>
              <w:pStyle w:val="967"/>
              <w:jc w:val="left"/>
              <w:widowControl/>
              <w:rPr>
                <w:rFonts w:ascii="宋体" w:hAnsi="宋体" w:cs="宋体"/>
                <w:sz w:val="24"/>
                <w:highlight w:val="none"/>
              </w:rPr>
            </w:pPr>
            <w:r>
              <w:rPr>
                <w:rFonts w:ascii="宋体" w:hAnsi="宋体" w:cs="宋体"/>
                <w:sz w:val="24"/>
                <w:highlight w:val="none"/>
              </w:rPr>
            </w:r>
            <w:r/>
          </w:p>
        </w:tc>
        <w:tc>
          <w:tcPr>
            <w:tcMar>
              <w:left w:w="108" w:type="dxa"/>
              <w:top w:w="0" w:type="dxa"/>
              <w:right w:w="108" w:type="dxa"/>
              <w:bottom w:w="0" w:type="dxa"/>
            </w:tcMar>
            <w:tcW w:w="4206"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色温</w:t>
            </w:r>
            <w:r>
              <w:rPr>
                <w:rFonts w:ascii="宋体" w:hAnsi="宋体" w:cs="宋体"/>
                <w:sz w:val="24"/>
                <w:highlight w:val="none"/>
              </w:rPr>
            </w:r>
            <w:r/>
          </w:p>
        </w:tc>
        <w:tc>
          <w:tcPr>
            <w:tcMar>
              <w:left w:w="108" w:type="dxa"/>
              <w:top w:w="0" w:type="dxa"/>
              <w:right w:w="108" w:type="dxa"/>
              <w:bottom w:w="0" w:type="dxa"/>
            </w:tcMar>
            <w:tcW w:w="3802"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3000K±200</w:t>
            </w:r>
            <w:r>
              <w:rPr>
                <w:rFonts w:ascii="宋体" w:hAnsi="宋体" w:cs="宋体"/>
                <w:sz w:val="24"/>
                <w:highlight w:val="none"/>
              </w:rPr>
            </w:r>
            <w:r/>
          </w:p>
        </w:tc>
      </w:tr>
      <w:tr>
        <w:trPr>
          <w:trHeight w:val="341"/>
        </w:trPr>
        <w:tc>
          <w:tcPr>
            <w:tcW w:w="1277" w:type="dxa"/>
            <w:vAlign w:val="center"/>
            <w:vMerge w:val="continue"/>
            <w:textDirection w:val="lrTb"/>
            <w:noWrap w:val="false"/>
          </w:tcPr>
          <w:p>
            <w:pPr>
              <w:pStyle w:val="967"/>
              <w:jc w:val="left"/>
              <w:widowControl/>
              <w:rPr>
                <w:rFonts w:ascii="宋体" w:hAnsi="宋体" w:cs="宋体"/>
                <w:sz w:val="24"/>
                <w:highlight w:val="none"/>
              </w:rPr>
            </w:pPr>
            <w:r>
              <w:rPr>
                <w:rFonts w:ascii="宋体" w:hAnsi="宋体" w:cs="宋体"/>
                <w:sz w:val="24"/>
                <w:highlight w:val="none"/>
              </w:rPr>
            </w:r>
            <w:r/>
          </w:p>
        </w:tc>
        <w:tc>
          <w:tcPr>
            <w:tcMar>
              <w:left w:w="108" w:type="dxa"/>
              <w:top w:w="0" w:type="dxa"/>
              <w:right w:w="108" w:type="dxa"/>
              <w:bottom w:w="0" w:type="dxa"/>
            </w:tcMar>
            <w:tcW w:w="4206"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显色指数</w:t>
            </w:r>
            <w:r>
              <w:rPr>
                <w:rFonts w:ascii="宋体" w:hAnsi="宋体" w:cs="宋体"/>
                <w:sz w:val="24"/>
                <w:highlight w:val="none"/>
              </w:rPr>
            </w:r>
            <w:r/>
          </w:p>
        </w:tc>
        <w:tc>
          <w:tcPr>
            <w:tcMar>
              <w:left w:w="108" w:type="dxa"/>
              <w:top w:w="0" w:type="dxa"/>
              <w:right w:w="108" w:type="dxa"/>
              <w:bottom w:w="0" w:type="dxa"/>
            </w:tcMar>
            <w:tcW w:w="3802"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≥70</w:t>
            </w:r>
            <w:r>
              <w:rPr>
                <w:rFonts w:ascii="宋体" w:hAnsi="宋体" w:cs="宋体"/>
                <w:sz w:val="24"/>
                <w:highlight w:val="none"/>
              </w:rPr>
            </w:r>
            <w:r/>
          </w:p>
        </w:tc>
      </w:tr>
      <w:tr>
        <w:trPr>
          <w:trHeight w:val="570"/>
        </w:trPr>
        <w:tc>
          <w:tcPr>
            <w:tcW w:w="1277" w:type="dxa"/>
            <w:vAlign w:val="center"/>
            <w:vMerge w:val="continue"/>
            <w:textDirection w:val="lrTb"/>
            <w:noWrap w:val="false"/>
          </w:tcPr>
          <w:p>
            <w:pPr>
              <w:pStyle w:val="967"/>
              <w:jc w:val="left"/>
              <w:widowControl/>
              <w:rPr>
                <w:rFonts w:ascii="宋体" w:hAnsi="宋体" w:cs="宋体"/>
                <w:sz w:val="24"/>
                <w:highlight w:val="none"/>
              </w:rPr>
            </w:pPr>
            <w:r>
              <w:rPr>
                <w:rFonts w:ascii="宋体" w:hAnsi="宋体" w:cs="宋体"/>
                <w:sz w:val="24"/>
                <w:highlight w:val="none"/>
              </w:rPr>
            </w:r>
            <w:r/>
          </w:p>
        </w:tc>
        <w:tc>
          <w:tcPr>
            <w:tcMar>
              <w:left w:w="108" w:type="dxa"/>
              <w:top w:w="0" w:type="dxa"/>
              <w:right w:w="108" w:type="dxa"/>
              <w:bottom w:w="0" w:type="dxa"/>
            </w:tcMar>
            <w:tcW w:w="4206"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灯具的谐波电流、无线电骚扰、浪涌抗扰度、电磁兼容抗扰度</w:t>
            </w:r>
            <w:r>
              <w:rPr>
                <w:rFonts w:ascii="宋体" w:hAnsi="宋体" w:cs="宋体"/>
                <w:sz w:val="24"/>
                <w:highlight w:val="none"/>
              </w:rPr>
            </w:r>
            <w:r/>
          </w:p>
        </w:tc>
        <w:tc>
          <w:tcPr>
            <w:tcMar>
              <w:left w:w="108" w:type="dxa"/>
              <w:top w:w="0" w:type="dxa"/>
              <w:right w:w="108" w:type="dxa"/>
              <w:bottom w:w="0" w:type="dxa"/>
            </w:tcMar>
            <w:tcW w:w="3802"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满足标准GB17625.1、GB17743、GB/T 17626.5、GB/T18595的要求</w:t>
            </w:r>
            <w:r>
              <w:rPr>
                <w:rFonts w:ascii="宋体" w:hAnsi="宋体" w:cs="宋体"/>
                <w:sz w:val="24"/>
                <w:highlight w:val="none"/>
              </w:rPr>
            </w:r>
            <w:r/>
          </w:p>
        </w:tc>
      </w:tr>
      <w:tr>
        <w:trPr>
          <w:trHeight w:val="285"/>
        </w:trPr>
        <w:tc>
          <w:tcPr>
            <w:tcW w:w="1277" w:type="dxa"/>
            <w:vAlign w:val="center"/>
            <w:vMerge w:val="restart"/>
            <w:textDirection w:val="lrTb"/>
            <w:noWrap w:val="false"/>
          </w:tcPr>
          <w:p>
            <w:pPr>
              <w:pStyle w:val="967"/>
              <w:jc w:val="center"/>
              <w:rPr>
                <w:rFonts w:ascii="宋体" w:hAnsi="宋体" w:cs="宋体"/>
                <w:sz w:val="24"/>
                <w:highlight w:val="none"/>
              </w:rPr>
            </w:pPr>
            <w:r>
              <w:rPr>
                <w:rFonts w:ascii="宋体" w:hAnsi="宋体" w:cs="宋体"/>
                <w:sz w:val="24"/>
                <w:highlight w:val="none"/>
              </w:rPr>
              <w:t xml:space="preserve">160W</w:t>
            </w:r>
            <w:r>
              <w:rPr>
                <w:rFonts w:ascii="宋体" w:hAnsi="宋体" w:cs="宋体"/>
                <w:sz w:val="24"/>
                <w:highlight w:val="none"/>
              </w:rPr>
            </w:r>
            <w:r/>
          </w:p>
        </w:tc>
        <w:tc>
          <w:tcPr>
            <w:tcMar>
              <w:left w:w="108" w:type="dxa"/>
              <w:top w:w="0" w:type="dxa"/>
              <w:right w:w="108" w:type="dxa"/>
              <w:bottom w:w="0" w:type="dxa"/>
            </w:tcMar>
            <w:tcW w:w="4206"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仿宋"/>
                <w:sz w:val="22"/>
                <w:szCs w:val="22"/>
                <w:highlight w:val="none"/>
              </w:rPr>
              <w:t xml:space="preserve">灯具尺寸</w:t>
            </w:r>
            <w:r>
              <w:rPr>
                <w:rFonts w:ascii="宋体" w:hAnsi="宋体" w:cs="宋体"/>
                <w:sz w:val="24"/>
                <w:highlight w:val="none"/>
              </w:rPr>
            </w:r>
            <w:r/>
          </w:p>
        </w:tc>
        <w:tc>
          <w:tcPr>
            <w:tcMar>
              <w:left w:w="108" w:type="dxa"/>
              <w:top w:w="0" w:type="dxa"/>
              <w:right w:w="108" w:type="dxa"/>
              <w:bottom w:w="0" w:type="dxa"/>
            </w:tcMar>
            <w:tcW w:w="3802"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仿宋"/>
                <w:sz w:val="22"/>
                <w:szCs w:val="22"/>
                <w:highlight w:val="none"/>
              </w:rPr>
              <w:t xml:space="preserve">长2615*宽530*高1220mm（长宽±5%，厚度±10%）</w:t>
            </w:r>
            <w:r>
              <w:rPr>
                <w:rFonts w:ascii="宋体" w:hAnsi="宋体" w:cs="宋体"/>
                <w:sz w:val="24"/>
                <w:highlight w:val="none"/>
              </w:rPr>
            </w:r>
            <w:r/>
          </w:p>
        </w:tc>
      </w:tr>
      <w:tr>
        <w:trPr>
          <w:trHeight w:val="285"/>
        </w:trPr>
        <w:tc>
          <w:tcPr>
            <w:tcW w:w="1277" w:type="dxa"/>
            <w:vAlign w:val="center"/>
            <w:vMerge w:val="continue"/>
            <w:textDirection w:val="lrTb"/>
            <w:noWrap w:val="false"/>
          </w:tcPr>
          <w:p>
            <w:pPr>
              <w:pStyle w:val="967"/>
              <w:jc w:val="center"/>
              <w:rPr>
                <w:rFonts w:ascii="宋体" w:hAnsi="宋体" w:cs="宋体"/>
                <w:sz w:val="24"/>
                <w:highlight w:val="none"/>
              </w:rPr>
            </w:pPr>
            <w:r>
              <w:rPr>
                <w:rFonts w:ascii="宋体" w:hAnsi="宋体" w:cs="宋体"/>
                <w:sz w:val="24"/>
                <w:highlight w:val="none"/>
              </w:rPr>
            </w:r>
            <w:r/>
          </w:p>
        </w:tc>
        <w:tc>
          <w:tcPr>
            <w:tcMar>
              <w:left w:w="108" w:type="dxa"/>
              <w:top w:w="0" w:type="dxa"/>
              <w:right w:w="108" w:type="dxa"/>
              <w:bottom w:w="0" w:type="dxa"/>
            </w:tcMar>
            <w:tcW w:w="4206" w:type="dxa"/>
            <w:vAlign w:val="center"/>
            <w:textDirection w:val="lrTb"/>
            <w:noWrap w:val="false"/>
          </w:tcPr>
          <w:p>
            <w:pPr>
              <w:pStyle w:val="967"/>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t xml:space="preserve">IP防护等级</w:t>
            </w:r>
            <w:r>
              <w:rPr>
                <w:rFonts w:hint="eastAsia" w:ascii="等线" w:hAnsi="等线" w:eastAsia="等线" w:cs="宋体"/>
                <w:sz w:val="22"/>
                <w:szCs w:val="22"/>
                <w:highlight w:val="none"/>
              </w:rPr>
            </w:r>
            <w:r/>
          </w:p>
        </w:tc>
        <w:tc>
          <w:tcPr>
            <w:tcMar>
              <w:left w:w="108" w:type="dxa"/>
              <w:top w:w="0" w:type="dxa"/>
              <w:right w:w="108" w:type="dxa"/>
              <w:bottom w:w="0" w:type="dxa"/>
            </w:tcMar>
            <w:tcW w:w="3802" w:type="dxa"/>
            <w:vAlign w:val="center"/>
            <w:textDirection w:val="lrTb"/>
            <w:noWrap w:val="false"/>
          </w:tcPr>
          <w:p>
            <w:pPr>
              <w:pStyle w:val="967"/>
              <w:jc w:val="center"/>
              <w:widowControl/>
              <w:rPr>
                <w:rFonts w:hint="eastAsia" w:ascii="等线" w:hAnsi="等线" w:eastAsia="等线" w:cs="宋体"/>
                <w:sz w:val="22"/>
                <w:szCs w:val="22"/>
                <w:highlight w:val="none"/>
              </w:rPr>
            </w:pPr>
            <w:r>
              <w:rPr>
                <w:rFonts w:hint="eastAsia" w:ascii="等线" w:hAnsi="等线" w:eastAsia="等线" w:cs="宋体"/>
                <w:sz w:val="22"/>
                <w:szCs w:val="22"/>
                <w:highlight w:val="none"/>
              </w:rPr>
              <w:t xml:space="preserve">IP66及以上</w:t>
            </w:r>
            <w:r>
              <w:rPr>
                <w:rFonts w:hint="eastAsia" w:ascii="等线" w:hAnsi="等线" w:eastAsia="等线" w:cs="宋体"/>
                <w:sz w:val="22"/>
                <w:szCs w:val="22"/>
                <w:highlight w:val="none"/>
              </w:rPr>
            </w:r>
            <w:r/>
          </w:p>
        </w:tc>
      </w:tr>
      <w:tr>
        <w:trPr>
          <w:trHeight w:val="285"/>
        </w:trPr>
        <w:tc>
          <w:tcPr>
            <w:tcW w:w="1277" w:type="dxa"/>
            <w:vAlign w:val="center"/>
            <w:vMerge w:val="continue"/>
            <w:textDirection w:val="lrTb"/>
            <w:noWrap w:val="false"/>
          </w:tcPr>
          <w:p>
            <w:pPr>
              <w:pStyle w:val="967"/>
              <w:jc w:val="left"/>
              <w:rPr>
                <w:rFonts w:ascii="宋体" w:hAnsi="宋体" w:cs="宋体"/>
                <w:sz w:val="24"/>
                <w:highlight w:val="none"/>
              </w:rPr>
            </w:pPr>
            <w:r>
              <w:rPr>
                <w:rFonts w:ascii="宋体" w:hAnsi="宋体" w:cs="宋体"/>
                <w:sz w:val="24"/>
                <w:highlight w:val="none"/>
              </w:rPr>
            </w:r>
            <w:r/>
          </w:p>
        </w:tc>
        <w:tc>
          <w:tcPr>
            <w:tcMar>
              <w:left w:w="108" w:type="dxa"/>
              <w:top w:w="0" w:type="dxa"/>
              <w:right w:w="108" w:type="dxa"/>
              <w:bottom w:w="0" w:type="dxa"/>
            </w:tcMar>
            <w:tcW w:w="4206"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灯具效能</w:t>
            </w:r>
            <w:r>
              <w:rPr>
                <w:rFonts w:ascii="宋体" w:hAnsi="宋体" w:cs="宋体"/>
                <w:sz w:val="24"/>
                <w:highlight w:val="none"/>
              </w:rPr>
            </w:r>
            <w:r/>
          </w:p>
        </w:tc>
        <w:tc>
          <w:tcPr>
            <w:tcMar>
              <w:left w:w="108" w:type="dxa"/>
              <w:top w:w="0" w:type="dxa"/>
              <w:right w:w="108" w:type="dxa"/>
              <w:bottom w:w="0" w:type="dxa"/>
            </w:tcMar>
            <w:tcW w:w="3802"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≥140Lm/W</w:t>
            </w:r>
            <w:r>
              <w:rPr>
                <w:rFonts w:ascii="宋体" w:hAnsi="宋体" w:cs="宋体"/>
                <w:sz w:val="24"/>
                <w:highlight w:val="none"/>
              </w:rPr>
            </w:r>
            <w:r/>
          </w:p>
        </w:tc>
      </w:tr>
      <w:tr>
        <w:trPr>
          <w:trHeight w:val="285"/>
        </w:trPr>
        <w:tc>
          <w:tcPr>
            <w:tcW w:w="1277" w:type="dxa"/>
            <w:vAlign w:val="center"/>
            <w:vMerge w:val="continue"/>
            <w:textDirection w:val="lrTb"/>
            <w:noWrap w:val="false"/>
          </w:tcPr>
          <w:p>
            <w:pPr>
              <w:pStyle w:val="967"/>
              <w:jc w:val="left"/>
              <w:widowControl/>
              <w:rPr>
                <w:rFonts w:ascii="宋体" w:hAnsi="宋体" w:cs="宋体"/>
                <w:sz w:val="24"/>
                <w:highlight w:val="none"/>
              </w:rPr>
            </w:pPr>
            <w:r>
              <w:rPr>
                <w:rFonts w:ascii="宋体" w:hAnsi="宋体" w:cs="宋体"/>
                <w:sz w:val="24"/>
                <w:highlight w:val="none"/>
              </w:rPr>
            </w:r>
            <w:r/>
          </w:p>
        </w:tc>
        <w:tc>
          <w:tcPr>
            <w:tcMar>
              <w:left w:w="108" w:type="dxa"/>
              <w:top w:w="0" w:type="dxa"/>
              <w:right w:w="108" w:type="dxa"/>
              <w:bottom w:w="0" w:type="dxa"/>
            </w:tcMar>
            <w:tcW w:w="4206"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色温</w:t>
            </w:r>
            <w:r>
              <w:rPr>
                <w:rFonts w:ascii="宋体" w:hAnsi="宋体" w:cs="宋体"/>
                <w:sz w:val="24"/>
                <w:highlight w:val="none"/>
              </w:rPr>
            </w:r>
            <w:r/>
          </w:p>
        </w:tc>
        <w:tc>
          <w:tcPr>
            <w:tcMar>
              <w:left w:w="108" w:type="dxa"/>
              <w:top w:w="0" w:type="dxa"/>
              <w:right w:w="108" w:type="dxa"/>
              <w:bottom w:w="0" w:type="dxa"/>
            </w:tcMar>
            <w:tcW w:w="3802"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3000K±200</w:t>
            </w:r>
            <w:r>
              <w:rPr>
                <w:rFonts w:ascii="宋体" w:hAnsi="宋体" w:cs="宋体"/>
                <w:sz w:val="24"/>
                <w:highlight w:val="none"/>
              </w:rPr>
            </w:r>
            <w:r/>
          </w:p>
        </w:tc>
      </w:tr>
      <w:tr>
        <w:trPr>
          <w:trHeight w:val="285"/>
        </w:trPr>
        <w:tc>
          <w:tcPr>
            <w:tcW w:w="1277" w:type="dxa"/>
            <w:vAlign w:val="center"/>
            <w:vMerge w:val="continue"/>
            <w:textDirection w:val="lrTb"/>
            <w:noWrap w:val="false"/>
          </w:tcPr>
          <w:p>
            <w:pPr>
              <w:pStyle w:val="967"/>
              <w:jc w:val="left"/>
              <w:widowControl/>
              <w:rPr>
                <w:rFonts w:ascii="宋体" w:hAnsi="宋体" w:cs="宋体"/>
                <w:sz w:val="24"/>
                <w:highlight w:val="none"/>
              </w:rPr>
            </w:pPr>
            <w:r>
              <w:rPr>
                <w:rFonts w:ascii="宋体" w:hAnsi="宋体" w:cs="宋体"/>
                <w:sz w:val="24"/>
                <w:highlight w:val="none"/>
              </w:rPr>
            </w:r>
            <w:r/>
          </w:p>
        </w:tc>
        <w:tc>
          <w:tcPr>
            <w:tcMar>
              <w:left w:w="108" w:type="dxa"/>
              <w:top w:w="0" w:type="dxa"/>
              <w:right w:w="108" w:type="dxa"/>
              <w:bottom w:w="0" w:type="dxa"/>
            </w:tcMar>
            <w:tcW w:w="4206"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显色指数</w:t>
            </w:r>
            <w:r>
              <w:rPr>
                <w:rFonts w:ascii="宋体" w:hAnsi="宋体" w:cs="宋体"/>
                <w:sz w:val="24"/>
                <w:highlight w:val="none"/>
              </w:rPr>
            </w:r>
            <w:r/>
          </w:p>
        </w:tc>
        <w:tc>
          <w:tcPr>
            <w:tcMar>
              <w:left w:w="108" w:type="dxa"/>
              <w:top w:w="0" w:type="dxa"/>
              <w:right w:w="108" w:type="dxa"/>
              <w:bottom w:w="0" w:type="dxa"/>
            </w:tcMar>
            <w:tcW w:w="3802"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≥70</w:t>
            </w:r>
            <w:r>
              <w:rPr>
                <w:rFonts w:ascii="宋体" w:hAnsi="宋体" w:cs="宋体"/>
                <w:sz w:val="24"/>
                <w:highlight w:val="none"/>
              </w:rPr>
            </w:r>
            <w:r/>
          </w:p>
        </w:tc>
      </w:tr>
      <w:tr>
        <w:trPr>
          <w:trHeight w:val="285"/>
        </w:trPr>
        <w:tc>
          <w:tcPr>
            <w:tcW w:w="1277" w:type="dxa"/>
            <w:vAlign w:val="center"/>
            <w:vMerge w:val="continue"/>
            <w:textDirection w:val="lrTb"/>
            <w:noWrap w:val="false"/>
          </w:tcPr>
          <w:p>
            <w:pPr>
              <w:pStyle w:val="967"/>
              <w:jc w:val="left"/>
              <w:widowControl/>
              <w:rPr>
                <w:rFonts w:ascii="宋体" w:hAnsi="宋体" w:cs="宋体"/>
                <w:sz w:val="24"/>
                <w:highlight w:val="none"/>
              </w:rPr>
            </w:pPr>
            <w:r>
              <w:rPr>
                <w:rFonts w:ascii="宋体" w:hAnsi="宋体" w:cs="宋体"/>
                <w:sz w:val="24"/>
                <w:highlight w:val="none"/>
              </w:rPr>
            </w:r>
            <w:r/>
          </w:p>
        </w:tc>
        <w:tc>
          <w:tcPr>
            <w:tcMar>
              <w:left w:w="108" w:type="dxa"/>
              <w:top w:w="0" w:type="dxa"/>
              <w:right w:w="108" w:type="dxa"/>
              <w:bottom w:w="0" w:type="dxa"/>
            </w:tcMar>
            <w:tcW w:w="4206"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灯具的谐波电流、无线电骚扰、浪涌抗扰度、电磁兼容抗扰度</w:t>
            </w:r>
            <w:r>
              <w:rPr>
                <w:rFonts w:ascii="宋体" w:hAnsi="宋体" w:cs="宋体"/>
                <w:sz w:val="24"/>
                <w:highlight w:val="none"/>
              </w:rPr>
            </w:r>
            <w:r/>
          </w:p>
        </w:tc>
        <w:tc>
          <w:tcPr>
            <w:tcMar>
              <w:left w:w="108" w:type="dxa"/>
              <w:top w:w="0" w:type="dxa"/>
              <w:right w:w="108" w:type="dxa"/>
              <w:bottom w:w="0" w:type="dxa"/>
            </w:tcMar>
            <w:tcW w:w="3802"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满足标准GB17625.1、GB17743、GB/T 17626.5、GB/T18595的要求</w:t>
            </w:r>
            <w:r>
              <w:rPr>
                <w:rFonts w:ascii="宋体" w:hAnsi="宋体" w:cs="宋体"/>
                <w:sz w:val="24"/>
                <w:highlight w:val="none"/>
              </w:rPr>
            </w:r>
            <w:r/>
          </w:p>
        </w:tc>
      </w:tr>
    </w:tbl>
    <w:p>
      <w:pPr>
        <w:pStyle w:val="967"/>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2、</w:t>
      </w:r>
      <w:bookmarkStart w:id="208" w:name="OLE_LINK8"/>
      <w:r>
        <w:rPr>
          <w:rFonts w:hint="eastAsia" w:ascii="宋体" w:hAnsi="宋体" w:cs="宋体"/>
          <w:b/>
          <w:bCs/>
          <w:sz w:val="24"/>
          <w:szCs w:val="24"/>
          <w:highlight w:val="none"/>
        </w:rPr>
        <w:t xml:space="preserve">商品包装环保要求：</w:t>
      </w:r>
      <w:r>
        <w:rPr>
          <w:rFonts w:hint="eastAsia" w:ascii="宋体" w:hAnsi="宋体" w:cs="宋体"/>
          <w:b/>
          <w:bCs/>
          <w:sz w:val="24"/>
          <w:szCs w:val="24"/>
          <w:highlight w:val="none"/>
        </w:rPr>
      </w:r>
      <w:r/>
    </w:p>
    <w:p>
      <w:pPr>
        <w:pStyle w:val="967"/>
        <w:spacing w:line="300" w:lineRule="auto"/>
        <w:widowControl/>
        <w:rPr>
          <w:rFonts w:hint="eastAsia" w:ascii="宋体" w:hAnsi="宋体" w:cs="宋体"/>
          <w:bCs/>
          <w:sz w:val="24"/>
          <w:szCs w:val="24"/>
          <w:highlight w:val="none"/>
        </w:rPr>
      </w:pPr>
      <w:r/>
      <w:bookmarkEnd w:id="207"/>
      <w:r/>
      <w:bookmarkEnd w:id="208"/>
      <w:r>
        <w:rPr>
          <w:rFonts w:hint="eastAsia" w:ascii="宋体" w:hAnsi="宋体" w:cs="宋体"/>
          <w:bCs/>
          <w:sz w:val="24"/>
          <w:szCs w:val="24"/>
          <w:highlight w:val="none"/>
        </w:rPr>
        <w:t xml:space="preserve">（1）商品包装层数不得超过 3 层，空隙率不大于 40%；</w:t>
      </w:r>
      <w:r>
        <w:rPr>
          <w:rFonts w:hint="eastAsia" w:ascii="宋体" w:hAnsi="宋体" w:cs="宋体"/>
          <w:bCs/>
          <w:sz w:val="24"/>
          <w:szCs w:val="24"/>
          <w:highlight w:val="none"/>
        </w:rPr>
      </w:r>
      <w:r/>
    </w:p>
    <w:p>
      <w:pPr>
        <w:pStyle w:val="967"/>
        <w:spacing w:line="30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（2）商品包装尽可能使用单一材质的包装材料，如因功能需求必需使用不同材质，不同材质间应便于分离；</w:t>
      </w:r>
      <w:r>
        <w:rPr>
          <w:rFonts w:hint="eastAsia" w:ascii="宋体" w:hAnsi="宋体" w:cs="宋体"/>
          <w:bCs/>
          <w:sz w:val="24"/>
          <w:szCs w:val="24"/>
          <w:highlight w:val="none"/>
        </w:rPr>
      </w:r>
      <w:r/>
    </w:p>
    <w:p>
      <w:pPr>
        <w:pStyle w:val="967"/>
        <w:spacing w:line="30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（3）商品包装中铅、汞、镉、六价铬的总含量应不大于100mg/kg；</w:t>
      </w:r>
      <w:r>
        <w:rPr>
          <w:rFonts w:hint="eastAsia" w:ascii="宋体" w:hAnsi="宋体" w:cs="宋体"/>
          <w:bCs/>
          <w:sz w:val="24"/>
          <w:szCs w:val="24"/>
          <w:highlight w:val="none"/>
        </w:rPr>
      </w:r>
      <w:r/>
    </w:p>
    <w:p>
      <w:pPr>
        <w:pStyle w:val="967"/>
        <w:spacing w:line="30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（4）商品包装印刷使用的油墨中挥发性有机化合物(VOCs)含量应不大于 5%（以重量计）；</w:t>
      </w:r>
      <w:r>
        <w:rPr>
          <w:rFonts w:hint="eastAsia" w:ascii="宋体" w:hAnsi="宋体" w:cs="宋体"/>
          <w:bCs/>
          <w:sz w:val="24"/>
          <w:szCs w:val="24"/>
          <w:highlight w:val="none"/>
        </w:rPr>
      </w:r>
      <w:r/>
    </w:p>
    <w:p>
      <w:pPr>
        <w:pStyle w:val="967"/>
        <w:spacing w:line="30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（5）塑料材质商品包装上呈现的印刷颜色不得超过 6 色；</w:t>
      </w:r>
      <w:r>
        <w:rPr>
          <w:rFonts w:hint="eastAsia" w:ascii="宋体" w:hAnsi="宋体" w:cs="宋体"/>
          <w:bCs/>
          <w:sz w:val="24"/>
          <w:szCs w:val="24"/>
          <w:highlight w:val="none"/>
        </w:rPr>
      </w:r>
      <w:r/>
    </w:p>
    <w:p>
      <w:pPr>
        <w:pStyle w:val="967"/>
        <w:spacing w:line="30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（6）纸质商品包装应使用 75%以上的可再生纤维原料生产；</w:t>
      </w:r>
      <w:r>
        <w:rPr>
          <w:rFonts w:hint="eastAsia" w:ascii="宋体" w:hAnsi="宋体" w:cs="宋体"/>
          <w:bCs/>
          <w:sz w:val="24"/>
          <w:szCs w:val="24"/>
          <w:highlight w:val="none"/>
        </w:rPr>
      </w:r>
      <w:r/>
    </w:p>
    <w:p>
      <w:pPr>
        <w:pStyle w:val="967"/>
        <w:spacing w:line="300" w:lineRule="auto"/>
        <w:widowControl/>
        <w:rPr>
          <w:rFonts w:ascii="宋体" w:hAnsi="宋体" w:cs="宋体"/>
          <w:bCs/>
          <w:sz w:val="24"/>
          <w:szCs w:val="24"/>
          <w:highlight w:val="none"/>
        </w:rPr>
      </w:pPr>
      <w:r>
        <w:rPr>
          <w:rFonts w:hint="eastAsia" w:ascii="宋体" w:hAnsi="宋体" w:cs="宋体"/>
          <w:bCs/>
          <w:sz w:val="24"/>
          <w:szCs w:val="24"/>
          <w:highlight w:val="none"/>
        </w:rPr>
        <w:t xml:space="preserve">（7）木质商品包装的原料应来源于可持续性森林。</w:t>
      </w:r>
      <w:r>
        <w:rPr>
          <w:rFonts w:ascii="宋体" w:hAnsi="宋体" w:cs="宋体"/>
          <w:bCs/>
          <w:sz w:val="24"/>
          <w:szCs w:val="24"/>
          <w:highlight w:val="none"/>
        </w:rPr>
      </w:r>
      <w:r/>
    </w:p>
    <w:p>
      <w:pPr>
        <w:pStyle w:val="967"/>
        <w:ind w:firstLine="482"/>
        <w:spacing w:line="300" w:lineRule="auto"/>
        <w:widowControl/>
        <w:rPr>
          <w:rFonts w:hint="eastAsia" w:ascii="宋体" w:hAnsi="宋体" w:cs="宋体"/>
          <w:bCs/>
          <w:sz w:val="24"/>
          <w:szCs w:val="24"/>
          <w:highlight w:val="none"/>
        </w:rPr>
      </w:pPr>
      <w:r>
        <w:rPr>
          <w:rFonts w:hint="eastAsia" w:ascii="宋体" w:hAnsi="宋体" w:cs="宋体"/>
          <w:b/>
          <w:bCs/>
          <w:sz w:val="24"/>
          <w:szCs w:val="24"/>
          <w:highlight w:val="none"/>
        </w:rPr>
        <w:t xml:space="preserve">3、低挥发性有机化合物产品：</w:t>
      </w:r>
      <w:r>
        <w:rPr>
          <w:rFonts w:hint="eastAsia" w:ascii="宋体" w:hAnsi="宋体" w:cs="宋体"/>
          <w:bCs/>
          <w:sz w:val="24"/>
          <w:szCs w:val="24"/>
          <w:highlight w:val="none"/>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ascii="宋体" w:hAnsi="宋体" w:cs="宋体"/>
          <w:bCs/>
          <w:sz w:val="24"/>
          <w:szCs w:val="24"/>
          <w:highlight w:val="none"/>
        </w:rPr>
      </w:r>
      <w:r/>
    </w:p>
    <w:p>
      <w:pPr>
        <w:pStyle w:val="967"/>
        <w:ind w:firstLine="482"/>
        <w:spacing w:line="300" w:lineRule="auto"/>
        <w:widowControl/>
        <w:rPr>
          <w:rFonts w:hint="eastAsia" w:ascii="宋体" w:hAnsi="宋体" w:cs="宋体"/>
          <w:bCs/>
          <w:sz w:val="24"/>
          <w:szCs w:val="24"/>
          <w:highlight w:val="none"/>
        </w:rPr>
      </w:pPr>
      <w:r>
        <w:rPr>
          <w:rFonts w:hint="eastAsia" w:ascii="宋体" w:hAnsi="宋体" w:cs="宋体"/>
          <w:b/>
          <w:bCs/>
          <w:sz w:val="24"/>
          <w:szCs w:val="24"/>
          <w:highlight w:val="none"/>
        </w:rPr>
        <w:t xml:space="preserve">4、节能环保产品：</w:t>
      </w:r>
      <w:r>
        <w:rPr>
          <w:rFonts w:hint="eastAsia" w:ascii="宋体" w:hAnsi="宋体" w:cs="宋体"/>
          <w:bCs/>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cs="宋体"/>
          <w:bCs/>
          <w:sz w:val="24"/>
          <w:szCs w:val="24"/>
          <w:highlight w:val="none"/>
        </w:rPr>
      </w:r>
      <w:r/>
    </w:p>
    <w:p>
      <w:pPr>
        <w:pStyle w:val="967"/>
        <w:ind w:firstLine="482"/>
        <w:spacing w:line="30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5、其他技术、服务等要求</w:t>
      </w:r>
      <w:r>
        <w:rPr>
          <w:rFonts w:hint="eastAsia" w:ascii="宋体" w:hAnsi="宋体" w:cs="宋体"/>
          <w:b/>
          <w:bCs/>
          <w:sz w:val="24"/>
          <w:szCs w:val="24"/>
          <w:highlight w:val="none"/>
        </w:rPr>
      </w:r>
      <w:r/>
    </w:p>
    <w:p>
      <w:pPr>
        <w:pStyle w:val="96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5.1材料供应</w:t>
      </w:r>
      <w:r>
        <w:rPr>
          <w:rFonts w:hint="eastAsia" w:ascii="宋体" w:hAnsi="宋体" w:cs="宋体"/>
          <w:sz w:val="24"/>
          <w:szCs w:val="24"/>
          <w:highlight w:val="none"/>
        </w:rPr>
      </w:r>
      <w:r/>
    </w:p>
    <w:p>
      <w:pPr>
        <w:pStyle w:val="96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本项目所用的材料、机具、设备、安全保障设施等均由中标人自行采购，需提供机具合格证后方可进场投入使用。</w:t>
      </w:r>
      <w:r>
        <w:rPr>
          <w:rFonts w:hint="eastAsia" w:ascii="宋体" w:hAnsi="宋体" w:cs="宋体"/>
          <w:sz w:val="24"/>
          <w:szCs w:val="24"/>
          <w:highlight w:val="none"/>
        </w:rPr>
      </w:r>
      <w:r/>
    </w:p>
    <w:p>
      <w:pPr>
        <w:pStyle w:val="96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5.2人员管理</w:t>
      </w:r>
      <w:r>
        <w:rPr>
          <w:rFonts w:hint="eastAsia" w:ascii="宋体" w:hAnsi="宋体" w:cs="宋体"/>
          <w:sz w:val="24"/>
          <w:szCs w:val="24"/>
          <w:highlight w:val="none"/>
        </w:rPr>
      </w:r>
      <w:r/>
    </w:p>
    <w:p>
      <w:pPr>
        <w:pStyle w:val="96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中标人在项目现场必须配备专职安全员。特种作业人员，必须按照国家有关规定经过专门的安全作业培训，并取得特种作业操作资格证书后，方可上岗作业。</w:t>
      </w:r>
      <w:r>
        <w:rPr>
          <w:rFonts w:hint="eastAsia" w:ascii="宋体" w:hAnsi="宋体" w:cs="宋体"/>
          <w:sz w:val="24"/>
          <w:szCs w:val="24"/>
          <w:highlight w:val="none"/>
        </w:rPr>
      </w:r>
      <w:r/>
    </w:p>
    <w:p>
      <w:pPr>
        <w:pStyle w:val="96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5.3安全</w:t>
      </w:r>
      <w:r>
        <w:rPr>
          <w:rFonts w:hint="eastAsia" w:ascii="宋体" w:hAnsi="宋体" w:cs="宋体"/>
          <w:sz w:val="24"/>
          <w:szCs w:val="24"/>
          <w:highlight w:val="none"/>
        </w:rPr>
      </w:r>
      <w:r/>
    </w:p>
    <w:p>
      <w:pPr>
        <w:pStyle w:val="96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（1）中标人应严格按《建设工程安全生产管理条例》等法律法规采取安全措施组织施工，如发生安全事故，责任概由中标人承担。</w:t>
      </w:r>
      <w:r>
        <w:rPr>
          <w:rFonts w:hint="eastAsia" w:ascii="宋体" w:hAnsi="宋体" w:cs="宋体"/>
          <w:sz w:val="24"/>
          <w:szCs w:val="24"/>
          <w:highlight w:val="none"/>
        </w:rPr>
      </w:r>
      <w:r/>
    </w:p>
    <w:p>
      <w:pPr>
        <w:pStyle w:val="96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中标人需严格遵守有限空间作业的相关安全规定，并按安全文明施工要求放置标识标牌，达到行业及采购人的要求及标准，项目实施期间的施工围挡、交通手续办理、交通指挥等措施费由中标单位负责，所有费用均包含在综合单价中。</w:t>
      </w:r>
      <w:r>
        <w:rPr>
          <w:rFonts w:hint="eastAsia" w:ascii="宋体" w:hAnsi="宋体" w:cs="宋体"/>
          <w:sz w:val="24"/>
          <w:szCs w:val="24"/>
          <w:highlight w:val="none"/>
        </w:rPr>
      </w:r>
      <w:r/>
    </w:p>
    <w:p>
      <w:pPr>
        <w:pStyle w:val="96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（3）中标人作业人员上岗时必须穿橙红色反光背心，管理人员穿黄绿色反光背心，背心背面应印有中标人名称字样。</w:t>
      </w:r>
      <w:r>
        <w:rPr>
          <w:rFonts w:hint="eastAsia" w:ascii="宋体" w:hAnsi="宋体" w:cs="宋体"/>
          <w:sz w:val="24"/>
          <w:szCs w:val="24"/>
          <w:highlight w:val="none"/>
        </w:rPr>
      </w:r>
      <w:r/>
    </w:p>
    <w:p>
      <w:pPr>
        <w:pStyle w:val="96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中标人所有机械设备车辆必须具有相关合格证明，保证完好，并按照规定操作人员需持证上岗。定期对机械设备以及车辆清洗保持整洁，当天施工结束后及时撤离现场，不得占道。车辆的通行证由供应商自行办理。</w:t>
      </w:r>
      <w:r>
        <w:rPr>
          <w:rFonts w:hint="eastAsia" w:ascii="宋体" w:hAnsi="宋体" w:cs="宋体"/>
          <w:sz w:val="24"/>
          <w:szCs w:val="24"/>
          <w:highlight w:val="none"/>
        </w:rPr>
      </w:r>
      <w:r/>
    </w:p>
    <w:p>
      <w:pPr>
        <w:pStyle w:val="96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（5）中标人对因建设工程施工可能造成损害的毗邻建筑物、构筑物和地下管线等，应当采取专项防护措施。</w:t>
      </w:r>
      <w:r>
        <w:rPr>
          <w:rFonts w:hint="eastAsia" w:ascii="宋体" w:hAnsi="宋体" w:cs="宋体"/>
          <w:sz w:val="24"/>
          <w:szCs w:val="24"/>
          <w:highlight w:val="none"/>
        </w:rPr>
      </w:r>
      <w:r/>
    </w:p>
    <w:p>
      <w:pPr>
        <w:pStyle w:val="96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中标人应当遵守有关环境保护法律、法规的规定，在施工现场采取措施，防止或者减少粉尘、废气、废水、固体废物、噪声、振动和施工照明对人和环境的危害和污染。如因中标人原因，造成对毗邻建筑物、构筑物和地下管线等的破坏或影响，相应的责任及赔偿概由中标人承担。</w:t>
      </w:r>
      <w:r>
        <w:rPr>
          <w:rFonts w:hint="eastAsia" w:ascii="宋体" w:hAnsi="宋体" w:cs="宋体"/>
          <w:sz w:val="24"/>
          <w:szCs w:val="24"/>
          <w:highlight w:val="none"/>
        </w:rPr>
      </w:r>
      <w:r/>
    </w:p>
    <w:p>
      <w:pPr>
        <w:pStyle w:val="967"/>
        <w:ind w:firstLine="482"/>
        <w:spacing w:line="360" w:lineRule="auto"/>
        <w:rPr>
          <w:rFonts w:hint="eastAsia"/>
          <w:b/>
          <w:bCs/>
          <w:sz w:val="24"/>
          <w:szCs w:val="28"/>
          <w:highlight w:val="none"/>
        </w:rPr>
      </w:pPr>
      <w:r>
        <w:rPr>
          <w:rFonts w:hint="eastAsia"/>
          <w:b/>
          <w:bCs/>
          <w:sz w:val="24"/>
          <w:szCs w:val="28"/>
          <w:highlight w:val="none"/>
        </w:rPr>
        <w:t xml:space="preserve">6、安全文明施工</w:t>
      </w:r>
      <w:r>
        <w:rPr>
          <w:rFonts w:hint="eastAsia"/>
          <w:b/>
          <w:bCs/>
          <w:sz w:val="24"/>
          <w:szCs w:val="28"/>
          <w:highlight w:val="none"/>
        </w:rPr>
      </w:r>
      <w:r/>
    </w:p>
    <w:p>
      <w:pPr>
        <w:pStyle w:val="967"/>
        <w:ind w:firstLine="480"/>
        <w:spacing w:line="360" w:lineRule="auto"/>
        <w:rPr>
          <w:rFonts w:hint="eastAsia"/>
          <w:sz w:val="24"/>
          <w:szCs w:val="28"/>
          <w:highlight w:val="none"/>
        </w:rPr>
      </w:pPr>
      <w:r>
        <w:rPr>
          <w:rFonts w:hint="eastAsia"/>
          <w:sz w:val="24"/>
          <w:szCs w:val="28"/>
          <w:highlight w:val="none"/>
        </w:rPr>
        <w:t xml:space="preserve">6.1施工现场应按国家相关规定做好安全措施，文明施工。施工现场做到无安全事故，如发生安全事故中标人承担全部责任及一切费用。</w:t>
      </w:r>
      <w:r>
        <w:rPr>
          <w:rFonts w:hint="eastAsia"/>
          <w:sz w:val="24"/>
          <w:szCs w:val="28"/>
          <w:highlight w:val="none"/>
        </w:rPr>
      </w:r>
      <w:r/>
    </w:p>
    <w:p>
      <w:pPr>
        <w:pStyle w:val="967"/>
        <w:ind w:firstLine="480"/>
        <w:spacing w:line="360" w:lineRule="auto"/>
        <w:rPr>
          <w:rFonts w:hint="eastAsia"/>
          <w:sz w:val="24"/>
          <w:szCs w:val="28"/>
          <w:highlight w:val="none"/>
        </w:rPr>
      </w:pPr>
      <w:r>
        <w:rPr>
          <w:rFonts w:hint="eastAsia"/>
          <w:sz w:val="24"/>
          <w:szCs w:val="28"/>
          <w:highlight w:val="none"/>
        </w:rPr>
        <w:t xml:space="preserve">6.2中标人要对施工员工进行安全培训教育，进行施工前的安全技术交底，并进行三级教育、岗前培训。施工人员应统一着装、穿戴整洁、各类特殊工作作业人员必须持证上岗。</w:t>
      </w:r>
      <w:r>
        <w:rPr>
          <w:rFonts w:hint="eastAsia"/>
          <w:sz w:val="24"/>
          <w:szCs w:val="28"/>
          <w:highlight w:val="none"/>
        </w:rPr>
      </w:r>
      <w:r/>
    </w:p>
    <w:p>
      <w:pPr>
        <w:pStyle w:val="967"/>
        <w:ind w:firstLine="480"/>
        <w:spacing w:line="360" w:lineRule="auto"/>
        <w:rPr>
          <w:rFonts w:hint="eastAsia"/>
          <w:sz w:val="24"/>
          <w:szCs w:val="28"/>
          <w:highlight w:val="none"/>
        </w:rPr>
      </w:pPr>
      <w:r>
        <w:rPr>
          <w:rFonts w:hint="eastAsia"/>
          <w:sz w:val="24"/>
          <w:szCs w:val="28"/>
          <w:highlight w:val="none"/>
        </w:rPr>
        <w:t xml:space="preserve">6.3进行施工作业时，需做好地面道路的交通引导及安全维护，应在施工区域设置合理、明显的指示、警示、安全施工标志，安全警示标志必须符合国家标准。</w:t>
      </w:r>
      <w:r>
        <w:rPr>
          <w:rFonts w:hint="eastAsia"/>
          <w:sz w:val="24"/>
          <w:szCs w:val="28"/>
          <w:highlight w:val="none"/>
        </w:rPr>
      </w:r>
      <w:r/>
    </w:p>
    <w:p>
      <w:pPr>
        <w:pStyle w:val="967"/>
        <w:ind w:firstLine="480"/>
        <w:spacing w:line="360" w:lineRule="auto"/>
        <w:rPr>
          <w:rFonts w:hint="eastAsia"/>
          <w:sz w:val="24"/>
          <w:szCs w:val="28"/>
          <w:highlight w:val="none"/>
        </w:rPr>
      </w:pPr>
      <w:r>
        <w:rPr>
          <w:rFonts w:hint="eastAsia"/>
          <w:sz w:val="24"/>
          <w:szCs w:val="28"/>
          <w:highlight w:val="none"/>
        </w:rPr>
        <w:t xml:space="preserve">6.4中标人需根据要求安排协管员负责施工区域周边、道路等出入口的交通组织、管理等，安全责任由中标人负责。协管员须统一接受当地交警支队的管理。</w:t>
      </w:r>
      <w:r>
        <w:rPr>
          <w:rFonts w:hint="eastAsia"/>
          <w:sz w:val="24"/>
          <w:szCs w:val="28"/>
          <w:highlight w:val="none"/>
        </w:rPr>
      </w:r>
      <w:r/>
    </w:p>
    <w:p>
      <w:pPr>
        <w:pStyle w:val="967"/>
        <w:ind w:firstLine="480"/>
        <w:spacing w:line="360" w:lineRule="auto"/>
        <w:rPr>
          <w:rFonts w:hint="eastAsia"/>
          <w:sz w:val="24"/>
          <w:szCs w:val="28"/>
          <w:highlight w:val="none"/>
        </w:rPr>
      </w:pPr>
      <w:r>
        <w:rPr>
          <w:rFonts w:hint="eastAsia"/>
          <w:sz w:val="24"/>
          <w:szCs w:val="28"/>
          <w:highlight w:val="none"/>
        </w:rPr>
        <w:t xml:space="preserve">6.5施工中注意环境保护，施工现场原材料、设备堆放整齐，做好相应的扬尘污染防治措施，工程完工后应及时清理建材、垃圾，做到日产日清，不可造成其他道路市政设施的二次污染。</w:t>
      </w:r>
      <w:r>
        <w:rPr>
          <w:rFonts w:hint="eastAsia"/>
          <w:sz w:val="24"/>
          <w:szCs w:val="28"/>
          <w:highlight w:val="none"/>
        </w:rPr>
      </w:r>
      <w:r/>
    </w:p>
    <w:p>
      <w:pPr>
        <w:pStyle w:val="967"/>
        <w:ind w:firstLine="480"/>
        <w:spacing w:line="360" w:lineRule="auto"/>
        <w:rPr>
          <w:rFonts w:hint="eastAsia"/>
          <w:sz w:val="24"/>
          <w:szCs w:val="28"/>
          <w:highlight w:val="none"/>
        </w:rPr>
      </w:pPr>
      <w:r>
        <w:rPr>
          <w:rFonts w:hint="eastAsia"/>
          <w:sz w:val="24"/>
          <w:szCs w:val="28"/>
          <w:highlight w:val="none"/>
        </w:rPr>
        <w:t xml:space="preserve">6.6做好专项施工作业的管理工作。遇强风、浓雾、大雨等恶劣天气时，应停止室外作业。</w:t>
      </w:r>
      <w:r>
        <w:rPr>
          <w:rFonts w:hint="eastAsia"/>
          <w:sz w:val="24"/>
          <w:szCs w:val="28"/>
          <w:highlight w:val="none"/>
        </w:rPr>
      </w:r>
      <w:r/>
    </w:p>
    <w:p>
      <w:pPr>
        <w:pStyle w:val="967"/>
        <w:ind w:firstLine="480"/>
        <w:spacing w:line="360" w:lineRule="auto"/>
        <w:rPr>
          <w:rFonts w:hint="eastAsia"/>
          <w:sz w:val="24"/>
          <w:szCs w:val="28"/>
          <w:highlight w:val="none"/>
        </w:rPr>
      </w:pPr>
      <w:r>
        <w:rPr>
          <w:rFonts w:hint="eastAsia"/>
          <w:sz w:val="24"/>
          <w:szCs w:val="28"/>
          <w:highlight w:val="none"/>
        </w:rPr>
        <w:t xml:space="preserve">6.7承担施工安全保卫工作及非夜间施工照明的责任和要求：中标人须在施工现场入口处、临时用电设施、出入通道口等危险部位，设置明显的安全警示标志。安全警示标志必须符合国家标准。如发生安全事故，责任概由中标人承担。</w:t>
      </w:r>
      <w:r>
        <w:rPr>
          <w:rFonts w:hint="eastAsia"/>
          <w:sz w:val="24"/>
          <w:szCs w:val="28"/>
          <w:highlight w:val="none"/>
        </w:rPr>
      </w:r>
      <w:r/>
    </w:p>
    <w:p>
      <w:pPr>
        <w:pStyle w:val="967"/>
        <w:ind w:firstLine="480"/>
        <w:spacing w:line="360" w:lineRule="auto"/>
        <w:rPr>
          <w:rFonts w:hint="eastAsia"/>
          <w:sz w:val="24"/>
          <w:szCs w:val="28"/>
          <w:highlight w:val="none"/>
        </w:rPr>
      </w:pPr>
      <w:r>
        <w:rPr>
          <w:rFonts w:hint="eastAsia"/>
          <w:sz w:val="24"/>
          <w:szCs w:val="28"/>
          <w:highlight w:val="none"/>
        </w:rPr>
        <w:t xml:space="preserve">6.8需中标人办理的有关交通、环卫环保和施工噪音管理等手续：场地交通、禁区、禁时等通行证、环卫、施工噪音管理、安全监督等手续由中标人自行到有关部门办理。</w:t>
      </w:r>
      <w:r>
        <w:rPr>
          <w:rFonts w:hint="eastAsia"/>
          <w:sz w:val="24"/>
          <w:szCs w:val="28"/>
          <w:highlight w:val="none"/>
        </w:rPr>
      </w:r>
      <w:r/>
    </w:p>
    <w:p>
      <w:pPr>
        <w:pStyle w:val="967"/>
        <w:ind w:firstLine="480"/>
        <w:spacing w:line="360" w:lineRule="auto"/>
        <w:rPr>
          <w:rFonts w:hint="eastAsia"/>
          <w:sz w:val="24"/>
          <w:szCs w:val="28"/>
          <w:highlight w:val="none"/>
        </w:rPr>
      </w:pPr>
      <w:r>
        <w:rPr>
          <w:rFonts w:hint="eastAsia"/>
          <w:sz w:val="24"/>
          <w:szCs w:val="28"/>
          <w:highlight w:val="none"/>
        </w:rPr>
        <w:t xml:space="preserve">6.9施工场地周围地下管线和邻近建筑物、构筑物（含文物保护建筑）、古树名木的保护要求及费用承担：由中标人严格按有关部门的要求采取措施进行保护,如发生损坏，所有损失由中标人承担。</w:t>
      </w:r>
      <w:r>
        <w:rPr>
          <w:rFonts w:hint="eastAsia"/>
          <w:sz w:val="24"/>
          <w:szCs w:val="28"/>
          <w:highlight w:val="none"/>
        </w:rPr>
      </w:r>
      <w:r/>
    </w:p>
    <w:p>
      <w:pPr>
        <w:pStyle w:val="967"/>
        <w:ind w:firstLine="480"/>
        <w:spacing w:line="360" w:lineRule="auto"/>
        <w:rPr>
          <w:rFonts w:hint="eastAsia" w:ascii="宋体" w:hAnsi="宋体" w:cs="宋体"/>
          <w:b/>
          <w:sz w:val="24"/>
          <w:szCs w:val="24"/>
          <w:highlight w:val="none"/>
        </w:rPr>
      </w:pPr>
      <w:r>
        <w:rPr>
          <w:rFonts w:hint="eastAsia"/>
          <w:sz w:val="24"/>
          <w:szCs w:val="28"/>
          <w:highlight w:val="none"/>
        </w:rPr>
        <w:t xml:space="preserve">6.10施工场地清洁卫生的要求：场地布置合理，日产日清，不得造成二次污染。</w:t>
      </w:r>
      <w:r>
        <w:rPr>
          <w:rFonts w:hint="eastAsia" w:ascii="宋体" w:hAnsi="宋体" w:cs="宋体"/>
          <w:b/>
          <w:sz w:val="24"/>
          <w:szCs w:val="24"/>
          <w:highlight w:val="none"/>
        </w:rPr>
      </w:r>
      <w:r/>
    </w:p>
    <w:p>
      <w:pPr>
        <w:pStyle w:val="967"/>
        <w:numPr>
          <w:ilvl w:val="0"/>
          <w:numId w:val="9"/>
        </w:numPr>
        <w:spacing w:line="500" w:lineRule="exact"/>
        <w:rPr>
          <w:rFonts w:ascii="宋体" w:hAnsi="宋体" w:cs="宋体"/>
          <w:b/>
          <w:sz w:val="24"/>
          <w:szCs w:val="24"/>
          <w:highlight w:val="none"/>
        </w:rPr>
      </w:pPr>
      <w:r>
        <w:rPr>
          <w:rFonts w:hint="eastAsia" w:ascii="宋体" w:hAnsi="宋体" w:cs="宋体"/>
          <w:b/>
          <w:sz w:val="24"/>
          <w:szCs w:val="24"/>
          <w:highlight w:val="none"/>
        </w:rPr>
        <w:t xml:space="preserve">非单一产品采购项目，采购标的中的核心产品</w:t>
      </w:r>
      <w:r>
        <w:rPr>
          <w:rFonts w:ascii="宋体" w:hAnsi="宋体" w:cs="宋体"/>
          <w:b/>
          <w:sz w:val="24"/>
          <w:szCs w:val="24"/>
          <w:highlight w:val="none"/>
        </w:rPr>
      </w:r>
      <w:r/>
    </w:p>
    <w:p>
      <w:pPr>
        <w:pStyle w:val="967"/>
        <w:ind w:firstLine="481"/>
        <w:spacing w:line="500" w:lineRule="exact"/>
        <w:rPr>
          <w:rFonts w:hint="eastAsia" w:ascii="宋体" w:hAnsi="宋体" w:cs="宋体"/>
          <w:b/>
          <w:sz w:val="24"/>
          <w:szCs w:val="24"/>
          <w:highlight w:val="none"/>
        </w:rPr>
      </w:pPr>
      <w:r>
        <w:rPr>
          <w:rFonts w:hint="eastAsia" w:ascii="宋体" w:hAnsi="宋体" w:cs="宋体"/>
          <w:sz w:val="24"/>
          <w:szCs w:val="24"/>
          <w:highlight w:val="none"/>
        </w:rPr>
        <w:t xml:space="preserve">滨江国际街区揽江路（中心路——崇川路）道路照明工程综合杆A型(12米单挑/标志牌L6/120W/滨江)</w:t>
      </w:r>
      <w:r>
        <w:rPr>
          <w:rFonts w:hint="eastAsia" w:ascii="宋体" w:hAnsi="宋体" w:cs="宋体"/>
          <w:b/>
          <w:sz w:val="24"/>
          <w:szCs w:val="24"/>
          <w:highlight w:val="none"/>
        </w:rPr>
      </w:r>
      <w:r/>
    </w:p>
    <w:p>
      <w:pPr>
        <w:pStyle w:val="967"/>
        <w:spacing w:line="500" w:lineRule="exact"/>
        <w:rPr>
          <w:rFonts w:hint="eastAsia" w:ascii="宋体" w:hAnsi="宋体" w:cs="宋体"/>
          <w:b/>
          <w:sz w:val="24"/>
          <w:szCs w:val="24"/>
          <w:highlight w:val="none"/>
        </w:rPr>
      </w:pPr>
      <w:r>
        <w:rPr>
          <w:rFonts w:hint="eastAsia" w:ascii="宋体" w:hAnsi="宋体" w:cs="宋体"/>
          <w:b/>
          <w:sz w:val="24"/>
          <w:szCs w:val="24"/>
          <w:highlight w:val="none"/>
        </w:rPr>
        <w:t xml:space="preserve">九、付款方式；</w:t>
      </w:r>
      <w:r>
        <w:rPr>
          <w:rFonts w:hint="eastAsia" w:ascii="宋体" w:hAnsi="宋体" w:cs="宋体"/>
          <w:b/>
          <w:sz w:val="24"/>
          <w:szCs w:val="24"/>
          <w:highlight w:val="none"/>
        </w:rPr>
      </w:r>
      <w:r/>
    </w:p>
    <w:p>
      <w:pPr>
        <w:pStyle w:val="967"/>
        <w:ind w:firstLine="480"/>
        <w:spacing w:line="360" w:lineRule="auto"/>
        <w:rPr>
          <w:rFonts w:hint="eastAsia" w:ascii="宋体" w:hAnsi="宋体" w:cs="宋体"/>
          <w:sz w:val="24"/>
          <w:szCs w:val="24"/>
          <w:highlight w:val="none"/>
        </w:rPr>
      </w:pPr>
      <w:r/>
      <w:bookmarkStart w:id="209" w:name="OLE_LINK13"/>
      <w:r>
        <w:rPr>
          <w:rFonts w:hint="eastAsia" w:ascii="宋体" w:hAnsi="宋体" w:cs="宋体"/>
          <w:sz w:val="24"/>
          <w:szCs w:val="24"/>
          <w:highlight w:val="none"/>
        </w:rPr>
        <w:t xml:space="preserve">合同签订后，支付合同价的30%作为预付款；货物到位并验收合格后付至所供货物金额的50％（应付款项金额超过预付款金额后，需方开始实际支付）。18个月付清余款。实际支付金额按实际供货量照实结算。</w:t>
      </w:r>
      <w:r>
        <w:rPr>
          <w:rFonts w:hint="eastAsia" w:ascii="宋体" w:hAnsi="宋体" w:cs="宋体"/>
          <w:sz w:val="24"/>
          <w:szCs w:val="24"/>
          <w:highlight w:val="none"/>
        </w:rPr>
      </w:r>
      <w:r/>
    </w:p>
    <w:p>
      <w:pPr>
        <w:pStyle w:val="96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款项由采购单位按相关财务支付规定办理支付手续。</w:t>
      </w:r>
      <w:bookmarkEnd w:id="209"/>
      <w:r>
        <w:rPr>
          <w:rFonts w:hint="eastAsia" w:ascii="宋体" w:hAnsi="宋体" w:cs="宋体"/>
          <w:sz w:val="24"/>
          <w:szCs w:val="24"/>
          <w:highlight w:val="none"/>
        </w:rPr>
      </w:r>
      <w:r/>
    </w:p>
    <w:p>
      <w:pPr>
        <w:pStyle w:val="967"/>
        <w:contextualSpacing/>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十、样品</w:t>
      </w:r>
      <w:r>
        <w:rPr>
          <w:rFonts w:hint="eastAsia" w:ascii="宋体" w:hAnsi="宋体" w:cs="宋体"/>
          <w:b/>
          <w:sz w:val="24"/>
          <w:szCs w:val="24"/>
          <w:highlight w:val="none"/>
        </w:rPr>
      </w:r>
      <w:r/>
    </w:p>
    <w:p>
      <w:pPr>
        <w:pStyle w:val="967"/>
        <w:ind w:left="583" w:hanging="163"/>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供应商须在投标时提供以下样品供评审：</w:t>
      </w:r>
      <w:r>
        <w:rPr>
          <w:rFonts w:ascii="宋体" w:hAnsi="宋体" w:cs="宋体"/>
          <w:sz w:val="24"/>
          <w:szCs w:val="24"/>
          <w:highlight w:val="none"/>
        </w:rPr>
      </w:r>
      <w:r/>
    </w:p>
    <w:p>
      <w:pPr>
        <w:pStyle w:val="967"/>
        <w:ind w:left="583" w:hanging="163"/>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1、滨江国际街区中心路（洪江路——沿河路）综合杆A型(10米双挑/标志牌3L6/160W+60W/滨江)局部1.8m一套。</w:t>
      </w:r>
      <w:r>
        <w:rPr>
          <w:rFonts w:ascii="宋体" w:hAnsi="宋体" w:cs="宋体"/>
          <w:sz w:val="24"/>
          <w:szCs w:val="24"/>
          <w:highlight w:val="none"/>
        </w:rPr>
      </w:r>
      <w:r/>
    </w:p>
    <w:p>
      <w:pPr>
        <w:pStyle w:val="967"/>
        <w:ind w:firstLine="482"/>
        <w:spacing w:line="360"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对应图名：综合杆A型（10米双挑路灯-标志牌（4.5×3.5m）6米三挑臂）详图</w:t>
      </w:r>
      <w:r>
        <w:rPr>
          <w:rFonts w:ascii="宋体" w:hAnsi="宋体" w:cs="宋体"/>
          <w:b/>
          <w:bCs/>
          <w:sz w:val="24"/>
          <w:szCs w:val="24"/>
          <w:highlight w:val="none"/>
        </w:rPr>
      </w:r>
      <w:r/>
    </w:p>
    <w:p>
      <w:pPr>
        <w:pStyle w:val="967"/>
        <w:ind w:firstLine="482"/>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设计编号：200013-08，专业编号：82S，图纸号码：01</w:t>
      </w:r>
      <w:r>
        <w:rPr>
          <w:rFonts w:hint="eastAsia" w:ascii="宋体" w:hAnsi="宋体" w:cs="宋体"/>
          <w:b/>
          <w:bCs/>
          <w:sz w:val="24"/>
          <w:szCs w:val="24"/>
          <w:highlight w:val="none"/>
        </w:rPr>
      </w:r>
      <w:r/>
    </w:p>
    <w:p>
      <w:pPr>
        <w:pStyle w:val="967"/>
        <w:ind w:firstLine="556"/>
        <w:spacing w:line="360" w:lineRule="auto"/>
        <w:widowControl/>
        <w:rPr>
          <w:rFonts w:ascii="宋体" w:hAnsi="宋体" w:cs="宋体"/>
          <w:b/>
          <w:bCs/>
          <w:sz w:val="24"/>
          <w:szCs w:val="24"/>
          <w:highlight w:val="none"/>
        </w:rPr>
      </w:pPr>
      <w:r>
        <w:rPr>
          <w:rFonts w:hint="eastAsia" w:ascii="宋体" w:hAnsi="宋体" w:cs="宋体"/>
          <w:sz w:val="24"/>
          <w:szCs w:val="24"/>
          <w:highlight w:val="none"/>
        </w:rPr>
        <w:t xml:space="preserve">灯杆样品经过热浸锌、静电喷塑的1.8米高（根部向上1.8米含法兰、检修门）。下部80厘米只要经过热浸锌不允许喷塑，上部100厘米热浸锌喷塑。样品尺寸偏差±5%，超出范围按废标处理。</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    2、滨江国际街区揽江路（中心路——崇川路）道路照明工程120W路灯灯具一套。         </w:t>
      </w:r>
      <w:r>
        <w:rPr>
          <w:rFonts w:hint="eastAsia" w:ascii="宋体" w:hAnsi="宋体" w:cs="宋体"/>
          <w:b/>
          <w:bCs/>
          <w:sz w:val="24"/>
          <w:szCs w:val="24"/>
          <w:highlight w:val="none"/>
        </w:rPr>
        <w:t xml:space="preserve">对应图名：综合杆A型（12米单挑-标志牌（3.0×1.0m）6米单挑臂）详图</w:t>
      </w:r>
      <w:r>
        <w:rPr>
          <w:rFonts w:ascii="宋体" w:hAnsi="宋体" w:cs="宋体"/>
          <w:b/>
          <w:bCs/>
          <w:sz w:val="24"/>
          <w:szCs w:val="24"/>
          <w:highlight w:val="none"/>
        </w:rPr>
      </w:r>
      <w:r/>
    </w:p>
    <w:p>
      <w:pPr>
        <w:pStyle w:val="967"/>
        <w:ind w:firstLine="278"/>
        <w:spacing w:line="360" w:lineRule="auto"/>
        <w:widowControl/>
        <w:rPr>
          <w:rFonts w:ascii="宋体" w:hAnsi="宋体" w:cs="宋体"/>
          <w:b/>
          <w:bCs/>
          <w:sz w:val="24"/>
          <w:szCs w:val="24"/>
          <w:highlight w:val="none"/>
        </w:rPr>
      </w:pPr>
      <w:r/>
      <w:bookmarkStart w:id="210" w:name="OLE_LINK11"/>
      <w:r>
        <w:rPr>
          <w:rFonts w:hint="eastAsia" w:ascii="宋体" w:hAnsi="宋体" w:cs="宋体"/>
          <w:b/>
          <w:bCs/>
          <w:sz w:val="24"/>
          <w:szCs w:val="24"/>
          <w:highlight w:val="none"/>
        </w:rPr>
        <w:t xml:space="preserve">设计编号：200013-09，专业编号：82S，图纸号码：01</w:t>
      </w:r>
      <w:r>
        <w:rPr>
          <w:rFonts w:ascii="宋体" w:hAnsi="宋体" w:cs="宋体"/>
          <w:b/>
          <w:bCs/>
          <w:sz w:val="24"/>
          <w:szCs w:val="24"/>
          <w:highlight w:val="none"/>
        </w:rPr>
      </w:r>
      <w:r/>
    </w:p>
    <w:p>
      <w:pPr>
        <w:pStyle w:val="967"/>
        <w:ind w:firstLine="278"/>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灯具样品的尺寸须满足下表要求，灯具的结构及材质需满足招标技术要求：</w:t>
      </w:r>
      <w:r>
        <w:rPr>
          <w:rFonts w:hint="eastAsia" w:ascii="宋体" w:hAnsi="宋体" w:cs="宋体"/>
          <w:sz w:val="24"/>
          <w:szCs w:val="24"/>
          <w:highlight w:val="none"/>
        </w:rPr>
      </w:r>
      <w:r/>
    </w:p>
    <w:tbl>
      <w:tblPr>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552"/>
        <w:gridCol w:w="6483"/>
      </w:tblGrid>
      <w:tr>
        <w:trPr>
          <w:trHeight w:val="3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tcPr>
          <w:p>
            <w:pPr>
              <w:pStyle w:val="967"/>
              <w:ind w:firstLine="278"/>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灯具品种</w:t>
            </w:r>
            <w:r>
              <w:rPr>
                <w:rFonts w:hint="eastAsia" w:ascii="宋体" w:hAnsi="宋体" w:cs="宋体"/>
                <w:sz w:val="24"/>
                <w:szCs w:val="24"/>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83" w:type="dxa"/>
            <w:vAlign w:val="center"/>
            <w:textDirection w:val="lrTb"/>
            <w:noWrap/>
          </w:tcPr>
          <w:p>
            <w:pPr>
              <w:pStyle w:val="967"/>
              <w:ind w:firstLine="278"/>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尺寸范围（长宽±5%，厚度±10%）</w:t>
            </w:r>
            <w:r>
              <w:rPr>
                <w:rFonts w:hint="eastAsia" w:ascii="宋体" w:hAnsi="宋体" w:cs="宋体"/>
                <w:sz w:val="24"/>
                <w:szCs w:val="24"/>
                <w:highlight w:val="none"/>
              </w:rPr>
            </w:r>
            <w:r/>
          </w:p>
        </w:tc>
      </w:tr>
      <w:tr>
        <w:trPr>
          <w:trHeight w:val="3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tcPr>
          <w:p>
            <w:pPr>
              <w:pStyle w:val="967"/>
              <w:ind w:firstLine="278"/>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120W路灯灯具</w:t>
            </w:r>
            <w:r>
              <w:rPr>
                <w:rFonts w:hint="eastAsia" w:ascii="宋体" w:hAnsi="宋体" w:cs="宋体"/>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3" w:type="dxa"/>
            <w:vAlign w:val="center"/>
            <w:textDirection w:val="lrTb"/>
            <w:noWrap/>
          </w:tcPr>
          <w:p>
            <w:pPr>
              <w:pStyle w:val="967"/>
              <w:ind w:firstLine="278"/>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长2615*宽530*高1220mm</w:t>
            </w:r>
            <w:r>
              <w:rPr>
                <w:rFonts w:hint="eastAsia" w:ascii="宋体" w:hAnsi="宋体" w:cs="宋体"/>
                <w:sz w:val="24"/>
                <w:szCs w:val="24"/>
                <w:highlight w:val="none"/>
              </w:rPr>
            </w:r>
            <w:r/>
          </w:p>
        </w:tc>
      </w:tr>
    </w:tbl>
    <w:p>
      <w:pPr>
        <w:pStyle w:val="967"/>
        <w:ind w:firstLine="480"/>
        <w:spacing w:line="360" w:lineRule="auto"/>
        <w:rPr>
          <w:rFonts w:hint="eastAsia" w:ascii="宋体" w:hAnsi="宋体" w:cs="宋体"/>
          <w:b/>
          <w:sz w:val="24"/>
          <w:szCs w:val="24"/>
          <w:highlight w:val="none"/>
          <w:lang w:val="zh-CN"/>
        </w:rPr>
      </w:pPr>
      <w:r/>
      <w:bookmarkEnd w:id="210"/>
      <w:r>
        <w:rPr>
          <w:rFonts w:hint="eastAsia" w:ascii="宋体" w:hAnsi="宋体" w:cs="宋体"/>
          <w:sz w:val="24"/>
          <w:szCs w:val="24"/>
          <w:highlight w:val="none"/>
        </w:rPr>
        <w:t xml:space="preserve">样品提交时间：评标日前一天9：00起至16:00止，采购代理人负责接收样品。样品递交地点：南通市崇川区外环东路12号2楼南侧，样品递交联系方式：张女士15996553483、朱女士18068191872。</w:t>
      </w:r>
      <w:r>
        <w:rPr>
          <w:rFonts w:hint="eastAsia" w:ascii="宋体" w:hAnsi="宋体" w:cs="宋体"/>
          <w:b/>
          <w:sz w:val="24"/>
          <w:szCs w:val="24"/>
          <w:highlight w:val="none"/>
          <w:lang w:val="zh-CN"/>
        </w:rPr>
      </w:r>
      <w:r/>
    </w:p>
    <w:p>
      <w:pPr>
        <w:pStyle w:val="967"/>
        <w:ind w:firstLine="241"/>
        <w:spacing w:line="360" w:lineRule="auto"/>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注：如出现以下情况，作为无效投标处理</w:t>
      </w:r>
      <w:r>
        <w:rPr>
          <w:rFonts w:hint="eastAsia" w:ascii="宋体" w:hAnsi="宋体" w:cs="宋体"/>
          <w:b/>
          <w:sz w:val="24"/>
          <w:szCs w:val="24"/>
          <w:highlight w:val="none"/>
          <w:lang w:val="zh-CN"/>
        </w:rPr>
      </w:r>
      <w:r/>
    </w:p>
    <w:p>
      <w:pPr>
        <w:pStyle w:val="967"/>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1）未提供样品或提供不全；</w:t>
      </w:r>
      <w:r>
        <w:rPr>
          <w:rFonts w:hint="eastAsia" w:ascii="宋体" w:hAnsi="宋体" w:cs="宋体"/>
          <w:b/>
          <w:sz w:val="24"/>
          <w:szCs w:val="24"/>
          <w:highlight w:val="none"/>
        </w:rPr>
      </w:r>
      <w:r/>
    </w:p>
    <w:p>
      <w:pPr>
        <w:pStyle w:val="967"/>
        <w:ind w:firstLine="482"/>
        <w:spacing w:line="360" w:lineRule="auto"/>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2）样品显示投标人的公司名称或标识；</w:t>
      </w:r>
      <w:r>
        <w:rPr>
          <w:rFonts w:hint="eastAsia" w:ascii="宋体" w:hAnsi="宋体" w:cs="宋体"/>
          <w:b/>
          <w:sz w:val="24"/>
          <w:szCs w:val="24"/>
          <w:highlight w:val="none"/>
          <w:lang w:val="zh-CN"/>
        </w:rPr>
      </w:r>
      <w:r/>
    </w:p>
    <w:p>
      <w:pPr>
        <w:pStyle w:val="967"/>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3）经现场测量，</w:t>
      </w:r>
      <w:r>
        <w:rPr>
          <w:rFonts w:hint="eastAsia" w:ascii="宋体" w:hAnsi="宋体" w:cs="宋体"/>
          <w:b/>
          <w:sz w:val="24"/>
          <w:szCs w:val="24"/>
          <w:highlight w:val="none"/>
          <w:lang w:val="zh-CN"/>
        </w:rPr>
        <w:t xml:space="preserve">样品尺寸，结构及材质不符合要求的。</w:t>
      </w:r>
      <w:r>
        <w:rPr>
          <w:rFonts w:ascii="宋体" w:hAnsi="宋体" w:cs="宋体"/>
          <w:b/>
          <w:sz w:val="24"/>
          <w:szCs w:val="24"/>
          <w:highlight w:val="none"/>
        </w:rPr>
      </w:r>
      <w:r/>
    </w:p>
    <w:p>
      <w:pPr>
        <w:pStyle w:val="967"/>
        <w:spacing w:line="480" w:lineRule="exact"/>
        <w:rPr>
          <w:rFonts w:hint="eastAsia" w:ascii="宋体" w:hAnsi="宋体" w:cs="宋体"/>
          <w:b/>
          <w:sz w:val="24"/>
          <w:szCs w:val="24"/>
          <w:highlight w:val="none"/>
          <w:lang w:val="zh-CN"/>
        </w:rPr>
      </w:pPr>
      <w:r>
        <w:rPr>
          <w:rFonts w:hint="eastAsia" w:ascii="宋体" w:hAnsi="宋体" w:cs="宋体"/>
          <w:b/>
          <w:sz w:val="24"/>
          <w:szCs w:val="24"/>
          <w:highlight w:val="none"/>
        </w:rPr>
        <w:t xml:space="preserve">十一、</w:t>
      </w:r>
      <w:r>
        <w:rPr>
          <w:rFonts w:hint="eastAsia" w:ascii="宋体" w:hAnsi="宋体" w:cs="宋体"/>
          <w:b/>
          <w:sz w:val="24"/>
          <w:szCs w:val="24"/>
          <w:highlight w:val="none"/>
          <w:lang w:val="zh-CN"/>
        </w:rPr>
        <w:t xml:space="preserve">采购需求中必须满足的实质性要求（请单独列出）</w:t>
      </w:r>
      <w:r>
        <w:rPr>
          <w:rFonts w:hint="eastAsia" w:ascii="宋体" w:hAnsi="宋体" w:cs="宋体"/>
          <w:b/>
          <w:sz w:val="24"/>
          <w:szCs w:val="24"/>
          <w:highlight w:val="none"/>
          <w:lang w:val="zh-CN"/>
        </w:rPr>
      </w:r>
      <w:r/>
    </w:p>
    <w:p>
      <w:pPr>
        <w:pStyle w:val="967"/>
        <w:contextualSpacing/>
        <w:jc w:val="left"/>
        <w:spacing w:line="360" w:lineRule="auto"/>
        <w:tabs>
          <w:tab w:val="left" w:pos="5325" w:leader="none"/>
        </w:tabs>
        <w:rPr>
          <w:rFonts w:hint="eastAsia" w:ascii="宋体" w:hAnsi="宋体" w:cs="宋体"/>
          <w:bCs/>
          <w:i/>
          <w:iCs/>
          <w:sz w:val="24"/>
          <w:szCs w:val="24"/>
          <w:highlight w:val="none"/>
          <w:lang w:val="zh-CN"/>
        </w:rPr>
      </w:pPr>
      <w:r>
        <w:rPr>
          <w:rFonts w:hint="eastAsia" w:ascii="宋体" w:hAnsi="宋体" w:cs="宋体"/>
          <w:bCs/>
          <w:i/>
          <w:iCs/>
          <w:sz w:val="24"/>
          <w:szCs w:val="24"/>
          <w:highlight w:val="none"/>
        </w:rPr>
        <w:t xml:space="preserve">11</w:t>
      </w:r>
      <w:r>
        <w:rPr>
          <w:rFonts w:hint="eastAsia" w:ascii="宋体" w:hAnsi="宋体" w:cs="宋体"/>
          <w:bCs/>
          <w:i/>
          <w:iCs/>
          <w:sz w:val="24"/>
          <w:szCs w:val="24"/>
          <w:highlight w:val="none"/>
          <w:lang w:val="zh-CN"/>
        </w:rPr>
        <w:t xml:space="preserve">.1技术部分实质性要求（请单独列出并加斜体下划线）</w:t>
      </w:r>
      <w:r>
        <w:rPr>
          <w:rFonts w:hint="eastAsia" w:ascii="宋体" w:hAnsi="宋体" w:cs="宋体"/>
          <w:bCs/>
          <w:i/>
          <w:iCs/>
          <w:sz w:val="24"/>
          <w:szCs w:val="24"/>
          <w:highlight w:val="none"/>
          <w:lang w:val="zh-CN"/>
        </w:rPr>
      </w:r>
      <w:r/>
    </w:p>
    <w:p>
      <w:pPr>
        <w:pStyle w:val="967"/>
        <w:contextualSpacing/>
        <w:ind w:firstLine="479"/>
        <w:spacing w:line="360" w:lineRule="auto"/>
        <w:tabs>
          <w:tab w:val="left" w:pos="5325" w:leader="none"/>
        </w:tabs>
        <w:rPr>
          <w:rFonts w:hint="eastAsia" w:ascii="宋体" w:hAnsi="宋体" w:cs="宋体"/>
          <w:bCs/>
          <w:i/>
          <w:iCs/>
          <w:sz w:val="24"/>
          <w:szCs w:val="24"/>
          <w:highlight w:val="none"/>
          <w:u w:val="single"/>
          <w:lang w:val="zh-CN"/>
        </w:rPr>
      </w:pPr>
      <w:r/>
      <w:bookmarkStart w:id="211" w:name="_Hlk177116505"/>
      <w:r>
        <w:rPr>
          <w:rFonts w:hint="eastAsia" w:ascii="宋体" w:hAnsi="宋体" w:cs="宋体"/>
          <w:bCs/>
          <w:i/>
          <w:iCs/>
          <w:sz w:val="24"/>
          <w:szCs w:val="24"/>
          <w:highlight w:val="none"/>
          <w:u w:val="single"/>
        </w:rPr>
        <w:t xml:space="preserve">（1）</w:t>
      </w:r>
      <w:r>
        <w:rPr>
          <w:rFonts w:hint="eastAsia" w:ascii="宋体" w:hAnsi="宋体" w:cs="宋体"/>
          <w:bCs/>
          <w:i/>
          <w:iCs/>
          <w:sz w:val="24"/>
          <w:szCs w:val="24"/>
          <w:highlight w:val="none"/>
          <w:u w:val="single"/>
          <w:lang w:val="zh-CN"/>
        </w:rPr>
        <w:t xml:space="preserve">完全响应采购人提出的采购标的需满足的技术部分实质性要求（提供承诺函，</w:t>
      </w:r>
      <w:r>
        <w:rPr>
          <w:rFonts w:hint="eastAsia" w:ascii="宋体" w:hAnsi="宋体" w:cs="宋体"/>
          <w:bCs/>
          <w:i/>
          <w:iCs/>
          <w:sz w:val="24"/>
          <w:szCs w:val="24"/>
          <w:highlight w:val="none"/>
          <w:u w:val="single"/>
        </w:rPr>
        <w:t xml:space="preserve">格式自拟</w:t>
      </w:r>
      <w:r>
        <w:rPr>
          <w:rFonts w:hint="eastAsia" w:ascii="宋体" w:hAnsi="宋体" w:cs="宋体"/>
          <w:bCs/>
          <w:i/>
          <w:iCs/>
          <w:sz w:val="24"/>
          <w:szCs w:val="24"/>
          <w:highlight w:val="none"/>
          <w:u w:val="single"/>
          <w:lang w:val="zh-CN"/>
        </w:rPr>
        <w:t xml:space="preserve">）。</w:t>
      </w:r>
      <w:bookmarkEnd w:id="211"/>
      <w:r>
        <w:rPr>
          <w:rFonts w:hint="eastAsia" w:ascii="宋体" w:hAnsi="宋体" w:cs="宋体"/>
          <w:bCs/>
          <w:i/>
          <w:iCs/>
          <w:sz w:val="24"/>
          <w:szCs w:val="24"/>
          <w:highlight w:val="none"/>
          <w:u w:val="single"/>
          <w:lang w:val="zh-CN"/>
        </w:rPr>
      </w:r>
      <w:r/>
    </w:p>
    <w:p>
      <w:pPr>
        <w:pStyle w:val="967"/>
        <w:contextualSpacing/>
        <w:ind w:firstLine="479"/>
        <w:spacing w:line="360" w:lineRule="auto"/>
        <w:tabs>
          <w:tab w:val="left" w:pos="5325" w:leader="none"/>
        </w:tabs>
        <w:rPr>
          <w:rFonts w:hint="eastAsia" w:ascii="宋体" w:hAnsi="宋体" w:cs="宋体"/>
          <w:bCs/>
          <w:i/>
          <w:iCs/>
          <w:sz w:val="24"/>
          <w:szCs w:val="24"/>
          <w:highlight w:val="none"/>
          <w:u w:val="single"/>
        </w:rPr>
      </w:pPr>
      <w:r>
        <w:rPr>
          <w:rFonts w:hint="eastAsia" w:ascii="宋体" w:hAnsi="宋体" w:cs="宋体"/>
          <w:bCs/>
          <w:i/>
          <w:iCs/>
          <w:sz w:val="24"/>
          <w:szCs w:val="24"/>
          <w:highlight w:val="none"/>
          <w:u w:val="single"/>
        </w:rPr>
        <w:t xml:space="preserve">（2）按招标文件样品要求提供符合招标文件技术要求的样品。</w:t>
      </w:r>
      <w:r>
        <w:rPr>
          <w:rFonts w:hint="eastAsia" w:ascii="宋体" w:hAnsi="宋体" w:cs="宋体"/>
          <w:bCs/>
          <w:i/>
          <w:iCs/>
          <w:sz w:val="24"/>
          <w:szCs w:val="24"/>
          <w:highlight w:val="none"/>
          <w:u w:val="single"/>
        </w:rPr>
      </w:r>
      <w:r/>
    </w:p>
    <w:p>
      <w:pPr>
        <w:pStyle w:val="967"/>
        <w:contextualSpacing/>
        <w:ind w:firstLine="479"/>
        <w:spacing w:line="360" w:lineRule="auto"/>
        <w:tabs>
          <w:tab w:val="left" w:pos="5325" w:leader="none"/>
        </w:tabs>
        <w:rPr>
          <w:rFonts w:hint="eastAsia" w:ascii="宋体" w:hAnsi="宋体" w:eastAsia="宋体" w:cs="宋体"/>
          <w:bCs/>
          <w:i/>
          <w:iCs/>
          <w:sz w:val="24"/>
          <w:szCs w:val="24"/>
          <w:highlight w:val="none"/>
          <w:u w:val="single"/>
          <w:lang w:eastAsia="zh-CN"/>
        </w:rPr>
      </w:pPr>
      <w:r>
        <w:rPr>
          <w:rFonts w:hint="eastAsia" w:ascii="宋体" w:hAnsi="宋体" w:cs="宋体"/>
          <w:bCs/>
          <w:i/>
          <w:iCs/>
          <w:sz w:val="24"/>
          <w:szCs w:val="24"/>
          <w:highlight w:val="none"/>
          <w:u w:val="single"/>
        </w:rPr>
        <w:t xml:space="preserve">（3）投标人须提供项目需求七中要求提供的检测报告，不提供视为未实质性响应招标文件。</w:t>
      </w:r>
      <w:r>
        <w:rPr>
          <w:rFonts w:hint="eastAsia" w:ascii="宋体" w:hAnsi="宋体" w:cs="宋体"/>
          <w:bCs/>
          <w:i/>
          <w:iCs/>
          <w:sz w:val="24"/>
          <w:szCs w:val="24"/>
          <w:highlight w:val="none"/>
          <w:u w:val="single"/>
          <w:lang w:eastAsia="zh-CN"/>
        </w:rPr>
        <w:t xml:space="preserve">（</w:t>
      </w:r>
      <w:r>
        <w:rPr>
          <w:rFonts w:hint="eastAsia" w:ascii="宋体" w:hAnsi="宋体" w:cs="宋体"/>
          <w:bCs/>
          <w:i/>
          <w:iCs/>
          <w:sz w:val="24"/>
          <w:szCs w:val="24"/>
          <w:highlight w:val="none"/>
          <w:u w:val="single"/>
          <w:lang w:val="en-US" w:eastAsia="zh-CN"/>
        </w:rPr>
        <w:t xml:space="preserve">提供证明材料</w:t>
      </w:r>
      <w:r>
        <w:rPr>
          <w:rFonts w:hint="eastAsia" w:ascii="宋体" w:hAnsi="宋体" w:cs="宋体"/>
          <w:bCs/>
          <w:i/>
          <w:iCs/>
          <w:sz w:val="24"/>
          <w:szCs w:val="24"/>
          <w:highlight w:val="none"/>
          <w:u w:val="single"/>
          <w:lang w:eastAsia="zh-CN"/>
        </w:rPr>
        <w:t xml:space="preserve">）</w:t>
      </w:r>
      <w:r>
        <w:rPr>
          <w:rFonts w:hint="eastAsia" w:ascii="宋体" w:hAnsi="宋体" w:eastAsia="宋体" w:cs="宋体"/>
          <w:bCs/>
          <w:i/>
          <w:iCs/>
          <w:sz w:val="24"/>
          <w:szCs w:val="24"/>
          <w:highlight w:val="none"/>
          <w:u w:val="single"/>
          <w:lang w:eastAsia="zh-CN"/>
        </w:rPr>
      </w:r>
      <w:r/>
    </w:p>
    <w:p>
      <w:pPr>
        <w:pStyle w:val="967"/>
        <w:contextualSpacing/>
        <w:spacing w:line="360" w:lineRule="auto"/>
        <w:tabs>
          <w:tab w:val="left" w:pos="5325" w:leader="none"/>
        </w:tabs>
        <w:rPr>
          <w:rFonts w:hint="eastAsia" w:ascii="宋体" w:hAnsi="宋体" w:cs="宋体"/>
          <w:bCs/>
          <w:i/>
          <w:iCs/>
          <w:sz w:val="24"/>
          <w:szCs w:val="24"/>
          <w:highlight w:val="none"/>
          <w:lang w:val="zh-CN"/>
        </w:rPr>
      </w:pPr>
      <w:r>
        <w:rPr>
          <w:rFonts w:hint="eastAsia" w:ascii="宋体" w:hAnsi="宋体" w:cs="宋体"/>
          <w:bCs/>
          <w:i/>
          <w:iCs/>
          <w:sz w:val="24"/>
          <w:szCs w:val="24"/>
          <w:highlight w:val="none"/>
        </w:rPr>
        <w:t xml:space="preserve">11</w:t>
      </w:r>
      <w:r>
        <w:rPr>
          <w:rFonts w:hint="eastAsia" w:ascii="宋体" w:hAnsi="宋体" w:cs="宋体"/>
          <w:bCs/>
          <w:i/>
          <w:iCs/>
          <w:sz w:val="24"/>
          <w:szCs w:val="24"/>
          <w:highlight w:val="none"/>
          <w:lang w:val="zh-CN"/>
        </w:rPr>
        <w:t xml:space="preserve">.2商务部分实质性要求（请单独列出并加斜体下划线）</w:t>
      </w:r>
      <w:r>
        <w:rPr>
          <w:rFonts w:hint="eastAsia" w:ascii="宋体" w:hAnsi="宋体" w:cs="宋体"/>
          <w:bCs/>
          <w:i/>
          <w:iCs/>
          <w:sz w:val="24"/>
          <w:szCs w:val="24"/>
          <w:highlight w:val="none"/>
          <w:lang w:val="zh-CN"/>
        </w:rPr>
      </w:r>
      <w:r/>
    </w:p>
    <w:p>
      <w:pPr>
        <w:pStyle w:val="967"/>
        <w:contextualSpacing/>
        <w:ind w:firstLine="479"/>
        <w:spacing w:line="360" w:lineRule="auto"/>
        <w:tabs>
          <w:tab w:val="left" w:pos="5325" w:leader="none"/>
        </w:tabs>
        <w:rPr>
          <w:rFonts w:hint="eastAsia" w:ascii="宋体" w:hAnsi="宋体" w:cs="宋体"/>
          <w:bCs/>
          <w:i/>
          <w:iCs/>
          <w:sz w:val="24"/>
          <w:szCs w:val="24"/>
          <w:highlight w:val="none"/>
          <w:u w:val="single"/>
          <w:lang w:val="zh-CN"/>
        </w:rPr>
      </w:pPr>
      <w:r>
        <w:rPr>
          <w:rFonts w:hint="eastAsia" w:ascii="宋体" w:hAnsi="宋体" w:cs="宋体"/>
          <w:bCs/>
          <w:i/>
          <w:iCs/>
          <w:sz w:val="24"/>
          <w:szCs w:val="24"/>
          <w:highlight w:val="none"/>
          <w:u w:val="single"/>
          <w:lang w:val="zh-CN"/>
        </w:rPr>
        <w:t xml:space="preserve">（</w:t>
      </w:r>
      <w:r>
        <w:rPr>
          <w:rFonts w:hint="eastAsia" w:ascii="宋体" w:hAnsi="宋体" w:cs="宋体"/>
          <w:bCs/>
          <w:i/>
          <w:iCs/>
          <w:sz w:val="24"/>
          <w:szCs w:val="24"/>
          <w:highlight w:val="none"/>
          <w:u w:val="single"/>
          <w:lang w:val="en-US" w:eastAsia="zh-CN"/>
        </w:rPr>
        <w:t xml:space="preserve">1</w:t>
      </w:r>
      <w:r>
        <w:rPr>
          <w:rFonts w:hint="eastAsia" w:ascii="宋体" w:hAnsi="宋体" w:cs="宋体"/>
          <w:bCs/>
          <w:i/>
          <w:iCs/>
          <w:sz w:val="24"/>
          <w:szCs w:val="24"/>
          <w:highlight w:val="none"/>
          <w:u w:val="single"/>
          <w:lang w:val="zh-CN"/>
        </w:rPr>
        <w:t xml:space="preserve">）完全响应采购人提出的采购标的需满足的商务部分实质性要求（提供承诺函，</w:t>
      </w:r>
      <w:r>
        <w:rPr>
          <w:rFonts w:hint="eastAsia" w:ascii="宋体" w:hAnsi="宋体" w:cs="宋体"/>
          <w:bCs/>
          <w:i/>
          <w:iCs/>
          <w:sz w:val="24"/>
          <w:szCs w:val="24"/>
          <w:highlight w:val="none"/>
          <w:u w:val="single"/>
        </w:rPr>
        <w:t xml:space="preserve">格式自拟</w:t>
      </w:r>
      <w:r>
        <w:rPr>
          <w:rFonts w:hint="eastAsia" w:ascii="宋体" w:hAnsi="宋体" w:cs="宋体"/>
          <w:bCs/>
          <w:i/>
          <w:iCs/>
          <w:sz w:val="24"/>
          <w:szCs w:val="24"/>
          <w:highlight w:val="none"/>
          <w:u w:val="single"/>
          <w:lang w:val="zh-CN"/>
        </w:rPr>
        <w:t xml:space="preserve">）。</w:t>
      </w:r>
      <w:r>
        <w:rPr>
          <w:rFonts w:hint="eastAsia" w:ascii="宋体" w:hAnsi="宋体" w:cs="宋体"/>
          <w:bCs/>
          <w:i/>
          <w:iCs/>
          <w:sz w:val="24"/>
          <w:szCs w:val="24"/>
          <w:highlight w:val="none"/>
          <w:u w:val="single"/>
          <w:lang w:val="zh-CN"/>
        </w:rPr>
      </w:r>
      <w:r/>
    </w:p>
    <w:p>
      <w:pPr>
        <w:pStyle w:val="1062"/>
        <w:numPr>
          <w:ilvl w:val="0"/>
          <w:numId w:val="0"/>
        </w:numPr>
        <w:ind w:firstLine="240"/>
        <w:spacing w:line="360" w:lineRule="auto"/>
        <w:tabs>
          <w:tab w:val="left" w:pos="5325" w:leader="none"/>
        </w:tabs>
        <w:rPr>
          <w:rFonts w:eastAsia="Calibri" w:cs="等线"/>
          <w:bCs/>
          <w:i/>
          <w:iCs/>
          <w:szCs w:val="21"/>
          <w:highlight w:val="none"/>
          <w:u w:val="single"/>
          <w:lang w:val="zh-CN" w:eastAsia="zh-CN"/>
        </w:rPr>
      </w:pPr>
      <w:r>
        <w:rPr>
          <w:rFonts w:hint="eastAsia" w:ascii="宋体" w:hAnsi="宋体" w:cs="宋体"/>
          <w:bCs/>
          <w:i/>
          <w:iCs/>
          <w:highlight w:val="none"/>
          <w:u w:val="single"/>
          <w:lang w:val="zh-CN" w:eastAsia="zh-CN"/>
        </w:rPr>
        <w:t xml:space="preserve">（</w:t>
      </w:r>
      <w:r>
        <w:rPr>
          <w:rFonts w:hint="eastAsia" w:ascii="宋体" w:hAnsi="宋体" w:cs="宋体"/>
          <w:bCs/>
          <w:i/>
          <w:iCs/>
          <w:highlight w:val="none"/>
          <w:u w:val="single"/>
          <w:lang w:val="en-US" w:eastAsia="zh-CN"/>
        </w:rPr>
        <w:t xml:space="preserve">2</w:t>
      </w:r>
      <w:r>
        <w:rPr>
          <w:rFonts w:hint="eastAsia" w:ascii="宋体" w:hAnsi="宋体" w:cs="宋体"/>
          <w:bCs/>
          <w:i/>
          <w:iCs/>
          <w:highlight w:val="none"/>
          <w:u w:val="single"/>
          <w:lang w:val="zh-CN" w:eastAsia="zh-CN"/>
        </w:rPr>
        <w:t xml:space="preserve">）须合理报价</w:t>
      </w:r>
      <w:r>
        <w:rPr>
          <w:rFonts w:hint="eastAsia" w:ascii="宋体" w:hAnsi="宋体" w:cs="宋体"/>
          <w:bCs/>
          <w:i/>
          <w:iCs/>
          <w:highlight w:val="none"/>
          <w:u w:val="single"/>
          <w:lang w:eastAsia="zh-CN"/>
        </w:rPr>
        <w:t xml:space="preserve">不超过投标限价（提供承诺，格式自拟）</w:t>
      </w:r>
      <w:r>
        <w:rPr>
          <w:rFonts w:hint="eastAsia" w:ascii="宋体" w:hAnsi="宋体" w:cs="宋体"/>
          <w:bCs/>
          <w:i/>
          <w:iCs/>
          <w:highlight w:val="none"/>
          <w:u w:val="single"/>
          <w:lang w:val="zh-CN" w:eastAsia="zh-CN"/>
        </w:rPr>
        <w:t xml:space="preserve">。</w:t>
      </w:r>
      <w:r>
        <w:rPr>
          <w:rFonts w:eastAsia="Calibri" w:cs="等线"/>
          <w:bCs/>
          <w:i/>
          <w:iCs/>
          <w:szCs w:val="21"/>
          <w:highlight w:val="none"/>
          <w:u w:val="single"/>
          <w:lang w:val="zh-CN" w:eastAsia="zh-CN"/>
        </w:rPr>
      </w:r>
      <w:r/>
    </w:p>
    <w:p>
      <w:pPr>
        <w:pStyle w:val="968"/>
        <w:keepNext w:val="0"/>
        <w:pageBreakBefore/>
        <w:rPr>
          <w:rFonts w:hint="eastAsia" w:ascii="黑体" w:eastAsia="黑体"/>
          <w:bCs/>
          <w:sz w:val="44"/>
          <w:highlight w:val="none"/>
        </w:rPr>
      </w:pPr>
      <w:r/>
      <w:bookmarkEnd w:id="186"/>
      <w:r/>
      <w:bookmarkEnd w:id="187"/>
      <w:r/>
      <w:bookmarkEnd w:id="189"/>
      <w:r/>
      <w:bookmarkEnd w:id="190"/>
      <w:r/>
      <w:bookmarkStart w:id="212" w:name="_Toc26554093"/>
      <w:r/>
      <w:bookmarkStart w:id="213" w:name="_Toc49090575"/>
      <w:r/>
      <w:bookmarkStart w:id="214" w:name="_Toc120614281"/>
      <w:r>
        <w:rPr>
          <w:rFonts w:hint="eastAsia" w:ascii="黑体" w:eastAsia="黑体"/>
          <w:bCs/>
          <w:sz w:val="44"/>
          <w:highlight w:val="none"/>
        </w:rPr>
        <w:t xml:space="preserve">第五章  </w:t>
      </w:r>
      <w:r>
        <w:rPr>
          <w:rFonts w:hint="eastAsia" w:ascii="黑体" w:eastAsia="黑体"/>
          <w:b/>
          <w:bCs/>
          <w:sz w:val="44"/>
          <w:highlight w:val="none"/>
        </w:rPr>
        <w:t xml:space="preserve">评标方法与评标标准</w:t>
      </w:r>
      <w:r>
        <w:rPr>
          <w:rFonts w:hint="eastAsia" w:ascii="黑体" w:eastAsia="黑体"/>
          <w:bCs/>
          <w:sz w:val="44"/>
          <w:highlight w:val="none"/>
        </w:rPr>
      </w:r>
      <w:r/>
    </w:p>
    <w:p>
      <w:pPr>
        <w:pStyle w:val="967"/>
        <w:ind w:firstLine="480"/>
        <w:spacing w:line="480" w:lineRule="exact"/>
        <w:rPr>
          <w:rFonts w:ascii="宋体" w:hAnsi="宋体" w:cs="宋体"/>
          <w:b/>
          <w:sz w:val="24"/>
          <w:szCs w:val="24"/>
          <w:highlight w:val="none"/>
        </w:rPr>
      </w:pPr>
      <w:r>
        <w:rPr>
          <w:rFonts w:hint="eastAsia" w:ascii="宋体" w:hAnsi="宋体" w:cs="宋体"/>
          <w:b/>
          <w:sz w:val="24"/>
          <w:szCs w:val="24"/>
          <w:highlight w:val="none"/>
        </w:rPr>
        <w:t xml:space="preserve">一、招标人委托招标代理机构组织招标</w:t>
      </w:r>
      <w:r>
        <w:rPr>
          <w:rFonts w:ascii="宋体" w:hAnsi="宋体" w:cs="宋体"/>
          <w:b/>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成立评标委员会小组，评标委员会由招标人代表和评审专家组成，成员人数应当为5人以上单数，其中评审专家不得少于成员总数的三分之二。</w:t>
      </w:r>
      <w:r>
        <w:rPr>
          <w:rFonts w:ascii="宋体" w:hAnsi="宋体" w:cs="宋体"/>
          <w:sz w:val="24"/>
          <w:szCs w:val="24"/>
          <w:highlight w:val="none"/>
        </w:rPr>
      </w:r>
      <w:r/>
    </w:p>
    <w:p>
      <w:pPr>
        <w:pStyle w:val="967"/>
        <w:ind w:firstLine="480"/>
        <w:spacing w:line="480" w:lineRule="exact"/>
        <w:rPr>
          <w:rFonts w:ascii="宋体" w:hAnsi="宋体" w:cs="宋体"/>
          <w:b/>
          <w:sz w:val="24"/>
          <w:szCs w:val="24"/>
          <w:highlight w:val="none"/>
        </w:rPr>
      </w:pPr>
      <w:r>
        <w:rPr>
          <w:rFonts w:hint="eastAsia" w:ascii="宋体" w:hAnsi="宋体" w:cs="宋体"/>
          <w:b/>
          <w:sz w:val="24"/>
          <w:szCs w:val="24"/>
          <w:highlight w:val="none"/>
        </w:rPr>
        <w:t xml:space="preserve">二、开标</w:t>
      </w:r>
      <w:r>
        <w:rPr>
          <w:rFonts w:ascii="宋体" w:hAnsi="宋体" w:cs="宋体"/>
          <w:b/>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bCs/>
          <w:sz w:val="24"/>
          <w:szCs w:val="24"/>
          <w:highlight w:val="none"/>
        </w:rPr>
        <w:t xml:space="preserve">不见面远程开标模式：开标当天各投标人在各自地点通过苏采云系统及时登录不见面开标大厅，参加投标活动。</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2、招标代理机构主持开标并记录，及时处理投标人代表提出的询问或者回避申请。</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3、投标人不足3家的不得开标。</w:t>
      </w:r>
      <w:r>
        <w:rPr>
          <w:rFonts w:ascii="宋体" w:hAnsi="宋体" w:cs="宋体"/>
          <w:sz w:val="24"/>
          <w:szCs w:val="24"/>
          <w:highlight w:val="none"/>
        </w:rPr>
      </w:r>
      <w:r/>
    </w:p>
    <w:p>
      <w:pPr>
        <w:pStyle w:val="967"/>
        <w:ind w:firstLine="480"/>
        <w:spacing w:line="480" w:lineRule="exact"/>
        <w:rPr>
          <w:rFonts w:ascii="宋体" w:hAnsi="宋体" w:cs="宋体"/>
          <w:b/>
          <w:sz w:val="24"/>
          <w:szCs w:val="24"/>
          <w:highlight w:val="none"/>
        </w:rPr>
      </w:pPr>
      <w:r>
        <w:rPr>
          <w:rFonts w:hint="eastAsia" w:ascii="宋体" w:hAnsi="宋体" w:cs="宋体"/>
          <w:b/>
          <w:sz w:val="24"/>
          <w:szCs w:val="24"/>
          <w:highlight w:val="none"/>
        </w:rPr>
        <w:t xml:space="preserve">三、资格审查</w:t>
      </w:r>
      <w:r>
        <w:rPr>
          <w:rFonts w:ascii="宋体" w:hAnsi="宋体" w:cs="宋体"/>
          <w:b/>
          <w:sz w:val="24"/>
          <w:szCs w:val="24"/>
          <w:highlight w:val="none"/>
        </w:rPr>
      </w:r>
      <w:r/>
    </w:p>
    <w:p>
      <w:pPr>
        <w:pStyle w:val="967"/>
        <w:ind w:firstLine="482"/>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1、开标后，招标人及其委托的采购代理机构依据相关法律政策的规定，根据招标文件载明的资格审查要求，对投标人的资格进行审查。</w:t>
      </w:r>
      <w:r>
        <w:rPr>
          <w:rFonts w:hint="eastAsia" w:ascii="宋体" w:hAnsi="宋体" w:cs="宋体"/>
          <w:sz w:val="24"/>
          <w:szCs w:val="24"/>
          <w:highlight w:val="none"/>
        </w:rPr>
      </w:r>
      <w:r/>
    </w:p>
    <w:p>
      <w:pPr>
        <w:pStyle w:val="967"/>
        <w:ind w:firstLine="482"/>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2、资格审查及符合性审查合格的投标人进入评标。</w:t>
      </w:r>
      <w:r>
        <w:rPr>
          <w:rFonts w:hint="eastAsia" w:ascii="宋体" w:hAnsi="宋体" w:cs="宋体"/>
          <w:sz w:val="24"/>
          <w:szCs w:val="24"/>
          <w:highlight w:val="none"/>
        </w:rPr>
      </w:r>
      <w:r/>
    </w:p>
    <w:p>
      <w:pPr>
        <w:pStyle w:val="967"/>
        <w:ind w:firstLine="482"/>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3、合格投标人不足3家的，不得评标。</w:t>
      </w:r>
      <w:r>
        <w:rPr>
          <w:rFonts w:hint="eastAsia" w:ascii="宋体" w:hAnsi="宋体" w:cs="宋体"/>
          <w:sz w:val="24"/>
          <w:szCs w:val="24"/>
          <w:highlight w:val="none"/>
        </w:rPr>
      </w:r>
      <w:r/>
    </w:p>
    <w:p>
      <w:pPr>
        <w:pStyle w:val="967"/>
        <w:contextualSpacing/>
        <w:ind w:firstLine="480"/>
        <w:spacing w:line="480" w:lineRule="exact"/>
        <w:rPr>
          <w:rFonts w:ascii="宋体" w:hAnsi="宋体" w:cs="宋体"/>
          <w:b/>
          <w:sz w:val="24"/>
          <w:szCs w:val="24"/>
          <w:highlight w:val="none"/>
        </w:rPr>
        <w:outlineLvl w:val="1"/>
      </w:pPr>
      <w:r>
        <w:rPr>
          <w:rFonts w:hint="eastAsia" w:ascii="宋体" w:hAnsi="宋体" w:cs="宋体"/>
          <w:b/>
          <w:sz w:val="24"/>
          <w:szCs w:val="24"/>
          <w:highlight w:val="none"/>
        </w:rPr>
        <w:t xml:space="preserve">四、评标</w:t>
      </w:r>
      <w:r>
        <w:rPr>
          <w:rFonts w:ascii="宋体" w:hAnsi="宋体" w:cs="宋体"/>
          <w:b/>
          <w:sz w:val="24"/>
          <w:szCs w:val="24"/>
          <w:highlight w:val="none"/>
        </w:rPr>
      </w:r>
      <w:r/>
    </w:p>
    <w:p>
      <w:pPr>
        <w:pStyle w:val="967"/>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1、评标时间</w:t>
      </w:r>
      <w:r>
        <w:rPr>
          <w:rFonts w:hint="eastAsia" w:ascii="宋体" w:hAnsi="宋体" w:cs="宋体"/>
          <w:b/>
          <w:sz w:val="24"/>
          <w:szCs w:val="24"/>
          <w:highlight w:val="none"/>
        </w:rPr>
        <w:t xml:space="preserve">：资格审查、符合性审查结束以后。</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2、招标代理机构负责组织评标工作，并履行下列职责：</w:t>
      </w:r>
      <w:r>
        <w:rPr>
          <w:rFonts w:ascii="宋体" w:hAnsi="宋体" w:cs="宋体"/>
          <w:sz w:val="24"/>
          <w:szCs w:val="24"/>
          <w:highlight w:val="none"/>
        </w:rPr>
      </w:r>
      <w:r/>
    </w:p>
    <w:p>
      <w:pPr>
        <w:pStyle w:val="967"/>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（1）核对评审专家身份和招标人代表授权函，对评审专家在招标采购活动中的职责履行情况予以记录，并及时将有关违法违规行为向相关部门报告。</w:t>
      </w:r>
      <w:r>
        <w:rPr>
          <w:rFonts w:ascii="宋体" w:hAnsi="宋体" w:cs="宋体"/>
          <w:sz w:val="24"/>
          <w:szCs w:val="24"/>
          <w:highlight w:val="none"/>
        </w:rPr>
      </w:r>
      <w:r/>
    </w:p>
    <w:p>
      <w:pPr>
        <w:pStyle w:val="967"/>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（2）宣布评标纪律。</w:t>
      </w:r>
      <w:r>
        <w:rPr>
          <w:rFonts w:ascii="宋体" w:hAnsi="宋体" w:cs="宋体"/>
          <w:sz w:val="24"/>
          <w:szCs w:val="24"/>
          <w:highlight w:val="none"/>
        </w:rPr>
      </w:r>
      <w:r/>
    </w:p>
    <w:p>
      <w:pPr>
        <w:pStyle w:val="967"/>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（3）公布投标人名单，告知评审专家应当回避的情形。</w:t>
      </w:r>
      <w:r>
        <w:rPr>
          <w:rFonts w:ascii="宋体" w:hAnsi="宋体" w:cs="宋体"/>
          <w:sz w:val="24"/>
          <w:szCs w:val="24"/>
          <w:highlight w:val="none"/>
        </w:rPr>
      </w:r>
      <w:r/>
    </w:p>
    <w:p>
      <w:pPr>
        <w:pStyle w:val="967"/>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（4）组织评标委员会推选评标组长，招标人代表不得担任组长。</w:t>
      </w:r>
      <w:r>
        <w:rPr>
          <w:rFonts w:ascii="宋体" w:hAnsi="宋体" w:cs="宋体"/>
          <w:sz w:val="24"/>
          <w:szCs w:val="24"/>
          <w:highlight w:val="none"/>
        </w:rPr>
      </w:r>
      <w:r/>
    </w:p>
    <w:p>
      <w:pPr>
        <w:pStyle w:val="967"/>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（5）在评标期间采取必要的通讯管理措施，保证评标活动不受外界干扰；除招标人代表、评标现场组织人员外，招标人的其他工作人员以及与评标工作无关的人员不得进入评标现场。</w:t>
      </w:r>
      <w:r>
        <w:rPr>
          <w:rFonts w:ascii="宋体" w:hAnsi="宋体" w:cs="宋体"/>
          <w:sz w:val="24"/>
          <w:szCs w:val="24"/>
          <w:highlight w:val="none"/>
        </w:rPr>
      </w:r>
      <w:r/>
    </w:p>
    <w:p>
      <w:pPr>
        <w:pStyle w:val="967"/>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（6）根据评标委员会的要求介绍采购相关政策法规、招标文件。</w:t>
      </w:r>
      <w:r>
        <w:rPr>
          <w:rFonts w:ascii="宋体" w:hAnsi="宋体" w:cs="宋体"/>
          <w:sz w:val="24"/>
          <w:szCs w:val="24"/>
          <w:highlight w:val="none"/>
        </w:rPr>
      </w:r>
      <w:r/>
    </w:p>
    <w:p>
      <w:pPr>
        <w:pStyle w:val="967"/>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（8）核对评标结果，有下列规定情形的，要求评标委员会复核或者书面说明理由，评标委员会拒绝的，则予以书面记录并向本级相关部门报告：</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① 分值汇总计算错误的；</w:t>
      </w:r>
      <w:r>
        <w:rPr>
          <w:rFonts w:ascii="宋体" w:hAnsi="宋体" w:cs="宋体"/>
          <w:sz w:val="24"/>
          <w:szCs w:val="24"/>
          <w:highlight w:val="none"/>
        </w:rPr>
      </w:r>
      <w:r/>
    </w:p>
    <w:p>
      <w:pPr>
        <w:pStyle w:val="967"/>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② 分项评分超出评分标准范围的；</w:t>
      </w:r>
      <w:r>
        <w:rPr>
          <w:rFonts w:ascii="宋体" w:hAnsi="宋体" w:cs="宋体"/>
          <w:sz w:val="24"/>
          <w:szCs w:val="24"/>
          <w:highlight w:val="none"/>
        </w:rPr>
      </w:r>
      <w:r/>
    </w:p>
    <w:p>
      <w:pPr>
        <w:pStyle w:val="967"/>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③ 评标委员会成员对客观评审因素评分不一致的；</w:t>
      </w:r>
      <w:r>
        <w:rPr>
          <w:rFonts w:ascii="宋体" w:hAnsi="宋体" w:cs="宋体"/>
          <w:sz w:val="24"/>
          <w:szCs w:val="24"/>
          <w:highlight w:val="none"/>
        </w:rPr>
      </w:r>
      <w:r/>
    </w:p>
    <w:p>
      <w:pPr>
        <w:pStyle w:val="967"/>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④ 经评标委员会认定评分畸高、畸低的。</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（9）评审工作完成后，按照规定向评审专家支付劳务报酬和异地评审差旅费，不得向评审专家以外的其他人员支付评审劳务报酬；</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（10）处理与评标有关的其他事项。</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3、评标委员会负责具体评标事务：</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4、评标委员会成员独立履行以下职责与义务：</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（1）遵纪守法，客观、公正、廉洁地履行职责；</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（2）审查合格投标人的投标文件是否实质性响应招标文件要求，并做出评价；</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（3）按照招标文件规定的评标办法和评标标准进行评标，对评审意见承担个人责任；</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（4）可以要求投标人对投标文件有关事项做出解释或澄清；</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（5）对评标过程和结果，以及投标人的商业秘密保密；</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（6）配合相关部门的投诉处理工作；</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（7）配合招标人或招标代理机构答复投标人提出的质疑。</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5、除招标人代表、评标现场组织人员外，招标人的其他工作人员以及与评标工作无关的人员不得进入评标现场；有关人员对评标情况以及在评标过程中获悉的国家秘密、商业秘密负有保密责任。</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6、开标后直到公告项目中标结果发出中标通知书并授予中标人合同为止，凡属于评审、澄清、评价和比较投标的所有资料及有关授予合同等的相关信息，都不应向投标人或与评标无关的其他人泄露。</w:t>
      </w:r>
      <w:r>
        <w:rPr>
          <w:rFonts w:ascii="宋体" w:hAnsi="宋体" w:cs="宋体"/>
          <w:sz w:val="24"/>
          <w:szCs w:val="24"/>
          <w:highlight w:val="none"/>
        </w:rPr>
      </w:r>
      <w:r/>
    </w:p>
    <w:p>
      <w:pPr>
        <w:pStyle w:val="967"/>
        <w:ind w:firstLine="482"/>
        <w:spacing w:line="480" w:lineRule="exact"/>
        <w:rPr>
          <w:rFonts w:ascii="宋体" w:hAnsi="宋体" w:cs="宋体"/>
          <w:b/>
          <w:sz w:val="24"/>
          <w:szCs w:val="24"/>
          <w:highlight w:val="none"/>
        </w:rPr>
      </w:pPr>
      <w:r>
        <w:rPr>
          <w:rFonts w:hint="eastAsia" w:ascii="宋体" w:hAnsi="宋体" w:cs="宋体"/>
          <w:sz w:val="24"/>
          <w:szCs w:val="24"/>
          <w:highlight w:val="none"/>
        </w:rPr>
        <w:t xml:space="preserve">7、评审期间，合格投标人的投标文件仍有可能被评标委员会根据规定判为无效投标。</w:t>
      </w:r>
      <w:r>
        <w:rPr>
          <w:rFonts w:ascii="宋体" w:hAnsi="宋体" w:cs="宋体"/>
          <w:b/>
          <w:sz w:val="24"/>
          <w:szCs w:val="24"/>
          <w:highlight w:val="none"/>
        </w:rPr>
      </w:r>
      <w:r/>
    </w:p>
    <w:p>
      <w:pPr>
        <w:pStyle w:val="967"/>
        <w:ind w:firstLine="482"/>
        <w:spacing w:line="480" w:lineRule="exact"/>
        <w:rPr>
          <w:rFonts w:ascii="宋体" w:hAnsi="宋体" w:cs="宋体"/>
          <w:b/>
          <w:sz w:val="24"/>
          <w:szCs w:val="24"/>
          <w:highlight w:val="none"/>
        </w:rPr>
      </w:pPr>
      <w:r>
        <w:rPr>
          <w:rFonts w:hint="eastAsia" w:ascii="宋体" w:hAnsi="宋体" w:cs="宋体"/>
          <w:sz w:val="24"/>
          <w:szCs w:val="24"/>
          <w:highlight w:val="none"/>
        </w:rPr>
        <w:t xml:space="preserve">8、在投标文件的评审、澄清、评价和比较以及授予合同的过程中，投标人对招标人和评标委员会成员有施加影响的任何行为，都将取消其可能的中标资格。</w:t>
      </w:r>
      <w:r>
        <w:rPr>
          <w:rFonts w:ascii="宋体" w:hAnsi="宋体" w:cs="宋体"/>
          <w:b/>
          <w:sz w:val="24"/>
          <w:szCs w:val="24"/>
          <w:highlight w:val="none"/>
        </w:rPr>
      </w:r>
      <w:r/>
    </w:p>
    <w:p>
      <w:pPr>
        <w:pStyle w:val="967"/>
        <w:ind w:firstLine="480"/>
        <w:spacing w:line="480" w:lineRule="exact"/>
        <w:rPr>
          <w:rFonts w:ascii="宋体" w:hAnsi="宋体" w:cs="宋体"/>
          <w:b/>
          <w:bCs/>
          <w:sz w:val="24"/>
          <w:szCs w:val="24"/>
          <w:highlight w:val="none"/>
        </w:rPr>
      </w:pPr>
      <w:r>
        <w:rPr>
          <w:rFonts w:hint="eastAsia" w:ascii="宋体" w:hAnsi="宋体" w:cs="宋体"/>
          <w:b/>
          <w:bCs/>
          <w:sz w:val="24"/>
          <w:szCs w:val="24"/>
          <w:highlight w:val="none"/>
        </w:rPr>
        <w:t xml:space="preserve">五、评审原则</w:t>
      </w:r>
      <w:r>
        <w:rPr>
          <w:rFonts w:ascii="宋体" w:hAnsi="宋体" w:cs="宋体"/>
          <w:b/>
          <w:bCs/>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1、本项目采用</w:t>
      </w:r>
      <w:r>
        <w:rPr>
          <w:rFonts w:hint="eastAsia" w:ascii="宋体" w:hAnsi="宋体" w:cs="宋体"/>
          <w:sz w:val="24"/>
          <w:szCs w:val="24"/>
          <w:highlight w:val="none"/>
          <w:u w:val="single"/>
        </w:rPr>
        <w:t xml:space="preserve">  </w:t>
      </w:r>
      <w:r>
        <w:rPr>
          <w:rFonts w:hint="eastAsia" w:ascii="宋体" w:hAnsi="宋体" w:cs="宋体"/>
          <w:b/>
          <w:sz w:val="24"/>
          <w:szCs w:val="24"/>
          <w:highlight w:val="none"/>
          <w:u w:val="single"/>
        </w:rPr>
        <w:t xml:space="preserve">综合评分法</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，即指投标文件满足本项目招标文件全部实质性要求，且按照评审因素的量化指标，经评审后得分最高的投标人推荐为中标人的评标方法。</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3、评标委员会严格按照招标文件规定的要求、条件、评分标准，对投标人所提供的完整计划标的物的科学性、可行性、产品质量、服务质量的保证及承诺等实质性响应内容进行比较评价。</w:t>
      </w:r>
      <w:r>
        <w:rPr>
          <w:rFonts w:ascii="宋体" w:hAnsi="宋体" w:cs="宋体"/>
          <w:sz w:val="24"/>
          <w:szCs w:val="24"/>
          <w:highlight w:val="none"/>
        </w:rPr>
      </w:r>
      <w:r/>
    </w:p>
    <w:p>
      <w:pPr>
        <w:pStyle w:val="967"/>
        <w:ind w:firstLine="482"/>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4、对投标文件的评审判定，只依据投标文件内容本身，不依靠开标后任何外来证明文件。</w:t>
      </w:r>
      <w:r>
        <w:rPr>
          <w:rFonts w:hint="eastAsia" w:ascii="宋体" w:hAnsi="宋体" w:cs="宋体"/>
          <w:sz w:val="24"/>
          <w:szCs w:val="24"/>
          <w:highlight w:val="none"/>
        </w:rPr>
      </w:r>
      <w:r/>
    </w:p>
    <w:p>
      <w:pPr>
        <w:pStyle w:val="967"/>
        <w:ind w:firstLine="480"/>
        <w:spacing w:line="480" w:lineRule="exact"/>
        <w:rPr>
          <w:rFonts w:ascii="宋体" w:hAnsi="宋体" w:cs="宋体"/>
          <w:b/>
          <w:bCs/>
          <w:sz w:val="24"/>
          <w:szCs w:val="24"/>
          <w:highlight w:val="none"/>
        </w:rPr>
      </w:pPr>
      <w:r>
        <w:rPr>
          <w:rFonts w:hint="eastAsia" w:ascii="宋体" w:hAnsi="宋体" w:cs="宋体"/>
          <w:b/>
          <w:bCs/>
          <w:sz w:val="24"/>
          <w:szCs w:val="24"/>
          <w:highlight w:val="none"/>
        </w:rPr>
        <w:t xml:space="preserve">六、评审方法</w:t>
      </w:r>
      <w:r>
        <w:rPr>
          <w:rFonts w:ascii="宋体" w:hAnsi="宋体" w:cs="宋体"/>
          <w:b/>
          <w:bCs/>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1、评标程序：</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资格符合性评审——商务技术标评审——价格标评审——确定中标候选人。</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本次资格审查采用资格后审，各投标人资格审查通过后方能进入商务技术标的开标。先开商务技术标，商务技术标打分结束后再开价格标。</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2、评标委员会将仅对按本招标文件载明的方法与规定，为实质上响应招标文件要求的投标文件评审并进行评价和比较。</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3、本次项目的商务技术标和价格标评审总分值为100分。两部分评审因素比重如下：</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商务技术标分值占总分值的比重为</w:t>
      </w:r>
      <w:r>
        <w:rPr>
          <w:rFonts w:hint="eastAsia" w:ascii="宋体" w:hAnsi="宋体" w:cs="宋体"/>
          <w:b/>
          <w:sz w:val="24"/>
          <w:szCs w:val="24"/>
          <w:highlight w:val="none"/>
          <w:u w:val="single"/>
        </w:rPr>
        <w:t xml:space="preserve">26%</w:t>
      </w:r>
      <w:r>
        <w:rPr>
          <w:rFonts w:hint="eastAsia" w:ascii="宋体" w:hAnsi="宋体" w:cs="宋体"/>
          <w:b/>
          <w:sz w:val="24"/>
          <w:szCs w:val="24"/>
          <w:highlight w:val="none"/>
        </w:rPr>
        <w:t xml:space="preserve">（权重）</w:t>
      </w:r>
      <w:r>
        <w:rPr>
          <w:rFonts w:hint="eastAsia" w:ascii="宋体" w:hAnsi="宋体" w:cs="宋体"/>
          <w:sz w:val="24"/>
          <w:szCs w:val="24"/>
          <w:highlight w:val="none"/>
        </w:rPr>
        <w:t xml:space="preserve">（计算结果均四舍五入保留两位小数）；</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价格标分值占总分值的比重为</w:t>
      </w:r>
      <w:r>
        <w:rPr>
          <w:rFonts w:hint="eastAsia" w:ascii="宋体" w:hAnsi="宋体" w:cs="宋体"/>
          <w:b/>
          <w:sz w:val="24"/>
          <w:szCs w:val="24"/>
          <w:highlight w:val="none"/>
          <w:u w:val="single"/>
        </w:rPr>
        <w:t xml:space="preserve">74%</w:t>
      </w:r>
      <w:r>
        <w:rPr>
          <w:rFonts w:hint="eastAsia" w:ascii="宋体" w:hAnsi="宋体" w:cs="宋体"/>
          <w:b/>
          <w:sz w:val="24"/>
          <w:szCs w:val="24"/>
          <w:highlight w:val="none"/>
        </w:rPr>
        <w:t xml:space="preserve">（权重）</w:t>
      </w:r>
      <w:r>
        <w:rPr>
          <w:rFonts w:hint="eastAsia" w:ascii="宋体" w:hAnsi="宋体" w:cs="宋体"/>
          <w:sz w:val="24"/>
          <w:szCs w:val="24"/>
          <w:highlight w:val="none"/>
        </w:rPr>
        <w:t xml:space="preserve">（计算结果均四舍五入保留两位小数）； </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4、评标委员会严格按照招标文件的要求、条件、评分标准，对投标人所提供服务的先进性、可靠性、售后服务承诺、质量保证承诺等实质性响应内容进行比较。</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5、评标专家确定方式：在专家库中随机抽取。评标委员会各成员独立对每个进入打分程序的有效投标人的投标文件的商务技术部分以打分的形式进行评审和评价。</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6、商务技术分按评委的算术平均值计算（计算结果均四舍五入保留两位小数）。</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7、开启投标人的价格报价标，现场唱标后由投标人代表在苏采云系统确认。</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8、投标人的价格标评审得分直接计算取得，并与其商务技术标得分相加为该投标人的综合得分（计算结果均四舍五入保留两位小数）。</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9、评标结果按评审后得分由高到低顺序排列。评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s="宋体"/>
          <w:sz w:val="24"/>
          <w:szCs w:val="24"/>
          <w:highlight w:val="none"/>
        </w:rPr>
      </w:r>
      <w:r/>
    </w:p>
    <w:p>
      <w:pPr>
        <w:pStyle w:val="967"/>
        <w:ind w:firstLine="480"/>
        <w:spacing w:line="480" w:lineRule="exact"/>
        <w:rPr>
          <w:rFonts w:ascii="宋体" w:hAnsi="宋体" w:cs="宋体"/>
          <w:b/>
          <w:bCs/>
          <w:sz w:val="24"/>
          <w:szCs w:val="24"/>
          <w:highlight w:val="none"/>
        </w:rPr>
      </w:pPr>
      <w:r>
        <w:rPr>
          <w:rFonts w:hint="eastAsia" w:ascii="宋体" w:hAnsi="宋体" w:cs="宋体"/>
          <w:b/>
          <w:bCs/>
          <w:sz w:val="24"/>
          <w:szCs w:val="24"/>
          <w:highlight w:val="none"/>
        </w:rPr>
        <w:t xml:space="preserve">七、关于投标价格评审</w:t>
      </w:r>
      <w:r>
        <w:rPr>
          <w:rFonts w:ascii="宋体" w:hAnsi="宋体" w:cs="宋体"/>
          <w:b/>
          <w:bCs/>
          <w:sz w:val="24"/>
          <w:szCs w:val="24"/>
          <w:highlight w:val="none"/>
        </w:rPr>
      </w:r>
      <w:r/>
    </w:p>
    <w:p>
      <w:pPr>
        <w:pStyle w:val="967"/>
        <w:ind w:firstLine="480"/>
        <w:spacing w:line="480" w:lineRule="exact"/>
        <w:rPr>
          <w:rFonts w:ascii="宋体" w:hAnsi="宋体" w:cs="宋体"/>
          <w:b/>
          <w:sz w:val="24"/>
          <w:szCs w:val="24"/>
          <w:highlight w:val="none"/>
        </w:rPr>
      </w:pPr>
      <w:r>
        <w:rPr>
          <w:rFonts w:hint="eastAsia" w:ascii="宋体" w:hAnsi="宋体" w:cs="宋体"/>
          <w:b/>
          <w:sz w:val="24"/>
          <w:szCs w:val="24"/>
          <w:highlight w:val="none"/>
        </w:rPr>
        <w:t xml:space="preserve">1、针对投标价格实质响应的评审</w:t>
      </w:r>
      <w:r>
        <w:rPr>
          <w:rFonts w:ascii="宋体" w:hAnsi="宋体" w:cs="宋体"/>
          <w:b/>
          <w:sz w:val="24"/>
          <w:szCs w:val="24"/>
          <w:highlight w:val="none"/>
        </w:rPr>
      </w:r>
      <w:r/>
    </w:p>
    <w:p>
      <w:pPr>
        <w:pStyle w:val="967"/>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 ，则按无效投标处理。 </w:t>
      </w:r>
      <w:r>
        <w:rPr>
          <w:rFonts w:ascii="宋体" w:hAnsi="宋体" w:cs="宋体"/>
          <w:sz w:val="24"/>
          <w:szCs w:val="24"/>
          <w:highlight w:val="none"/>
        </w:rPr>
      </w:r>
      <w:r/>
    </w:p>
    <w:p>
      <w:pPr>
        <w:pStyle w:val="967"/>
        <w:ind w:firstLine="480"/>
        <w:spacing w:line="480" w:lineRule="exact"/>
        <w:rPr>
          <w:rFonts w:ascii="宋体" w:hAnsi="宋体" w:cs="宋体"/>
          <w:b/>
          <w:sz w:val="24"/>
          <w:szCs w:val="24"/>
          <w:highlight w:val="none"/>
        </w:rPr>
      </w:pPr>
      <w:r>
        <w:rPr>
          <w:rFonts w:hint="eastAsia" w:ascii="宋体" w:hAnsi="宋体" w:cs="宋体"/>
          <w:b/>
          <w:sz w:val="24"/>
          <w:szCs w:val="24"/>
          <w:highlight w:val="none"/>
        </w:rPr>
        <w:t xml:space="preserve">2、针对投标价格合理性的评审</w:t>
      </w:r>
      <w:r>
        <w:rPr>
          <w:rFonts w:ascii="宋体" w:hAnsi="宋体" w:cs="宋体"/>
          <w:b/>
          <w:sz w:val="24"/>
          <w:szCs w:val="24"/>
          <w:highlight w:val="none"/>
        </w:rPr>
      </w:r>
      <w:r/>
    </w:p>
    <w:p>
      <w:pPr>
        <w:pStyle w:val="967"/>
        <w:ind w:firstLine="542"/>
        <w:spacing w:line="460" w:lineRule="exact"/>
        <w:rPr>
          <w:rFonts w:hint="eastAsia" w:ascii="宋体" w:hAnsi="宋体"/>
          <w:b/>
          <w:bCs/>
          <w:sz w:val="24"/>
          <w:highlight w:val="none"/>
        </w:rPr>
      </w:pPr>
      <w:r>
        <w:rPr>
          <w:rFonts w:hint="eastAsia" w:ascii="宋体" w:hAnsi="宋体"/>
          <w:b/>
          <w:bCs/>
          <w:sz w:val="24"/>
          <w:highlight w:val="none"/>
        </w:rPr>
        <w:t xml:space="preserve">评审委员会启动异常低价投标（响应）审查的情形和具体要求：</w:t>
      </w:r>
      <w:r>
        <w:rPr>
          <w:rFonts w:hint="eastAsia" w:ascii="宋体" w:hAnsi="宋体"/>
          <w:b/>
          <w:bCs/>
          <w:sz w:val="24"/>
          <w:highlight w:val="none"/>
        </w:rPr>
      </w:r>
      <w:r/>
    </w:p>
    <w:p>
      <w:pPr>
        <w:pStyle w:val="967"/>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（一）采购人应当在采购文件中明确，政府采购评审中出现下列情形之一的，评审委员会应当启动异常低价投标（响应）审查程序： </w:t>
      </w:r>
      <w:r>
        <w:rPr>
          <w:rFonts w:hint="eastAsia" w:ascii="宋体" w:hAnsi="宋体" w:eastAsia="宋体" w:cs="宋体"/>
          <w:sz w:val="24"/>
          <w:szCs w:val="24"/>
          <w:highlight w:val="none"/>
        </w:rPr>
      </w:r>
      <w:r/>
    </w:p>
    <w:p>
      <w:pPr>
        <w:pStyle w:val="967"/>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1.投标（响应）报价低于全部通过符合性审查</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投标（响应）报价平均值50%的，即投标（响应）报价&lt;全部通过符合性审查</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投标（响应）报价平均值×50%； </w:t>
      </w:r>
      <w:r>
        <w:rPr>
          <w:rFonts w:hint="eastAsia" w:ascii="宋体" w:hAnsi="宋体" w:eastAsia="宋体" w:cs="宋体"/>
          <w:sz w:val="24"/>
          <w:szCs w:val="24"/>
          <w:highlight w:val="none"/>
        </w:rPr>
      </w:r>
      <w:r/>
    </w:p>
    <w:p>
      <w:pPr>
        <w:pStyle w:val="967"/>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2.投标（响应）报价低于通过符合性审查的次低报价</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投标（响应）报价50%的，即投标（响应）报价&lt;通过符合性审查的次低报价</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投标（响应）报价×50%； </w:t>
      </w:r>
      <w:r>
        <w:rPr>
          <w:rFonts w:hint="eastAsia" w:ascii="宋体" w:hAnsi="宋体" w:eastAsia="宋体" w:cs="宋体"/>
          <w:sz w:val="24"/>
          <w:szCs w:val="24"/>
          <w:highlight w:val="none"/>
        </w:rPr>
      </w:r>
      <w:r/>
    </w:p>
    <w:p>
      <w:pPr>
        <w:pStyle w:val="967"/>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3.投标（响应）报价低于采购项目最高限价45%的，即投标（响应）报价&lt;采购项目最高限价×45%； </w:t>
      </w:r>
      <w:r>
        <w:rPr>
          <w:rFonts w:hint="eastAsia" w:ascii="宋体" w:hAnsi="宋体" w:eastAsia="宋体" w:cs="宋体"/>
          <w:sz w:val="24"/>
          <w:szCs w:val="24"/>
          <w:highlight w:val="none"/>
        </w:rPr>
      </w:r>
      <w:r/>
    </w:p>
    <w:p>
      <w:pPr>
        <w:pStyle w:val="967"/>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4.评审委员会基于专业判断，认为</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报价过低，有可能影响产品质量或者不能诚信履约的其他情形。 </w:t>
      </w:r>
      <w:r>
        <w:rPr>
          <w:rFonts w:hint="eastAsia" w:ascii="宋体" w:hAnsi="宋体" w:eastAsia="宋体" w:cs="宋体"/>
          <w:sz w:val="24"/>
          <w:szCs w:val="24"/>
          <w:highlight w:val="none"/>
        </w:rPr>
      </w:r>
      <w:r/>
    </w:p>
    <w:p>
      <w:pPr>
        <w:pStyle w:val="967"/>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采购人可以结合具体项目实际情况，提高上述第1项至第3项中启动异常低价投标（响应）审查的数值标准，但是最高不得超过65%。 </w:t>
      </w:r>
      <w:r>
        <w:rPr>
          <w:rFonts w:hint="eastAsia" w:ascii="宋体" w:hAnsi="宋体" w:eastAsia="宋体" w:cs="宋体"/>
          <w:sz w:val="24"/>
          <w:szCs w:val="24"/>
          <w:highlight w:val="none"/>
        </w:rPr>
      </w:r>
      <w:r/>
    </w:p>
    <w:p>
      <w:pPr>
        <w:pStyle w:val="967"/>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相关法律法规对</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报价有规定的，从其规定。 </w:t>
      </w:r>
      <w:r>
        <w:rPr>
          <w:rFonts w:hint="eastAsia" w:ascii="宋体" w:hAnsi="宋体" w:eastAsia="宋体" w:cs="宋体"/>
          <w:sz w:val="24"/>
          <w:szCs w:val="24"/>
          <w:highlight w:val="none"/>
        </w:rPr>
      </w:r>
      <w:r/>
    </w:p>
    <w:p>
      <w:pPr>
        <w:pStyle w:val="967"/>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评审委员会启动异常低价投标（响应）审查后，属于前述第1项至第4项情形的，应当要求相关</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在评审现场合理的时间内对投标（响应）价格作出解释，政府采购管理交易系统（苏采云）提供项目具体成本测算等与报价合理性相关的书面说明及必要的证明材料，包括但不限于原材料成本、人工成本、制造费用等，给予相关</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的合理时间一般不少于30分钟（自澄清发布后35分钟，投标人应关注苏采云系统，及时在规定时间内作出回复。回复超出时间视为未提供有效书面说明、证明材料）。其中，属于第3项情形，</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已随投标（响应）文件一并提交相关书面说明及必要的证明材料的，在评审现场可不再重复提交。</w:t>
      </w:r>
      <w:r>
        <w:rPr>
          <w:rFonts w:hint="eastAsia" w:ascii="宋体" w:hAnsi="宋体" w:eastAsia="宋体" w:cs="宋体"/>
          <w:sz w:val="24"/>
          <w:szCs w:val="24"/>
          <w:highlight w:val="none"/>
        </w:rPr>
      </w:r>
      <w:r/>
    </w:p>
    <w:p>
      <w:pPr>
        <w:pStyle w:val="967"/>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不能提供书面说明、证明材料，或者提供的书面说明、证明材料不能证明其报价合理性的，评审委员会应当将其作为无效投标（响应）处理。 </w:t>
      </w:r>
      <w:r>
        <w:rPr>
          <w:rFonts w:hint="eastAsia" w:ascii="宋体" w:hAnsi="宋体" w:eastAsia="宋体" w:cs="宋体"/>
          <w:sz w:val="24"/>
          <w:szCs w:val="24"/>
          <w:highlight w:val="none"/>
        </w:rPr>
      </w:r>
      <w:r/>
    </w:p>
    <w:p>
      <w:pPr>
        <w:pStyle w:val="967"/>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sz w:val="24"/>
          <w:szCs w:val="24"/>
          <w:highlight w:val="none"/>
        </w:rPr>
      </w:r>
      <w:r/>
    </w:p>
    <w:p>
      <w:pPr>
        <w:pStyle w:val="967"/>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异常低价投标（响应）审查的启动原因、审查意见和审查结果应当在评审报告中记录，并随</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提供的相关书面说明及证明材料，以及评审委员会有关互联网浏览、查询历史一并归档。</w:t>
      </w:r>
      <w:r>
        <w:rPr>
          <w:rFonts w:hint="eastAsia" w:ascii="宋体" w:hAnsi="宋体" w:eastAsia="宋体" w:cs="宋体"/>
          <w:sz w:val="24"/>
          <w:szCs w:val="24"/>
          <w:highlight w:val="none"/>
        </w:rPr>
      </w:r>
      <w:r/>
    </w:p>
    <w:p>
      <w:pPr>
        <w:pStyle w:val="967"/>
        <w:ind w:firstLine="480"/>
        <w:spacing w:line="480" w:lineRule="exact"/>
        <w:rPr>
          <w:rFonts w:ascii="宋体" w:hAnsi="宋体" w:cs="宋体"/>
          <w:b/>
          <w:bCs/>
          <w:sz w:val="24"/>
          <w:szCs w:val="24"/>
          <w:highlight w:val="none"/>
        </w:rPr>
      </w:pPr>
      <w:r>
        <w:rPr>
          <w:rFonts w:hint="eastAsia" w:ascii="宋体" w:hAnsi="宋体" w:cs="宋体"/>
          <w:b/>
          <w:bCs/>
          <w:sz w:val="24"/>
          <w:szCs w:val="24"/>
          <w:highlight w:val="none"/>
        </w:rPr>
        <w:t xml:space="preserve">八、评审评分项</w:t>
      </w:r>
      <w:r>
        <w:rPr>
          <w:rFonts w:ascii="宋体" w:hAnsi="宋体" w:cs="宋体"/>
          <w:b/>
          <w:bCs/>
          <w:sz w:val="24"/>
          <w:szCs w:val="24"/>
          <w:highlight w:val="none"/>
        </w:rPr>
      </w:r>
      <w:r/>
    </w:p>
    <w:p>
      <w:pPr>
        <w:pStyle w:val="967"/>
        <w:ind w:firstLine="482"/>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（一）商务技术分（26分） </w:t>
      </w:r>
      <w:r>
        <w:rPr>
          <w:rFonts w:hint="eastAsia" w:ascii="宋体" w:hAnsi="宋体" w:cs="宋体"/>
          <w:b/>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各投标人得分为评委会成员评分的算术平均分，分值保留小数点后两位。</w:t>
      </w:r>
      <w:r>
        <w:rPr>
          <w:rFonts w:hint="eastAsia" w:ascii="宋体" w:hAnsi="宋体" w:cs="宋体"/>
          <w:sz w:val="24"/>
          <w:szCs w:val="24"/>
          <w:highlight w:val="none"/>
        </w:rPr>
      </w:r>
      <w:r/>
    </w:p>
    <w:tbl>
      <w:tblPr>
        <w:tblW w:w="9055" w:type="dxa"/>
        <w:tblInd w:w="-15" w:type="dxa"/>
        <w:tblLayout w:type="autofit"/>
        <w:tblCellMar>
          <w:left w:w="108" w:type="dxa"/>
          <w:top w:w="0" w:type="dxa"/>
          <w:right w:w="108" w:type="dxa"/>
          <w:bottom w:w="0" w:type="dxa"/>
        </w:tblCellMar>
        <w:tblLook w:val="04A0" w:firstRow="1" w:lastRow="0" w:firstColumn="1" w:lastColumn="0" w:noHBand="0" w:noVBand="1"/>
      </w:tblPr>
      <w:tblGrid>
        <w:gridCol w:w="690"/>
        <w:gridCol w:w="2310"/>
        <w:gridCol w:w="630"/>
        <w:gridCol w:w="5425"/>
      </w:tblGrid>
      <w:tr>
        <w:trPr>
          <w:trHeight w:val="28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序号 </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评分点名称 </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分值</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评审标准</w:t>
            </w:r>
            <w:r>
              <w:rPr>
                <w:rFonts w:hint="eastAsia" w:ascii="宋体" w:hAnsi="宋体" w:cs="宋体"/>
                <w:color w:val="000000"/>
                <w:sz w:val="20"/>
                <w:szCs w:val="2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投标人实力</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67"/>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投标人实力</w:t>
            </w:r>
            <w:r>
              <w:rPr>
                <w:rFonts w:hint="eastAsia" w:ascii="宋体" w:hAnsi="宋体" w:cs="宋体"/>
                <w:color w:val="000000"/>
                <w:sz w:val="20"/>
                <w:szCs w:val="20"/>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1.1</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ISO9001质量管理体系认证</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67"/>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提供ISO9001质量管理体系证书得1分，否则不得分。</w:t>
            </w:r>
            <w:r>
              <w:rPr>
                <w:rFonts w:hint="eastAsia" w:ascii="宋体" w:hAnsi="宋体" w:cs="宋体"/>
                <w:color w:val="000000"/>
                <w:sz w:val="20"/>
                <w:szCs w:val="2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1.2</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生产能力</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25" w:type="dxa"/>
            <w:vAlign w:val="top"/>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具备所投产品生产能力并提供相关材料证明（设备、专业技术人员等）的得1分，否则不得分。</w:t>
            </w:r>
            <w:r>
              <w:rPr>
                <w:rFonts w:hint="eastAsia" w:ascii="宋体" w:hAnsi="宋体" w:cs="宋体"/>
                <w:color w:val="000000"/>
                <w:sz w:val="20"/>
                <w:szCs w:val="2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检测能力</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25" w:type="dxa"/>
            <w:vAlign w:val="top"/>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具备所投产品检测能力并提供相关材料证明（设备、专业技术人员等）的得1分，否则不得分。</w:t>
            </w:r>
            <w:r>
              <w:rPr>
                <w:rFonts w:hint="eastAsia" w:ascii="宋体" w:hAnsi="宋体" w:cs="宋体"/>
                <w:color w:val="000000"/>
                <w:sz w:val="20"/>
                <w:szCs w:val="2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产品性能检测</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67"/>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*需提供国家级检测中心出具的检测报告,检测报告中的制造商或生产单位必须是投标人（120W或160W路灯灯具）</w:t>
            </w:r>
            <w:r>
              <w:rPr>
                <w:rFonts w:hint="eastAsia" w:ascii="宋体" w:hAnsi="宋体" w:cs="宋体"/>
                <w:b/>
                <w:bCs/>
                <w:color w:val="000000"/>
                <w:sz w:val="20"/>
                <w:szCs w:val="2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2.1</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防冲击测试</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67"/>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提供LED灯具IK10防冲击测试报告的得1分，否则不得分；</w:t>
            </w:r>
            <w:r>
              <w:rPr>
                <w:rFonts w:hint="eastAsia" w:ascii="宋体" w:hAnsi="宋体" w:cs="宋体"/>
                <w:color w:val="000000"/>
                <w:sz w:val="20"/>
                <w:szCs w:val="2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2.2</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盐雾测试</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25" w:type="dxa"/>
            <w:vAlign w:val="top"/>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通过96小时（含）以上盐雾测试试验的得0.5分，通过144小时（含）以上盐雾测试试验的得1分，否则不得分；</w:t>
            </w:r>
            <w:r>
              <w:rPr>
                <w:rFonts w:hint="eastAsia" w:ascii="宋体" w:hAnsi="宋体" w:cs="宋体"/>
                <w:color w:val="000000"/>
                <w:sz w:val="20"/>
                <w:szCs w:val="2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2.3</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温差测试</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25" w:type="dxa"/>
            <w:vAlign w:val="top"/>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LED芯片Ts点温度和散热器表面温度温差小于5℃的测试报告得1分，否则不得分；</w:t>
            </w:r>
            <w:r>
              <w:rPr>
                <w:rFonts w:hint="eastAsia" w:ascii="宋体" w:hAnsi="宋体" w:cs="宋体"/>
                <w:color w:val="000000"/>
                <w:sz w:val="20"/>
                <w:szCs w:val="20"/>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2.4</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安规测试</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25" w:type="dxa"/>
            <w:vAlign w:val="top"/>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提供LED路灯灯具的安规测试报告（结构、耐久、防水防尘、绝缘电阻及电气强度、防触电等级、爬电距离和电气间隙、接地、内外部导线、热实验等）得1分，检测项目不全的不得分。</w:t>
            </w:r>
            <w:r>
              <w:rPr>
                <w:rFonts w:hint="eastAsia" w:ascii="宋体" w:hAnsi="宋体" w:cs="宋体"/>
                <w:color w:val="000000"/>
                <w:sz w:val="20"/>
                <w:szCs w:val="2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2.5</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蓝光危害测试</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25" w:type="dxa"/>
            <w:vAlign w:val="top"/>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提供LED路灯灯具的蓝光危害测试报告， RG1及以上得1分，RG2得0.5分。</w:t>
            </w:r>
            <w:r>
              <w:rPr>
                <w:rFonts w:hint="eastAsia" w:ascii="宋体" w:hAnsi="宋体" w:cs="宋体"/>
                <w:color w:val="000000"/>
                <w:sz w:val="20"/>
                <w:szCs w:val="20"/>
                <w:highlight w:val="none"/>
              </w:rPr>
            </w:r>
            <w:r/>
          </w:p>
        </w:tc>
      </w:tr>
      <w:tr>
        <w:trPr>
          <w:trHeight w:val="83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2.6</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防粘贴抗涂鸦涂料检测</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25" w:type="dxa"/>
            <w:vAlign w:val="top"/>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提供由国家级检验中心出具的防粘贴抗涂鸦涂料检测报告（表干时间、附着力、抗粘贴性、抗高温粘贴性、耐人工气候老化性、防涂鸦性等）得1分，检测项目不全的不得分。</w:t>
            </w:r>
            <w:r>
              <w:rPr>
                <w:rFonts w:hint="eastAsia" w:ascii="宋体" w:hAnsi="宋体" w:cs="宋体"/>
                <w:color w:val="000000"/>
                <w:sz w:val="20"/>
                <w:szCs w:val="20"/>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杆件受力计算</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67"/>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bidi="ar"/>
              </w:rPr>
              <w:t xml:space="preserve">投标人每提供一种类型综合杆件受力计算书的得1分，最高得3分；（信号灯合杆、电子警察合杆、交通标志牌合杆三种综合杆）。</w:t>
            </w:r>
            <w:r>
              <w:rPr>
                <w:rFonts w:hint="eastAsia" w:ascii="宋体" w:hAnsi="宋体" w:cs="宋体"/>
                <w:color w:val="000000"/>
                <w:sz w:val="20"/>
                <w:szCs w:val="20"/>
                <w:highlight w:val="none"/>
                <w:lang w:bidi="ar"/>
              </w:rPr>
              <w:br w:type="textWrapping" w:clear="all"/>
            </w:r>
            <w:r>
              <w:rPr>
                <w:rFonts w:hint="eastAsia" w:ascii="宋体" w:hAnsi="宋体" w:cs="宋体"/>
                <w:b/>
                <w:bCs/>
                <w:color w:val="000000"/>
                <w:sz w:val="20"/>
                <w:szCs w:val="20"/>
                <w:highlight w:val="none"/>
                <w:lang w:bidi="ar"/>
              </w:rPr>
              <w:t xml:space="preserve">*受力计算书必须由国家认可的权威机构出具，否则不得分</w:t>
            </w:r>
            <w:r>
              <w:rPr>
                <w:rFonts w:hint="eastAsia" w:ascii="宋体" w:hAnsi="宋体" w:cs="宋体"/>
                <w:b/>
                <w:bCs/>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rPr>
            </w:r>
            <w:r/>
          </w:p>
        </w:tc>
      </w:tr>
      <w:tr>
        <w:trPr>
          <w:trHeight w:val="124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业绩</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投标人提供2023年以来与本项目采购标的类似的业绩，每提供一个业绩得0.5分，最高得2分。</w:t>
            </w:r>
            <w:r>
              <w:rPr>
                <w:rFonts w:hint="eastAsia" w:ascii="宋体" w:hAnsi="宋体" w:cs="宋体"/>
                <w:color w:val="000000"/>
                <w:sz w:val="20"/>
                <w:szCs w:val="20"/>
                <w:highlight w:val="none"/>
                <w:lang w:bidi="ar"/>
              </w:rPr>
              <w:br w:type="textWrapping" w:clear="all"/>
            </w:r>
            <w:r>
              <w:rPr>
                <w:rFonts w:hint="eastAsia" w:ascii="宋体" w:hAnsi="宋体" w:cs="宋体"/>
                <w:b/>
                <w:bCs/>
                <w:color w:val="000000"/>
                <w:sz w:val="20"/>
                <w:szCs w:val="20"/>
                <w:highlight w:val="none"/>
                <w:lang w:bidi="ar"/>
              </w:rPr>
              <w:t xml:space="preserve">*以上业绩须提供中标通知书、中标公告网页截图及合同复印件。</w:t>
            </w:r>
            <w:r>
              <w:rPr>
                <w:rFonts w:hint="eastAsia" w:ascii="宋体" w:hAnsi="宋体" w:cs="宋体"/>
                <w:color w:val="000000"/>
                <w:sz w:val="20"/>
                <w:szCs w:val="2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售后服务能力</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67"/>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售后服务能力</w:t>
            </w:r>
            <w:r>
              <w:rPr>
                <w:rFonts w:hint="eastAsia" w:ascii="宋体" w:hAnsi="宋体" w:cs="宋体"/>
                <w:color w:val="000000"/>
                <w:sz w:val="20"/>
                <w:szCs w:val="20"/>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5.1</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服务方案</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提供完善的售后服务方案（包括施工组织方案、应急保障方案等），根据方案及措施，由评委进行综合评分，</w:t>
            </w:r>
            <w:r>
              <w:rPr>
                <w:rFonts w:hint="eastAsia" w:ascii="宋体" w:hAnsi="宋体" w:eastAsia="宋体" w:cs="宋体"/>
                <w:i w:val="0"/>
                <w:iCs w:val="0"/>
                <w:color w:val="000000"/>
                <w:sz w:val="20"/>
                <w:szCs w:val="20"/>
                <w:highlight w:val="none"/>
                <w:u w:val="none"/>
                <w:lang w:val="en-US" w:eastAsia="zh-CN" w:bidi="ar"/>
              </w:rPr>
              <w:t xml:space="preserve">整体最优、符合要求得1.5分，较好、基本符合要求得1分，一般得0.5分，未提供0分。</w:t>
            </w:r>
            <w:r>
              <w:rPr>
                <w:rFonts w:hint="eastAsia" w:ascii="宋体" w:hAnsi="宋体" w:cs="宋体"/>
                <w:color w:val="000000"/>
                <w:sz w:val="20"/>
                <w:szCs w:val="20"/>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5.2</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持续服务</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67"/>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投标人承诺提供项目持续服务，并有具体保障措施及优惠条件（提供相关证明材料），根据服务及措施，由评委进行综合评分：</w:t>
            </w:r>
            <w:r>
              <w:rPr>
                <w:rFonts w:hint="eastAsia" w:ascii="宋体" w:hAnsi="宋体" w:eastAsia="宋体" w:cs="宋体"/>
                <w:i w:val="0"/>
                <w:iCs w:val="0"/>
                <w:color w:val="000000"/>
                <w:sz w:val="20"/>
                <w:szCs w:val="20"/>
                <w:highlight w:val="none"/>
                <w:u w:val="none"/>
                <w:lang w:val="en-US" w:eastAsia="zh-CN" w:bidi="ar"/>
              </w:rPr>
              <w:t xml:space="preserve">整体最优、符合要求得1.5分，较好、基本符合要求得1分，一般得0.5分，未提供0分。</w:t>
            </w:r>
            <w:r>
              <w:rPr>
                <w:rFonts w:hint="eastAsia" w:ascii="宋体" w:hAnsi="宋体" w:cs="宋体"/>
                <w:color w:val="000000"/>
                <w:sz w:val="20"/>
                <w:szCs w:val="20"/>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样品</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67"/>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所提供的样品不符合招标文件技术要求的视作无效投标</w:t>
            </w:r>
            <w:r>
              <w:rPr>
                <w:rFonts w:hint="eastAsia" w:ascii="宋体" w:hAnsi="宋体" w:cs="宋体"/>
                <w:color w:val="000000"/>
                <w:sz w:val="20"/>
                <w:szCs w:val="20"/>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6.1</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所投灯杆款式、材质、尺寸、重量</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67"/>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综合杆（局部样品）外观效果（产品的材质、样式、尺寸是否符合招标要求。产品工艺、垂直度、圆整度、表面平整度等），由评委进行</w:t>
            </w:r>
            <w:r>
              <w:rPr>
                <w:rFonts w:hint="eastAsia" w:ascii="宋体" w:hAnsi="宋体" w:cs="宋体"/>
                <w:color w:val="000000"/>
                <w:sz w:val="20"/>
                <w:szCs w:val="20"/>
                <w:highlight w:val="none"/>
                <w:lang w:bidi="ar"/>
              </w:rPr>
              <w:t xml:space="preserve">综合评分</w:t>
            </w:r>
            <w:r>
              <w:rPr>
                <w:rFonts w:hint="eastAsia" w:ascii="宋体" w:hAnsi="宋体" w:cs="宋体"/>
                <w:sz w:val="20"/>
                <w:szCs w:val="20"/>
                <w:highlight w:val="none"/>
                <w:lang w:bidi="ar"/>
              </w:rPr>
              <w:t xml:space="preserve">：</w:t>
            </w:r>
            <w:r>
              <w:rPr>
                <w:rFonts w:hint="eastAsia" w:ascii="宋体" w:hAnsi="宋体" w:eastAsia="宋体" w:cs="宋体"/>
                <w:i w:val="0"/>
                <w:iCs w:val="0"/>
                <w:color w:val="000000"/>
                <w:sz w:val="20"/>
                <w:szCs w:val="20"/>
                <w:highlight w:val="none"/>
                <w:u w:val="none"/>
                <w:lang w:val="en-US" w:eastAsia="zh-CN" w:bidi="ar"/>
              </w:rPr>
              <w:t xml:space="preserve">整体最优、符合要求得1.5分，较好、基本符合要求得1分，一般得0.5分。</w:t>
            </w:r>
            <w:r>
              <w:rPr>
                <w:rFonts w:hint="eastAsia" w:ascii="宋体" w:hAnsi="宋体" w:cs="宋体"/>
                <w:sz w:val="20"/>
                <w:szCs w:val="20"/>
                <w:highlight w:val="none"/>
                <w:lang w:bidi="ar"/>
              </w:rPr>
            </w:r>
            <w:r/>
          </w:p>
        </w:tc>
      </w:tr>
      <w:tr>
        <w:trPr>
          <w:trHeight w:val="85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6.2</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灯杆焊接</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67"/>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杆体焊接质量（焊接缺陷为气孔，焊缝不连续，夹渣，焊瘤等），无焊接缺陷得1.5分，每一处缺陷扣0.5分，扣完为止。</w:t>
            </w:r>
            <w:r>
              <w:rPr>
                <w:rFonts w:hint="eastAsia" w:ascii="宋体" w:hAnsi="宋体" w:cs="宋体"/>
                <w:sz w:val="20"/>
                <w:szCs w:val="20"/>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6.3</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镀锌喷塑</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67"/>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镀锌喷塑厚度测试（锌层平均厚度不小于85微米，涂层厚度不小于80微米），满足招标文件标准的得2分，不满足的得0分。</w:t>
            </w:r>
            <w:r>
              <w:rPr>
                <w:rFonts w:hint="eastAsia" w:ascii="宋体" w:hAnsi="宋体" w:cs="宋体"/>
                <w:sz w:val="20"/>
                <w:szCs w:val="20"/>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6.4</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灯具外观</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67"/>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灯具外观质量及结构（造型美观，结构紧凑，便于更换和维修），由评委进行横向比较，整体最优、符合要求得2分，较好、基本符合要求得1分，一般得0.5分。</w:t>
            </w:r>
            <w:r>
              <w:rPr>
                <w:rFonts w:hint="eastAsia" w:ascii="宋体" w:hAnsi="宋体" w:cs="宋体"/>
                <w:color w:val="000000"/>
                <w:sz w:val="20"/>
                <w:szCs w:val="2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节能环保</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节能环保</w:t>
            </w:r>
            <w:r>
              <w:rPr>
                <w:rFonts w:hint="eastAsia" w:ascii="宋体" w:hAnsi="宋体" w:cs="宋体"/>
                <w:color w:val="000000"/>
                <w:sz w:val="20"/>
                <w:szCs w:val="20"/>
                <w:highlight w:val="none"/>
              </w:rPr>
            </w:r>
            <w:r/>
          </w:p>
        </w:tc>
      </w:tr>
      <w:tr>
        <w:trPr>
          <w:trHeight w:val="142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7.1</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7"/>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属于节能产品品目清单</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0.5</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投标产品属于财政部、国家发改委公布的“节能产品品目清单”范围内的，投标人提供国家确定的认证机构出具的、处于有效期之内的该节能产品认证证书复印件的，有1个得0.5分，最多得0.5分。如投标产品均属于政府强制采购节能产品品目清单范围内，本项不得分。</w:t>
            </w:r>
            <w:r>
              <w:rPr>
                <w:rFonts w:hint="eastAsia" w:ascii="宋体" w:hAnsi="宋体" w:cs="宋体"/>
                <w:color w:val="000000"/>
                <w:sz w:val="20"/>
                <w:szCs w:val="20"/>
                <w:highlight w:val="none"/>
              </w:rPr>
            </w:r>
            <w:r/>
          </w:p>
        </w:tc>
      </w:tr>
      <w:tr>
        <w:trPr>
          <w:trHeight w:val="217"/>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7.2</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属于环境标志产品品目清单</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0.5</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投标产品属于财政部、生态环境部公布的“环境标志产品品目清单”范围内的，投标人提供国家确定的认证机构出具的、处于有效期内的该环保产品认证证书复印件的，有1个得0.5分，最多得0.5分。</w:t>
            </w:r>
            <w:r>
              <w:rPr>
                <w:rFonts w:hint="eastAsia" w:ascii="宋体" w:hAnsi="宋体" w:cs="宋体"/>
                <w:color w:val="000000"/>
                <w:sz w:val="20"/>
                <w:szCs w:val="20"/>
                <w:highlight w:val="none"/>
              </w:rPr>
            </w:r>
            <w:r/>
          </w:p>
        </w:tc>
      </w:tr>
      <w:tr>
        <w:trPr>
          <w:trHeight w:val="171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绿色采购</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0.5分（投标时须提供相应使用低VOCs 含量的有效证明材料，否则不得分）。</w:t>
            </w:r>
            <w:r>
              <w:rPr>
                <w:rFonts w:hint="eastAsia" w:ascii="宋体" w:hAnsi="宋体" w:cs="宋体"/>
                <w:color w:val="000000"/>
                <w:sz w:val="20"/>
                <w:szCs w:val="20"/>
                <w:highlight w:val="none"/>
              </w:rPr>
            </w:r>
            <w:r/>
          </w:p>
        </w:tc>
      </w:tr>
    </w:tbl>
    <w:p>
      <w:pPr>
        <w:pStyle w:val="967"/>
        <w:ind w:firstLine="482"/>
        <w:spacing w:line="480" w:lineRule="exact"/>
        <w:rPr>
          <w:rFonts w:ascii="宋体" w:hAnsi="宋体"/>
          <w:b/>
          <w:bCs/>
          <w:sz w:val="24"/>
          <w:szCs w:val="22"/>
          <w:highlight w:val="none"/>
        </w:rPr>
      </w:pPr>
      <w:r>
        <w:rPr>
          <w:rFonts w:hint="eastAsia" w:ascii="宋体" w:hAnsi="宋体" w:cs="宋体"/>
          <w:b/>
          <w:bCs/>
          <w:sz w:val="24"/>
          <w:szCs w:val="24"/>
          <w:highlight w:val="none"/>
        </w:rPr>
        <w:t xml:space="preserve">（二）</w:t>
      </w:r>
      <w:r>
        <w:rPr>
          <w:rFonts w:ascii="宋体" w:hAnsi="宋体"/>
          <w:b/>
          <w:bCs/>
          <w:sz w:val="24"/>
          <w:szCs w:val="22"/>
          <w:highlight w:val="none"/>
        </w:rPr>
        <w:t xml:space="preserve">价格分：</w:t>
      </w:r>
      <w:r>
        <w:rPr>
          <w:rFonts w:hint="eastAsia" w:ascii="宋体" w:hAnsi="宋体"/>
          <w:b/>
          <w:bCs/>
          <w:sz w:val="24"/>
          <w:szCs w:val="22"/>
          <w:highlight w:val="none"/>
        </w:rPr>
        <w:t xml:space="preserve">74</w:t>
      </w:r>
      <w:r>
        <w:rPr>
          <w:rFonts w:ascii="宋体" w:hAnsi="宋体"/>
          <w:b/>
          <w:bCs/>
          <w:sz w:val="24"/>
          <w:szCs w:val="22"/>
          <w:highlight w:val="none"/>
        </w:rPr>
        <w:t xml:space="preserve">分</w:t>
      </w:r>
      <w:r>
        <w:rPr>
          <w:rFonts w:ascii="宋体" w:hAnsi="宋体"/>
          <w:b/>
          <w:bCs/>
          <w:sz w:val="24"/>
          <w:szCs w:val="22"/>
          <w:highlight w:val="none"/>
        </w:rPr>
      </w:r>
      <w:r/>
    </w:p>
    <w:p>
      <w:pPr>
        <w:pStyle w:val="967"/>
        <w:ind w:firstLine="480"/>
        <w:spacing w:line="480" w:lineRule="exact"/>
        <w:rPr>
          <w:rFonts w:ascii="宋体" w:hAnsi="宋体" w:cs="宋体"/>
          <w:sz w:val="24"/>
          <w:szCs w:val="24"/>
          <w:highlight w:val="none"/>
        </w:rPr>
      </w:pPr>
      <w:r/>
      <w:bookmarkStart w:id="215" w:name="_Hlk166352061"/>
      <w:r>
        <w:rPr>
          <w:rFonts w:hint="eastAsia" w:ascii="宋体" w:hAnsi="宋体" w:cs="宋体"/>
          <w:sz w:val="24"/>
          <w:szCs w:val="24"/>
          <w:highlight w:val="none"/>
        </w:rPr>
        <w:t xml:space="preserve">满足招标文件要求且投标报价（评标价）最低的报价为评标基准价，其价格标得分为满分；其他供应商的价格分按下列公式计算：</w:t>
      </w:r>
      <w:r>
        <w:rPr>
          <w:rFonts w:ascii="宋体" w:hAnsi="宋体" w:cs="宋体"/>
          <w:sz w:val="24"/>
          <w:szCs w:val="24"/>
          <w:highlight w:val="none"/>
        </w:rPr>
      </w:r>
      <w:r/>
    </w:p>
    <w:p>
      <w:pPr>
        <w:pStyle w:val="967"/>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价格标得分=（评标基准价/投标报价）×74%×100。</w:t>
      </w:r>
      <w:r>
        <w:rPr>
          <w:rFonts w:ascii="宋体" w:hAnsi="宋体" w:cs="宋体"/>
          <w:sz w:val="24"/>
          <w:szCs w:val="24"/>
          <w:highlight w:val="none"/>
        </w:rPr>
      </w:r>
      <w:r/>
    </w:p>
    <w:p>
      <w:pPr>
        <w:pStyle w:val="967"/>
        <w:ind w:firstLine="482"/>
        <w:spacing w:line="480" w:lineRule="exact"/>
        <w:rPr>
          <w:rFonts w:ascii="Calibri" w:hAnsi="Calibri"/>
          <w:b/>
          <w:bCs/>
          <w:sz w:val="24"/>
          <w:szCs w:val="22"/>
          <w:highlight w:val="none"/>
        </w:rPr>
      </w:pPr>
      <w:r/>
      <w:bookmarkEnd w:id="215"/>
      <w:r>
        <w:rPr>
          <w:rFonts w:hint="eastAsia" w:ascii="Calibri" w:hAnsi="Calibri"/>
          <w:b/>
          <w:bCs/>
          <w:sz w:val="24"/>
          <w:szCs w:val="22"/>
          <w:highlight w:val="none"/>
        </w:rPr>
        <w:t xml:space="preserve">评标小组认为供应商的报价明显低于其他通过符合性审查供应商的报价，有可能影响产品质量或者不能诚信履约的，应当要求其在</w:t>
      </w:r>
      <w:r>
        <w:rPr>
          <w:rFonts w:hint="eastAsia" w:ascii="Calibri" w:hAnsi="Calibri"/>
          <w:b/>
          <w:bCs/>
          <w:sz w:val="24"/>
          <w:szCs w:val="22"/>
          <w:highlight w:val="none"/>
          <w:lang w:val="en-US" w:eastAsia="zh-CN"/>
        </w:rPr>
        <w:t xml:space="preserve">规定</w:t>
      </w:r>
      <w:r>
        <w:rPr>
          <w:rFonts w:hint="eastAsia" w:ascii="Calibri" w:hAnsi="Calibri"/>
          <w:b/>
          <w:bCs/>
          <w:sz w:val="24"/>
          <w:szCs w:val="22"/>
          <w:highlight w:val="none"/>
          <w:lang w:val="en-US" w:eastAsia="zh-CN"/>
        </w:rPr>
        <w:t xml:space="preserve">时间</w:t>
      </w:r>
      <w:r>
        <w:rPr>
          <w:rFonts w:hint="eastAsia" w:ascii="Calibri" w:hAnsi="Calibri"/>
          <w:b/>
          <w:bCs/>
          <w:sz w:val="24"/>
          <w:szCs w:val="22"/>
          <w:highlight w:val="none"/>
        </w:rPr>
        <w:t xml:space="preserve">内提供书面说明，必要时提交相关证明材料；供应商不能证明其报价合理性的，评标小组应当将其作为无效响应处理。</w:t>
      </w:r>
      <w:r>
        <w:rPr>
          <w:rFonts w:ascii="Calibri" w:hAnsi="Calibri"/>
          <w:b/>
          <w:bCs/>
          <w:sz w:val="24"/>
          <w:szCs w:val="22"/>
          <w:highlight w:val="none"/>
        </w:rPr>
      </w:r>
      <w:r/>
    </w:p>
    <w:p>
      <w:pPr>
        <w:pStyle w:val="967"/>
        <w:ind w:firstLine="482"/>
        <w:spacing w:line="480" w:lineRule="exact"/>
        <w:rPr>
          <w:rFonts w:hint="eastAsia" w:ascii="宋体" w:hAnsi="宋体"/>
          <w:b/>
          <w:bCs/>
          <w:sz w:val="24"/>
          <w:szCs w:val="22"/>
          <w:highlight w:val="none"/>
        </w:rPr>
      </w:pPr>
      <w:r>
        <w:rPr>
          <w:rFonts w:hint="eastAsia" w:ascii="宋体" w:hAnsi="宋体"/>
          <w:b/>
          <w:bCs/>
          <w:sz w:val="24"/>
          <w:szCs w:val="22"/>
          <w:highlight w:val="none"/>
        </w:rPr>
        <w:t xml:space="preserve">（三）</w:t>
      </w:r>
      <w:r>
        <w:rPr>
          <w:rFonts w:ascii="宋体" w:hAnsi="宋体"/>
          <w:b/>
          <w:bCs/>
          <w:sz w:val="24"/>
          <w:szCs w:val="22"/>
          <w:highlight w:val="none"/>
        </w:rPr>
        <w:t xml:space="preserve">政府采购政策功能落实</w:t>
      </w:r>
      <w:r>
        <w:rPr>
          <w:rFonts w:hint="eastAsia" w:ascii="宋体" w:hAnsi="宋体"/>
          <w:b/>
          <w:bCs/>
          <w:sz w:val="24"/>
          <w:szCs w:val="22"/>
          <w:highlight w:val="none"/>
        </w:rPr>
      </w:r>
      <w:r/>
    </w:p>
    <w:p>
      <w:pPr>
        <w:pStyle w:val="967"/>
        <w:ind w:firstLine="570"/>
        <w:spacing w:line="480" w:lineRule="exact"/>
        <w:rPr>
          <w:rFonts w:hint="eastAsia" w:ascii="宋体" w:hAnsi="宋体" w:cs="宋体"/>
          <w:sz w:val="24"/>
          <w:szCs w:val="22"/>
          <w:highlight w:val="none"/>
          <w:lang w:bidi="ar"/>
        </w:rPr>
      </w:pPr>
      <w:r>
        <w:rPr>
          <w:rFonts w:hint="eastAsia" w:ascii="Calibri" w:hAnsi="Calibri"/>
          <w:b/>
          <w:bCs/>
          <w:sz w:val="24"/>
          <w:szCs w:val="22"/>
          <w:highlight w:val="none"/>
        </w:rPr>
        <w:t xml:space="preserve">1.促进中小企业发展政策:</w:t>
      </w:r>
      <w:r>
        <w:rPr>
          <w:rFonts w:hint="eastAsia" w:ascii="宋体" w:hAnsi="宋体"/>
          <w:b/>
          <w:bCs/>
          <w:sz w:val="24"/>
          <w:szCs w:val="22"/>
          <w:highlight w:val="none"/>
        </w:rPr>
        <w:t xml:space="preserve">本项目专门面向中小企业采购</w:t>
      </w:r>
      <w:r>
        <w:rPr>
          <w:rFonts w:hint="eastAsia" w:ascii="宋体" w:hAnsi="宋体" w:cs="宋体"/>
          <w:sz w:val="24"/>
          <w:szCs w:val="22"/>
          <w:highlight w:val="none"/>
          <w:lang w:bidi="ar"/>
        </w:rPr>
        <w:t xml:space="preserve">，不再执行价格评审优惠的扶持政策。</w:t>
      </w:r>
      <w:r>
        <w:rPr>
          <w:rFonts w:hint="eastAsia" w:ascii="宋体" w:hAnsi="宋体" w:cs="宋体"/>
          <w:sz w:val="24"/>
          <w:szCs w:val="22"/>
          <w:highlight w:val="none"/>
          <w:lang w:bidi="ar"/>
        </w:rPr>
      </w:r>
      <w:r/>
    </w:p>
    <w:p>
      <w:pPr>
        <w:pStyle w:val="967"/>
        <w:ind w:firstLine="482"/>
        <w:spacing w:line="480" w:lineRule="exact"/>
        <w:rPr>
          <w:rFonts w:hint="eastAsia" w:ascii="Calibri" w:hAnsi="Calibri"/>
          <w:b/>
          <w:bCs/>
          <w:sz w:val="24"/>
          <w:szCs w:val="22"/>
          <w:highlight w:val="none"/>
        </w:rPr>
      </w:pPr>
      <w:r>
        <w:rPr>
          <w:rFonts w:hint="eastAsia" w:ascii="Calibri" w:hAnsi="Calibri"/>
          <w:b/>
          <w:bCs/>
          <w:sz w:val="24"/>
          <w:szCs w:val="22"/>
          <w:highlight w:val="none"/>
        </w:rPr>
        <w:t xml:space="preserve">2.采购本国产品的支持政策</w:t>
      </w:r>
      <w:r>
        <w:rPr>
          <w:rFonts w:hint="eastAsia" w:ascii="Calibri" w:hAnsi="Calibri"/>
          <w:b/>
          <w:bCs/>
          <w:sz w:val="24"/>
          <w:szCs w:val="22"/>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2.3本项目政府采购活动中既有本国产品又有非本国产品参与竞争的，依法对本国产品给予价格评审优惠，对本国产品的报价给予20%的价格扣除，用扣除后的价格参与评审。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附件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2.5投标人需按照招标文件的要求提供《关于符合本国产品标准的声明函》（以下简称《声明函》），如不提供将不享受本国产品价格评审优惠。</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2.6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3、根据财政部、国家发改委《节能产品政府采购实施意见》，投标产品属于《节能产品政府采购清单》（最新一期）内的政府采购的节能产品，对相应产品的价格给予1%的扣除，用扣除后的价格参与评审。</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投标产品如为节能产品的，投标人需提供产品及型号所在清单页的复印件并用标识标明，如未提供，评委会将仅按可明确进行价格扣除的内容进行扣除。</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4、根据财政部、国家环保总局《关于环境标志产品政府采购实施的意见》，投标产品属于《环境标志产品政府采购清单》（最新一期）内的产品），对相应产品的价格给予1%的扣除，用扣除后的价格参与评审。</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2"/>
          <w:highlight w:val="none"/>
          <w:lang w:bidi="ar"/>
        </w:rPr>
      </w:pPr>
      <w:r>
        <w:rPr>
          <w:rFonts w:hint="eastAsia" w:ascii="宋体" w:hAnsi="宋体" w:cs="宋体"/>
          <w:sz w:val="24"/>
          <w:szCs w:val="24"/>
          <w:highlight w:val="none"/>
        </w:rPr>
        <w:t xml:space="preserve">投标产品如为环境标志产品的，投标人需提供产品及型号所在清单页的复印件并用标识标明，如未提供，评委会将仅按可明确进行价格扣除的内容进行扣除。</w:t>
      </w:r>
      <w:r>
        <w:rPr>
          <w:rFonts w:hint="eastAsia" w:ascii="宋体" w:hAnsi="宋体" w:cs="宋体"/>
          <w:sz w:val="24"/>
          <w:szCs w:val="22"/>
          <w:highlight w:val="none"/>
          <w:lang w:bidi="ar"/>
        </w:rPr>
      </w:r>
      <w:r/>
    </w:p>
    <w:p>
      <w:pPr>
        <w:pStyle w:val="967"/>
        <w:ind w:firstLine="570"/>
        <w:spacing w:line="480" w:lineRule="exact"/>
        <w:rPr>
          <w:rFonts w:ascii="宋体" w:hAnsi="宋体" w:cs="宋体"/>
          <w:b/>
          <w:bCs/>
          <w:sz w:val="24"/>
          <w:szCs w:val="22"/>
          <w:highlight w:val="none"/>
          <w:lang w:bidi="ar"/>
        </w:rPr>
      </w:pPr>
      <w:r>
        <w:rPr>
          <w:rFonts w:hint="eastAsia" w:ascii="宋体" w:hAnsi="宋体" w:cs="宋体"/>
          <w:b/>
          <w:bCs/>
          <w:sz w:val="24"/>
          <w:szCs w:val="22"/>
          <w:highlight w:val="none"/>
          <w:lang w:bidi="ar"/>
        </w:rPr>
        <w:t xml:space="preserve">九、中标</w:t>
      </w:r>
      <w:r>
        <w:rPr>
          <w:rFonts w:ascii="宋体" w:hAnsi="宋体" w:cs="宋体"/>
          <w:b/>
          <w:bCs/>
          <w:sz w:val="24"/>
          <w:szCs w:val="22"/>
          <w:highlight w:val="none"/>
          <w:lang w:bidi="ar"/>
        </w:rPr>
        <w:t xml:space="preserve">供应商的确定</w:t>
      </w:r>
      <w:r>
        <w:rPr>
          <w:rFonts w:ascii="宋体" w:hAnsi="宋体" w:cs="宋体"/>
          <w:b/>
          <w:bCs/>
          <w:sz w:val="24"/>
          <w:szCs w:val="22"/>
          <w:highlight w:val="none"/>
          <w:lang w:bidi="ar"/>
        </w:rPr>
      </w:r>
      <w:r/>
    </w:p>
    <w:p>
      <w:pPr>
        <w:pStyle w:val="967"/>
        <w:ind w:firstLine="570"/>
        <w:spacing w:line="480" w:lineRule="exact"/>
        <w:rPr>
          <w:rFonts w:ascii="宋体" w:hAnsi="宋体" w:cs="宋体"/>
          <w:sz w:val="24"/>
          <w:szCs w:val="22"/>
          <w:highlight w:val="none"/>
          <w:lang w:bidi="ar"/>
        </w:rPr>
      </w:pPr>
      <w:r>
        <w:rPr>
          <w:rFonts w:hint="eastAsia" w:ascii="宋体" w:hAnsi="宋体" w:cs="宋体"/>
          <w:sz w:val="24"/>
          <w:szCs w:val="22"/>
          <w:highlight w:val="none"/>
          <w:lang w:bidi="ar"/>
        </w:rPr>
        <w:t xml:space="preserve">评标</w:t>
      </w:r>
      <w:r>
        <w:rPr>
          <w:rFonts w:ascii="宋体" w:hAnsi="宋体" w:cs="宋体"/>
          <w:sz w:val="24"/>
          <w:szCs w:val="22"/>
          <w:highlight w:val="none"/>
          <w:lang w:bidi="ar"/>
        </w:rPr>
        <w:t xml:space="preserve">小组汇总各评委评分后，按照得分从高到低的顺序推荐三名</w:t>
      </w:r>
      <w:r>
        <w:rPr>
          <w:rFonts w:hint="eastAsia" w:ascii="宋体" w:hAnsi="宋体" w:cs="宋体"/>
          <w:sz w:val="24"/>
          <w:szCs w:val="22"/>
          <w:highlight w:val="none"/>
          <w:lang w:bidi="ar"/>
        </w:rPr>
        <w:t xml:space="preserve">中标</w:t>
      </w:r>
      <w:r>
        <w:rPr>
          <w:rFonts w:ascii="宋体" w:hAnsi="宋体" w:cs="宋体"/>
          <w:sz w:val="24"/>
          <w:szCs w:val="22"/>
          <w:highlight w:val="none"/>
          <w:lang w:bidi="ar"/>
        </w:rPr>
        <w:t xml:space="preserve">候选人，并编写评审报告。</w:t>
      </w:r>
      <w:r>
        <w:rPr>
          <w:rFonts w:ascii="宋体" w:hAnsi="宋体" w:cs="宋体"/>
          <w:sz w:val="24"/>
          <w:szCs w:val="22"/>
          <w:highlight w:val="none"/>
          <w:lang w:bidi="ar"/>
        </w:rPr>
      </w:r>
      <w:r/>
    </w:p>
    <w:p>
      <w:pPr>
        <w:pStyle w:val="967"/>
        <w:ind w:firstLine="570"/>
        <w:spacing w:line="480" w:lineRule="exact"/>
        <w:rPr>
          <w:rFonts w:ascii="宋体" w:hAnsi="宋体" w:cs="宋体"/>
          <w:sz w:val="24"/>
          <w:szCs w:val="22"/>
          <w:highlight w:val="none"/>
          <w:lang w:bidi="ar"/>
        </w:rPr>
      </w:pPr>
      <w:r>
        <w:rPr>
          <w:rFonts w:ascii="宋体" w:hAnsi="宋体" w:cs="宋体"/>
          <w:sz w:val="24"/>
          <w:szCs w:val="22"/>
          <w:highlight w:val="none"/>
          <w:lang w:bidi="ar"/>
        </w:rPr>
        <w:t xml:space="preserve">采购人委托</w:t>
      </w:r>
      <w:r>
        <w:rPr>
          <w:rFonts w:hint="eastAsia" w:ascii="宋体" w:hAnsi="宋体" w:cs="宋体"/>
          <w:sz w:val="24"/>
          <w:szCs w:val="22"/>
          <w:highlight w:val="none"/>
          <w:lang w:bidi="ar"/>
        </w:rPr>
        <w:t xml:space="preserve">评标</w:t>
      </w:r>
      <w:r>
        <w:rPr>
          <w:rFonts w:ascii="宋体" w:hAnsi="宋体" w:cs="宋体"/>
          <w:sz w:val="24"/>
          <w:szCs w:val="22"/>
          <w:highlight w:val="none"/>
          <w:lang w:bidi="ar"/>
        </w:rPr>
        <w:t xml:space="preserve">小组直接确定排名第一的</w:t>
      </w:r>
      <w:r>
        <w:rPr>
          <w:rFonts w:hint="eastAsia" w:ascii="宋体" w:hAnsi="宋体" w:cs="宋体"/>
          <w:sz w:val="24"/>
          <w:szCs w:val="22"/>
          <w:highlight w:val="none"/>
          <w:lang w:bidi="ar"/>
        </w:rPr>
        <w:t xml:space="preserve">中标</w:t>
      </w:r>
      <w:r>
        <w:rPr>
          <w:rFonts w:ascii="宋体" w:hAnsi="宋体" w:cs="宋体"/>
          <w:sz w:val="24"/>
          <w:szCs w:val="22"/>
          <w:highlight w:val="none"/>
          <w:lang w:bidi="ar"/>
        </w:rPr>
        <w:t xml:space="preserve">候选人为</w:t>
      </w:r>
      <w:r>
        <w:rPr>
          <w:rFonts w:hint="eastAsia" w:ascii="宋体" w:hAnsi="宋体" w:cs="宋体"/>
          <w:sz w:val="24"/>
          <w:szCs w:val="22"/>
          <w:highlight w:val="none"/>
          <w:lang w:bidi="ar"/>
        </w:rPr>
        <w:t xml:space="preserve">中标</w:t>
      </w:r>
      <w:r>
        <w:rPr>
          <w:rFonts w:ascii="宋体" w:hAnsi="宋体" w:cs="宋体"/>
          <w:sz w:val="24"/>
          <w:szCs w:val="22"/>
          <w:highlight w:val="none"/>
          <w:lang w:bidi="ar"/>
        </w:rPr>
        <w:t xml:space="preserve">供应商。</w:t>
      </w:r>
      <w:r>
        <w:rPr>
          <w:rFonts w:ascii="宋体" w:hAnsi="宋体" w:cs="宋体"/>
          <w:sz w:val="24"/>
          <w:szCs w:val="22"/>
          <w:highlight w:val="none"/>
          <w:lang w:bidi="ar"/>
        </w:rPr>
      </w:r>
      <w:r/>
    </w:p>
    <w:p>
      <w:pPr>
        <w:pStyle w:val="967"/>
        <w:ind w:firstLine="570"/>
        <w:spacing w:line="480" w:lineRule="exact"/>
        <w:rPr>
          <w:rFonts w:ascii="宋体" w:hAnsi="宋体" w:cs="宋体"/>
          <w:sz w:val="24"/>
          <w:szCs w:val="22"/>
          <w:highlight w:val="none"/>
          <w:lang w:bidi="ar"/>
        </w:rPr>
      </w:pPr>
      <w:r>
        <w:rPr>
          <w:rFonts w:hint="eastAsia" w:ascii="宋体" w:hAnsi="宋体" w:cs="宋体"/>
          <w:sz w:val="24"/>
          <w:szCs w:val="22"/>
          <w:highlight w:val="none"/>
          <w:lang w:bidi="ar"/>
        </w:rPr>
        <w:t xml:space="preserve">本项目第一中标候选人原则上为中标人。当排名第一的中标候选人放弃中标、因不可抗力不能履行合同、不按照招标文件要求提交履约保证金，或者被查实存在影响中标结果的违法行为等情形，不符合中标条件的，采购人可以按照评标委员会提出的中标候选人名单排序依次确定其他中标候选人为中标人，也可以重新招标。       </w:t>
      </w:r>
      <w:r>
        <w:rPr>
          <w:rFonts w:ascii="宋体" w:hAnsi="宋体" w:cs="宋体"/>
          <w:sz w:val="24"/>
          <w:szCs w:val="22"/>
          <w:highlight w:val="none"/>
          <w:lang w:bidi="ar"/>
        </w:rPr>
      </w:r>
      <w:r/>
    </w:p>
    <w:p>
      <w:pPr>
        <w:pStyle w:val="1057"/>
        <w:ind w:firstLine="439"/>
        <w:spacing w:line="440" w:lineRule="exact"/>
        <w:rPr>
          <w:rFonts w:ascii="宋体" w:hAnsi="宋体" w:cs="宋体"/>
          <w:szCs w:val="22"/>
          <w:highlight w:val="none"/>
          <w:lang w:bidi="ar"/>
        </w:rPr>
      </w:pPr>
      <w:r>
        <w:rPr>
          <w:rFonts w:hint="eastAsia" w:cs="Arial"/>
          <w:highlight w:val="none"/>
        </w:rPr>
        <w:t xml:space="preserve">中标人出现本招标文件第二章 第六条 27.4所述情况的，取消中标资格，采购人重新招标；其他投标人出现政府采购法律法规明令禁止违规行违法行为的，中标候选人不予调整。</w:t>
      </w:r>
      <w:r>
        <w:rPr>
          <w:rFonts w:ascii="宋体" w:hAnsi="宋体" w:cs="宋体"/>
          <w:szCs w:val="22"/>
          <w:highlight w:val="none"/>
          <w:lang w:bidi="ar"/>
        </w:rPr>
      </w:r>
      <w:r/>
    </w:p>
    <w:p>
      <w:pPr>
        <w:pStyle w:val="1057"/>
        <w:ind w:firstLine="439"/>
        <w:spacing w:line="440" w:lineRule="exact"/>
        <w:rPr>
          <w:rFonts w:hint="eastAsia" w:ascii="宋体" w:hAnsi="宋体" w:cs="宋体"/>
          <w:szCs w:val="22"/>
          <w:highlight w:val="none"/>
          <w:lang w:bidi="ar"/>
        </w:rPr>
      </w:pPr>
      <w:r>
        <w:rPr>
          <w:rFonts w:hint="eastAsia" w:ascii="宋体" w:hAnsi="宋体" w:cs="宋体"/>
          <w:szCs w:val="22"/>
          <w:highlight w:val="none"/>
          <w:lang w:bidi="ar"/>
        </w:rPr>
        <w:t xml:space="preserve">评标过程中出现本评标办法未尽事宜，由评标委员会根据有关法律、法规讨论决定。</w:t>
      </w:r>
      <w:r>
        <w:rPr>
          <w:rFonts w:hint="eastAsia" w:ascii="宋体" w:hAnsi="宋体" w:cs="宋体"/>
          <w:szCs w:val="22"/>
          <w:highlight w:val="none"/>
          <w:lang w:bidi="ar"/>
        </w:rPr>
      </w:r>
      <w:r/>
    </w:p>
    <w:p>
      <w:pPr>
        <w:pStyle w:val="967"/>
        <w:ind w:firstLine="482"/>
        <w:spacing w:line="480" w:lineRule="exact"/>
        <w:rPr>
          <w:rFonts w:ascii="宋体" w:hAnsi="宋体"/>
          <w:b/>
          <w:sz w:val="24"/>
          <w:szCs w:val="22"/>
          <w:highlight w:val="none"/>
        </w:rPr>
      </w:pPr>
      <w:r>
        <w:rPr>
          <w:rFonts w:hint="eastAsia" w:ascii="宋体" w:hAnsi="宋体"/>
          <w:b/>
          <w:sz w:val="24"/>
          <w:szCs w:val="22"/>
          <w:highlight w:val="none"/>
        </w:rPr>
        <w:t xml:space="preserve">十、</w:t>
      </w:r>
      <w:r>
        <w:rPr>
          <w:rFonts w:ascii="宋体" w:hAnsi="宋体"/>
          <w:b/>
          <w:sz w:val="24"/>
          <w:szCs w:val="22"/>
          <w:highlight w:val="none"/>
        </w:rPr>
        <w:t xml:space="preserve">公告</w:t>
      </w:r>
      <w:r>
        <w:rPr>
          <w:rFonts w:hint="eastAsia" w:ascii="宋体" w:hAnsi="宋体"/>
          <w:b/>
          <w:sz w:val="24"/>
          <w:szCs w:val="22"/>
          <w:highlight w:val="none"/>
        </w:rPr>
        <w:t xml:space="preserve">中标</w:t>
      </w:r>
      <w:r>
        <w:rPr>
          <w:rFonts w:ascii="宋体" w:hAnsi="宋体"/>
          <w:b/>
          <w:sz w:val="24"/>
          <w:szCs w:val="22"/>
          <w:highlight w:val="none"/>
        </w:rPr>
        <w:t xml:space="preserve">结果</w:t>
      </w:r>
      <w:r>
        <w:rPr>
          <w:rFonts w:ascii="宋体" w:hAnsi="宋体"/>
          <w:b/>
          <w:sz w:val="24"/>
          <w:szCs w:val="22"/>
          <w:highlight w:val="none"/>
        </w:rPr>
      </w:r>
      <w:r/>
    </w:p>
    <w:p>
      <w:pPr>
        <w:pStyle w:val="967"/>
        <w:ind w:firstLine="570"/>
        <w:spacing w:line="480" w:lineRule="exact"/>
        <w:rPr>
          <w:rFonts w:hint="eastAsia"/>
          <w:highlight w:val="none"/>
        </w:rPr>
      </w:pPr>
      <w:r>
        <w:rPr>
          <w:rFonts w:ascii="宋体" w:hAnsi="宋体"/>
          <w:sz w:val="24"/>
          <w:szCs w:val="22"/>
          <w:highlight w:val="none"/>
        </w:rPr>
        <w:t xml:space="preserve">自确定</w:t>
      </w:r>
      <w:r>
        <w:rPr>
          <w:rFonts w:hint="eastAsia" w:ascii="宋体" w:hAnsi="宋体"/>
          <w:sz w:val="24"/>
          <w:szCs w:val="22"/>
          <w:highlight w:val="none"/>
        </w:rPr>
        <w:t xml:space="preserve">中标</w:t>
      </w:r>
      <w:r>
        <w:rPr>
          <w:rFonts w:ascii="宋体" w:hAnsi="宋体"/>
          <w:sz w:val="24"/>
          <w:szCs w:val="22"/>
          <w:highlight w:val="none"/>
        </w:rPr>
        <w:t xml:space="preserve">供应商之日起2个工作日内，在</w:t>
      </w:r>
      <w:r>
        <w:rPr>
          <w:rFonts w:hint="eastAsia" w:ascii="宋体" w:hAnsi="宋体"/>
          <w:sz w:val="24"/>
          <w:szCs w:val="22"/>
          <w:highlight w:val="none"/>
        </w:rPr>
        <w:t xml:space="preserve">江苏省</w:t>
      </w:r>
      <w:r>
        <w:rPr>
          <w:rFonts w:ascii="宋体" w:hAnsi="宋体"/>
          <w:sz w:val="24"/>
          <w:szCs w:val="22"/>
          <w:highlight w:val="none"/>
        </w:rPr>
        <w:t xml:space="preserve">政府采购网公告</w:t>
      </w:r>
      <w:r>
        <w:rPr>
          <w:rFonts w:hint="eastAsia" w:ascii="宋体" w:hAnsi="宋体"/>
          <w:sz w:val="24"/>
          <w:szCs w:val="22"/>
          <w:highlight w:val="none"/>
        </w:rPr>
        <w:t xml:space="preserve">中标</w:t>
      </w:r>
      <w:r>
        <w:rPr>
          <w:rFonts w:ascii="宋体" w:hAnsi="宋体"/>
          <w:sz w:val="24"/>
          <w:szCs w:val="22"/>
          <w:highlight w:val="none"/>
        </w:rPr>
        <w:t xml:space="preserve">结果，公告期限为1个工作日。</w:t>
      </w:r>
      <w:r>
        <w:rPr>
          <w:rFonts w:hint="eastAsia"/>
          <w:highlight w:val="none"/>
        </w:rPr>
      </w:r>
      <w:r/>
    </w:p>
    <w:p>
      <w:pPr>
        <w:pStyle w:val="968"/>
        <w:pageBreakBefore/>
        <w:rPr>
          <w:rFonts w:hint="eastAsia" w:ascii="黑体" w:eastAsia="黑体"/>
          <w:bCs/>
          <w:sz w:val="44"/>
          <w:highlight w:val="none"/>
        </w:rPr>
      </w:pPr>
      <w:r>
        <w:rPr>
          <w:rFonts w:hint="eastAsia" w:ascii="黑体" w:eastAsia="黑体"/>
          <w:bCs/>
          <w:sz w:val="44"/>
          <w:highlight w:val="none"/>
        </w:rPr>
        <w:t xml:space="preserve">第六章  投标</w:t>
      </w:r>
      <w:bookmarkEnd w:id="212"/>
      <w:r/>
      <w:bookmarkEnd w:id="213"/>
      <w:r/>
      <w:bookmarkEnd w:id="214"/>
      <w:r>
        <w:rPr>
          <w:rFonts w:hint="eastAsia" w:ascii="黑体" w:eastAsia="黑体"/>
          <w:bCs/>
          <w:sz w:val="44"/>
          <w:highlight w:val="none"/>
        </w:rPr>
        <w:t xml:space="preserve">文件格式 </w:t>
      </w:r>
      <w:r>
        <w:rPr>
          <w:rFonts w:hint="eastAsia" w:ascii="黑体" w:eastAsia="黑体"/>
          <w:bCs/>
          <w:sz w:val="44"/>
          <w:highlight w:val="none"/>
        </w:rPr>
      </w:r>
      <w:r/>
    </w:p>
    <w:p>
      <w:pPr>
        <w:pStyle w:val="967"/>
        <w:jc w:val="center"/>
        <w:rPr>
          <w:rFonts w:hint="eastAsia" w:ascii="宋体" w:hAnsi="宋体"/>
          <w:b/>
          <w:sz w:val="72"/>
          <w:highlight w:val="none"/>
        </w:rPr>
      </w:pPr>
      <w:r/>
      <w:bookmarkStart w:id="216" w:name="_Hlt26671244"/>
      <w:r/>
      <w:bookmarkEnd w:id="216"/>
      <w:r/>
      <w:bookmarkStart w:id="217" w:name="_Hlt26955039"/>
      <w:r/>
      <w:bookmarkEnd w:id="217"/>
      <w:r/>
      <w:bookmarkStart w:id="218" w:name="_Toc49090576"/>
      <w:r/>
      <w:bookmarkStart w:id="219" w:name="_Toc26554094"/>
      <w:r/>
      <w:bookmarkStart w:id="220" w:name="_Toc120614282"/>
      <w:r>
        <w:rPr>
          <w:rFonts w:hint="eastAsia" w:ascii="宋体" w:hAnsi="宋体"/>
          <w:b/>
          <w:sz w:val="72"/>
          <w:highlight w:val="none"/>
        </w:rPr>
      </w:r>
      <w:r/>
    </w:p>
    <w:p>
      <w:pPr>
        <w:pStyle w:val="967"/>
        <w:jc w:val="center"/>
        <w:rPr>
          <w:rFonts w:hint="eastAsia" w:ascii="宋体" w:hAnsi="宋体"/>
          <w:b/>
          <w:sz w:val="72"/>
          <w:highlight w:val="none"/>
        </w:rPr>
      </w:pPr>
      <w:r>
        <w:rPr>
          <w:rFonts w:hint="eastAsia" w:ascii="宋体" w:hAnsi="宋体"/>
          <w:b/>
          <w:sz w:val="72"/>
          <w:highlight w:val="none"/>
        </w:rPr>
        <w:t xml:space="preserve">投  标  文  件</w:t>
      </w:r>
      <w:r>
        <w:rPr>
          <w:rFonts w:hint="eastAsia" w:ascii="宋体" w:hAnsi="宋体"/>
          <w:b/>
          <w:sz w:val="72"/>
          <w:highlight w:val="none"/>
        </w:rPr>
      </w:r>
      <w:r/>
    </w:p>
    <w:p>
      <w:pPr>
        <w:pStyle w:val="967"/>
        <w:jc w:val="center"/>
        <w:rPr>
          <w:rFonts w:hint="eastAsia" w:ascii="宋体" w:hAnsi="宋体"/>
          <w:b/>
          <w:sz w:val="72"/>
          <w:highlight w:val="none"/>
        </w:rPr>
      </w:pPr>
      <w:r>
        <w:rPr>
          <w:rFonts w:hint="eastAsia" w:ascii="宋体" w:hAnsi="宋体"/>
          <w:b/>
          <w:sz w:val="72"/>
          <w:highlight w:val="none"/>
        </w:rPr>
      </w:r>
      <w:r/>
    </w:p>
    <w:p>
      <w:pPr>
        <w:pStyle w:val="967"/>
        <w:jc w:val="center"/>
        <w:rPr>
          <w:rFonts w:hint="eastAsia" w:ascii="宋体" w:hAnsi="宋体"/>
          <w:b/>
          <w:sz w:val="72"/>
          <w:highlight w:val="none"/>
        </w:rPr>
      </w:pPr>
      <w:r>
        <w:rPr>
          <w:rFonts w:hint="eastAsia" w:ascii="宋体" w:hAnsi="宋体"/>
          <w:b/>
          <w:sz w:val="72"/>
          <w:highlight w:val="none"/>
        </w:rPr>
      </w:r>
      <w:r/>
    </w:p>
    <w:p>
      <w:pPr>
        <w:pStyle w:val="967"/>
        <w:jc w:val="center"/>
        <w:rPr>
          <w:rFonts w:hint="eastAsia" w:ascii="宋体" w:hAnsi="宋体"/>
          <w:b/>
          <w:sz w:val="36"/>
          <w:highlight w:val="none"/>
        </w:rPr>
      </w:pPr>
      <w:r>
        <w:rPr>
          <w:rFonts w:hint="eastAsia" w:ascii="宋体" w:hAnsi="宋体"/>
          <w:b/>
          <w:sz w:val="36"/>
          <w:highlight w:val="none"/>
        </w:rPr>
      </w:r>
      <w:r/>
    </w:p>
    <w:p>
      <w:pPr>
        <w:pStyle w:val="967"/>
        <w:jc w:val="center"/>
        <w:rPr>
          <w:rFonts w:hint="eastAsia" w:ascii="宋体" w:hAnsi="宋体"/>
          <w:b/>
          <w:sz w:val="36"/>
          <w:highlight w:val="none"/>
        </w:rPr>
      </w:pPr>
      <w:r>
        <w:rPr>
          <w:rFonts w:hint="eastAsia" w:ascii="宋体" w:hAnsi="宋体"/>
          <w:b/>
          <w:sz w:val="36"/>
          <w:highlight w:val="none"/>
        </w:rPr>
      </w:r>
      <w:r/>
    </w:p>
    <w:p>
      <w:pPr>
        <w:pStyle w:val="967"/>
        <w:jc w:val="center"/>
        <w:rPr>
          <w:rFonts w:hint="eastAsia" w:ascii="宋体" w:hAnsi="宋体"/>
          <w:b/>
          <w:sz w:val="36"/>
          <w:highlight w:val="none"/>
        </w:rPr>
      </w:pPr>
      <w:r>
        <w:rPr>
          <w:rFonts w:hint="eastAsia" w:ascii="宋体" w:hAnsi="宋体"/>
          <w:b/>
          <w:sz w:val="36"/>
          <w:highlight w:val="none"/>
        </w:rPr>
      </w:r>
      <w:r/>
    </w:p>
    <w:p>
      <w:pPr>
        <w:pStyle w:val="967"/>
        <w:ind w:firstLine="1084"/>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xxxx（包x）   </w:t>
      </w:r>
      <w:r>
        <w:rPr>
          <w:rFonts w:hint="eastAsia" w:ascii="宋体" w:hAnsi="宋体"/>
          <w:b/>
          <w:sz w:val="36"/>
          <w:highlight w:val="none"/>
        </w:rPr>
      </w:r>
      <w:r/>
    </w:p>
    <w:p>
      <w:pPr>
        <w:pStyle w:val="967"/>
        <w:ind w:firstLine="1084"/>
        <w:rPr>
          <w:rFonts w:hint="eastAsia" w:ascii="宋体" w:hAnsi="宋体" w:eastAsia="宋体"/>
          <w:b/>
          <w:sz w:val="36"/>
          <w:highlight w:val="none"/>
          <w:u w:val="single"/>
          <w:lang w:eastAsia="zh-CN"/>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hint="eastAsia" w:ascii="宋体" w:hAnsi="宋体"/>
          <w:b/>
          <w:sz w:val="36"/>
          <w:highlight w:val="none"/>
          <w:u w:val="single"/>
          <w:lang w:eastAsia="zh-CN"/>
        </w:rPr>
        <w:t xml:space="preserve">JSZC-320600-XXDF-G2026-0008</w:t>
      </w:r>
      <w:r>
        <w:rPr>
          <w:rFonts w:hint="eastAsia" w:ascii="宋体" w:hAnsi="宋体" w:eastAsia="宋体"/>
          <w:b/>
          <w:sz w:val="36"/>
          <w:highlight w:val="none"/>
          <w:u w:val="single"/>
          <w:lang w:eastAsia="zh-CN"/>
        </w:rPr>
      </w:r>
      <w:r/>
    </w:p>
    <w:p>
      <w:pPr>
        <w:pStyle w:val="967"/>
        <w:rPr>
          <w:rFonts w:hint="eastAsia"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（加盖CA电子公章）</w:t>
      </w:r>
      <w:r>
        <w:rPr>
          <w:rFonts w:hint="eastAsia" w:ascii="宋体" w:hAnsi="宋体"/>
          <w:b/>
          <w:sz w:val="36"/>
          <w:highlight w:val="none"/>
          <w:u w:val="single"/>
        </w:rPr>
      </w:r>
      <w:r/>
    </w:p>
    <w:p>
      <w:pPr>
        <w:pStyle w:val="967"/>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u w:val="single"/>
        </w:rPr>
      </w:r>
      <w:r/>
    </w:p>
    <w:p>
      <w:pPr>
        <w:pStyle w:val="967"/>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67"/>
        <w:spacing w:line="440" w:lineRule="exact"/>
        <w:rPr>
          <w:rFonts w:ascii="宋体" w:hAnsi="宋体"/>
          <w:highlight w:val="none"/>
        </w:rPr>
      </w:pPr>
      <w:r>
        <w:rPr>
          <w:rFonts w:ascii="宋体" w:hAnsi="宋体"/>
          <w:highlight w:val="none"/>
        </w:rPr>
      </w:r>
      <w:r/>
    </w:p>
    <w:p>
      <w:pPr>
        <w:pStyle w:val="967"/>
        <w:rPr>
          <w:rFonts w:ascii="宋体" w:hAnsi="宋体"/>
          <w:b/>
          <w:bCs/>
          <w:sz w:val="32"/>
          <w:szCs w:val="32"/>
          <w:highlight w:val="none"/>
        </w:rPr>
      </w:pPr>
      <w:r>
        <w:rPr>
          <w:rFonts w:ascii="宋体" w:hAnsi="宋体"/>
          <w:b/>
          <w:bCs/>
          <w:sz w:val="32"/>
          <w:szCs w:val="32"/>
          <w:highlight w:val="none"/>
        </w:rPr>
      </w:r>
      <w:r/>
    </w:p>
    <w:p>
      <w:pPr>
        <w:pStyle w:val="1035"/>
        <w:ind w:firstLine="0"/>
        <w:rPr>
          <w:rFonts w:hint="eastAsia" w:ascii="宋体" w:hAnsi="宋体"/>
          <w:b/>
          <w:bCs/>
          <w:sz w:val="32"/>
          <w:szCs w:val="32"/>
          <w:highlight w:val="none"/>
        </w:rPr>
      </w:pPr>
      <w:r>
        <w:rPr>
          <w:rFonts w:hint="eastAsia" w:ascii="宋体" w:hAnsi="宋体"/>
          <w:b/>
          <w:bCs/>
          <w:sz w:val="32"/>
          <w:szCs w:val="32"/>
          <w:highlight w:val="none"/>
        </w:rPr>
      </w:r>
      <w:r/>
    </w:p>
    <w:p>
      <w:pPr>
        <w:pStyle w:val="1035"/>
        <w:ind w:firstLine="0"/>
        <w:rPr>
          <w:rFonts w:hint="eastAsia" w:ascii="宋体" w:hAnsi="宋体"/>
          <w:b/>
          <w:bCs/>
          <w:sz w:val="32"/>
          <w:szCs w:val="32"/>
          <w:highlight w:val="none"/>
        </w:rPr>
      </w:pPr>
      <w:r>
        <w:rPr>
          <w:rFonts w:hint="eastAsia" w:ascii="宋体" w:hAnsi="宋体"/>
          <w:b/>
          <w:bCs/>
          <w:sz w:val="32"/>
          <w:szCs w:val="32"/>
          <w:highlight w:val="none"/>
        </w:rPr>
      </w:r>
      <w:r/>
    </w:p>
    <w:p>
      <w:pPr>
        <w:pStyle w:val="1035"/>
        <w:ind w:firstLine="0"/>
        <w:rPr>
          <w:rFonts w:hint="eastAsia" w:ascii="宋体" w:hAnsi="宋体"/>
          <w:b/>
          <w:bCs/>
          <w:sz w:val="32"/>
          <w:szCs w:val="32"/>
          <w:highlight w:val="none"/>
        </w:rPr>
      </w:pPr>
      <w:r>
        <w:rPr>
          <w:rFonts w:hint="eastAsia" w:ascii="宋体" w:hAnsi="宋体"/>
          <w:b/>
          <w:bCs/>
          <w:sz w:val="32"/>
          <w:szCs w:val="32"/>
          <w:highlight w:val="none"/>
        </w:rPr>
      </w:r>
      <w:r/>
    </w:p>
    <w:p>
      <w:pPr>
        <w:pStyle w:val="1035"/>
        <w:ind w:firstLine="0"/>
        <w:rPr>
          <w:rFonts w:hint="eastAsia" w:ascii="宋体" w:hAnsi="宋体"/>
          <w:b/>
          <w:bCs/>
          <w:sz w:val="32"/>
          <w:szCs w:val="32"/>
          <w:highlight w:val="none"/>
        </w:rPr>
      </w:pPr>
      <w:r>
        <w:rPr>
          <w:rFonts w:hint="eastAsia" w:ascii="宋体" w:hAnsi="宋体"/>
          <w:b/>
          <w:bCs/>
          <w:sz w:val="32"/>
          <w:szCs w:val="32"/>
          <w:highlight w:val="none"/>
        </w:rPr>
      </w:r>
      <w:r/>
    </w:p>
    <w:p>
      <w:pPr>
        <w:pStyle w:val="1035"/>
        <w:ind w:firstLine="0"/>
        <w:rPr>
          <w:rFonts w:hint="eastAsia" w:ascii="宋体" w:hAnsi="宋体"/>
          <w:b/>
          <w:bCs/>
          <w:sz w:val="32"/>
          <w:szCs w:val="32"/>
          <w:highlight w:val="none"/>
        </w:rPr>
      </w:pPr>
      <w:r>
        <w:rPr>
          <w:rFonts w:hint="eastAsia" w:ascii="宋体" w:hAnsi="宋体"/>
          <w:b/>
          <w:bCs/>
          <w:sz w:val="32"/>
          <w:szCs w:val="32"/>
          <w:highlight w:val="none"/>
        </w:rPr>
      </w:r>
      <w:r/>
    </w:p>
    <w:p>
      <w:pPr>
        <w:pStyle w:val="1093"/>
        <w:contextualSpacing/>
        <w:ind w:firstLine="482"/>
        <w:spacing w:line="360" w:lineRule="auto"/>
        <w:rPr>
          <w:rFonts w:ascii="Times New Roman" w:hAnsi="Times New Roman" w:cs="Times New Roman"/>
          <w:b/>
          <w:bCs/>
          <w:highlight w:val="none"/>
        </w:rPr>
      </w:pPr>
      <w:r>
        <w:rPr>
          <w:rFonts w:hint="eastAsia" w:ascii="Times New Roman" w:hAnsi="Times New Roman" w:cs="Times New Roman"/>
          <w:b/>
          <w:bCs/>
          <w:highlight w:val="none"/>
        </w:rPr>
        <w:t xml:space="preserve">投标</w:t>
      </w:r>
      <w:r>
        <w:rPr>
          <w:rFonts w:ascii="Times New Roman" w:hAnsi="Times New Roman" w:cs="Times New Roman"/>
          <w:b/>
          <w:bCs/>
          <w:highlight w:val="none"/>
        </w:rPr>
        <w:t xml:space="preserve">文件由资格审查证明材料、</w:t>
      </w:r>
      <w:r>
        <w:rPr>
          <w:rFonts w:hint="eastAsia" w:ascii="Times New Roman" w:hAnsi="Times New Roman" w:cs="Times New Roman"/>
          <w:b/>
          <w:bCs/>
          <w:highlight w:val="none"/>
        </w:rPr>
        <w:t xml:space="preserve">符合性审查文件、</w:t>
      </w:r>
      <w:r>
        <w:rPr>
          <w:rFonts w:ascii="Times New Roman" w:hAnsi="Times New Roman" w:cs="Times New Roman"/>
          <w:b/>
          <w:bCs/>
          <w:highlight w:val="none"/>
        </w:rPr>
        <w:t xml:space="preserve">商务技术文件、价格文件</w:t>
      </w:r>
      <w:r>
        <w:rPr>
          <w:rFonts w:hint="eastAsia" w:ascii="Times New Roman" w:hAnsi="Times New Roman" w:cs="Times New Roman"/>
          <w:b/>
          <w:bCs/>
          <w:highlight w:val="none"/>
        </w:rPr>
        <w:t xml:space="preserve">四</w:t>
      </w:r>
      <w:r>
        <w:rPr>
          <w:rFonts w:ascii="Times New Roman" w:hAnsi="Times New Roman" w:cs="Times New Roman"/>
          <w:b/>
          <w:bCs/>
          <w:highlight w:val="none"/>
        </w:rPr>
        <w:t xml:space="preserve">部分组成</w:t>
      </w:r>
      <w:r>
        <w:rPr>
          <w:rFonts w:ascii="Times New Roman" w:hAnsi="Times New Roman" w:cs="Times New Roman"/>
          <w:highlight w:val="none"/>
        </w:rPr>
        <w:t xml:space="preserve">。供应商提供的</w:t>
      </w:r>
      <w:r>
        <w:rPr>
          <w:rFonts w:hint="eastAsia" w:ascii="Times New Roman" w:hAnsi="Times New Roman" w:cs="Times New Roman"/>
          <w:highlight w:val="none"/>
        </w:rPr>
        <w:t xml:space="preserve">投标</w:t>
      </w:r>
      <w:r>
        <w:rPr>
          <w:rFonts w:ascii="Times New Roman" w:hAnsi="Times New Roman" w:cs="Times New Roman"/>
          <w:highlight w:val="none"/>
        </w:rPr>
        <w:t xml:space="preserve">文件材料须字迹清晰。</w:t>
      </w:r>
      <w:r>
        <w:rPr>
          <w:rFonts w:ascii="Times New Roman" w:hAnsi="Times New Roman" w:cs="Times New Roman"/>
          <w:b/>
          <w:bCs/>
          <w:highlight w:val="none"/>
        </w:rPr>
        <w:t xml:space="preserve">如</w:t>
      </w:r>
      <w:r>
        <w:rPr>
          <w:rFonts w:hint="eastAsia" w:ascii="Times New Roman" w:hAnsi="Times New Roman" w:cs="Times New Roman"/>
          <w:b/>
          <w:bCs/>
          <w:highlight w:val="none"/>
        </w:rPr>
        <w:t xml:space="preserve">投标</w:t>
      </w:r>
      <w:r>
        <w:rPr>
          <w:rFonts w:ascii="Times New Roman" w:hAnsi="Times New Roman" w:cs="Times New Roman"/>
          <w:b/>
          <w:bCs/>
          <w:highlight w:val="none"/>
        </w:rPr>
        <w:t xml:space="preserve">文件字迹模糊</w:t>
      </w:r>
      <w:r>
        <w:rPr>
          <w:rFonts w:hint="eastAsia" w:ascii="Times New Roman" w:hAnsi="Times New Roman" w:cs="Times New Roman"/>
          <w:b/>
          <w:bCs/>
          <w:highlight w:val="none"/>
        </w:rPr>
        <w:t xml:space="preserve">，</w:t>
      </w:r>
      <w:r>
        <w:rPr>
          <w:rFonts w:ascii="Times New Roman" w:hAnsi="Times New Roman" w:cs="Times New Roman"/>
          <w:b/>
          <w:bCs/>
          <w:highlight w:val="none"/>
        </w:rPr>
        <w:t xml:space="preserve">造成的废标或不得分等后果由供应商自行承担。</w:t>
      </w:r>
      <w:r>
        <w:rPr>
          <w:rFonts w:ascii="Times New Roman" w:hAnsi="Times New Roman" w:cs="Times New Roman"/>
          <w:b/>
          <w:bCs/>
          <w:highlight w:val="none"/>
        </w:rPr>
      </w:r>
      <w:r/>
    </w:p>
    <w:p>
      <w:pPr>
        <w:pStyle w:val="967"/>
        <w:ind w:left="480"/>
        <w:spacing w:line="48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一</w:t>
      </w:r>
      <w:r>
        <w:rPr>
          <w:rFonts w:ascii="仿宋" w:hAnsi="仿宋" w:eastAsia="仿宋"/>
          <w:b/>
          <w:sz w:val="28"/>
          <w:szCs w:val="28"/>
          <w:highlight w:val="none"/>
        </w:rPr>
        <w:t xml:space="preserve">、</w:t>
      </w:r>
      <w:r>
        <w:rPr>
          <w:rFonts w:hint="eastAsia" w:ascii="仿宋" w:hAnsi="仿宋" w:eastAsia="仿宋"/>
          <w:b/>
          <w:sz w:val="28"/>
          <w:szCs w:val="28"/>
          <w:highlight w:val="none"/>
        </w:rPr>
        <w:t xml:space="preserve">资格审查证明材料（不能出现商务技术文件、价格文件）</w:t>
      </w:r>
      <w:r>
        <w:rPr>
          <w:rFonts w:hint="eastAsia" w:ascii="仿宋" w:hAnsi="仿宋" w:eastAsia="仿宋"/>
          <w:b/>
          <w:sz w:val="28"/>
          <w:szCs w:val="28"/>
          <w:highlight w:val="none"/>
        </w:rPr>
      </w:r>
      <w:r/>
    </w:p>
    <w:p>
      <w:pPr>
        <w:pStyle w:val="967"/>
        <w:ind w:firstLine="480"/>
        <w:rPr>
          <w:rFonts w:ascii="宋体" w:hAnsi="宋体" w:eastAsia="仿宋"/>
          <w:b/>
          <w:sz w:val="24"/>
          <w:szCs w:val="24"/>
          <w:highlight w:val="none"/>
        </w:rPr>
      </w:pPr>
      <w:r>
        <w:rPr>
          <w:rFonts w:hint="eastAsia" w:ascii="仿宋" w:hAnsi="仿宋" w:eastAsia="仿宋"/>
          <w:sz w:val="24"/>
          <w:szCs w:val="24"/>
          <w:highlight w:val="none"/>
        </w:rPr>
        <w:t xml:space="preserve">1、投标人符合《政府采购法》第二十二条规定条件的声明函（格式见附件1）</w:t>
      </w:r>
      <w:r>
        <w:rPr>
          <w:rFonts w:ascii="宋体" w:hAnsi="宋体" w:eastAsia="仿宋"/>
          <w:b/>
          <w:sz w:val="24"/>
          <w:szCs w:val="24"/>
          <w:highlight w:val="none"/>
        </w:rPr>
      </w:r>
      <w:r/>
    </w:p>
    <w:p>
      <w:pPr>
        <w:pStyle w:val="967"/>
        <w:ind w:firstLine="480"/>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2、法定代表人身份证明书、法定代表人身份证扫描件（格式见附件2）；</w:t>
      </w:r>
      <w:r>
        <w:rPr>
          <w:rFonts w:hint="eastAsia" w:ascii="仿宋" w:hAnsi="仿宋" w:eastAsia="仿宋"/>
          <w:sz w:val="24"/>
          <w:szCs w:val="24"/>
          <w:highlight w:val="none"/>
        </w:rPr>
      </w:r>
      <w:r/>
    </w:p>
    <w:p>
      <w:pPr>
        <w:pStyle w:val="967"/>
        <w:ind w:firstLine="480"/>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3、法定代表人授权委托书，被授权人身份证扫描件，被委托授权人在该单位202</w:t>
      </w: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年0</w:t>
      </w:r>
      <w:r>
        <w:rPr>
          <w:rFonts w:hint="eastAsia" w:ascii="仿宋" w:hAnsi="仿宋" w:eastAsia="仿宋"/>
          <w:sz w:val="24"/>
          <w:szCs w:val="24"/>
          <w:highlight w:val="none"/>
          <w:lang w:val="en-US" w:eastAsia="zh-CN"/>
        </w:rPr>
        <w:t xml:space="preserve">1</w:t>
      </w:r>
      <w:r>
        <w:rPr>
          <w:rFonts w:hint="eastAsia" w:ascii="仿宋" w:hAnsi="仿宋" w:eastAsia="仿宋"/>
          <w:sz w:val="24"/>
          <w:szCs w:val="24"/>
          <w:highlight w:val="none"/>
        </w:rPr>
        <w:t xml:space="preserve">月-202</w:t>
      </w: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年0</w:t>
      </w: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rPr>
        <w:t xml:space="preserve">月任意一个月社保证明复印件加盖公章扫描件（格式见附件3）；（若有授权则须提供）；</w:t>
      </w:r>
      <w:r>
        <w:rPr>
          <w:rFonts w:hint="eastAsia" w:ascii="仿宋" w:hAnsi="仿宋" w:eastAsia="仿宋"/>
          <w:sz w:val="24"/>
          <w:szCs w:val="24"/>
          <w:highlight w:val="none"/>
        </w:rPr>
      </w:r>
      <w:r/>
    </w:p>
    <w:p>
      <w:pPr>
        <w:pStyle w:val="967"/>
        <w:ind w:firstLine="480"/>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4、供应商营业执照副本复印件加盖公章；</w:t>
      </w:r>
      <w:r>
        <w:rPr>
          <w:rFonts w:hint="eastAsia" w:ascii="仿宋" w:hAnsi="仿宋" w:eastAsia="仿宋"/>
          <w:sz w:val="24"/>
          <w:szCs w:val="24"/>
          <w:highlight w:val="none"/>
        </w:rPr>
      </w:r>
      <w:r/>
    </w:p>
    <w:p>
      <w:pPr>
        <w:pStyle w:val="967"/>
        <w:ind w:firstLine="480"/>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5、参加采购活动前无失信记录的书面声明（格式详见附件4）；</w:t>
      </w:r>
      <w:r>
        <w:rPr>
          <w:rFonts w:hint="eastAsia" w:ascii="仿宋" w:hAnsi="仿宋" w:eastAsia="仿宋"/>
          <w:sz w:val="24"/>
          <w:szCs w:val="24"/>
          <w:highlight w:val="none"/>
        </w:rPr>
      </w:r>
      <w:r/>
    </w:p>
    <w:p>
      <w:pPr>
        <w:pStyle w:val="967"/>
        <w:ind w:firstLine="480"/>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6、本项目的特定资格要求:（1）投标人须为灯杆、LED灯具的专业生产厂家。</w:t>
      </w:r>
      <w:r>
        <w:rPr>
          <w:rFonts w:hint="eastAsia" w:ascii="仿宋" w:hAnsi="仿宋" w:eastAsia="仿宋"/>
          <w:sz w:val="24"/>
          <w:szCs w:val="24"/>
          <w:highlight w:val="none"/>
        </w:rPr>
      </w:r>
      <w:r/>
    </w:p>
    <w:p>
      <w:pPr>
        <w:pStyle w:val="967"/>
        <w:ind w:firstLine="480"/>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（2）投标人须具有城市及道路照明工程专业和电子与智能化工程专业承包资质。</w:t>
      </w:r>
      <w:r>
        <w:rPr>
          <w:rFonts w:hint="eastAsia" w:ascii="仿宋" w:hAnsi="仿宋" w:eastAsia="仿宋"/>
          <w:sz w:val="24"/>
          <w:szCs w:val="24"/>
          <w:highlight w:val="none"/>
        </w:rPr>
      </w:r>
      <w:r/>
    </w:p>
    <w:p>
      <w:pPr>
        <w:pStyle w:val="967"/>
        <w:ind w:firstLine="480"/>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7、本项目专门面向中小企业采购，供应商提供中小企业声明函、残疾人福利性单位声明函或监狱和戒毒企业证明材料（格式见附件5）；</w:t>
      </w:r>
      <w:r>
        <w:rPr>
          <w:rFonts w:hint="eastAsia" w:ascii="仿宋" w:hAnsi="仿宋" w:eastAsia="仿宋"/>
          <w:sz w:val="24"/>
          <w:szCs w:val="24"/>
          <w:highlight w:val="none"/>
        </w:rPr>
      </w:r>
      <w:r/>
    </w:p>
    <w:p>
      <w:pPr>
        <w:pStyle w:val="967"/>
        <w:ind w:firstLine="480"/>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8、投标及履约承诺书（格式见附件6）；</w:t>
      </w:r>
      <w:r>
        <w:rPr>
          <w:rFonts w:hint="eastAsia" w:ascii="仿宋" w:hAnsi="仿宋" w:eastAsia="仿宋"/>
          <w:sz w:val="24"/>
          <w:szCs w:val="24"/>
          <w:highlight w:val="none"/>
        </w:rPr>
      </w:r>
      <w:r/>
    </w:p>
    <w:p>
      <w:pPr>
        <w:pStyle w:val="967"/>
        <w:ind w:left="480"/>
        <w:spacing w:line="48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二</w:t>
      </w:r>
      <w:r>
        <w:rPr>
          <w:rFonts w:ascii="仿宋" w:hAnsi="仿宋" w:eastAsia="仿宋"/>
          <w:b/>
          <w:sz w:val="28"/>
          <w:szCs w:val="28"/>
          <w:highlight w:val="none"/>
        </w:rPr>
        <w:t xml:space="preserve">、</w:t>
      </w:r>
      <w:r>
        <w:rPr>
          <w:rFonts w:hint="eastAsia" w:ascii="仿宋" w:hAnsi="仿宋" w:eastAsia="仿宋"/>
          <w:b/>
          <w:sz w:val="28"/>
          <w:szCs w:val="28"/>
          <w:highlight w:val="none"/>
        </w:rPr>
        <w:t xml:space="preserve">符合性</w:t>
      </w:r>
      <w:r>
        <w:rPr>
          <w:rFonts w:ascii="仿宋" w:hAnsi="仿宋" w:eastAsia="仿宋"/>
          <w:b/>
          <w:sz w:val="28"/>
          <w:szCs w:val="28"/>
          <w:highlight w:val="none"/>
        </w:rPr>
        <w:t xml:space="preserve">审查</w:t>
      </w:r>
      <w:r>
        <w:rPr>
          <w:rFonts w:hint="eastAsia" w:ascii="仿宋" w:hAnsi="仿宋" w:eastAsia="仿宋"/>
          <w:b/>
          <w:sz w:val="28"/>
          <w:szCs w:val="28"/>
          <w:highlight w:val="none"/>
        </w:rPr>
        <w:t xml:space="preserve">文件</w:t>
      </w:r>
      <w:r>
        <w:rPr>
          <w:rFonts w:hint="eastAsia" w:ascii="仿宋" w:hAnsi="仿宋" w:eastAsia="仿宋"/>
          <w:b/>
          <w:sz w:val="28"/>
          <w:szCs w:val="28"/>
          <w:highlight w:val="none"/>
        </w:rPr>
      </w:r>
      <w:r/>
    </w:p>
    <w:p>
      <w:pPr>
        <w:pStyle w:val="967"/>
        <w:ind w:firstLine="480"/>
        <w:spacing w:line="480" w:lineRule="exact"/>
        <w:rPr>
          <w:rFonts w:ascii="仿宋" w:hAnsi="仿宋" w:eastAsia="仿宋"/>
          <w:b/>
          <w:bCs/>
          <w:sz w:val="24"/>
          <w:szCs w:val="24"/>
          <w:highlight w:val="none"/>
        </w:rPr>
      </w:pPr>
      <w:r>
        <w:rPr>
          <w:rFonts w:hint="eastAsia" w:ascii="仿宋" w:hAnsi="仿宋" w:eastAsia="仿宋"/>
          <w:sz w:val="24"/>
          <w:szCs w:val="24"/>
          <w:highlight w:val="none"/>
        </w:rPr>
        <w:t xml:space="preserve">投标人必须</w:t>
      </w:r>
      <w:r>
        <w:rPr>
          <w:rFonts w:ascii="仿宋" w:hAnsi="仿宋" w:eastAsia="仿宋"/>
          <w:sz w:val="24"/>
          <w:szCs w:val="24"/>
          <w:highlight w:val="none"/>
        </w:rPr>
        <w:t xml:space="preserve">对</w:t>
      </w:r>
      <w:r>
        <w:rPr>
          <w:rFonts w:hint="eastAsia" w:ascii="仿宋" w:hAnsi="仿宋" w:eastAsia="仿宋"/>
          <w:sz w:val="24"/>
          <w:szCs w:val="24"/>
          <w:highlight w:val="none"/>
        </w:rPr>
        <w:t xml:space="preserve">采购需求中</w:t>
      </w:r>
      <w:r>
        <w:rPr>
          <w:rFonts w:ascii="仿宋" w:hAnsi="仿宋" w:eastAsia="仿宋"/>
          <w:sz w:val="24"/>
          <w:szCs w:val="24"/>
          <w:highlight w:val="none"/>
        </w:rPr>
        <w:t xml:space="preserve">加斜体下划线的实质性要求</w:t>
      </w:r>
      <w:r>
        <w:rPr>
          <w:rFonts w:hint="eastAsia" w:ascii="仿宋" w:hAnsi="仿宋" w:eastAsia="仿宋"/>
          <w:sz w:val="24"/>
          <w:szCs w:val="24"/>
          <w:highlight w:val="none"/>
        </w:rPr>
        <w:t xml:space="preserve">逐条</w:t>
      </w:r>
      <w:r>
        <w:rPr>
          <w:rFonts w:ascii="仿宋" w:hAnsi="仿宋" w:eastAsia="仿宋"/>
          <w:sz w:val="24"/>
          <w:szCs w:val="24"/>
          <w:highlight w:val="none"/>
        </w:rPr>
        <w:t xml:space="preserve">做出响应，并按照招标</w:t>
      </w:r>
      <w:r>
        <w:rPr>
          <w:rFonts w:hint="eastAsia" w:ascii="仿宋" w:hAnsi="仿宋" w:eastAsia="仿宋"/>
          <w:sz w:val="24"/>
          <w:szCs w:val="24"/>
          <w:highlight w:val="none"/>
        </w:rPr>
        <w:t xml:space="preserve">文件</w:t>
      </w:r>
      <w:r>
        <w:rPr>
          <w:rFonts w:ascii="仿宋" w:hAnsi="仿宋" w:eastAsia="仿宋"/>
          <w:sz w:val="24"/>
          <w:szCs w:val="24"/>
          <w:highlight w:val="none"/>
        </w:rPr>
        <w:t xml:space="preserve">要求提供</w:t>
      </w:r>
      <w:r>
        <w:rPr>
          <w:rFonts w:hint="eastAsia" w:ascii="仿宋" w:hAnsi="仿宋" w:eastAsia="仿宋"/>
          <w:sz w:val="24"/>
          <w:szCs w:val="24"/>
          <w:highlight w:val="none"/>
        </w:rPr>
        <w:t xml:space="preserve">证明</w:t>
      </w:r>
      <w:r>
        <w:rPr>
          <w:rFonts w:ascii="仿宋" w:hAnsi="仿宋" w:eastAsia="仿宋"/>
          <w:sz w:val="24"/>
          <w:szCs w:val="24"/>
          <w:highlight w:val="none"/>
        </w:rPr>
        <w:t xml:space="preserve">材料</w:t>
      </w:r>
      <w:r>
        <w:rPr>
          <w:rFonts w:hint="eastAsia" w:ascii="仿宋" w:hAnsi="仿宋" w:eastAsia="仿宋"/>
          <w:sz w:val="24"/>
          <w:szCs w:val="24"/>
          <w:highlight w:val="none"/>
        </w:rPr>
        <w:t xml:space="preserve">，否则做无效投标处理。（格式见附件7、8）</w:t>
      </w:r>
      <w:r>
        <w:rPr>
          <w:rFonts w:ascii="仿宋" w:hAnsi="仿宋" w:eastAsia="仿宋"/>
          <w:b/>
          <w:bCs/>
          <w:sz w:val="24"/>
          <w:szCs w:val="24"/>
          <w:highlight w:val="none"/>
        </w:rPr>
      </w:r>
      <w:r/>
    </w:p>
    <w:p>
      <w:pPr>
        <w:pStyle w:val="967"/>
        <w:ind w:left="480"/>
        <w:spacing w:line="48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三、商务技术文件（不能出现价格文件）</w:t>
      </w:r>
      <w:r>
        <w:rPr>
          <w:rFonts w:hint="eastAsia" w:ascii="仿宋" w:hAnsi="仿宋" w:eastAsia="仿宋"/>
          <w:b/>
          <w:sz w:val="28"/>
          <w:szCs w:val="28"/>
          <w:highlight w:val="none"/>
        </w:rPr>
      </w:r>
      <w:r/>
    </w:p>
    <w:p>
      <w:pPr>
        <w:pStyle w:val="967"/>
        <w:ind w:firstLine="480"/>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1、商务技术评分标准中须提供的相关得分佐证材料；为方便评委评审，请供应商按评审办法中所涉及的事项顺序进行编制，可以补充相关材料；</w:t>
      </w:r>
      <w:r>
        <w:rPr>
          <w:rFonts w:hint="eastAsia" w:ascii="仿宋" w:hAnsi="仿宋" w:eastAsia="仿宋"/>
          <w:sz w:val="24"/>
          <w:szCs w:val="24"/>
          <w:highlight w:val="none"/>
        </w:rPr>
      </w:r>
      <w:r/>
    </w:p>
    <w:p>
      <w:pPr>
        <w:pStyle w:val="967"/>
        <w:ind w:firstLine="480"/>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2、供应商认为需要提交的其他商务技术材料。</w:t>
      </w:r>
      <w:r>
        <w:rPr>
          <w:rFonts w:hint="eastAsia" w:ascii="仿宋" w:hAnsi="仿宋" w:eastAsia="仿宋"/>
          <w:sz w:val="24"/>
          <w:szCs w:val="24"/>
          <w:highlight w:val="none"/>
        </w:rPr>
      </w:r>
      <w:r/>
    </w:p>
    <w:p>
      <w:pPr>
        <w:pStyle w:val="967"/>
        <w:ind w:left="480"/>
        <w:spacing w:line="48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四、价格文件</w:t>
      </w:r>
      <w:r>
        <w:rPr>
          <w:rFonts w:hint="eastAsia" w:ascii="仿宋" w:hAnsi="仿宋" w:eastAsia="仿宋"/>
          <w:b/>
          <w:sz w:val="28"/>
          <w:szCs w:val="28"/>
          <w:highlight w:val="none"/>
        </w:rPr>
      </w:r>
      <w:r/>
    </w:p>
    <w:p>
      <w:pPr>
        <w:pStyle w:val="967"/>
        <w:ind w:firstLine="480"/>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1、投标报价表（格式见附件9、10）；</w:t>
      </w:r>
      <w:r>
        <w:rPr>
          <w:rFonts w:hint="eastAsia" w:ascii="仿宋" w:hAnsi="仿宋" w:eastAsia="仿宋"/>
          <w:sz w:val="24"/>
          <w:szCs w:val="24"/>
          <w:highlight w:val="none"/>
        </w:rPr>
      </w:r>
      <w:r/>
    </w:p>
    <w:p>
      <w:pPr>
        <w:pStyle w:val="967"/>
        <w:ind w:left="480"/>
        <w:spacing w:line="480" w:lineRule="exact"/>
        <w:rPr>
          <w:rFonts w:ascii="仿宋" w:hAnsi="仿宋" w:eastAsia="仿宋" w:cs="Times New Roman"/>
          <w:b/>
          <w:sz w:val="28"/>
          <w:szCs w:val="28"/>
          <w:highlight w:val="none"/>
          <w:lang w:val="en-US" w:eastAsia="zh-CN"/>
        </w:rPr>
      </w:pPr>
      <w:r>
        <w:rPr>
          <w:rFonts w:hint="eastAsia" w:ascii="仿宋" w:hAnsi="仿宋" w:eastAsia="仿宋" w:cs="Times New Roman"/>
          <w:b/>
          <w:sz w:val="28"/>
          <w:szCs w:val="28"/>
          <w:highlight w:val="none"/>
          <w:lang w:val="en-US" w:eastAsia="zh-CN"/>
        </w:rPr>
        <w:t xml:space="preserve">五、价格扣除优惠</w:t>
      </w:r>
      <w:r>
        <w:rPr>
          <w:rFonts w:ascii="仿宋" w:hAnsi="仿宋" w:eastAsia="仿宋" w:cs="Times New Roman"/>
          <w:b/>
          <w:sz w:val="28"/>
          <w:szCs w:val="28"/>
          <w:highlight w:val="none"/>
          <w:lang w:val="en-US" w:eastAsia="zh-CN"/>
        </w:rPr>
      </w:r>
      <w:r/>
    </w:p>
    <w:p>
      <w:pPr>
        <w:pStyle w:val="967"/>
        <w:ind w:firstLine="480"/>
        <w:spacing w:line="48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lang w:val="en-US" w:eastAsia="zh-CN"/>
        </w:rPr>
        <w:t xml:space="preserve">1、</w:t>
      </w:r>
      <w:r>
        <w:rPr>
          <w:rFonts w:hint="eastAsia" w:ascii="仿宋" w:hAnsi="仿宋" w:eastAsia="仿宋" w:cs="Times New Roman"/>
          <w:sz w:val="24"/>
          <w:szCs w:val="24"/>
          <w:highlight w:val="none"/>
        </w:rPr>
        <w:t xml:space="preserve">关于符合本国产品标准的声明函</w:t>
      </w:r>
      <w:r>
        <w:rPr>
          <w:rFonts w:hint="eastAsia" w:ascii="仿宋" w:hAnsi="仿宋" w:eastAsia="仿宋" w:cs="Times New Roman"/>
          <w:sz w:val="24"/>
          <w:szCs w:val="24"/>
          <w:highlight w:val="none"/>
        </w:rPr>
      </w:r>
      <w:r/>
    </w:p>
    <w:p>
      <w:pPr>
        <w:pStyle w:val="1093"/>
        <w:contextualSpacing/>
        <w:spacing w:line="360" w:lineRule="auto"/>
        <w:rPr>
          <w:rFonts w:hint="eastAsia" w:ascii="Times New Roman" w:hAnsi="Times New Roman" w:cs="Times New Roman"/>
          <w:b/>
          <w:bCs/>
          <w:highlight w:val="none"/>
        </w:rPr>
      </w:pPr>
      <w:r>
        <w:rPr>
          <w:rFonts w:hint="eastAsia" w:ascii="Times New Roman" w:hAnsi="Times New Roman" w:cs="Times New Roman"/>
          <w:b/>
          <w:bCs/>
          <w:highlight w:val="none"/>
        </w:rPr>
      </w:r>
      <w:r/>
    </w:p>
    <w:p>
      <w:pPr>
        <w:pStyle w:val="1093"/>
        <w:contextualSpacing/>
        <w:spacing w:line="360" w:lineRule="auto"/>
        <w:rPr>
          <w:highlight w:val="none"/>
        </w:rPr>
      </w:pPr>
      <w:r>
        <w:rPr>
          <w:rFonts w:hint="eastAsia" w:ascii="Times New Roman" w:hAnsi="Times New Roman" w:cs="Times New Roman"/>
          <w:b/>
          <w:bCs/>
          <w:highlight w:val="none"/>
        </w:rPr>
        <w:t xml:space="preserve">（一）资格审查证明材料</w:t>
      </w:r>
      <w:r>
        <w:rPr>
          <w:highlight w:val="none"/>
        </w:rPr>
      </w:r>
      <w:r/>
    </w:p>
    <w:p>
      <w:pPr>
        <w:pStyle w:val="967"/>
        <w:spacing w:line="360" w:lineRule="auto"/>
        <w:rPr>
          <w:rFonts w:ascii="宋体" w:hAnsi="宋体" w:cs="宋体"/>
          <w:b/>
          <w:sz w:val="30"/>
          <w:szCs w:val="30"/>
          <w:highlight w:val="none"/>
        </w:rPr>
      </w:pPr>
      <w:r>
        <w:rPr>
          <w:rFonts w:ascii="宋体" w:hAnsi="宋体" w:cs="宋体"/>
          <w:b/>
          <w:sz w:val="30"/>
          <w:szCs w:val="30"/>
          <w:highlight w:val="none"/>
        </w:rPr>
        <w:t xml:space="preserve">附件1</w:t>
      </w:r>
      <w:r>
        <w:rPr>
          <w:rFonts w:ascii="宋体" w:hAnsi="宋体" w:cs="宋体"/>
          <w:b/>
          <w:sz w:val="30"/>
          <w:szCs w:val="30"/>
          <w:highlight w:val="none"/>
        </w:rPr>
      </w:r>
      <w:r/>
    </w:p>
    <w:p>
      <w:pPr>
        <w:pStyle w:val="967"/>
        <w:jc w:val="center"/>
        <w:spacing w:line="360" w:lineRule="auto"/>
        <w:rPr>
          <w:rFonts w:ascii="宋体" w:hAnsi="宋体" w:cs="宋体"/>
          <w:b/>
          <w:sz w:val="30"/>
          <w:szCs w:val="30"/>
          <w:highlight w:val="none"/>
        </w:rPr>
      </w:pPr>
      <w:r>
        <w:rPr>
          <w:rFonts w:hint="eastAsia" w:ascii="宋体" w:hAnsi="宋体" w:cs="宋体"/>
          <w:b/>
          <w:sz w:val="30"/>
          <w:szCs w:val="30"/>
          <w:highlight w:val="none"/>
        </w:rPr>
        <w:t xml:space="preserve">供应商符合《政府采购法》第二十二条规定条件的声明函</w:t>
      </w:r>
      <w:r>
        <w:rPr>
          <w:rFonts w:ascii="宋体" w:hAnsi="宋体" w:cs="宋体"/>
          <w:b/>
          <w:sz w:val="30"/>
          <w:szCs w:val="30"/>
          <w:highlight w:val="none"/>
        </w:rPr>
      </w:r>
      <w:r/>
    </w:p>
    <w:p>
      <w:pPr>
        <w:pStyle w:val="967"/>
        <w:spacing w:line="360" w:lineRule="auto"/>
        <w:rPr>
          <w:rFonts w:ascii="宋体" w:hAnsi="宋体"/>
          <w:b/>
          <w:bCs/>
          <w:sz w:val="44"/>
          <w:szCs w:val="44"/>
          <w:highlight w:val="none"/>
        </w:rPr>
      </w:pPr>
      <w:r>
        <w:rPr>
          <w:rFonts w:ascii="宋体" w:hAnsi="宋体"/>
          <w:b/>
          <w:bCs/>
          <w:sz w:val="44"/>
          <w:szCs w:val="44"/>
          <w:highlight w:val="none"/>
        </w:rPr>
      </w:r>
      <w:r/>
    </w:p>
    <w:p>
      <w:pPr>
        <w:pStyle w:val="967"/>
        <w:ind w:firstLine="480"/>
        <w:spacing w:line="360" w:lineRule="auto"/>
        <w:rPr>
          <w:rFonts w:hint="eastAsia" w:ascii="宋体" w:hAnsi="宋体" w:eastAsia="宋体" w:cs="仿宋_GB2312"/>
          <w:bCs/>
          <w:sz w:val="24"/>
          <w:highlight w:val="none"/>
          <w:u w:val="single"/>
          <w:lang w:eastAsia="zh-CN"/>
        </w:rPr>
      </w:pPr>
      <w:r>
        <w:rPr>
          <w:rFonts w:hint="eastAsia" w:ascii="宋体" w:hAnsi="宋体" w:cs="仿宋_GB2312"/>
          <w:bCs/>
          <w:sz w:val="24"/>
          <w:szCs w:val="22"/>
          <w:highlight w:val="none"/>
        </w:rPr>
        <w:t xml:space="preserve">我单位参加</w:t>
      </w:r>
      <w:r>
        <w:rPr>
          <w:rFonts w:hint="eastAsia" w:ascii="宋体" w:hAnsi="宋体" w:cs="仿宋_GB2312"/>
          <w:bCs/>
          <w:sz w:val="24"/>
          <w:highlight w:val="none"/>
          <w:u w:val="single"/>
        </w:rPr>
        <w:t xml:space="preserve">_________________</w:t>
      </w:r>
      <w:r>
        <w:rPr>
          <w:rFonts w:hint="eastAsia" w:ascii="宋体" w:hAnsi="宋体" w:cs="仿宋_GB2312"/>
          <w:bCs/>
          <w:sz w:val="24"/>
          <w:highlight w:val="none"/>
        </w:rPr>
        <w:t xml:space="preserve">（项目名称），</w:t>
      </w:r>
      <w:r>
        <w:rPr>
          <w:rFonts w:hint="eastAsia" w:ascii="宋体" w:hAnsi="宋体" w:cs="仿宋_GB2312"/>
          <w:bCs/>
          <w:sz w:val="24"/>
          <w:highlight w:val="none"/>
          <w:u w:val="single"/>
        </w:rPr>
        <w:t xml:space="preserve">_</w:t>
      </w:r>
      <w:r>
        <w:rPr>
          <w:rFonts w:hint="eastAsia" w:ascii="宋体" w:hAnsi="宋体" w:cs="仿宋_GB2312"/>
          <w:bCs/>
          <w:sz w:val="24"/>
          <w:highlight w:val="none"/>
          <w:u w:val="single"/>
          <w:lang w:eastAsia="zh-CN"/>
        </w:rPr>
        <w:t xml:space="preserve">JSZC-320600-XXDF-G2026-0008</w:t>
      </w:r>
      <w:r>
        <w:rPr>
          <w:rFonts w:hint="eastAsia" w:ascii="宋体" w:hAnsi="宋体" w:eastAsia="宋体" w:cs="仿宋_GB2312"/>
          <w:bCs/>
          <w:sz w:val="24"/>
          <w:highlight w:val="none"/>
          <w:u w:val="single"/>
          <w:lang w:eastAsia="zh-CN"/>
        </w:rPr>
      </w:r>
      <w:r/>
    </w:p>
    <w:p>
      <w:pPr>
        <w:pStyle w:val="967"/>
        <w:ind w:firstLine="480"/>
        <w:spacing w:line="360" w:lineRule="auto"/>
        <w:rPr>
          <w:rFonts w:ascii="宋体" w:hAnsi="宋体" w:cs="仿宋_GB2312"/>
          <w:b/>
          <w:bCs/>
          <w:sz w:val="24"/>
          <w:szCs w:val="22"/>
          <w:highlight w:val="none"/>
        </w:rPr>
      </w:pPr>
      <w:r>
        <w:rPr>
          <w:rFonts w:hint="eastAsia" w:ascii="宋体" w:hAnsi="宋体" w:cs="仿宋_GB2312"/>
          <w:bCs/>
          <w:sz w:val="24"/>
          <w:highlight w:val="none"/>
        </w:rPr>
        <w:t xml:space="preserve">（项目编号）竞争性磋商活动。针对《中华人民共和国政府采购法》第二十二条规定做出如下声明：</w:t>
      </w:r>
      <w:r>
        <w:rPr>
          <w:rFonts w:ascii="宋体" w:hAnsi="宋体" w:cs="仿宋_GB2312"/>
          <w:b/>
          <w:bCs/>
          <w:sz w:val="24"/>
          <w:szCs w:val="22"/>
          <w:highlight w:val="none"/>
        </w:rPr>
      </w:r>
      <w:r/>
    </w:p>
    <w:p>
      <w:pPr>
        <w:pStyle w:val="967"/>
        <w:ind w:firstLine="480"/>
        <w:spacing w:line="360" w:lineRule="auto"/>
        <w:rPr>
          <w:rFonts w:ascii="宋体" w:hAnsi="宋体" w:cs="仿宋_GB2312"/>
          <w:sz w:val="24"/>
          <w:szCs w:val="22"/>
          <w:highlight w:val="none"/>
        </w:rPr>
      </w:pPr>
      <w:r>
        <w:rPr>
          <w:rFonts w:hint="eastAsia" w:ascii="宋体" w:hAnsi="宋体" w:cs="仿宋_GB2312"/>
          <w:bCs/>
          <w:sz w:val="24"/>
          <w:highlight w:val="none"/>
        </w:rPr>
        <w:t xml:space="preserve">1、我单位具有独立承担民事责任的能力；</w:t>
      </w:r>
      <w:r>
        <w:rPr>
          <w:rFonts w:ascii="宋体" w:hAnsi="宋体" w:cs="仿宋_GB2312"/>
          <w:sz w:val="24"/>
          <w:szCs w:val="22"/>
          <w:highlight w:val="none"/>
        </w:rPr>
      </w:r>
      <w:r/>
    </w:p>
    <w:p>
      <w:pPr>
        <w:pStyle w:val="967"/>
        <w:ind w:firstLine="480"/>
        <w:spacing w:line="360" w:lineRule="auto"/>
        <w:rPr>
          <w:rFonts w:ascii="宋体" w:hAnsi="宋体" w:cs="仿宋_GB2312"/>
          <w:sz w:val="24"/>
          <w:szCs w:val="22"/>
          <w:highlight w:val="none"/>
        </w:rPr>
      </w:pPr>
      <w:r>
        <w:rPr>
          <w:rFonts w:hint="eastAsia" w:ascii="宋体" w:hAnsi="宋体" w:cs="仿宋_GB2312"/>
          <w:sz w:val="24"/>
          <w:szCs w:val="22"/>
          <w:highlight w:val="none"/>
        </w:rPr>
        <w:t xml:space="preserve">2、我单位具有良好的商业信誉和健全的财务会计制度；</w:t>
      </w:r>
      <w:r>
        <w:rPr>
          <w:rFonts w:ascii="宋体" w:hAnsi="宋体" w:cs="仿宋_GB2312"/>
          <w:sz w:val="24"/>
          <w:szCs w:val="22"/>
          <w:highlight w:val="none"/>
        </w:rPr>
      </w:r>
      <w:r/>
    </w:p>
    <w:p>
      <w:pPr>
        <w:pStyle w:val="967"/>
        <w:ind w:firstLine="480"/>
        <w:spacing w:line="360" w:lineRule="auto"/>
        <w:rPr>
          <w:rFonts w:ascii="宋体" w:hAnsi="宋体" w:cs="仿宋_GB2312"/>
          <w:sz w:val="24"/>
          <w:szCs w:val="22"/>
          <w:highlight w:val="none"/>
        </w:rPr>
      </w:pPr>
      <w:r>
        <w:rPr>
          <w:rFonts w:hint="eastAsia" w:ascii="宋体" w:hAnsi="宋体" w:cs="仿宋_GB2312"/>
          <w:sz w:val="24"/>
          <w:szCs w:val="22"/>
          <w:highlight w:val="none"/>
        </w:rPr>
        <w:t xml:space="preserve">3、我单位具有履行合同所必需的设备和专业技术能力；</w:t>
      </w:r>
      <w:r>
        <w:rPr>
          <w:rFonts w:ascii="宋体" w:hAnsi="宋体" w:cs="仿宋_GB2312"/>
          <w:sz w:val="24"/>
          <w:szCs w:val="22"/>
          <w:highlight w:val="none"/>
        </w:rPr>
      </w:r>
      <w:r/>
    </w:p>
    <w:p>
      <w:pPr>
        <w:pStyle w:val="967"/>
        <w:ind w:firstLine="480"/>
        <w:spacing w:line="360" w:lineRule="auto"/>
        <w:rPr>
          <w:rFonts w:ascii="宋体" w:hAnsi="宋体" w:cs="仿宋_GB2312"/>
          <w:sz w:val="24"/>
          <w:szCs w:val="22"/>
          <w:highlight w:val="none"/>
        </w:rPr>
      </w:pPr>
      <w:r>
        <w:rPr>
          <w:rFonts w:hint="eastAsia" w:ascii="宋体" w:hAnsi="宋体" w:cs="仿宋_GB2312"/>
          <w:sz w:val="24"/>
          <w:szCs w:val="22"/>
          <w:highlight w:val="none"/>
        </w:rPr>
        <w:t xml:space="preserve">4、我单位有依法缴纳税收和社会保障资金的良好记录；</w:t>
      </w:r>
      <w:r>
        <w:rPr>
          <w:rFonts w:ascii="宋体" w:hAnsi="宋体" w:cs="仿宋_GB2312"/>
          <w:sz w:val="24"/>
          <w:szCs w:val="22"/>
          <w:highlight w:val="none"/>
        </w:rPr>
      </w:r>
      <w:r/>
    </w:p>
    <w:p>
      <w:pPr>
        <w:pStyle w:val="967"/>
        <w:ind w:firstLine="480"/>
        <w:spacing w:line="360" w:lineRule="auto"/>
        <w:rPr>
          <w:rFonts w:ascii="宋体" w:hAnsi="宋体" w:cs="仿宋_GB2312"/>
          <w:sz w:val="24"/>
          <w:szCs w:val="22"/>
          <w:highlight w:val="none"/>
        </w:rPr>
      </w:pPr>
      <w:r>
        <w:rPr>
          <w:rFonts w:hint="eastAsia" w:ascii="宋体" w:hAnsi="宋体" w:cs="仿宋_GB2312"/>
          <w:sz w:val="24"/>
          <w:szCs w:val="22"/>
          <w:highlight w:val="none"/>
        </w:rPr>
        <w:t xml:space="preserve">5、我单位参加政府采购活动前三年内，在经营活动中没有重大违法记录；（5.1供应商在参加政府采购活动前三年内因违法经营被禁止在一定期限内参加政府采购活动，期限届满的，可以参加政府采购活动。5.2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cs="仿宋_GB2312"/>
          <w:sz w:val="24"/>
          <w:szCs w:val="22"/>
          <w:highlight w:val="none"/>
        </w:rPr>
      </w:r>
      <w:r/>
    </w:p>
    <w:p>
      <w:pPr>
        <w:pStyle w:val="967"/>
        <w:ind w:firstLine="480"/>
        <w:spacing w:line="360" w:lineRule="auto"/>
        <w:rPr>
          <w:rFonts w:ascii="宋体" w:hAnsi="宋体" w:cs="仿宋_GB2312"/>
          <w:sz w:val="24"/>
          <w:szCs w:val="22"/>
          <w:highlight w:val="none"/>
        </w:rPr>
      </w:pPr>
      <w:r>
        <w:rPr>
          <w:rFonts w:hint="eastAsia" w:ascii="宋体" w:hAnsi="宋体" w:cs="仿宋_GB2312"/>
          <w:sz w:val="24"/>
          <w:szCs w:val="22"/>
          <w:highlight w:val="none"/>
        </w:rPr>
        <w:t xml:space="preserve">6、我单位满足法律、行政法规规定的其他条件。</w:t>
      </w:r>
      <w:r>
        <w:rPr>
          <w:rFonts w:ascii="宋体" w:hAnsi="宋体" w:cs="仿宋_GB2312"/>
          <w:sz w:val="24"/>
          <w:szCs w:val="22"/>
          <w:highlight w:val="none"/>
        </w:rPr>
      </w:r>
      <w:r/>
    </w:p>
    <w:p>
      <w:pPr>
        <w:pStyle w:val="967"/>
        <w:ind w:firstLine="480"/>
        <w:spacing w:line="360" w:lineRule="auto"/>
        <w:rPr>
          <w:rFonts w:ascii="宋体" w:hAnsi="宋体" w:cs="仿宋_GB2312"/>
          <w:sz w:val="24"/>
          <w:szCs w:val="22"/>
          <w:highlight w:val="none"/>
        </w:rPr>
      </w:pPr>
      <w:r>
        <w:rPr>
          <w:rFonts w:ascii="宋体" w:hAnsi="宋体" w:cs="仿宋_GB2312"/>
          <w:sz w:val="24"/>
          <w:szCs w:val="22"/>
          <w:highlight w:val="none"/>
        </w:rPr>
      </w:r>
      <w:r/>
    </w:p>
    <w:p>
      <w:pPr>
        <w:pStyle w:val="967"/>
        <w:spacing w:line="360" w:lineRule="auto"/>
        <w:rPr>
          <w:rFonts w:ascii="宋体" w:hAnsi="宋体" w:cs="仿宋_GB2312"/>
          <w:bCs/>
          <w:sz w:val="24"/>
          <w:highlight w:val="none"/>
        </w:rPr>
      </w:pPr>
      <w:r>
        <w:rPr>
          <w:rFonts w:ascii="宋体" w:hAnsi="宋体" w:cs="仿宋_GB2312"/>
          <w:bCs/>
          <w:sz w:val="24"/>
          <w:highlight w:val="none"/>
        </w:rPr>
      </w:r>
      <w:r/>
    </w:p>
    <w:p>
      <w:pPr>
        <w:pStyle w:val="967"/>
        <w:ind w:firstLine="480"/>
        <w:jc w:val="center"/>
        <w:spacing w:line="360" w:lineRule="auto"/>
        <w:rPr>
          <w:rFonts w:ascii="宋体" w:hAnsi="宋体" w:cs="仿宋_GB2312"/>
          <w:bCs/>
          <w:sz w:val="24"/>
          <w:highlight w:val="none"/>
        </w:rPr>
      </w:pPr>
      <w:r>
        <w:rPr>
          <w:rFonts w:hint="eastAsia" w:ascii="宋体" w:hAnsi="宋体" w:cs="仿宋_GB2312"/>
          <w:bCs/>
          <w:sz w:val="24"/>
          <w:highlight w:val="none"/>
        </w:rPr>
        <w:t xml:space="preserve">                                承诺人名称（公章）：</w:t>
      </w:r>
      <w:r>
        <w:rPr>
          <w:rFonts w:ascii="宋体" w:hAnsi="宋体" w:cs="仿宋_GB2312"/>
          <w:bCs/>
          <w:sz w:val="24"/>
          <w:highlight w:val="none"/>
        </w:rPr>
      </w:r>
      <w:r/>
    </w:p>
    <w:p>
      <w:pPr>
        <w:pStyle w:val="967"/>
        <w:ind w:firstLine="480"/>
        <w:jc w:val="right"/>
        <w:spacing w:line="360" w:lineRule="auto"/>
        <w:rPr>
          <w:rFonts w:ascii="宋体" w:hAnsi="宋体" w:cs="仿宋_GB2312"/>
          <w:bCs/>
          <w:sz w:val="24"/>
          <w:highlight w:val="none"/>
        </w:rPr>
      </w:pPr>
      <w:r>
        <w:rPr>
          <w:rFonts w:ascii="宋体" w:hAnsi="宋体" w:cs="仿宋_GB2312"/>
          <w:bCs/>
          <w:sz w:val="24"/>
          <w:highlight w:val="none"/>
        </w:rPr>
      </w:r>
      <w:r/>
    </w:p>
    <w:p>
      <w:pPr>
        <w:pStyle w:val="967"/>
        <w:ind w:firstLine="480"/>
        <w:jc w:val="right"/>
        <w:spacing w:line="360" w:lineRule="auto"/>
        <w:rPr>
          <w:rFonts w:hint="eastAsia" w:ascii="宋体" w:hAnsi="宋体" w:cs="仿宋_GB2312"/>
          <w:bCs/>
          <w:sz w:val="24"/>
          <w:highlight w:val="none"/>
        </w:rPr>
      </w:pPr>
      <w:r>
        <w:rPr>
          <w:rFonts w:hint="eastAsia" w:ascii="宋体" w:hAnsi="宋体" w:cs="仿宋_GB2312"/>
          <w:bCs/>
          <w:sz w:val="24"/>
          <w:highlight w:val="none"/>
        </w:rPr>
        <w:t xml:space="preserve">日期：年 月 日</w:t>
      </w:r>
      <w:r>
        <w:rPr>
          <w:rFonts w:hint="eastAsia" w:ascii="宋体" w:hAnsi="宋体" w:cs="仿宋_GB2312"/>
          <w:bCs/>
          <w:sz w:val="24"/>
          <w:highlight w:val="none"/>
        </w:rPr>
      </w:r>
      <w:r/>
    </w:p>
    <w:p>
      <w:pPr>
        <w:pStyle w:val="967"/>
        <w:jc w:val="both"/>
        <w:spacing w:line="360" w:lineRule="auto"/>
        <w:rPr>
          <w:rFonts w:ascii="宋体" w:hAnsi="宋体"/>
          <w:sz w:val="32"/>
          <w:szCs w:val="32"/>
          <w:highlight w:val="none"/>
          <w:lang w:val="zh-CN"/>
        </w:rPr>
      </w:pPr>
      <w:r>
        <w:rPr>
          <w:rFonts w:hint="eastAsia" w:ascii="宋体" w:hAnsi="宋体" w:cs="宋体"/>
          <w:b/>
          <w:sz w:val="30"/>
          <w:szCs w:val="30"/>
          <w:highlight w:val="none"/>
        </w:rPr>
        <w:t xml:space="preserve">附件2</w:t>
      </w:r>
      <w:r>
        <w:rPr>
          <w:rFonts w:ascii="宋体" w:hAnsi="宋体"/>
          <w:sz w:val="32"/>
          <w:szCs w:val="32"/>
          <w:highlight w:val="none"/>
          <w:lang w:val="zh-CN"/>
        </w:rPr>
      </w:r>
      <w:r/>
    </w:p>
    <w:p>
      <w:pPr>
        <w:pStyle w:val="967"/>
        <w:jc w:val="center"/>
        <w:spacing w:line="360" w:lineRule="auto"/>
        <w:rPr>
          <w:rFonts w:ascii="宋体" w:hAnsi="宋体"/>
          <w:b/>
          <w:bCs/>
          <w:sz w:val="32"/>
          <w:szCs w:val="32"/>
          <w:highlight w:val="none"/>
        </w:rPr>
      </w:pPr>
      <w:r>
        <w:rPr>
          <w:rFonts w:ascii="宋体" w:hAnsi="宋体"/>
          <w:b/>
          <w:bCs/>
          <w:sz w:val="32"/>
          <w:szCs w:val="32"/>
          <w:highlight w:val="none"/>
        </w:rPr>
      </w:r>
      <w:r/>
    </w:p>
    <w:p>
      <w:pPr>
        <w:pStyle w:val="967"/>
        <w:jc w:val="center"/>
        <w:spacing w:line="360" w:lineRule="auto"/>
        <w:rPr>
          <w:rFonts w:ascii="宋体" w:hAnsi="宋体" w:cs="仿宋_GB2312"/>
          <w:b/>
          <w:bCs/>
          <w:sz w:val="32"/>
          <w:szCs w:val="32"/>
          <w:highlight w:val="none"/>
        </w:rPr>
      </w:pPr>
      <w:r>
        <w:rPr>
          <w:rFonts w:hint="eastAsia" w:ascii="宋体" w:hAnsi="宋体" w:cs="仿宋_GB2312"/>
          <w:b/>
          <w:bCs/>
          <w:sz w:val="32"/>
          <w:szCs w:val="32"/>
          <w:highlight w:val="none"/>
        </w:rPr>
        <w:t xml:space="preserve">法定代表人身份证明</w:t>
      </w:r>
      <w:r>
        <w:rPr>
          <w:rFonts w:ascii="宋体" w:hAnsi="宋体" w:cs="仿宋_GB2312"/>
          <w:b/>
          <w:bCs/>
          <w:sz w:val="32"/>
          <w:szCs w:val="32"/>
          <w:highlight w:val="none"/>
        </w:rPr>
      </w:r>
      <w:r/>
    </w:p>
    <w:p>
      <w:pPr>
        <w:pStyle w:val="967"/>
        <w:spacing w:line="360" w:lineRule="auto"/>
        <w:rPr>
          <w:rFonts w:ascii="宋体" w:hAnsi="宋体" w:cs="仿宋_GB2312"/>
          <w:sz w:val="24"/>
          <w:szCs w:val="22"/>
          <w:highlight w:val="none"/>
        </w:rPr>
      </w:pPr>
      <w:r>
        <w:rPr>
          <w:rFonts w:ascii="宋体" w:hAnsi="宋体" w:cs="仿宋_GB2312"/>
          <w:sz w:val="24"/>
          <w:szCs w:val="22"/>
          <w:highlight w:val="none"/>
        </w:rPr>
      </w:r>
      <w:r/>
    </w:p>
    <w:p>
      <w:pPr>
        <w:pStyle w:val="967"/>
        <w:spacing w:before="380" w:after="380" w:line="360" w:lineRule="auto"/>
        <w:widowControl/>
        <w:rPr>
          <w:rFonts w:ascii="Calibri" w:hAnsi="Calibri"/>
          <w:sz w:val="24"/>
          <w:szCs w:val="22"/>
          <w:highlight w:val="none"/>
        </w:rPr>
      </w:pPr>
      <w:r/>
      <w:bookmarkStart w:id="221" w:name="_Hlk49178957"/>
      <w:r>
        <w:rPr>
          <w:rFonts w:hint="eastAsia" w:ascii="Calibri" w:hAnsi="Calibri" w:cs="宋体"/>
          <w:sz w:val="24"/>
          <w:szCs w:val="22"/>
          <w:highlight w:val="none"/>
        </w:rPr>
        <w:t xml:space="preserve">南通市城市照明管理处：</w:t>
      </w:r>
      <w:bookmarkEnd w:id="221"/>
      <w:r>
        <w:rPr>
          <w:rFonts w:ascii="Calibri" w:hAnsi="Calibri"/>
          <w:sz w:val="24"/>
          <w:szCs w:val="22"/>
          <w:highlight w:val="none"/>
        </w:rPr>
      </w:r>
      <w:r/>
    </w:p>
    <w:p>
      <w:pPr>
        <w:pStyle w:val="967"/>
        <w:ind w:firstLine="480"/>
        <w:spacing w:line="360" w:lineRule="auto"/>
        <w:widowControl/>
        <w:rPr>
          <w:rFonts w:ascii="Calibri" w:hAnsi="Calibri"/>
          <w:sz w:val="24"/>
          <w:szCs w:val="22"/>
          <w:highlight w:val="none"/>
        </w:rPr>
      </w:pPr>
      <w:r>
        <w:rPr>
          <w:rFonts w:hint="eastAsia" w:ascii="Calibri" w:hAnsi="Calibri" w:cs="宋体"/>
          <w:sz w:val="24"/>
          <w:szCs w:val="22"/>
          <w:highlight w:val="none"/>
        </w:rPr>
        <w:t xml:space="preserve">（先生／女士）现任我单位</w:t>
      </w:r>
      <w:r>
        <w:rPr>
          <w:rFonts w:hint="eastAsia" w:ascii="Calibri" w:hAnsi="Calibri" w:cs="宋体"/>
          <w:sz w:val="24"/>
          <w:szCs w:val="22"/>
          <w:highlight w:val="none"/>
          <w:u w:val="single"/>
        </w:rPr>
        <w:t xml:space="preserve">　　　　　　　</w:t>
      </w:r>
      <w:r>
        <w:rPr>
          <w:rFonts w:hint="eastAsia" w:ascii="Calibri" w:hAnsi="Calibri" w:cs="宋体"/>
          <w:sz w:val="24"/>
          <w:szCs w:val="22"/>
          <w:highlight w:val="none"/>
        </w:rPr>
        <w:t xml:space="preserve">职务，为法定代表人，特此证明。</w:t>
      </w:r>
      <w:r>
        <w:rPr>
          <w:rFonts w:ascii="Calibri" w:hAnsi="Calibri"/>
          <w:sz w:val="24"/>
          <w:szCs w:val="22"/>
          <w:highlight w:val="none"/>
        </w:rPr>
      </w:r>
      <w:r/>
    </w:p>
    <w:p>
      <w:pPr>
        <w:pStyle w:val="967"/>
        <w:ind w:firstLine="480"/>
        <w:spacing w:line="360" w:lineRule="auto"/>
        <w:widowControl/>
        <w:rPr>
          <w:rFonts w:ascii="Calibri" w:hAnsi="Calibri"/>
          <w:sz w:val="24"/>
          <w:szCs w:val="22"/>
          <w:highlight w:val="none"/>
          <w:u w:val="single"/>
        </w:rPr>
      </w:pPr>
      <w:r>
        <w:rPr>
          <w:rFonts w:hint="eastAsia" w:ascii="Calibri" w:hAnsi="Calibri" w:cs="宋体"/>
          <w:sz w:val="24"/>
          <w:szCs w:val="22"/>
          <w:highlight w:val="none"/>
        </w:rPr>
        <w:t xml:space="preserve">身份证号码：</w:t>
      </w:r>
      <w:r>
        <w:rPr>
          <w:rFonts w:ascii="Calibri" w:hAnsi="Calibri"/>
          <w:sz w:val="24"/>
          <w:szCs w:val="22"/>
          <w:highlight w:val="none"/>
          <w:u w:val="single"/>
        </w:rPr>
      </w:r>
      <w:r/>
    </w:p>
    <w:p>
      <w:pPr>
        <w:pStyle w:val="967"/>
        <w:ind w:firstLine="485"/>
        <w:jc w:val="right"/>
        <w:spacing w:line="360" w:lineRule="auto"/>
        <w:widowControl/>
        <w:rPr>
          <w:rFonts w:ascii="Calibri" w:hAnsi="Calibri"/>
          <w:sz w:val="24"/>
          <w:szCs w:val="22"/>
          <w:highlight w:val="none"/>
        </w:rPr>
      </w:pPr>
      <w:r>
        <w:rPr>
          <w:rFonts w:hint="eastAsia" w:ascii="Calibri" w:hAnsi="Calibri" w:cs="宋体"/>
          <w:sz w:val="24"/>
          <w:szCs w:val="22"/>
          <w:highlight w:val="none"/>
        </w:rPr>
        <w:t xml:space="preserve">供应商（盖章）</w:t>
      </w:r>
      <w:r>
        <w:rPr>
          <w:rFonts w:ascii="Calibri" w:hAnsi="Calibri"/>
          <w:sz w:val="24"/>
          <w:szCs w:val="22"/>
          <w:highlight w:val="none"/>
        </w:rPr>
      </w:r>
      <w:r/>
    </w:p>
    <w:p>
      <w:pPr>
        <w:pStyle w:val="967"/>
        <w:ind w:firstLine="485"/>
        <w:jc w:val="right"/>
        <w:spacing w:line="360" w:lineRule="auto"/>
        <w:widowControl/>
        <w:rPr>
          <w:rFonts w:ascii="Calibri" w:hAnsi="Calibri"/>
          <w:sz w:val="24"/>
          <w:szCs w:val="22"/>
          <w:highlight w:val="none"/>
        </w:rPr>
      </w:pPr>
      <w:r>
        <w:rPr>
          <w:rFonts w:hint="eastAsia" w:ascii="Calibri" w:hAnsi="Calibri" w:cs="宋体"/>
          <w:sz w:val="24"/>
          <w:szCs w:val="22"/>
          <w:highlight w:val="none"/>
        </w:rPr>
        <w:t xml:space="preserve">年 月 日</w:t>
      </w:r>
      <w:r>
        <w:rPr>
          <w:rFonts w:ascii="Calibri" w:hAnsi="Calibri"/>
          <w:sz w:val="24"/>
          <w:szCs w:val="22"/>
          <w:highlight w:val="none"/>
        </w:rPr>
      </w:r>
      <w:r/>
    </w:p>
    <w:p>
      <w:pPr>
        <w:pStyle w:val="967"/>
        <w:ind w:firstLine="485"/>
        <w:jc w:val="left"/>
        <w:spacing w:line="360" w:lineRule="auto"/>
        <w:widowControl/>
        <w:rPr>
          <w:rFonts w:ascii="Calibri" w:hAnsi="Calibri"/>
          <w:sz w:val="24"/>
          <w:szCs w:val="22"/>
          <w:highlight w:val="none"/>
        </w:rPr>
      </w:pPr>
      <w:r>
        <w:rPr>
          <w:rFonts w:ascii="Calibri" w:hAnsi="Calibri"/>
          <w:sz w:val="24"/>
          <w:szCs w:val="22"/>
          <w:highlight w:val="none"/>
        </w:rPr>
      </w:r>
      <w:r/>
    </w:p>
    <w:p>
      <w:pPr>
        <w:pStyle w:val="967"/>
        <w:ind w:firstLine="485"/>
        <w:jc w:val="left"/>
        <w:spacing w:line="360" w:lineRule="auto"/>
        <w:widowControl/>
        <w:rPr>
          <w:rFonts w:ascii="Calibri" w:hAnsi="Calibri"/>
          <w:sz w:val="24"/>
          <w:szCs w:val="22"/>
          <w:highlight w:val="none"/>
        </w:rPr>
      </w:pPr>
      <w:r>
        <w:rPr>
          <w:rFonts w:ascii="Calibri" w:hAnsi="Calibri"/>
          <w:sz w:val="24"/>
          <w:szCs w:val="22"/>
          <w:highlight w:val="none"/>
        </w:rPr>
      </w:r>
      <w:r/>
    </w:p>
    <w:p>
      <w:pPr>
        <w:pStyle w:val="967"/>
        <w:ind w:firstLine="482"/>
        <w:jc w:val="center"/>
        <w:spacing w:line="360" w:lineRule="auto"/>
        <w:widowControl/>
        <w:rPr>
          <w:rFonts w:ascii="Calibri" w:hAnsi="Calibri"/>
          <w:b/>
          <w:bCs/>
          <w:sz w:val="24"/>
          <w:szCs w:val="22"/>
          <w:highlight w:val="none"/>
        </w:rPr>
      </w:pPr>
      <w:r>
        <w:rPr>
          <w:rFonts w:hint="eastAsia" w:ascii="宋体" w:hAnsi="宋体" w:cs="仿宋_GB2312"/>
          <w:b/>
          <w:sz w:val="24"/>
          <w:szCs w:val="22"/>
          <w:highlight w:val="none"/>
        </w:rPr>
        <w:t xml:space="preserve">注：提供</w:t>
      </w:r>
      <w:r>
        <w:rPr>
          <w:rFonts w:hint="eastAsia" w:ascii="Calibri" w:hAnsi="Calibri" w:cs="宋体"/>
          <w:b/>
          <w:bCs/>
          <w:sz w:val="24"/>
          <w:szCs w:val="22"/>
          <w:highlight w:val="none"/>
        </w:rPr>
        <w:t xml:space="preserve">法定代表人的身份证扫描件（正、反面）</w:t>
      </w:r>
      <w:r>
        <w:rPr>
          <w:rFonts w:ascii="Calibri" w:hAnsi="Calibri"/>
          <w:b/>
          <w:bCs/>
          <w:sz w:val="24"/>
          <w:szCs w:val="22"/>
          <w:highlight w:val="none"/>
        </w:rPr>
      </w:r>
      <w:r/>
    </w:p>
    <w:p>
      <w:pPr>
        <w:pStyle w:val="967"/>
        <w:ind w:firstLine="482"/>
        <w:jc w:val="center"/>
        <w:spacing w:line="360" w:lineRule="auto"/>
        <w:widowControl/>
        <w:rPr>
          <w:rFonts w:ascii="Calibri" w:hAnsi="Calibri"/>
          <w:b/>
          <w:bCs/>
          <w:sz w:val="24"/>
          <w:szCs w:val="22"/>
          <w:highlight w:val="none"/>
        </w:rPr>
      </w:pPr>
      <w:r>
        <w:rPr>
          <w:rFonts w:ascii="Calibri" w:hAnsi="Calibri"/>
          <w:b/>
          <w:bCs/>
          <w:sz w:val="24"/>
          <w:szCs w:val="22"/>
          <w:highlight w:val="none"/>
        </w:rPr>
      </w:r>
      <w:r/>
    </w:p>
    <w:p>
      <w:pPr>
        <w:pStyle w:val="967"/>
        <w:spacing w:line="360" w:lineRule="auto"/>
        <w:rPr>
          <w:rFonts w:ascii="宋体" w:hAnsi="宋体" w:cs="仿宋_GB2312"/>
          <w:szCs w:val="22"/>
          <w:highlight w:val="none"/>
        </w:rPr>
      </w:pPr>
      <w:r>
        <w:rPr>
          <w:rFonts w:ascii="宋体" w:hAnsi="宋体" w:cs="仿宋_GB2312"/>
          <w:szCs w:val="22"/>
          <w:highlight w:val="none"/>
        </w:rPr>
      </w:r>
      <w:r/>
    </w:p>
    <w:p>
      <w:pPr>
        <w:pStyle w:val="967"/>
        <w:contextualSpacing/>
        <w:ind w:firstLine="540"/>
        <w:spacing w:line="360" w:lineRule="auto"/>
        <w:rPr>
          <w:rFonts w:ascii="宋体" w:hAnsi="宋体" w:cs="仿宋_GB2312"/>
          <w:b/>
          <w:sz w:val="28"/>
          <w:szCs w:val="28"/>
          <w:highlight w:val="none"/>
        </w:rPr>
      </w:pPr>
      <w:r>
        <w:rPr>
          <w:rFonts w:ascii="宋体" w:hAnsi="宋体" w:cs="仿宋_GB2312"/>
          <w:b/>
          <w:sz w:val="28"/>
          <w:szCs w:val="28"/>
          <w:highlight w:val="none"/>
        </w:rPr>
      </w:r>
      <w:r/>
    </w:p>
    <w:p>
      <w:pPr>
        <w:pStyle w:val="967"/>
        <w:contextualSpacing/>
        <w:ind w:firstLine="540"/>
        <w:spacing w:line="360" w:lineRule="auto"/>
        <w:rPr>
          <w:rFonts w:ascii="宋体" w:hAnsi="宋体" w:cs="仿宋_GB2312"/>
          <w:b/>
          <w:sz w:val="28"/>
          <w:szCs w:val="28"/>
          <w:highlight w:val="none"/>
          <w:lang w:val="zh-CN"/>
        </w:rPr>
      </w:pPr>
      <w:r>
        <w:rPr>
          <w:rFonts w:ascii="宋体" w:hAnsi="宋体" w:cs="仿宋_GB2312"/>
          <w:b/>
          <w:sz w:val="28"/>
          <w:szCs w:val="28"/>
          <w:highlight w:val="none"/>
          <w:lang w:val="zh-CN"/>
        </w:rPr>
      </w:r>
      <w:r/>
    </w:p>
    <w:p>
      <w:pPr>
        <w:pStyle w:val="967"/>
        <w:contextualSpacing/>
        <w:ind w:firstLine="540"/>
        <w:spacing w:line="360" w:lineRule="auto"/>
        <w:rPr>
          <w:rFonts w:ascii="宋体" w:hAnsi="宋体" w:cs="仿宋_GB2312"/>
          <w:b/>
          <w:sz w:val="28"/>
          <w:szCs w:val="28"/>
          <w:highlight w:val="none"/>
          <w:lang w:val="zh-CN"/>
        </w:rPr>
      </w:pPr>
      <w:r>
        <w:rPr>
          <w:rFonts w:ascii="宋体" w:hAnsi="宋体" w:cs="仿宋_GB2312"/>
          <w:b/>
          <w:sz w:val="28"/>
          <w:szCs w:val="28"/>
          <w:highlight w:val="none"/>
          <w:lang w:val="zh-CN"/>
        </w:rPr>
      </w:r>
      <w:r/>
    </w:p>
    <w:p>
      <w:pPr>
        <w:pStyle w:val="967"/>
        <w:contextualSpacing/>
        <w:ind w:firstLine="540"/>
        <w:spacing w:line="360" w:lineRule="auto"/>
        <w:rPr>
          <w:rFonts w:ascii="宋体" w:hAnsi="宋体" w:cs="仿宋_GB2312"/>
          <w:b/>
          <w:sz w:val="28"/>
          <w:szCs w:val="28"/>
          <w:highlight w:val="none"/>
          <w:lang w:val="zh-CN"/>
        </w:rPr>
      </w:pPr>
      <w:r>
        <w:rPr>
          <w:rFonts w:ascii="宋体" w:hAnsi="宋体" w:cs="仿宋_GB2312"/>
          <w:b/>
          <w:sz w:val="28"/>
          <w:szCs w:val="28"/>
          <w:highlight w:val="none"/>
          <w:lang w:val="zh-CN"/>
        </w:rPr>
      </w:r>
      <w:r/>
    </w:p>
    <w:p>
      <w:pPr>
        <w:pStyle w:val="967"/>
        <w:contextualSpacing/>
        <w:ind w:firstLine="540"/>
        <w:spacing w:line="360" w:lineRule="auto"/>
        <w:rPr>
          <w:rFonts w:ascii="宋体" w:hAnsi="宋体" w:cs="仿宋_GB2312"/>
          <w:b/>
          <w:sz w:val="28"/>
          <w:szCs w:val="28"/>
          <w:highlight w:val="none"/>
          <w:lang w:val="zh-CN"/>
        </w:rPr>
      </w:pPr>
      <w:r>
        <w:rPr>
          <w:rFonts w:ascii="宋体" w:hAnsi="宋体" w:cs="仿宋_GB2312"/>
          <w:b/>
          <w:sz w:val="28"/>
          <w:szCs w:val="28"/>
          <w:highlight w:val="none"/>
          <w:lang w:val="zh-CN"/>
        </w:rPr>
      </w:r>
      <w:r/>
    </w:p>
    <w:p>
      <w:pPr>
        <w:pStyle w:val="967"/>
        <w:contextualSpacing/>
        <w:ind w:firstLine="540"/>
        <w:spacing w:line="360" w:lineRule="auto"/>
        <w:rPr>
          <w:rFonts w:ascii="宋体" w:hAnsi="宋体" w:cs="仿宋_GB2312"/>
          <w:b/>
          <w:sz w:val="28"/>
          <w:szCs w:val="28"/>
          <w:highlight w:val="none"/>
          <w:lang w:val="zh-CN"/>
        </w:rPr>
      </w:pPr>
      <w:r>
        <w:rPr>
          <w:rFonts w:ascii="宋体" w:hAnsi="宋体" w:cs="仿宋_GB2312"/>
          <w:b/>
          <w:sz w:val="28"/>
          <w:szCs w:val="28"/>
          <w:highlight w:val="none"/>
          <w:lang w:val="zh-CN"/>
        </w:rPr>
      </w:r>
      <w:r/>
    </w:p>
    <w:p>
      <w:pPr>
        <w:pStyle w:val="967"/>
        <w:contextualSpacing/>
        <w:ind w:firstLine="540"/>
        <w:spacing w:line="360" w:lineRule="auto"/>
        <w:rPr>
          <w:rFonts w:ascii="宋体" w:hAnsi="宋体" w:cs="仿宋_GB2312"/>
          <w:b/>
          <w:sz w:val="28"/>
          <w:szCs w:val="28"/>
          <w:highlight w:val="none"/>
          <w:lang w:val="zh-CN"/>
        </w:rPr>
      </w:pPr>
      <w:r>
        <w:rPr>
          <w:rFonts w:ascii="宋体" w:hAnsi="宋体" w:cs="仿宋_GB2312"/>
          <w:b/>
          <w:sz w:val="28"/>
          <w:szCs w:val="28"/>
          <w:highlight w:val="none"/>
          <w:lang w:val="zh-CN"/>
        </w:rPr>
      </w:r>
      <w:r/>
    </w:p>
    <w:p>
      <w:pPr>
        <w:pStyle w:val="967"/>
        <w:contextualSpacing/>
        <w:ind w:firstLine="540"/>
        <w:spacing w:line="360" w:lineRule="auto"/>
        <w:rPr>
          <w:rFonts w:ascii="宋体" w:hAnsi="宋体" w:cs="仿宋_GB2312"/>
          <w:b/>
          <w:sz w:val="28"/>
          <w:szCs w:val="28"/>
          <w:highlight w:val="none"/>
          <w:lang w:val="zh-CN"/>
        </w:rPr>
      </w:pPr>
      <w:r>
        <w:rPr>
          <w:rFonts w:ascii="宋体" w:hAnsi="宋体" w:cs="仿宋_GB2312"/>
          <w:b/>
          <w:sz w:val="28"/>
          <w:szCs w:val="28"/>
          <w:highlight w:val="none"/>
          <w:lang w:val="zh-CN"/>
        </w:rPr>
      </w:r>
      <w:r/>
    </w:p>
    <w:p>
      <w:pPr>
        <w:pStyle w:val="967"/>
        <w:contextualSpacing/>
        <w:ind w:firstLine="540"/>
        <w:spacing w:line="360" w:lineRule="auto"/>
        <w:rPr>
          <w:rFonts w:ascii="宋体" w:hAnsi="宋体" w:cs="仿宋_GB2312"/>
          <w:b/>
          <w:sz w:val="28"/>
          <w:szCs w:val="28"/>
          <w:highlight w:val="none"/>
          <w:lang w:val="zh-CN"/>
        </w:rPr>
      </w:pPr>
      <w:r>
        <w:rPr>
          <w:rFonts w:ascii="宋体" w:hAnsi="宋体" w:cs="仿宋_GB2312"/>
          <w:b/>
          <w:sz w:val="28"/>
          <w:szCs w:val="28"/>
          <w:highlight w:val="none"/>
          <w:lang w:val="zh-CN"/>
        </w:rPr>
      </w:r>
      <w:r/>
    </w:p>
    <w:p>
      <w:pPr>
        <w:pStyle w:val="967"/>
        <w:spacing w:line="360" w:lineRule="auto"/>
        <w:rPr>
          <w:rFonts w:ascii="宋体" w:hAnsi="宋体" w:cs="宋体"/>
          <w:b/>
          <w:sz w:val="30"/>
          <w:szCs w:val="30"/>
          <w:highlight w:val="none"/>
        </w:rPr>
      </w:pPr>
      <w:r>
        <w:rPr>
          <w:rFonts w:ascii="宋体" w:hAnsi="宋体" w:cs="宋体"/>
          <w:b/>
          <w:sz w:val="30"/>
          <w:szCs w:val="30"/>
          <w:highlight w:val="none"/>
        </w:rPr>
        <w:br w:type="page" w:clear="all"/>
      </w:r>
      <w:r>
        <w:rPr>
          <w:rFonts w:hint="eastAsia" w:ascii="宋体" w:hAnsi="宋体" w:cs="宋体"/>
          <w:b/>
          <w:sz w:val="30"/>
          <w:szCs w:val="30"/>
          <w:highlight w:val="none"/>
        </w:rPr>
        <w:t xml:space="preserve">附件3</w:t>
      </w:r>
      <w:r>
        <w:rPr>
          <w:rFonts w:ascii="宋体" w:hAnsi="宋体" w:cs="宋体"/>
          <w:b/>
          <w:sz w:val="30"/>
          <w:szCs w:val="30"/>
          <w:highlight w:val="none"/>
        </w:rPr>
      </w:r>
      <w:r/>
    </w:p>
    <w:p>
      <w:pPr>
        <w:pStyle w:val="967"/>
        <w:jc w:val="center"/>
        <w:spacing w:line="360" w:lineRule="auto"/>
        <w:rPr>
          <w:rFonts w:ascii="宋体" w:hAnsi="宋体" w:cs="仿宋_GB2312"/>
          <w:sz w:val="32"/>
          <w:szCs w:val="32"/>
          <w:highlight w:val="none"/>
        </w:rPr>
      </w:pPr>
      <w:r>
        <w:rPr>
          <w:rFonts w:ascii="宋体" w:hAnsi="宋体" w:cs="仿宋_GB2312"/>
          <w:sz w:val="32"/>
          <w:szCs w:val="32"/>
          <w:highlight w:val="none"/>
        </w:rPr>
      </w:r>
      <w:r/>
    </w:p>
    <w:p>
      <w:pPr>
        <w:pStyle w:val="967"/>
        <w:jc w:val="center"/>
        <w:spacing w:line="360" w:lineRule="auto"/>
        <w:rPr>
          <w:rFonts w:ascii="宋体" w:hAnsi="宋体" w:cs="仿宋_GB2312"/>
          <w:b/>
          <w:bCs/>
          <w:sz w:val="24"/>
          <w:szCs w:val="22"/>
          <w:highlight w:val="none"/>
        </w:rPr>
      </w:pPr>
      <w:r>
        <w:rPr>
          <w:rFonts w:hint="eastAsia" w:ascii="宋体" w:hAnsi="宋体" w:cs="仿宋_GB2312"/>
          <w:b/>
          <w:bCs/>
          <w:sz w:val="24"/>
          <w:szCs w:val="22"/>
          <w:highlight w:val="none"/>
        </w:rPr>
        <w:t xml:space="preserve">法定代表人授权委托书</w:t>
      </w:r>
      <w:r>
        <w:rPr>
          <w:rFonts w:ascii="宋体" w:hAnsi="宋体" w:cs="仿宋_GB2312"/>
          <w:b/>
          <w:bCs/>
          <w:sz w:val="24"/>
          <w:szCs w:val="22"/>
          <w:highlight w:val="none"/>
        </w:rPr>
      </w:r>
      <w:r/>
    </w:p>
    <w:p>
      <w:pPr>
        <w:pStyle w:val="967"/>
        <w:ind w:firstLine="480"/>
        <w:spacing w:line="360" w:lineRule="auto"/>
        <w:rPr>
          <w:rFonts w:ascii="宋体" w:hAnsi="宋体" w:cs="宋体"/>
          <w:sz w:val="24"/>
          <w:szCs w:val="22"/>
          <w:highlight w:val="none"/>
        </w:rPr>
      </w:pPr>
      <w:r>
        <w:rPr>
          <w:rFonts w:ascii="宋体" w:hAnsi="宋体" w:cs="宋体"/>
          <w:sz w:val="24"/>
          <w:szCs w:val="22"/>
          <w:highlight w:val="none"/>
        </w:rPr>
      </w:r>
      <w:r/>
    </w:p>
    <w:p>
      <w:pPr>
        <w:pStyle w:val="967"/>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本人------（姓名）系————（授权单位名称）的法定代表人，现委托-------（姓名）（身份证号——————）为我方代理人，以我方名义全权处理与本次采购项目（编号：----------）有关的一切事务，其法律后果由我方承担。</w:t>
      </w:r>
      <w:r>
        <w:rPr>
          <w:rFonts w:ascii="宋体" w:hAnsi="宋体" w:cs="宋体"/>
          <w:sz w:val="24"/>
          <w:szCs w:val="22"/>
          <w:highlight w:val="none"/>
        </w:rPr>
      </w:r>
      <w:r/>
    </w:p>
    <w:p>
      <w:pPr>
        <w:pStyle w:val="967"/>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本授权书于---年---月---日起生效。代理人无转委托权。</w:t>
      </w:r>
      <w:r>
        <w:rPr>
          <w:rFonts w:ascii="宋体" w:hAnsi="宋体" w:cs="宋体"/>
          <w:sz w:val="24"/>
          <w:szCs w:val="22"/>
          <w:highlight w:val="none"/>
        </w:rPr>
      </w:r>
      <w:r/>
    </w:p>
    <w:p>
      <w:pPr>
        <w:pStyle w:val="967"/>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代理人(被授权人):------</w:t>
      </w:r>
      <w:r>
        <w:rPr>
          <w:rFonts w:ascii="宋体" w:hAnsi="宋体" w:cs="宋体"/>
          <w:sz w:val="24"/>
          <w:szCs w:val="22"/>
          <w:highlight w:val="none"/>
        </w:rPr>
      </w:r>
      <w:r/>
    </w:p>
    <w:p>
      <w:pPr>
        <w:pStyle w:val="967"/>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授权单位名称（盖章）：-----</w:t>
      </w:r>
      <w:r>
        <w:rPr>
          <w:rFonts w:ascii="宋体" w:hAnsi="宋体" w:cs="宋体"/>
          <w:sz w:val="24"/>
          <w:szCs w:val="22"/>
          <w:highlight w:val="none"/>
        </w:rPr>
      </w:r>
      <w:r/>
    </w:p>
    <w:p>
      <w:pPr>
        <w:pStyle w:val="967"/>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授权单位法定代表人（签字或盖章）：-----</w:t>
      </w:r>
      <w:r>
        <w:rPr>
          <w:rFonts w:ascii="宋体" w:hAnsi="宋体" w:cs="宋体"/>
          <w:sz w:val="24"/>
          <w:szCs w:val="22"/>
          <w:highlight w:val="none"/>
        </w:rPr>
      </w:r>
      <w:r/>
    </w:p>
    <w:p>
      <w:pPr>
        <w:pStyle w:val="967"/>
        <w:ind w:firstLine="480"/>
        <w:jc w:val="right"/>
        <w:spacing w:line="360" w:lineRule="auto"/>
        <w:rPr>
          <w:rFonts w:ascii="宋体" w:hAnsi="宋体" w:cs="宋体"/>
          <w:sz w:val="24"/>
          <w:szCs w:val="22"/>
          <w:highlight w:val="none"/>
        </w:rPr>
      </w:pPr>
      <w:r>
        <w:rPr>
          <w:rFonts w:ascii="宋体" w:hAnsi="宋体" w:cs="宋体"/>
          <w:sz w:val="24"/>
          <w:szCs w:val="22"/>
          <w:highlight w:val="none"/>
        </w:rPr>
      </w:r>
      <w:r/>
    </w:p>
    <w:p>
      <w:pPr>
        <w:pStyle w:val="967"/>
        <w:ind w:firstLine="480"/>
        <w:jc w:val="right"/>
        <w:spacing w:line="360" w:lineRule="auto"/>
        <w:rPr>
          <w:rFonts w:ascii="宋体" w:hAnsi="宋体" w:cs="宋体"/>
          <w:sz w:val="24"/>
          <w:szCs w:val="22"/>
          <w:highlight w:val="none"/>
        </w:rPr>
      </w:pPr>
      <w:r>
        <w:rPr>
          <w:rFonts w:hint="eastAsia" w:ascii="宋体" w:hAnsi="宋体" w:cs="宋体"/>
          <w:sz w:val="24"/>
          <w:szCs w:val="22"/>
          <w:highlight w:val="none"/>
        </w:rPr>
        <w:t xml:space="preserve">XXXX年XX月XX日</w:t>
      </w:r>
      <w:r>
        <w:rPr>
          <w:rFonts w:ascii="宋体" w:hAnsi="宋体" w:cs="宋体"/>
          <w:sz w:val="24"/>
          <w:szCs w:val="22"/>
          <w:highlight w:val="none"/>
        </w:rPr>
      </w:r>
      <w:r/>
    </w:p>
    <w:p>
      <w:pPr>
        <w:pStyle w:val="967"/>
        <w:contextualSpacing/>
        <w:ind w:firstLine="482"/>
        <w:spacing w:line="360" w:lineRule="auto"/>
        <w:rPr>
          <w:rFonts w:ascii="宋体" w:hAnsi="宋体" w:cs="宋体"/>
          <w:b/>
          <w:sz w:val="24"/>
          <w:szCs w:val="22"/>
          <w:highlight w:val="none"/>
        </w:rPr>
      </w:pPr>
      <w:r>
        <w:rPr>
          <w:rFonts w:ascii="宋体" w:hAnsi="宋体" w:cs="宋体"/>
          <w:b/>
          <w:sz w:val="24"/>
          <w:szCs w:val="22"/>
          <w:highlight w:val="none"/>
        </w:rPr>
      </w:r>
      <w:r/>
    </w:p>
    <w:p>
      <w:pPr>
        <w:pStyle w:val="967"/>
        <w:ind w:firstLine="487"/>
        <w:jc w:val="center"/>
        <w:spacing w:after="200" w:line="360" w:lineRule="auto"/>
        <w:widowControl/>
        <w:rPr>
          <w:rFonts w:ascii="宋体" w:hAnsi="宋体" w:cs="宋体"/>
          <w:b/>
          <w:sz w:val="24"/>
          <w:szCs w:val="22"/>
          <w:highlight w:val="none"/>
        </w:rPr>
      </w:pPr>
      <w:r>
        <w:rPr>
          <w:rFonts w:ascii="宋体" w:hAnsi="宋体" w:cs="宋体"/>
          <w:b/>
          <w:sz w:val="24"/>
          <w:szCs w:val="22"/>
          <w:highlight w:val="none"/>
        </w:rPr>
      </w:r>
      <w:r/>
    </w:p>
    <w:p>
      <w:pPr>
        <w:pStyle w:val="967"/>
        <w:ind w:firstLine="487"/>
        <w:jc w:val="center"/>
        <w:spacing w:after="200" w:line="360" w:lineRule="auto"/>
        <w:widowControl/>
        <w:rPr>
          <w:rFonts w:ascii="宋体" w:hAnsi="宋体" w:cs="宋体"/>
          <w:b/>
          <w:bCs/>
          <w:sz w:val="24"/>
          <w:szCs w:val="22"/>
          <w:highlight w:val="none"/>
        </w:rPr>
      </w:pPr>
      <w:r>
        <w:rPr>
          <w:rFonts w:hint="eastAsia" w:ascii="宋体" w:hAnsi="宋体" w:cs="宋体"/>
          <w:b/>
          <w:sz w:val="24"/>
          <w:szCs w:val="22"/>
          <w:highlight w:val="none"/>
        </w:rPr>
        <w:t xml:space="preserve">注：提供</w:t>
      </w:r>
      <w:r>
        <w:rPr>
          <w:rFonts w:hint="eastAsia" w:ascii="宋体" w:hAnsi="宋体" w:cs="宋体"/>
          <w:b/>
          <w:bCs/>
          <w:sz w:val="24"/>
          <w:szCs w:val="22"/>
          <w:highlight w:val="none"/>
        </w:rPr>
        <w:t xml:space="preserve">被委托授权人的身份证扫描件（正、反面）</w:t>
      </w:r>
      <w:r>
        <w:rPr>
          <w:rFonts w:ascii="宋体" w:hAnsi="宋体" w:cs="宋体"/>
          <w:b/>
          <w:bCs/>
          <w:sz w:val="24"/>
          <w:szCs w:val="22"/>
          <w:highlight w:val="none"/>
        </w:rPr>
      </w:r>
      <w:r/>
    </w:p>
    <w:p>
      <w:pPr>
        <w:pStyle w:val="967"/>
        <w:ind w:firstLine="487"/>
        <w:jc w:val="center"/>
        <w:spacing w:after="200" w:line="360" w:lineRule="auto"/>
        <w:widowControl/>
        <w:rPr>
          <w:rFonts w:ascii="宋体" w:hAnsi="宋体" w:cs="宋体"/>
          <w:b/>
          <w:bCs/>
          <w:sz w:val="24"/>
          <w:szCs w:val="22"/>
          <w:highlight w:val="none"/>
        </w:rPr>
      </w:pPr>
      <w:r>
        <w:rPr>
          <w:rFonts w:ascii="宋体" w:hAnsi="宋体" w:cs="宋体"/>
          <w:b/>
          <w:bCs/>
          <w:sz w:val="24"/>
          <w:szCs w:val="22"/>
          <w:highlight w:val="none"/>
        </w:rPr>
      </w:r>
      <w:r/>
    </w:p>
    <w:p>
      <w:pPr>
        <w:pStyle w:val="967"/>
        <w:ind w:firstLine="487"/>
        <w:jc w:val="center"/>
        <w:spacing w:after="200" w:line="360" w:lineRule="auto"/>
        <w:widowControl/>
        <w:rPr>
          <w:rFonts w:ascii="宋体" w:hAnsi="宋体" w:cs="宋体"/>
          <w:b/>
          <w:bCs/>
          <w:sz w:val="24"/>
          <w:szCs w:val="22"/>
          <w:highlight w:val="none"/>
        </w:rPr>
      </w:pPr>
      <w:r>
        <w:rPr>
          <w:rFonts w:ascii="宋体" w:hAnsi="宋体" w:cs="宋体"/>
          <w:b/>
          <w:bCs/>
          <w:sz w:val="24"/>
          <w:szCs w:val="22"/>
          <w:highlight w:val="none"/>
        </w:rPr>
      </w:r>
      <w:r/>
    </w:p>
    <w:p>
      <w:pPr>
        <w:pStyle w:val="967"/>
        <w:ind w:firstLine="487"/>
        <w:jc w:val="center"/>
        <w:spacing w:after="200" w:line="360" w:lineRule="auto"/>
        <w:widowControl/>
        <w:rPr>
          <w:rFonts w:ascii="宋体" w:hAnsi="宋体" w:cs="宋体"/>
          <w:b/>
          <w:bCs/>
          <w:sz w:val="24"/>
          <w:szCs w:val="22"/>
          <w:highlight w:val="none"/>
        </w:rPr>
      </w:pPr>
      <w:r>
        <w:rPr>
          <w:rFonts w:ascii="宋体" w:hAnsi="宋体" w:cs="宋体"/>
          <w:b/>
          <w:bCs/>
          <w:sz w:val="24"/>
          <w:szCs w:val="22"/>
          <w:highlight w:val="none"/>
        </w:rPr>
      </w:r>
      <w:r/>
    </w:p>
    <w:p>
      <w:pPr>
        <w:pStyle w:val="967"/>
        <w:ind w:firstLine="487"/>
        <w:jc w:val="center"/>
        <w:spacing w:after="200" w:line="360" w:lineRule="auto"/>
        <w:widowControl/>
        <w:rPr>
          <w:rFonts w:ascii="宋体" w:hAnsi="宋体" w:cs="宋体"/>
          <w:b/>
          <w:bCs/>
          <w:sz w:val="24"/>
          <w:szCs w:val="22"/>
          <w:highlight w:val="none"/>
        </w:rPr>
      </w:pPr>
      <w:r>
        <w:rPr>
          <w:rFonts w:ascii="宋体" w:hAnsi="宋体" w:cs="宋体"/>
          <w:b/>
          <w:bCs/>
          <w:sz w:val="24"/>
          <w:szCs w:val="22"/>
          <w:highlight w:val="none"/>
        </w:rPr>
      </w:r>
      <w:r/>
    </w:p>
    <w:p>
      <w:pPr>
        <w:pStyle w:val="967"/>
        <w:spacing w:line="460" w:lineRule="exact"/>
        <w:rPr>
          <w:rFonts w:ascii="宋体" w:hAnsi="宋体" w:cs="宋体"/>
          <w:sz w:val="24"/>
          <w:szCs w:val="22"/>
          <w:highlight w:val="none"/>
        </w:rPr>
      </w:pPr>
      <w:r>
        <w:rPr>
          <w:rFonts w:hint="eastAsia" w:ascii="宋体" w:hAnsi="宋体" w:cs="宋体"/>
          <w:sz w:val="24"/>
          <w:szCs w:val="22"/>
          <w:highlight w:val="none"/>
        </w:rPr>
        <w:t xml:space="preserve">附：被授权委托人应为投标响应供应商在职人员，递交授权委托书时须提供被授权委托人在该单位自202</w:t>
      </w:r>
      <w:r>
        <w:rPr>
          <w:rFonts w:hint="eastAsia" w:ascii="宋体" w:hAnsi="宋体" w:cs="宋体"/>
          <w:sz w:val="24"/>
          <w:szCs w:val="22"/>
          <w:highlight w:val="none"/>
          <w:lang w:val="en-US" w:eastAsia="zh-CN"/>
        </w:rPr>
        <w:t xml:space="preserve">6</w:t>
      </w:r>
      <w:r>
        <w:rPr>
          <w:rFonts w:hint="eastAsia" w:ascii="宋体" w:hAnsi="宋体" w:cs="宋体"/>
          <w:sz w:val="24"/>
          <w:szCs w:val="22"/>
          <w:highlight w:val="none"/>
        </w:rPr>
        <w:t xml:space="preserve">年0</w:t>
      </w:r>
      <w:r>
        <w:rPr>
          <w:rFonts w:hint="eastAsia" w:ascii="宋体" w:hAnsi="宋体" w:cs="宋体"/>
          <w:sz w:val="24"/>
          <w:szCs w:val="22"/>
          <w:highlight w:val="none"/>
          <w:lang w:val="en-US" w:eastAsia="zh-CN"/>
        </w:rPr>
        <w:t xml:space="preserve">1</w:t>
      </w:r>
      <w:r>
        <w:rPr>
          <w:rFonts w:hint="eastAsia" w:ascii="宋体" w:hAnsi="宋体" w:cs="宋体"/>
          <w:sz w:val="24"/>
          <w:szCs w:val="22"/>
          <w:highlight w:val="none"/>
        </w:rPr>
        <w:t xml:space="preserve">月-202</w:t>
      </w:r>
      <w:r>
        <w:rPr>
          <w:rFonts w:hint="eastAsia" w:ascii="宋体" w:hAnsi="宋体" w:cs="宋体"/>
          <w:sz w:val="24"/>
          <w:szCs w:val="22"/>
          <w:highlight w:val="none"/>
          <w:lang w:val="en-US" w:eastAsia="zh-CN"/>
        </w:rPr>
        <w:t xml:space="preserve">6</w:t>
      </w:r>
      <w:r>
        <w:rPr>
          <w:rFonts w:hint="eastAsia" w:ascii="宋体" w:hAnsi="宋体" w:cs="宋体"/>
          <w:sz w:val="24"/>
          <w:szCs w:val="22"/>
          <w:highlight w:val="none"/>
        </w:rPr>
        <w:t xml:space="preserve">年0</w:t>
      </w:r>
      <w:r>
        <w:rPr>
          <w:rFonts w:hint="eastAsia" w:ascii="宋体" w:hAnsi="宋体" w:cs="宋体"/>
          <w:sz w:val="24"/>
          <w:szCs w:val="22"/>
          <w:highlight w:val="none"/>
          <w:lang w:val="en-US" w:eastAsia="zh-CN"/>
        </w:rPr>
        <w:t xml:space="preserve">3</w:t>
      </w:r>
      <w:r>
        <w:rPr>
          <w:rFonts w:hint="eastAsia" w:ascii="宋体" w:hAnsi="宋体" w:cs="宋体"/>
          <w:sz w:val="24"/>
          <w:szCs w:val="22"/>
          <w:highlight w:val="none"/>
        </w:rPr>
        <w:t xml:space="preserve">月任意一个月社保证明，否则作无效处理。</w:t>
      </w:r>
      <w:r>
        <w:rPr>
          <w:rFonts w:ascii="宋体" w:hAnsi="宋体" w:cs="宋体"/>
          <w:sz w:val="24"/>
          <w:szCs w:val="22"/>
          <w:highlight w:val="none"/>
        </w:rPr>
      </w:r>
      <w:r/>
    </w:p>
    <w:p>
      <w:pPr>
        <w:pStyle w:val="967"/>
        <w:spacing w:line="360" w:lineRule="auto"/>
        <w:rPr>
          <w:rFonts w:ascii="宋体" w:hAnsi="宋体" w:cs="仿宋_GB2312"/>
          <w:sz w:val="32"/>
          <w:szCs w:val="32"/>
          <w:highlight w:val="none"/>
        </w:rPr>
      </w:pPr>
      <w:r>
        <w:rPr>
          <w:rFonts w:ascii="宋体" w:hAnsi="宋体" w:cs="仿宋_GB2312"/>
          <w:sz w:val="32"/>
          <w:szCs w:val="32"/>
          <w:highlight w:val="none"/>
          <w:lang w:val="zh-CN"/>
        </w:rPr>
        <w:br w:type="page" w:clear="all"/>
      </w:r>
      <w:r>
        <w:rPr>
          <w:rFonts w:hint="eastAsia" w:ascii="宋体" w:hAnsi="宋体" w:cs="宋体"/>
          <w:b/>
          <w:sz w:val="30"/>
          <w:szCs w:val="30"/>
          <w:highlight w:val="none"/>
        </w:rPr>
        <w:t xml:space="preserve">附件4 </w:t>
      </w:r>
      <w:r>
        <w:rPr>
          <w:rFonts w:hint="eastAsia" w:ascii="宋体" w:hAnsi="宋体" w:cs="仿宋_GB2312"/>
          <w:sz w:val="32"/>
          <w:szCs w:val="32"/>
          <w:highlight w:val="none"/>
        </w:rPr>
        <w:t xml:space="preserve">         </w:t>
      </w:r>
      <w:r>
        <w:rPr>
          <w:rFonts w:ascii="宋体" w:hAnsi="宋体" w:cs="仿宋_GB2312"/>
          <w:sz w:val="32"/>
          <w:szCs w:val="32"/>
          <w:highlight w:val="none"/>
        </w:rPr>
      </w:r>
      <w:r/>
    </w:p>
    <w:p>
      <w:pPr>
        <w:pStyle w:val="967"/>
        <w:jc w:val="center"/>
        <w:spacing w:line="360" w:lineRule="auto"/>
        <w:rPr>
          <w:rFonts w:ascii="Calibri" w:hAnsi="Calibri"/>
          <w:b/>
          <w:bCs/>
          <w:sz w:val="28"/>
          <w:szCs w:val="28"/>
          <w:highlight w:val="none"/>
        </w:rPr>
      </w:pPr>
      <w:r>
        <w:rPr>
          <w:rFonts w:hint="eastAsia" w:ascii="Calibri" w:hAnsi="Calibri" w:cs="宋体"/>
          <w:b/>
          <w:bCs/>
          <w:sz w:val="28"/>
          <w:szCs w:val="28"/>
          <w:highlight w:val="none"/>
          <w:lang w:bidi="ar"/>
        </w:rPr>
        <w:t xml:space="preserve">无重大违法记录声明</w:t>
      </w:r>
      <w:r>
        <w:rPr>
          <w:rFonts w:ascii="Calibri" w:hAnsi="Calibri"/>
          <w:b/>
          <w:bCs/>
          <w:sz w:val="28"/>
          <w:szCs w:val="28"/>
          <w:highlight w:val="none"/>
        </w:rPr>
      </w:r>
      <w:r/>
    </w:p>
    <w:p>
      <w:pPr>
        <w:pStyle w:val="967"/>
        <w:jc w:val="left"/>
        <w:spacing w:line="360" w:lineRule="auto"/>
        <w:rPr>
          <w:rFonts w:ascii="Calibri" w:hAnsi="Calibri"/>
          <w:sz w:val="24"/>
          <w:szCs w:val="22"/>
          <w:highlight w:val="none"/>
          <w:u w:val="single"/>
        </w:rPr>
      </w:pPr>
      <w:r>
        <w:rPr>
          <w:rFonts w:ascii="Calibri" w:hAnsi="Calibri"/>
          <w:sz w:val="24"/>
          <w:szCs w:val="22"/>
          <w:highlight w:val="none"/>
          <w:u w:val="single"/>
        </w:rPr>
      </w:r>
      <w:r/>
    </w:p>
    <w:p>
      <w:pPr>
        <w:pStyle w:val="967"/>
        <w:jc w:val="left"/>
        <w:spacing w:line="360" w:lineRule="auto"/>
        <w:rPr>
          <w:rFonts w:ascii="Calibri" w:hAnsi="Calibri"/>
          <w:b/>
          <w:bCs/>
          <w:sz w:val="24"/>
          <w:szCs w:val="22"/>
          <w:highlight w:val="none"/>
        </w:rPr>
      </w:pPr>
      <w:r>
        <w:rPr>
          <w:rFonts w:hint="eastAsia" w:ascii="Calibri" w:hAnsi="Calibri" w:cs="宋体"/>
          <w:sz w:val="24"/>
          <w:szCs w:val="22"/>
          <w:highlight w:val="none"/>
          <w:u w:val="single"/>
          <w:lang w:bidi="ar"/>
        </w:rPr>
        <w:t xml:space="preserve">南通市城市照明管理处</w:t>
      </w:r>
      <w:r>
        <w:rPr>
          <w:rFonts w:hint="eastAsia" w:ascii="Calibri" w:hAnsi="Calibri" w:cs="宋体"/>
          <w:sz w:val="24"/>
          <w:szCs w:val="22"/>
          <w:highlight w:val="none"/>
          <w:lang w:bidi="ar"/>
        </w:rPr>
        <w:t xml:space="preserve">：</w:t>
      </w:r>
      <w:r>
        <w:rPr>
          <w:rFonts w:ascii="Calibri" w:hAnsi="Calibri"/>
          <w:b/>
          <w:bCs/>
          <w:sz w:val="24"/>
          <w:szCs w:val="22"/>
          <w:highlight w:val="none"/>
        </w:rPr>
      </w:r>
      <w:r/>
    </w:p>
    <w:p>
      <w:pPr>
        <w:pStyle w:val="967"/>
        <w:ind w:firstLine="480"/>
        <w:jc w:val="left"/>
        <w:spacing w:line="360" w:lineRule="auto"/>
        <w:rPr>
          <w:rFonts w:ascii="Calibri" w:hAnsi="Calibri"/>
          <w:sz w:val="24"/>
          <w:szCs w:val="22"/>
          <w:highlight w:val="none"/>
        </w:rPr>
      </w:pPr>
      <w:r>
        <w:rPr>
          <w:rFonts w:hint="eastAsia" w:ascii="Calibri" w:hAnsi="Calibri" w:cs="宋体"/>
          <w:sz w:val="24"/>
          <w:szCs w:val="22"/>
          <w:highlight w:val="none"/>
          <w:lang w:bidi="ar"/>
        </w:rPr>
        <w:t xml:space="preserve">我单位（供应商名称）郑重声明：</w:t>
      </w:r>
      <w:r>
        <w:rPr>
          <w:rFonts w:ascii="Calibri" w:hAnsi="Calibri"/>
          <w:sz w:val="24"/>
          <w:szCs w:val="22"/>
          <w:highlight w:val="none"/>
        </w:rPr>
      </w:r>
      <w:r/>
    </w:p>
    <w:p>
      <w:pPr>
        <w:pStyle w:val="967"/>
        <w:ind w:firstLine="480"/>
        <w:jc w:val="left"/>
        <w:spacing w:line="360" w:lineRule="auto"/>
        <w:rPr>
          <w:rFonts w:ascii="Calibri" w:hAnsi="Calibri"/>
          <w:sz w:val="24"/>
          <w:szCs w:val="22"/>
          <w:highlight w:val="none"/>
        </w:rPr>
      </w:pPr>
      <w:r>
        <w:rPr>
          <w:rFonts w:ascii="Calibri" w:hAnsi="Calibri"/>
          <w:sz w:val="24"/>
          <w:szCs w:val="22"/>
          <w:highlight w:val="none"/>
          <w:lang w:bidi="ar"/>
        </w:rPr>
        <w:t xml:space="preserve">1</w:t>
      </w:r>
      <w:r>
        <w:rPr>
          <w:rFonts w:hint="eastAsia" w:ascii="Calibri" w:hAnsi="Calibri" w:cs="宋体"/>
          <w:sz w:val="24"/>
          <w:szCs w:val="22"/>
          <w:highlight w:val="none"/>
          <w:lang w:bidi="ar"/>
        </w:rPr>
        <w:t xml:space="preserve">、参加政府采购活动前</w:t>
      </w:r>
      <w:r>
        <w:rPr>
          <w:rFonts w:ascii="Calibri" w:hAnsi="Calibri"/>
          <w:sz w:val="24"/>
          <w:szCs w:val="22"/>
          <w:highlight w:val="none"/>
          <w:lang w:bidi="ar"/>
        </w:rPr>
        <w:t xml:space="preserve">3</w:t>
      </w:r>
      <w:r>
        <w:rPr>
          <w:rFonts w:hint="eastAsia" w:ascii="Calibri" w:hAnsi="Calibri" w:cs="宋体"/>
          <w:sz w:val="24"/>
          <w:szCs w:val="22"/>
          <w:highlight w:val="none"/>
          <w:lang w:bidi="ar"/>
        </w:rPr>
        <w:t xml:space="preserve">年内在经营活动中</w:t>
      </w:r>
      <w:r>
        <w:rPr>
          <w:rFonts w:ascii="Calibri" w:hAnsi="Calibri"/>
          <w:sz w:val="24"/>
          <w:szCs w:val="22"/>
          <w:highlight w:val="none"/>
          <w:u w:val="single"/>
          <w:lang w:bidi="ar"/>
        </w:rPr>
        <w:t xml:space="preserve">    </w:t>
      </w:r>
      <w:r>
        <w:rPr>
          <w:rFonts w:hint="eastAsia" w:ascii="Calibri" w:hAnsi="Calibri" w:cs="宋体"/>
          <w:sz w:val="24"/>
          <w:szCs w:val="22"/>
          <w:highlight w:val="none"/>
          <w:u w:val="single"/>
          <w:lang w:bidi="ar"/>
        </w:rPr>
        <w:t xml:space="preserve">（在下划线上如实填写：有或没有）</w:t>
      </w:r>
      <w:r>
        <w:rPr>
          <w:rFonts w:ascii="Calibri" w:hAnsi="Calibri"/>
          <w:sz w:val="24"/>
          <w:szCs w:val="22"/>
          <w:highlight w:val="none"/>
          <w:u w:val="single"/>
          <w:lang w:bidi="ar"/>
        </w:rPr>
        <w:t xml:space="preserve">   </w:t>
      </w:r>
      <w:r>
        <w:rPr>
          <w:rFonts w:hint="eastAsia" w:ascii="Calibri" w:hAnsi="Calibri" w:cs="宋体"/>
          <w:sz w:val="24"/>
          <w:szCs w:val="22"/>
          <w:highlight w:val="none"/>
          <w:lang w:bidi="ar"/>
        </w:rPr>
        <w:t xml:space="preserve">重大违法记录。</w:t>
      </w:r>
      <w:r>
        <w:rPr>
          <w:rFonts w:ascii="Calibri" w:hAnsi="Calibri"/>
          <w:sz w:val="24"/>
          <w:szCs w:val="22"/>
          <w:highlight w:val="none"/>
        </w:rPr>
      </w:r>
      <w:r/>
    </w:p>
    <w:p>
      <w:pPr>
        <w:pStyle w:val="967"/>
        <w:ind w:firstLine="480"/>
        <w:jc w:val="left"/>
        <w:spacing w:line="360" w:lineRule="auto"/>
        <w:rPr>
          <w:rFonts w:ascii="Calibri" w:hAnsi="Calibri"/>
          <w:sz w:val="24"/>
          <w:szCs w:val="22"/>
          <w:highlight w:val="none"/>
        </w:rPr>
      </w:pPr>
      <w:r>
        <w:rPr>
          <w:rFonts w:hint="eastAsia" w:ascii="Calibri" w:hAnsi="Calibri" w:cs="宋体"/>
          <w:sz w:val="24"/>
          <w:szCs w:val="22"/>
          <w:highlight w:val="none"/>
          <w:lang w:bidi="ar"/>
        </w:rPr>
        <w:t xml:space="preserve">（说明：政府采购法第二十二条第一款第五项所称重大违法记录，是指供应商因违法经营受到刑事处罚或者责令停产停业、吊销许可证或者执照、较大数额罚款等行政处罚。）</w:t>
      </w:r>
      <w:r>
        <w:rPr>
          <w:rFonts w:ascii="Calibri" w:hAnsi="Calibri"/>
          <w:sz w:val="24"/>
          <w:szCs w:val="22"/>
          <w:highlight w:val="none"/>
        </w:rPr>
      </w:r>
      <w:r/>
    </w:p>
    <w:p>
      <w:pPr>
        <w:pStyle w:val="967"/>
        <w:ind w:firstLine="480"/>
        <w:jc w:val="left"/>
        <w:spacing w:line="360" w:lineRule="auto"/>
        <w:rPr>
          <w:rFonts w:ascii="Calibri" w:hAnsi="Calibri"/>
          <w:sz w:val="24"/>
          <w:szCs w:val="22"/>
          <w:highlight w:val="none"/>
        </w:rPr>
      </w:pPr>
      <w:r>
        <w:rPr>
          <w:rFonts w:ascii="Calibri" w:hAnsi="Calibri"/>
          <w:sz w:val="24"/>
          <w:szCs w:val="22"/>
          <w:highlight w:val="none"/>
          <w:lang w:bidi="ar"/>
        </w:rPr>
        <w:t xml:space="preserve">2</w:t>
      </w:r>
      <w:r>
        <w:rPr>
          <w:rFonts w:hint="eastAsia" w:ascii="Calibri" w:hAnsi="Calibri" w:cs="宋体"/>
          <w:sz w:val="24"/>
          <w:szCs w:val="22"/>
          <w:highlight w:val="none"/>
          <w:lang w:bidi="ar"/>
        </w:rPr>
        <w:t xml:space="preserve">、截至磋商截止时间前，我公司未被</w:t>
      </w:r>
      <w:r>
        <w:rPr>
          <w:rFonts w:ascii="Calibri" w:hAnsi="Calibri"/>
          <w:sz w:val="24"/>
          <w:szCs w:val="22"/>
          <w:highlight w:val="none"/>
          <w:lang w:bidi="ar"/>
        </w:rPr>
        <w:t xml:space="preserve">“</w:t>
      </w:r>
      <w:r>
        <w:rPr>
          <w:rFonts w:hint="eastAsia" w:ascii="Calibri" w:hAnsi="Calibri" w:cs="宋体"/>
          <w:sz w:val="24"/>
          <w:szCs w:val="22"/>
          <w:highlight w:val="none"/>
          <w:lang w:bidi="ar"/>
        </w:rPr>
        <w:t xml:space="preserve">信用中国</w:t>
      </w:r>
      <w:r>
        <w:rPr>
          <w:rFonts w:ascii="Calibri" w:hAnsi="Calibri"/>
          <w:sz w:val="24"/>
          <w:szCs w:val="22"/>
          <w:highlight w:val="none"/>
          <w:lang w:bidi="ar"/>
        </w:rPr>
        <w:t xml:space="preserve">”</w:t>
      </w:r>
      <w:r>
        <w:rPr>
          <w:rFonts w:hint="eastAsia" w:ascii="Calibri" w:hAnsi="Calibri" w:cs="宋体"/>
          <w:sz w:val="24"/>
          <w:szCs w:val="22"/>
          <w:highlight w:val="none"/>
          <w:lang w:bidi="ar"/>
        </w:rPr>
        <w:t xml:space="preserve">列入失信被执行人、重大税收违法案件当事人名单、政府采购严重违法失信行为记录名单。</w:t>
      </w:r>
      <w:r>
        <w:rPr>
          <w:rFonts w:ascii="Calibri" w:hAnsi="Calibri"/>
          <w:sz w:val="24"/>
          <w:szCs w:val="22"/>
          <w:highlight w:val="none"/>
        </w:rPr>
      </w:r>
      <w:r/>
    </w:p>
    <w:p>
      <w:pPr>
        <w:pStyle w:val="967"/>
        <w:ind w:firstLine="280"/>
        <w:spacing w:line="500" w:lineRule="exact"/>
        <w:tabs>
          <w:tab w:val="left" w:pos="2020" w:leader="none"/>
          <w:tab w:val="center" w:pos="4535" w:leader="none"/>
        </w:tabs>
        <w:rPr>
          <w:rFonts w:ascii="Calibri" w:hAnsi="Calibri" w:eastAsia="华文彩云"/>
          <w:bCs/>
          <w:sz w:val="28"/>
          <w:szCs w:val="22"/>
          <w:highlight w:val="none"/>
        </w:rPr>
      </w:pPr>
      <w:r>
        <w:rPr>
          <w:rFonts w:ascii="Calibri" w:hAnsi="Calibri" w:eastAsia="华文彩云"/>
          <w:bCs/>
          <w:sz w:val="28"/>
          <w:szCs w:val="22"/>
          <w:highlight w:val="none"/>
        </w:rPr>
      </w:r>
      <w:r/>
    </w:p>
    <w:p>
      <w:pPr>
        <w:pStyle w:val="967"/>
        <w:ind w:firstLine="280"/>
        <w:spacing w:line="500" w:lineRule="exact"/>
        <w:tabs>
          <w:tab w:val="left" w:pos="2020" w:leader="none"/>
          <w:tab w:val="center" w:pos="4535" w:leader="none"/>
        </w:tabs>
        <w:rPr>
          <w:rFonts w:ascii="Calibri" w:hAnsi="Calibri" w:eastAsia="华文彩云"/>
          <w:bCs/>
          <w:sz w:val="28"/>
          <w:szCs w:val="22"/>
          <w:highlight w:val="none"/>
        </w:rPr>
      </w:pPr>
      <w:r>
        <w:rPr>
          <w:rFonts w:ascii="Calibri" w:hAnsi="Calibri" w:eastAsia="华文彩云"/>
          <w:bCs/>
          <w:sz w:val="28"/>
          <w:szCs w:val="22"/>
          <w:highlight w:val="none"/>
        </w:rPr>
      </w:r>
      <w:r/>
    </w:p>
    <w:p>
      <w:pPr>
        <w:pStyle w:val="967"/>
        <w:ind w:firstLine="2280"/>
        <w:jc w:val="right"/>
        <w:spacing w:line="360" w:lineRule="auto"/>
        <w:rPr>
          <w:rFonts w:ascii="Calibri" w:hAnsi="Calibri"/>
          <w:sz w:val="24"/>
          <w:szCs w:val="22"/>
          <w:highlight w:val="none"/>
        </w:rPr>
      </w:pPr>
      <w:r>
        <w:rPr>
          <w:rFonts w:hint="eastAsia" w:ascii="Calibri" w:hAnsi="Calibri" w:cs="宋体"/>
          <w:sz w:val="24"/>
          <w:szCs w:val="22"/>
          <w:highlight w:val="none"/>
          <w:lang w:bidi="ar"/>
        </w:rPr>
        <w:t xml:space="preserve">声明人：（公章）</w:t>
      </w:r>
      <w:r>
        <w:rPr>
          <w:rFonts w:ascii="Calibri" w:hAnsi="Calibri"/>
          <w:sz w:val="24"/>
          <w:szCs w:val="22"/>
          <w:highlight w:val="none"/>
        </w:rPr>
      </w:r>
      <w:r/>
    </w:p>
    <w:p>
      <w:pPr>
        <w:pStyle w:val="967"/>
        <w:ind w:firstLine="2280"/>
        <w:jc w:val="right"/>
        <w:spacing w:line="360" w:lineRule="auto"/>
        <w:rPr>
          <w:rFonts w:ascii="Calibri" w:hAnsi="Calibri" w:cs="宋体"/>
          <w:sz w:val="24"/>
          <w:szCs w:val="22"/>
          <w:highlight w:val="none"/>
          <w:lang w:bidi="ar"/>
        </w:rPr>
      </w:pPr>
      <w:r>
        <w:rPr>
          <w:rFonts w:hint="eastAsia" w:ascii="Calibri" w:hAnsi="Calibri" w:cs="宋体"/>
          <w:sz w:val="24"/>
          <w:szCs w:val="22"/>
          <w:highlight w:val="none"/>
          <w:lang w:bidi="ar"/>
        </w:rPr>
        <w:t xml:space="preserve">年月日</w:t>
      </w:r>
      <w:r>
        <w:rPr>
          <w:rFonts w:ascii="Calibri" w:hAnsi="Calibri" w:cs="宋体"/>
          <w:sz w:val="24"/>
          <w:szCs w:val="22"/>
          <w:highlight w:val="none"/>
          <w:lang w:bidi="ar"/>
        </w:rPr>
      </w:r>
      <w:r/>
    </w:p>
    <w:p>
      <w:pPr>
        <w:pStyle w:val="967"/>
        <w:ind w:firstLine="420"/>
        <w:widowControl/>
        <w:rPr>
          <w:rFonts w:ascii="宋体"/>
          <w:szCs w:val="20"/>
          <w:highlight w:val="none"/>
          <w:lang w:bidi="ar"/>
        </w:rPr>
      </w:pPr>
      <w:r>
        <w:rPr>
          <w:rFonts w:ascii="宋体"/>
          <w:szCs w:val="20"/>
          <w:highlight w:val="none"/>
          <w:lang w:bidi="ar"/>
        </w:rPr>
      </w:r>
      <w:r/>
    </w:p>
    <w:p>
      <w:pPr>
        <w:pStyle w:val="967"/>
        <w:rPr>
          <w:rFonts w:ascii="Arial Unicode MS" w:hAnsi="Arial Unicode MS" w:cs="Arial Unicode MS"/>
          <w:highlight w:val="none"/>
          <w:lang w:bidi="ar"/>
        </w:rPr>
      </w:pPr>
      <w:r>
        <w:rPr>
          <w:rFonts w:ascii="Arial Unicode MS" w:hAnsi="Arial Unicode MS" w:cs="Arial Unicode MS"/>
          <w:highlight w:val="none"/>
          <w:lang w:bidi="ar"/>
        </w:rPr>
      </w:r>
      <w:r/>
    </w:p>
    <w:p>
      <w:pPr>
        <w:pStyle w:val="967"/>
        <w:spacing w:line="360" w:lineRule="auto"/>
        <w:rPr>
          <w:rFonts w:ascii="Calibri" w:hAnsi="Calibri"/>
          <w:b/>
          <w:sz w:val="24"/>
          <w:szCs w:val="22"/>
          <w:highlight w:val="none"/>
        </w:rPr>
      </w:pPr>
      <w:r>
        <w:rPr>
          <w:rFonts w:ascii="Calibri" w:hAnsi="Calibri"/>
          <w:sz w:val="24"/>
          <w:szCs w:val="22"/>
          <w:highlight w:val="none"/>
        </w:rPr>
        <w:br w:type="page" w:clear="all"/>
      </w:r>
      <w:r>
        <w:rPr>
          <w:rFonts w:hint="eastAsia" w:ascii="宋体" w:hAnsi="宋体" w:cs="宋体"/>
          <w:b/>
          <w:sz w:val="30"/>
          <w:szCs w:val="30"/>
          <w:highlight w:val="none"/>
        </w:rPr>
        <w:t xml:space="preserve">附件5 </w:t>
      </w:r>
      <w:r>
        <w:rPr>
          <w:rFonts w:hint="eastAsia" w:ascii="宋体" w:hAnsi="宋体" w:cs="仿宋_GB2312"/>
          <w:sz w:val="32"/>
          <w:szCs w:val="32"/>
          <w:highlight w:val="none"/>
        </w:rPr>
        <w:t xml:space="preserve"> </w:t>
      </w:r>
      <w:r>
        <w:rPr>
          <w:rFonts w:hint="eastAsia" w:ascii="Calibri" w:hAnsi="Calibri"/>
          <w:b/>
          <w:sz w:val="24"/>
          <w:szCs w:val="22"/>
          <w:highlight w:val="none"/>
        </w:rPr>
        <w:t xml:space="preserve"> </w:t>
      </w:r>
      <w:r>
        <w:rPr>
          <w:rFonts w:ascii="Calibri" w:hAnsi="Calibri"/>
          <w:b/>
          <w:sz w:val="24"/>
          <w:szCs w:val="22"/>
          <w:highlight w:val="none"/>
        </w:rPr>
      </w:r>
      <w:r/>
    </w:p>
    <w:p>
      <w:pPr>
        <w:pStyle w:val="967"/>
        <w:jc w:val="center"/>
        <w:spacing w:line="360" w:lineRule="auto"/>
        <w:rPr>
          <w:rFonts w:ascii="宋体" w:hAnsi="宋体" w:cs="仿宋_GB2312"/>
          <w:b/>
          <w:bCs/>
          <w:sz w:val="24"/>
          <w:szCs w:val="22"/>
          <w:highlight w:val="none"/>
        </w:rPr>
      </w:pPr>
      <w:r>
        <w:rPr>
          <w:rFonts w:hint="eastAsia" w:ascii="宋体" w:hAnsi="宋体" w:cs="仿宋_GB2312"/>
          <w:b/>
          <w:bCs/>
          <w:sz w:val="24"/>
          <w:szCs w:val="22"/>
          <w:highlight w:val="none"/>
        </w:rPr>
        <w:t xml:space="preserve">中小企业声明函、残疾人福利性单位声明函或监狱和戒毒企业证明材料。</w:t>
      </w:r>
      <w:r>
        <w:rPr>
          <w:rFonts w:ascii="宋体" w:hAnsi="宋体" w:cs="仿宋_GB2312"/>
          <w:b/>
          <w:bCs/>
          <w:sz w:val="24"/>
          <w:szCs w:val="22"/>
          <w:highlight w:val="none"/>
        </w:rPr>
      </w:r>
      <w:r/>
    </w:p>
    <w:p>
      <w:pPr>
        <w:pStyle w:val="967"/>
        <w:jc w:val="center"/>
        <w:spacing w:line="360" w:lineRule="auto"/>
        <w:rPr>
          <w:rFonts w:cs="宋体"/>
          <w:szCs w:val="24"/>
          <w:highlight w:val="none"/>
        </w:rPr>
      </w:pPr>
      <w:r>
        <w:rPr>
          <w:rFonts w:hint="eastAsia" w:ascii="宋体" w:hAnsi="宋体" w:cs="宋体"/>
          <w:b/>
          <w:sz w:val="28"/>
          <w:szCs w:val="28"/>
          <w:highlight w:val="none"/>
          <w:lang w:bidi="ar"/>
        </w:rPr>
        <w:t xml:space="preserve">（一）</w:t>
      </w:r>
      <w:r>
        <w:rPr>
          <w:rFonts w:hint="eastAsia" w:cs="宋体"/>
          <w:sz w:val="24"/>
          <w:szCs w:val="32"/>
          <w:highlight w:val="none"/>
        </w:rPr>
        <w:t xml:space="preserve">中小企业声明函（货物）</w:t>
      </w:r>
      <w:r>
        <w:rPr>
          <w:rFonts w:cs="宋体"/>
          <w:szCs w:val="24"/>
          <w:highlight w:val="none"/>
        </w:rPr>
      </w:r>
      <w:r/>
    </w:p>
    <w:p>
      <w:pPr>
        <w:pStyle w:val="967"/>
        <w:ind w:firstLine="480"/>
        <w:spacing w:line="360" w:lineRule="auto"/>
        <w:rPr>
          <w:rFonts w:cs="宋体"/>
          <w:b w:val="0"/>
          <w:sz w:val="24"/>
          <w:szCs w:val="24"/>
          <w:highlight w:val="none"/>
          <w:lang w:bidi="zh-CN"/>
        </w:rPr>
        <w:outlineLvl w:val="0"/>
      </w:pPr>
      <w:r>
        <w:rPr>
          <w:rFonts w:hint="eastAsia" w:cs="宋体"/>
          <w:b w:val="0"/>
          <w:sz w:val="24"/>
          <w:szCs w:val="24"/>
          <w:highlight w:val="none"/>
          <w:lang w:bidi="zh-CN"/>
        </w:rPr>
        <w:t xml:space="preserve">本公司(联合体)郑重声明，根据《政府采购促进中小企业发展管理办法》财库(2020]46 号)的规定，本公司(联合体)参加</w:t>
      </w:r>
      <w:r>
        <w:rPr>
          <w:rFonts w:hint="eastAsia" w:cs="宋体"/>
          <w:b w:val="0"/>
          <w:sz w:val="24"/>
          <w:szCs w:val="24"/>
          <w:highlight w:val="none"/>
          <w:u w:val="single"/>
          <w:lang w:bidi="zh-CN"/>
        </w:rPr>
        <w:t xml:space="preserve">(单位名称)</w:t>
      </w:r>
      <w:r>
        <w:rPr>
          <w:rFonts w:hint="eastAsia" w:cs="宋体"/>
          <w:b w:val="0"/>
          <w:sz w:val="24"/>
          <w:szCs w:val="24"/>
          <w:highlight w:val="none"/>
          <w:lang w:bidi="zh-CN"/>
        </w:rPr>
        <w:t xml:space="preserve">的</w:t>
      </w:r>
      <w:r>
        <w:rPr>
          <w:rFonts w:hint="eastAsia" w:cs="宋体"/>
          <w:b w:val="0"/>
          <w:sz w:val="24"/>
          <w:szCs w:val="24"/>
          <w:highlight w:val="none"/>
          <w:u w:val="single"/>
          <w:lang w:bidi="zh-CN"/>
        </w:rPr>
        <w:t xml:space="preserve">(项目名称)</w:t>
      </w:r>
      <w:r>
        <w:rPr>
          <w:rFonts w:hint="eastAsia" w:cs="宋体"/>
          <w:b w:val="0"/>
          <w:sz w:val="24"/>
          <w:szCs w:val="24"/>
          <w:highlight w:val="none"/>
          <w:lang w:bidi="zh-CN"/>
        </w:rPr>
        <w:t xml:space="preserve">采购活动，提供的货物全部由符合政策要求的中小企业制造。相关企业(含联合体中的中小企业、签订分包意向协议的中小企业)的具体情况如下：</w:t>
      </w:r>
      <w:r>
        <w:rPr>
          <w:rFonts w:cs="宋体"/>
          <w:b w:val="0"/>
          <w:sz w:val="24"/>
          <w:szCs w:val="24"/>
          <w:highlight w:val="none"/>
          <w:lang w:bidi="zh-CN"/>
        </w:rPr>
      </w:r>
      <w:r/>
    </w:p>
    <w:p>
      <w:pPr>
        <w:pStyle w:val="967"/>
        <w:numPr>
          <w:ilvl w:val="0"/>
          <w:numId w:val="10"/>
        </w:numPr>
        <w:ind w:firstLine="480"/>
        <w:jc w:val="left"/>
        <w:spacing w:line="360" w:lineRule="auto"/>
        <w:tabs>
          <w:tab w:val="left" w:pos="312" w:leader="none"/>
        </w:tabs>
        <w:rPr>
          <w:rFonts w:cs="宋体"/>
          <w:b w:val="0"/>
          <w:sz w:val="24"/>
          <w:szCs w:val="24"/>
          <w:highlight w:val="none"/>
          <w:lang w:bidi="zh-CN"/>
        </w:rPr>
        <w:outlineLvl w:val="0"/>
      </w:pPr>
      <w:r>
        <w:rPr>
          <w:rFonts w:hint="eastAsia" w:cs="宋体"/>
          <w:b w:val="0"/>
          <w:sz w:val="24"/>
          <w:szCs w:val="24"/>
          <w:highlight w:val="none"/>
          <w:u w:val="single"/>
          <w:lang w:bidi="zh-CN"/>
        </w:rPr>
        <w:t xml:space="preserve">(标的名称)</w:t>
      </w:r>
      <w:r>
        <w:rPr>
          <w:rFonts w:hint="eastAsia" w:cs="宋体"/>
          <w:b w:val="0"/>
          <w:sz w:val="24"/>
          <w:szCs w:val="24"/>
          <w:highlight w:val="none"/>
          <w:lang w:bidi="zh-CN"/>
        </w:rPr>
        <w:t xml:space="preserve">，属于</w:t>
      </w:r>
      <w:r>
        <w:rPr>
          <w:rFonts w:hint="eastAsia" w:cs="宋体"/>
          <w:b w:val="0"/>
          <w:sz w:val="24"/>
          <w:szCs w:val="24"/>
          <w:highlight w:val="none"/>
          <w:u w:val="single"/>
          <w:lang w:val="en-US" w:bidi="zh-CN"/>
        </w:rPr>
        <w:t xml:space="preserve"> 工业 </w:t>
      </w:r>
      <w:r>
        <w:rPr>
          <w:rFonts w:hint="eastAsia" w:cs="宋体"/>
          <w:b w:val="0"/>
          <w:sz w:val="24"/>
          <w:szCs w:val="24"/>
          <w:highlight w:val="none"/>
          <w:lang w:bidi="zh-CN"/>
        </w:rPr>
        <w:t xml:space="preserve">；制造商为</w:t>
      </w:r>
      <w:r>
        <w:rPr>
          <w:rFonts w:hint="eastAsia" w:cs="宋体"/>
          <w:b w:val="0"/>
          <w:sz w:val="24"/>
          <w:szCs w:val="24"/>
          <w:highlight w:val="none"/>
          <w:u w:val="single"/>
          <w:lang w:bidi="zh-CN"/>
        </w:rPr>
        <w:t xml:space="preserve">（企业名称)</w:t>
      </w:r>
      <w:r>
        <w:rPr>
          <w:rFonts w:hint="eastAsia" w:cs="宋体"/>
          <w:b w:val="0"/>
          <w:sz w:val="24"/>
          <w:szCs w:val="24"/>
          <w:highlight w:val="none"/>
          <w:lang w:bidi="zh-CN"/>
        </w:rPr>
        <w:t xml:space="preserve">，从业人员人，营业收入为万元，资产总额为万元，属于(中型企业、小型企业、微型企业)，</w:t>
      </w:r>
      <w:r>
        <w:rPr>
          <w:rFonts w:cs="宋体"/>
          <w:b w:val="0"/>
          <w:sz w:val="24"/>
          <w:szCs w:val="24"/>
          <w:highlight w:val="none"/>
          <w:lang w:bidi="zh-CN"/>
        </w:rPr>
      </w:r>
      <w:r/>
    </w:p>
    <w:p>
      <w:pPr>
        <w:pStyle w:val="967"/>
        <w:numPr>
          <w:ilvl w:val="0"/>
          <w:numId w:val="10"/>
        </w:numPr>
        <w:ind w:firstLine="480"/>
        <w:jc w:val="left"/>
        <w:spacing w:line="360" w:lineRule="auto"/>
        <w:tabs>
          <w:tab w:val="left" w:pos="312" w:leader="none"/>
        </w:tabs>
        <w:rPr>
          <w:rFonts w:cs="宋体"/>
          <w:b w:val="0"/>
          <w:sz w:val="24"/>
          <w:szCs w:val="24"/>
          <w:highlight w:val="none"/>
          <w:lang w:bidi="zh-CN"/>
        </w:rPr>
        <w:outlineLvl w:val="0"/>
      </w:pPr>
      <w:r>
        <w:rPr>
          <w:rFonts w:hint="eastAsia" w:cs="宋体"/>
          <w:b w:val="0"/>
          <w:sz w:val="24"/>
          <w:szCs w:val="24"/>
          <w:highlight w:val="none"/>
          <w:u w:val="single"/>
          <w:lang w:bidi="zh-CN"/>
        </w:rPr>
        <w:t xml:space="preserve">(标的名称) </w:t>
      </w:r>
      <w:r>
        <w:rPr>
          <w:rFonts w:hint="eastAsia" w:cs="宋体"/>
          <w:b w:val="0"/>
          <w:sz w:val="24"/>
          <w:szCs w:val="24"/>
          <w:highlight w:val="none"/>
          <w:lang w:bidi="zh-CN"/>
        </w:rPr>
        <w:t xml:space="preserve">，属于</w:t>
      </w:r>
      <w:r>
        <w:rPr>
          <w:rFonts w:hint="eastAsia" w:cs="宋体"/>
          <w:b w:val="0"/>
          <w:sz w:val="24"/>
          <w:szCs w:val="24"/>
          <w:highlight w:val="none"/>
          <w:u w:val="single"/>
          <w:lang w:val="en-US" w:bidi="zh-CN"/>
        </w:rPr>
        <w:t xml:space="preserve"> 工业 </w:t>
      </w:r>
      <w:r>
        <w:rPr>
          <w:rFonts w:hint="eastAsia" w:cs="宋体"/>
          <w:b w:val="0"/>
          <w:sz w:val="24"/>
          <w:szCs w:val="24"/>
          <w:highlight w:val="none"/>
          <w:lang w:bidi="zh-CN"/>
        </w:rPr>
        <w:t xml:space="preserve">;制造商为</w:t>
      </w:r>
      <w:r>
        <w:rPr>
          <w:rFonts w:hint="eastAsia" w:cs="宋体"/>
          <w:b w:val="0"/>
          <w:sz w:val="24"/>
          <w:szCs w:val="24"/>
          <w:highlight w:val="none"/>
          <w:u w:val="single"/>
          <w:lang w:bidi="zh-CN"/>
        </w:rPr>
        <w:t xml:space="preserve">(企业名称) </w:t>
      </w:r>
      <w:r>
        <w:rPr>
          <w:rFonts w:hint="eastAsia" w:cs="宋体"/>
          <w:b w:val="0"/>
          <w:sz w:val="24"/>
          <w:szCs w:val="24"/>
          <w:highlight w:val="none"/>
          <w:lang w:bidi="zh-CN"/>
        </w:rPr>
        <w:t xml:space="preserve">，从业人员人，营业收入为万元，资产总额为万元，属于</w:t>
      </w:r>
      <w:r>
        <w:rPr>
          <w:rFonts w:hint="eastAsia" w:cs="宋体"/>
          <w:b w:val="0"/>
          <w:sz w:val="24"/>
          <w:szCs w:val="24"/>
          <w:highlight w:val="none"/>
          <w:u w:val="single"/>
          <w:lang w:bidi="zh-CN"/>
        </w:rPr>
        <w:t xml:space="preserve">(中型企业、小型企业、微型企业)</w:t>
      </w:r>
      <w:r>
        <w:rPr>
          <w:rFonts w:hint="eastAsia" w:cs="宋体"/>
          <w:b w:val="0"/>
          <w:sz w:val="24"/>
          <w:szCs w:val="24"/>
          <w:highlight w:val="none"/>
          <w:lang w:bidi="zh-CN"/>
        </w:rPr>
        <w:t xml:space="preserve">，</w:t>
      </w:r>
      <w:r>
        <w:rPr>
          <w:rFonts w:cs="宋体"/>
          <w:b w:val="0"/>
          <w:sz w:val="24"/>
          <w:szCs w:val="24"/>
          <w:highlight w:val="none"/>
          <w:lang w:bidi="zh-CN"/>
        </w:rPr>
      </w:r>
      <w:r/>
    </w:p>
    <w:p>
      <w:pPr>
        <w:pStyle w:val="967"/>
        <w:ind w:firstLine="480"/>
        <w:jc w:val="left"/>
        <w:spacing w:line="360" w:lineRule="auto"/>
        <w:rPr>
          <w:rFonts w:cs="宋体"/>
          <w:b w:val="0"/>
          <w:sz w:val="24"/>
          <w:szCs w:val="24"/>
          <w:highlight w:val="none"/>
          <w:lang w:bidi="zh-CN"/>
        </w:rPr>
        <w:outlineLvl w:val="0"/>
      </w:pPr>
      <w:r>
        <w:rPr>
          <w:rFonts w:hint="eastAsia" w:cs="宋体"/>
          <w:b w:val="0"/>
          <w:sz w:val="24"/>
          <w:szCs w:val="24"/>
          <w:highlight w:val="none"/>
          <w:lang w:bidi="zh-CN"/>
        </w:rPr>
        <w:t xml:space="preserve">……</w:t>
      </w:r>
      <w:r>
        <w:rPr>
          <w:rFonts w:cs="宋体"/>
          <w:b w:val="0"/>
          <w:sz w:val="24"/>
          <w:szCs w:val="24"/>
          <w:highlight w:val="none"/>
          <w:lang w:bidi="zh-CN"/>
        </w:rPr>
      </w:r>
      <w:r/>
    </w:p>
    <w:p>
      <w:pPr>
        <w:pStyle w:val="967"/>
        <w:ind w:firstLine="480"/>
        <w:spacing w:line="360" w:lineRule="auto"/>
        <w:rPr>
          <w:rFonts w:cs="宋体"/>
          <w:b w:val="0"/>
          <w:sz w:val="24"/>
          <w:szCs w:val="24"/>
          <w:highlight w:val="none"/>
          <w:lang w:bidi="zh-CN"/>
        </w:rPr>
        <w:outlineLvl w:val="0"/>
      </w:pPr>
      <w:r>
        <w:rPr>
          <w:rFonts w:hint="eastAsia" w:cs="宋体"/>
          <w:b w:val="0"/>
          <w:sz w:val="24"/>
          <w:szCs w:val="24"/>
          <w:highlight w:val="none"/>
          <w:lang w:bidi="zh-CN"/>
        </w:rPr>
        <w:t xml:space="preserve">以上企业，不属于大企业的分支机构，不存在控股股东为大企业的情形，也不存在与大企业的负责人为同一人的情形。</w:t>
      </w:r>
      <w:r>
        <w:rPr>
          <w:rFonts w:cs="宋体"/>
          <w:b w:val="0"/>
          <w:sz w:val="24"/>
          <w:szCs w:val="24"/>
          <w:highlight w:val="none"/>
          <w:lang w:bidi="zh-CN"/>
        </w:rPr>
      </w:r>
      <w:r/>
    </w:p>
    <w:p>
      <w:pPr>
        <w:pStyle w:val="967"/>
        <w:ind w:firstLine="480"/>
        <w:spacing w:line="360" w:lineRule="auto"/>
        <w:rPr>
          <w:rFonts w:cs="宋体"/>
          <w:b w:val="0"/>
          <w:sz w:val="24"/>
          <w:szCs w:val="24"/>
          <w:highlight w:val="none"/>
          <w:lang w:bidi="zh-CN"/>
        </w:rPr>
        <w:outlineLvl w:val="0"/>
      </w:pPr>
      <w:r>
        <w:rPr>
          <w:rFonts w:hint="eastAsia" w:cs="宋体"/>
          <w:b w:val="0"/>
          <w:sz w:val="24"/>
          <w:szCs w:val="24"/>
          <w:highlight w:val="none"/>
          <w:lang w:bidi="zh-CN"/>
        </w:rPr>
        <w:t xml:space="preserve">本企业对上述声明内容的真实性负责。如有虚假，将依法承担相应责任。</w:t>
      </w:r>
      <w:r>
        <w:rPr>
          <w:rFonts w:cs="宋体"/>
          <w:b w:val="0"/>
          <w:sz w:val="24"/>
          <w:szCs w:val="24"/>
          <w:highlight w:val="none"/>
          <w:lang w:bidi="zh-CN"/>
        </w:rPr>
      </w:r>
      <w:r/>
    </w:p>
    <w:p>
      <w:pPr>
        <w:pStyle w:val="967"/>
        <w:spacing w:line="360" w:lineRule="auto"/>
        <w:rPr>
          <w:rFonts w:cs="宋体"/>
          <w:b w:val="0"/>
          <w:sz w:val="24"/>
          <w:szCs w:val="24"/>
          <w:highlight w:val="none"/>
          <w:lang w:bidi="zh-CN"/>
        </w:rPr>
        <w:outlineLvl w:val="0"/>
      </w:pPr>
      <w:r>
        <w:rPr>
          <w:rFonts w:cs="宋体"/>
          <w:b w:val="0"/>
          <w:sz w:val="24"/>
          <w:szCs w:val="24"/>
          <w:highlight w:val="none"/>
          <w:lang w:bidi="zh-CN"/>
        </w:rPr>
      </w:r>
      <w:r/>
    </w:p>
    <w:p>
      <w:pPr>
        <w:pStyle w:val="967"/>
        <w:spacing w:line="360" w:lineRule="auto"/>
        <w:rPr>
          <w:rFonts w:cs="宋体"/>
          <w:b w:val="0"/>
          <w:sz w:val="24"/>
          <w:szCs w:val="24"/>
          <w:highlight w:val="none"/>
          <w:lang w:bidi="zh-CN"/>
        </w:rPr>
        <w:outlineLvl w:val="0"/>
      </w:pPr>
      <w:r>
        <w:rPr>
          <w:rFonts w:cs="宋体"/>
          <w:b w:val="0"/>
          <w:sz w:val="24"/>
          <w:szCs w:val="24"/>
          <w:highlight w:val="none"/>
          <w:lang w:bidi="zh-CN"/>
        </w:rPr>
      </w:r>
      <w:r/>
    </w:p>
    <w:p>
      <w:pPr>
        <w:pStyle w:val="967"/>
        <w:spacing w:line="360" w:lineRule="auto"/>
        <w:rPr>
          <w:rFonts w:cs="宋体"/>
          <w:b w:val="0"/>
          <w:sz w:val="24"/>
          <w:szCs w:val="24"/>
          <w:highlight w:val="none"/>
          <w:lang w:bidi="zh-CN"/>
        </w:rPr>
        <w:outlineLvl w:val="0"/>
      </w:pPr>
      <w:r>
        <w:rPr>
          <w:rFonts w:cs="宋体"/>
          <w:b w:val="0"/>
          <w:sz w:val="24"/>
          <w:szCs w:val="24"/>
          <w:highlight w:val="none"/>
          <w:lang w:bidi="zh-CN"/>
        </w:rPr>
      </w:r>
      <w:r/>
    </w:p>
    <w:p>
      <w:pPr>
        <w:pStyle w:val="967"/>
        <w:ind w:firstLine="4200"/>
        <w:jc w:val="center"/>
        <w:spacing w:line="360" w:lineRule="auto"/>
        <w:rPr>
          <w:rFonts w:cs="宋体"/>
          <w:b w:val="0"/>
          <w:sz w:val="24"/>
          <w:szCs w:val="24"/>
          <w:highlight w:val="none"/>
          <w:lang w:bidi="zh-CN"/>
        </w:rPr>
        <w:outlineLvl w:val="0"/>
      </w:pPr>
      <w:r>
        <w:rPr>
          <w:rFonts w:hint="eastAsia" w:cs="宋体"/>
          <w:b w:val="0"/>
          <w:sz w:val="24"/>
          <w:szCs w:val="24"/>
          <w:highlight w:val="none"/>
          <w:lang w:bidi="zh-CN"/>
        </w:rPr>
        <w:t xml:space="preserve">企业名称（盖章）：</w:t>
      </w:r>
      <w:r>
        <w:rPr>
          <w:rFonts w:cs="宋体"/>
          <w:b w:val="0"/>
          <w:sz w:val="24"/>
          <w:szCs w:val="24"/>
          <w:highlight w:val="none"/>
          <w:lang w:bidi="zh-CN"/>
        </w:rPr>
      </w:r>
      <w:r/>
    </w:p>
    <w:p>
      <w:pPr>
        <w:pStyle w:val="967"/>
        <w:ind w:firstLine="5760"/>
        <w:spacing w:line="360" w:lineRule="auto"/>
        <w:rPr>
          <w:rFonts w:cs="宋体"/>
          <w:b w:val="0"/>
          <w:sz w:val="24"/>
          <w:szCs w:val="24"/>
          <w:highlight w:val="none"/>
          <w:lang w:bidi="zh-CN"/>
        </w:rPr>
        <w:outlineLvl w:val="0"/>
      </w:pPr>
      <w:r>
        <w:rPr>
          <w:rFonts w:hint="eastAsia" w:cs="宋体"/>
          <w:b w:val="0"/>
          <w:sz w:val="24"/>
          <w:szCs w:val="24"/>
          <w:highlight w:val="none"/>
          <w:lang w:bidi="zh-CN"/>
        </w:rPr>
        <w:t xml:space="preserve">日 期：</w:t>
      </w:r>
      <w:r>
        <w:rPr>
          <w:rFonts w:cs="宋体"/>
          <w:b w:val="0"/>
          <w:sz w:val="24"/>
          <w:szCs w:val="24"/>
          <w:highlight w:val="none"/>
          <w:lang w:bidi="zh-CN"/>
        </w:rPr>
      </w:r>
      <w:r/>
    </w:p>
    <w:p>
      <w:pPr>
        <w:pStyle w:val="967"/>
        <w:ind w:right="561"/>
        <w:spacing w:line="360" w:lineRule="auto"/>
        <w:rPr>
          <w:rFonts w:cs="宋体"/>
          <w:b w:val="0"/>
          <w:sz w:val="24"/>
          <w:szCs w:val="24"/>
          <w:highlight w:val="none"/>
        </w:rPr>
      </w:pPr>
      <w:r>
        <w:rPr>
          <w:rFonts w:cs="宋体"/>
          <w:b w:val="0"/>
          <w:sz w:val="24"/>
          <w:szCs w:val="24"/>
          <w:highlight w:val="none"/>
        </w:rPr>
      </w:r>
      <w:r/>
    </w:p>
    <w:p>
      <w:pPr>
        <w:pStyle w:val="967"/>
        <w:ind w:firstLine="420"/>
        <w:jc w:val="left"/>
        <w:spacing w:line="440" w:lineRule="exact"/>
        <w:rPr>
          <w:rFonts w:ascii="Calibri" w:hAnsi="Calibri"/>
          <w:sz w:val="24"/>
          <w:szCs w:val="22"/>
          <w:highlight w:val="none"/>
        </w:rPr>
      </w:pPr>
      <w:r>
        <w:rPr>
          <w:rFonts w:hint="eastAsia" w:ascii="Calibri" w:hAnsi="Calibri" w:cs="宋体"/>
          <w:szCs w:val="22"/>
          <w:highlight w:val="none"/>
          <w:lang w:bidi="ar"/>
        </w:rPr>
        <w:t xml:space="preserve">注</w:t>
      </w:r>
      <w:r>
        <w:rPr>
          <w:rFonts w:hint="eastAsia" w:ascii="Calibri" w:hAnsi="Calibri" w:cs="宋体"/>
          <w:sz w:val="24"/>
          <w:szCs w:val="22"/>
          <w:highlight w:val="none"/>
          <w:lang w:bidi="ar"/>
        </w:rPr>
        <w:t xml:space="preserve">：</w:t>
      </w:r>
      <w:r>
        <w:rPr>
          <w:rFonts w:ascii="Calibri" w:hAnsi="Calibri"/>
          <w:sz w:val="24"/>
          <w:szCs w:val="22"/>
          <w:highlight w:val="none"/>
          <w:lang w:bidi="ar"/>
        </w:rPr>
        <w:t xml:space="preserve">1</w:t>
      </w:r>
      <w:r>
        <w:rPr>
          <w:rFonts w:hint="eastAsia" w:ascii="Calibri" w:hAnsi="Calibri" w:cs="宋体"/>
          <w:sz w:val="24"/>
          <w:szCs w:val="22"/>
          <w:highlight w:val="none"/>
          <w:lang w:bidi="ar"/>
        </w:rPr>
        <w:t xml:space="preserve">、企业划分详见《工业和信息化部、国家统计局、国家发展和改革委员会、财政部关于印发中小企业划型标准规定的通知》</w:t>
      </w:r>
      <w:r>
        <w:rPr>
          <w:rFonts w:ascii="Calibri" w:hAnsi="Calibri"/>
          <w:sz w:val="24"/>
          <w:szCs w:val="22"/>
          <w:highlight w:val="none"/>
          <w:lang w:bidi="ar"/>
        </w:rPr>
        <w:t xml:space="preserve">(</w:t>
      </w:r>
      <w:r>
        <w:rPr>
          <w:rFonts w:hint="eastAsia" w:ascii="Calibri" w:hAnsi="Calibri" w:cs="宋体"/>
          <w:sz w:val="24"/>
          <w:szCs w:val="22"/>
          <w:highlight w:val="none"/>
          <w:lang w:bidi="ar"/>
        </w:rPr>
        <w:t xml:space="preserve">工信部联企业</w:t>
      </w:r>
      <w:r>
        <w:rPr>
          <w:rFonts w:ascii="Calibri" w:hAnsi="Calibri"/>
          <w:sz w:val="24"/>
          <w:szCs w:val="22"/>
          <w:highlight w:val="none"/>
          <w:lang w:bidi="ar"/>
        </w:rPr>
        <w:t xml:space="preserve">[2011]300</w:t>
      </w:r>
      <w:r>
        <w:rPr>
          <w:rFonts w:hint="eastAsia" w:ascii="Calibri" w:hAnsi="Calibri" w:cs="宋体"/>
          <w:sz w:val="24"/>
          <w:szCs w:val="22"/>
          <w:highlight w:val="none"/>
          <w:lang w:bidi="ar"/>
        </w:rPr>
        <w:t xml:space="preserve">号</w:t>
      </w:r>
      <w:r>
        <w:rPr>
          <w:rFonts w:ascii="Calibri" w:hAnsi="Calibri"/>
          <w:sz w:val="24"/>
          <w:szCs w:val="22"/>
          <w:highlight w:val="none"/>
          <w:lang w:bidi="ar"/>
        </w:rPr>
        <w:t xml:space="preserve">)</w:t>
      </w:r>
      <w:r>
        <w:rPr>
          <w:rFonts w:hint="eastAsia" w:ascii="Calibri" w:hAnsi="Calibri" w:cs="宋体"/>
          <w:sz w:val="24"/>
          <w:szCs w:val="22"/>
          <w:highlight w:val="none"/>
          <w:lang w:bidi="ar"/>
        </w:rPr>
        <w:t xml:space="preserve">规定的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Calibri" w:hAnsi="Calibri"/>
          <w:sz w:val="24"/>
          <w:szCs w:val="22"/>
          <w:highlight w:val="none"/>
        </w:rPr>
      </w:r>
      <w:r/>
    </w:p>
    <w:p>
      <w:pPr>
        <w:pStyle w:val="967"/>
        <w:ind w:firstLine="480"/>
        <w:jc w:val="left"/>
        <w:spacing w:line="440" w:lineRule="exact"/>
        <w:rPr>
          <w:rFonts w:ascii="宋体" w:hAnsi="宋体"/>
          <w:sz w:val="24"/>
          <w:szCs w:val="22"/>
          <w:highlight w:val="none"/>
        </w:rPr>
      </w:pPr>
      <w:r>
        <w:rPr>
          <w:rFonts w:ascii="Calibri" w:hAnsi="Calibri"/>
          <w:sz w:val="24"/>
          <w:szCs w:val="22"/>
          <w:highlight w:val="none"/>
          <w:lang w:bidi="ar"/>
        </w:rPr>
        <w:t xml:space="preserve">2</w:t>
      </w:r>
      <w:r>
        <w:rPr>
          <w:rFonts w:hint="eastAsia" w:ascii="Calibri" w:hAnsi="Calibri" w:cs="宋体"/>
          <w:sz w:val="24"/>
          <w:szCs w:val="22"/>
          <w:highlight w:val="none"/>
          <w:lang w:bidi="ar"/>
        </w:rPr>
        <w:t xml:space="preserve">、从业人员、营业收入、资产总额填报上一年度数据，无上一年度数据的新成立企业可不填报。</w:t>
      </w:r>
      <w:r>
        <w:rPr>
          <w:rFonts w:ascii="宋体" w:hAnsi="宋体"/>
          <w:sz w:val="24"/>
          <w:szCs w:val="22"/>
          <w:highlight w:val="none"/>
        </w:rPr>
      </w:r>
      <w:r/>
    </w:p>
    <w:p>
      <w:pPr>
        <w:pStyle w:val="967"/>
        <w:spacing w:line="300" w:lineRule="auto"/>
        <w:rPr>
          <w:rFonts w:ascii="Calibri" w:hAnsi="Calibri" w:eastAsia="方正黑体_GBK"/>
          <w:sz w:val="32"/>
          <w:szCs w:val="32"/>
          <w:highlight w:val="none"/>
        </w:rPr>
        <w:outlineLvl w:val="0"/>
      </w:pPr>
      <w:r>
        <w:rPr>
          <w:rFonts w:ascii="Calibri" w:hAnsi="Calibri" w:eastAsia="方正黑体_GBK"/>
          <w:sz w:val="32"/>
          <w:szCs w:val="32"/>
          <w:highlight w:val="none"/>
        </w:rPr>
      </w:r>
      <w:r/>
    </w:p>
    <w:p>
      <w:pPr>
        <w:pStyle w:val="967"/>
        <w:numPr>
          <w:ilvl w:val="0"/>
          <w:numId w:val="11"/>
        </w:numPr>
        <w:jc w:val="center"/>
        <w:spacing w:line="460" w:lineRule="exact"/>
        <w:rPr>
          <w:rFonts w:hint="eastAsia" w:ascii="宋体" w:hAnsi="宋体" w:cs="宋体"/>
          <w:b/>
          <w:sz w:val="32"/>
          <w:szCs w:val="32"/>
          <w:highlight w:val="none"/>
          <w:lang w:bidi="ar"/>
        </w:rPr>
      </w:pPr>
      <w:r>
        <w:rPr>
          <w:rFonts w:ascii="宋体" w:hAnsi="宋体" w:cs="宋体"/>
          <w:b/>
          <w:sz w:val="32"/>
          <w:szCs w:val="32"/>
          <w:highlight w:val="none"/>
          <w:lang w:bidi="ar"/>
        </w:rPr>
        <w:br w:type="page" w:clear="all"/>
      </w:r>
      <w:r>
        <w:rPr>
          <w:rFonts w:hint="eastAsia" w:ascii="宋体" w:hAnsi="宋体" w:cs="宋体"/>
          <w:b/>
          <w:sz w:val="32"/>
          <w:szCs w:val="32"/>
          <w:highlight w:val="none"/>
          <w:lang w:bidi="ar"/>
        </w:rPr>
        <w:t xml:space="preserve">残疾人福利性单位声明函</w:t>
      </w:r>
      <w:r>
        <w:rPr>
          <w:rFonts w:hint="eastAsia" w:ascii="宋体" w:hAnsi="宋体" w:cs="宋体"/>
          <w:b/>
          <w:sz w:val="32"/>
          <w:szCs w:val="32"/>
          <w:highlight w:val="none"/>
          <w:lang w:bidi="ar"/>
        </w:rPr>
      </w:r>
      <w:r/>
    </w:p>
    <w:p>
      <w:pPr>
        <w:pStyle w:val="967"/>
        <w:spacing w:line="460" w:lineRule="exact"/>
        <w:rPr>
          <w:rFonts w:hint="eastAsia" w:ascii="宋体" w:hAnsi="宋体" w:cs="宋体"/>
          <w:b/>
          <w:sz w:val="32"/>
          <w:szCs w:val="32"/>
          <w:highlight w:val="none"/>
          <w:lang w:bidi="ar"/>
        </w:rPr>
      </w:pPr>
      <w:r>
        <w:rPr>
          <w:rFonts w:hint="eastAsia" w:ascii="宋体" w:hAnsi="宋体" w:cs="宋体"/>
          <w:b/>
          <w:sz w:val="32"/>
          <w:szCs w:val="32"/>
          <w:highlight w:val="none"/>
          <w:lang w:bidi="ar"/>
        </w:rPr>
      </w:r>
      <w:r/>
    </w:p>
    <w:p>
      <w:pPr>
        <w:pStyle w:val="967"/>
        <w:ind w:firstLine="560"/>
        <w:spacing w:line="588" w:lineRule="exact"/>
        <w:rPr>
          <w:rFonts w:ascii="宋体" w:hAnsi="宋体" w:cs="宋体"/>
          <w:sz w:val="28"/>
          <w:szCs w:val="28"/>
          <w:highlight w:val="none"/>
        </w:rPr>
      </w:pPr>
      <w:r>
        <w:rPr>
          <w:rFonts w:hint="eastAsia" w:ascii="宋体" w:hAnsi="宋体" w:cs="宋体"/>
          <w:sz w:val="28"/>
          <w:szCs w:val="28"/>
          <w:highlight w:val="none"/>
          <w:lang w:bidi="ar"/>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 w:val="28"/>
          <w:szCs w:val="28"/>
          <w:highlight w:val="none"/>
          <w:u w:val="single"/>
          <w:lang w:bidi="ar"/>
        </w:rPr>
        <w:t xml:space="preserve">       </w:t>
      </w:r>
      <w:r>
        <w:rPr>
          <w:rFonts w:hint="eastAsia" w:ascii="宋体" w:hAnsi="宋体" w:cs="宋体"/>
          <w:sz w:val="28"/>
          <w:szCs w:val="28"/>
          <w:highlight w:val="none"/>
          <w:lang w:bidi="ar"/>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sz w:val="28"/>
          <w:szCs w:val="28"/>
          <w:highlight w:val="none"/>
        </w:rPr>
      </w:r>
      <w:r/>
    </w:p>
    <w:p>
      <w:pPr>
        <w:pStyle w:val="967"/>
        <w:ind w:firstLine="560"/>
        <w:spacing w:line="588" w:lineRule="exact"/>
        <w:rPr>
          <w:rFonts w:ascii="宋体" w:hAnsi="宋体" w:cs="宋体"/>
          <w:sz w:val="28"/>
          <w:szCs w:val="28"/>
          <w:highlight w:val="none"/>
        </w:rPr>
      </w:pPr>
      <w:r>
        <w:rPr>
          <w:rFonts w:hint="eastAsia" w:ascii="宋体" w:hAnsi="宋体" w:cs="宋体"/>
          <w:sz w:val="28"/>
          <w:szCs w:val="28"/>
          <w:highlight w:val="none"/>
          <w:lang w:bidi="ar"/>
        </w:rPr>
        <w:t xml:space="preserve">本单位对上述声明的真实性负责。如有虚假，将依法承担相应责任。</w:t>
      </w:r>
      <w:r>
        <w:rPr>
          <w:rFonts w:ascii="宋体" w:hAnsi="宋体" w:cs="宋体"/>
          <w:sz w:val="28"/>
          <w:szCs w:val="28"/>
          <w:highlight w:val="none"/>
        </w:rPr>
      </w:r>
      <w:r/>
    </w:p>
    <w:p>
      <w:pPr>
        <w:pStyle w:val="967"/>
        <w:ind w:firstLine="560"/>
        <w:spacing w:line="588" w:lineRule="exact"/>
        <w:rPr>
          <w:rFonts w:ascii="宋体" w:hAnsi="宋体" w:cs="宋体"/>
          <w:sz w:val="28"/>
          <w:szCs w:val="28"/>
          <w:highlight w:val="none"/>
        </w:rPr>
      </w:pPr>
      <w:r>
        <w:rPr>
          <w:rFonts w:hint="eastAsia" w:ascii="宋体" w:hAnsi="宋体" w:cs="宋体"/>
          <w:sz w:val="28"/>
          <w:szCs w:val="28"/>
          <w:highlight w:val="none"/>
          <w:lang w:bidi="ar"/>
        </w:rPr>
        <w:t xml:space="preserve">（备注：1、供应商如不提供此声明函，价格将不做相应扣除。2、中标供应商为残疾人福利单位的，此声明函将随中标结果同时公告，接受社会监督）</w:t>
      </w:r>
      <w:r>
        <w:rPr>
          <w:rFonts w:ascii="宋体" w:hAnsi="宋体" w:cs="宋体"/>
          <w:sz w:val="28"/>
          <w:szCs w:val="28"/>
          <w:highlight w:val="none"/>
        </w:rPr>
      </w:r>
      <w:r/>
    </w:p>
    <w:p>
      <w:pPr>
        <w:pStyle w:val="967"/>
        <w:ind w:firstLine="584"/>
        <w:spacing w:line="588" w:lineRule="exact"/>
        <w:rPr>
          <w:rFonts w:ascii="仿宋_GB2312" w:hAnsi="Calibri" w:eastAsia="仿宋_GB2312" w:cs="仿宋_GB2312"/>
          <w:spacing w:val="6"/>
          <w:sz w:val="28"/>
          <w:szCs w:val="28"/>
          <w:highlight w:val="none"/>
        </w:rPr>
      </w:pPr>
      <w:r>
        <w:rPr>
          <w:rFonts w:ascii="仿宋_GB2312" w:hAnsi="Calibri" w:eastAsia="仿宋_GB2312" w:cs="仿宋_GB2312"/>
          <w:spacing w:val="6"/>
          <w:sz w:val="28"/>
          <w:szCs w:val="28"/>
          <w:highlight w:val="none"/>
        </w:rPr>
      </w:r>
      <w:r/>
    </w:p>
    <w:p>
      <w:pPr>
        <w:pStyle w:val="967"/>
        <w:ind w:firstLine="584"/>
        <w:spacing w:line="588" w:lineRule="exact"/>
        <w:rPr>
          <w:rFonts w:ascii="仿宋_GB2312" w:hAnsi="Calibri" w:eastAsia="仿宋_GB2312" w:cs="仿宋_GB2312"/>
          <w:spacing w:val="6"/>
          <w:sz w:val="28"/>
          <w:szCs w:val="28"/>
          <w:highlight w:val="none"/>
        </w:rPr>
      </w:pPr>
      <w:r>
        <w:rPr>
          <w:rFonts w:ascii="仿宋_GB2312" w:hAnsi="Calibri" w:eastAsia="仿宋_GB2312" w:cs="仿宋_GB2312"/>
          <w:spacing w:val="6"/>
          <w:sz w:val="28"/>
          <w:szCs w:val="28"/>
          <w:highlight w:val="none"/>
        </w:rPr>
      </w:r>
      <w:r/>
    </w:p>
    <w:p>
      <w:pPr>
        <w:pStyle w:val="967"/>
        <w:ind w:firstLine="584"/>
        <w:spacing w:line="588" w:lineRule="exact"/>
        <w:rPr>
          <w:rFonts w:ascii="仿宋_GB2312" w:hAnsi="Calibri" w:eastAsia="仿宋_GB2312" w:cs="仿宋_GB2312"/>
          <w:spacing w:val="6"/>
          <w:sz w:val="28"/>
          <w:szCs w:val="28"/>
          <w:highlight w:val="none"/>
        </w:rPr>
      </w:pPr>
      <w:r>
        <w:rPr>
          <w:rFonts w:ascii="仿宋_GB2312" w:hAnsi="Calibri" w:eastAsia="仿宋_GB2312" w:cs="仿宋_GB2312"/>
          <w:spacing w:val="6"/>
          <w:sz w:val="28"/>
          <w:szCs w:val="28"/>
          <w:highlight w:val="none"/>
        </w:rPr>
      </w:r>
      <w:r/>
    </w:p>
    <w:p>
      <w:pPr>
        <w:pStyle w:val="967"/>
        <w:ind w:firstLine="584"/>
        <w:spacing w:line="588" w:lineRule="exact"/>
        <w:rPr>
          <w:rFonts w:ascii="仿宋_GB2312" w:hAnsi="Calibri" w:eastAsia="仿宋_GB2312" w:cs="仿宋_GB2312"/>
          <w:spacing w:val="6"/>
          <w:sz w:val="28"/>
          <w:szCs w:val="28"/>
          <w:highlight w:val="none"/>
        </w:rPr>
      </w:pPr>
      <w:r>
        <w:rPr>
          <w:rFonts w:ascii="仿宋_GB2312" w:hAnsi="Calibri" w:eastAsia="仿宋_GB2312" w:cs="仿宋_GB2312"/>
          <w:spacing w:val="6"/>
          <w:sz w:val="28"/>
          <w:szCs w:val="28"/>
          <w:highlight w:val="none"/>
        </w:rPr>
      </w:r>
      <w:r/>
    </w:p>
    <w:p>
      <w:pPr>
        <w:pStyle w:val="967"/>
        <w:ind w:right="1560" w:firstLine="584"/>
        <w:jc w:val="center"/>
        <w:spacing w:line="588" w:lineRule="exact"/>
        <w:tabs>
          <w:tab w:val="left" w:pos="4860" w:leader="none"/>
        </w:tabs>
        <w:rPr>
          <w:rFonts w:ascii="宋体" w:hAnsi="宋体" w:cs="宋体"/>
          <w:sz w:val="28"/>
          <w:szCs w:val="28"/>
          <w:highlight w:val="none"/>
        </w:rPr>
      </w:pPr>
      <w:r>
        <w:rPr>
          <w:rFonts w:hint="eastAsia" w:ascii="仿宋_GB2312" w:hAnsi="Calibri" w:eastAsia="仿宋_GB2312" w:cs="仿宋_GB2312"/>
          <w:spacing w:val="6"/>
          <w:sz w:val="28"/>
          <w:szCs w:val="28"/>
          <w:highlight w:val="none"/>
          <w:lang w:bidi="ar"/>
        </w:rPr>
        <w:t xml:space="preserve">             </w:t>
      </w:r>
      <w:r>
        <w:rPr>
          <w:rFonts w:hint="eastAsia" w:ascii="宋体" w:hAnsi="宋体" w:cs="宋体"/>
          <w:sz w:val="28"/>
          <w:szCs w:val="28"/>
          <w:highlight w:val="none"/>
          <w:lang w:bidi="ar"/>
        </w:rPr>
        <w:t xml:space="preserve">           供应商全称（盖章）：</w:t>
      </w:r>
      <w:r>
        <w:rPr>
          <w:rFonts w:ascii="宋体" w:hAnsi="宋体" w:cs="宋体"/>
          <w:sz w:val="28"/>
          <w:szCs w:val="28"/>
          <w:highlight w:val="none"/>
        </w:rPr>
      </w:r>
      <w:r/>
    </w:p>
    <w:p>
      <w:pPr>
        <w:pStyle w:val="967"/>
        <w:ind w:right="1560" w:firstLine="560"/>
        <w:jc w:val="center"/>
        <w:spacing w:line="588" w:lineRule="exact"/>
        <w:tabs>
          <w:tab w:val="left" w:pos="4860" w:leader="none"/>
        </w:tabs>
        <w:rPr>
          <w:rFonts w:ascii="宋体" w:hAnsi="宋体" w:cs="宋体"/>
          <w:sz w:val="28"/>
          <w:szCs w:val="28"/>
          <w:highlight w:val="none"/>
        </w:rPr>
      </w:pPr>
      <w:r>
        <w:rPr>
          <w:rFonts w:hint="eastAsia" w:ascii="宋体" w:hAnsi="宋体" w:cs="宋体"/>
          <w:sz w:val="28"/>
          <w:szCs w:val="28"/>
          <w:highlight w:val="none"/>
          <w:lang w:bidi="ar"/>
        </w:rPr>
        <w:t xml:space="preserve">              日  期：</w:t>
      </w:r>
      <w:r>
        <w:rPr>
          <w:rFonts w:ascii="宋体" w:hAnsi="宋体" w:cs="宋体"/>
          <w:sz w:val="28"/>
          <w:szCs w:val="28"/>
          <w:highlight w:val="none"/>
        </w:rPr>
      </w:r>
      <w:r/>
    </w:p>
    <w:p>
      <w:pPr>
        <w:pStyle w:val="967"/>
        <w:ind w:firstLine="420"/>
        <w:rPr>
          <w:rFonts w:ascii="仿宋_GB2312" w:hAnsi="宋体" w:eastAsia="仿宋_GB2312" w:cs="仿宋_GB2312"/>
          <w:sz w:val="28"/>
          <w:szCs w:val="28"/>
          <w:highlight w:val="none"/>
        </w:rPr>
      </w:pPr>
      <w:r>
        <w:rPr>
          <w:rFonts w:ascii="仿宋_GB2312" w:hAnsi="宋体" w:eastAsia="仿宋_GB2312" w:cs="仿宋_GB2312"/>
          <w:sz w:val="28"/>
          <w:szCs w:val="28"/>
          <w:highlight w:val="none"/>
        </w:rPr>
      </w:r>
      <w:r/>
    </w:p>
    <w:p>
      <w:pPr>
        <w:pStyle w:val="967"/>
        <w:spacing w:line="300" w:lineRule="auto"/>
        <w:rPr>
          <w:rFonts w:ascii="Calibri" w:hAnsi="Calibri" w:eastAsia="方正黑体_GBK"/>
          <w:sz w:val="32"/>
          <w:szCs w:val="32"/>
          <w:highlight w:val="none"/>
        </w:rPr>
        <w:outlineLvl w:val="0"/>
      </w:pPr>
      <w:r>
        <w:rPr>
          <w:rFonts w:ascii="Calibri" w:hAnsi="Calibri" w:eastAsia="方正黑体_GBK"/>
          <w:sz w:val="32"/>
          <w:szCs w:val="32"/>
          <w:highlight w:val="none"/>
          <w:lang w:bidi="ar"/>
        </w:rPr>
        <w:br w:type="page" w:clear="all"/>
      </w:r>
      <w:r>
        <w:rPr>
          <w:rFonts w:ascii="Calibri" w:hAnsi="Calibri" w:eastAsia="方正黑体_GBK"/>
          <w:sz w:val="32"/>
          <w:szCs w:val="32"/>
          <w:highlight w:val="none"/>
        </w:rPr>
      </w:r>
      <w:r/>
    </w:p>
    <w:p>
      <w:pPr>
        <w:pStyle w:val="967"/>
        <w:jc w:val="center"/>
        <w:spacing w:line="420" w:lineRule="exact"/>
        <w:rPr>
          <w:rFonts w:ascii="Calibri" w:hAnsi="Calibri" w:cs="Calibri"/>
          <w:b/>
          <w:bCs/>
          <w:sz w:val="32"/>
          <w:szCs w:val="32"/>
          <w:highlight w:val="none"/>
        </w:rPr>
        <w:outlineLvl w:val="3"/>
      </w:pPr>
      <w:r>
        <w:rPr>
          <w:rFonts w:hint="eastAsia" w:ascii="Calibri" w:hAnsi="Calibri" w:cs="宋体"/>
          <w:b/>
          <w:bCs/>
          <w:sz w:val="32"/>
          <w:szCs w:val="32"/>
          <w:highlight w:val="none"/>
          <w:lang w:bidi="ar"/>
        </w:rPr>
        <w:t xml:space="preserve">（三）监狱和戒毒企业证明材料</w:t>
      </w:r>
      <w:r>
        <w:rPr>
          <w:rFonts w:ascii="Calibri" w:hAnsi="Calibri" w:cs="Calibri"/>
          <w:b/>
          <w:bCs/>
          <w:sz w:val="32"/>
          <w:szCs w:val="32"/>
          <w:highlight w:val="none"/>
        </w:rPr>
      </w:r>
      <w:r/>
    </w:p>
    <w:p>
      <w:pPr>
        <w:pStyle w:val="967"/>
        <w:ind w:firstLine="495"/>
        <w:spacing w:line="420" w:lineRule="exact"/>
        <w:rPr>
          <w:rFonts w:ascii="宋体" w:hAnsi="宋体" w:cs="宋体"/>
          <w:sz w:val="28"/>
          <w:szCs w:val="28"/>
          <w:highlight w:val="none"/>
        </w:rPr>
      </w:pPr>
      <w:r>
        <w:rPr>
          <w:rFonts w:ascii="宋体" w:hAnsi="宋体" w:cs="宋体"/>
          <w:sz w:val="28"/>
          <w:szCs w:val="28"/>
          <w:highlight w:val="none"/>
        </w:rPr>
      </w:r>
      <w:r/>
    </w:p>
    <w:p>
      <w:pPr>
        <w:pStyle w:val="967"/>
        <w:ind w:firstLine="498"/>
        <w:jc w:val="center"/>
        <w:spacing w:line="420" w:lineRule="exact"/>
        <w:rPr>
          <w:rFonts w:ascii="宋体" w:hAnsi="宋体" w:cs="宋体"/>
          <w:b/>
          <w:sz w:val="28"/>
          <w:szCs w:val="28"/>
          <w:highlight w:val="none"/>
        </w:rPr>
      </w:pPr>
      <w:r>
        <w:rPr>
          <w:rFonts w:hint="eastAsia" w:ascii="宋体" w:hAnsi="宋体" w:cs="宋体"/>
          <w:b/>
          <w:sz w:val="28"/>
          <w:szCs w:val="28"/>
          <w:highlight w:val="none"/>
          <w:lang w:bidi="ar"/>
        </w:rPr>
        <w:t xml:space="preserve">（格式自拟）</w:t>
      </w:r>
      <w:r>
        <w:rPr>
          <w:rFonts w:ascii="宋体" w:hAnsi="宋体" w:cs="宋体"/>
          <w:b/>
          <w:sz w:val="28"/>
          <w:szCs w:val="28"/>
          <w:highlight w:val="none"/>
        </w:rPr>
      </w:r>
      <w:r/>
    </w:p>
    <w:p>
      <w:pPr>
        <w:pStyle w:val="967"/>
        <w:ind w:firstLine="495"/>
        <w:spacing w:line="420" w:lineRule="exact"/>
        <w:rPr>
          <w:rFonts w:ascii="宋体" w:hAnsi="宋体" w:cs="宋体"/>
          <w:sz w:val="28"/>
          <w:szCs w:val="28"/>
          <w:highlight w:val="none"/>
        </w:rPr>
      </w:pPr>
      <w:r>
        <w:rPr>
          <w:rFonts w:ascii="宋体" w:hAnsi="宋体" w:cs="宋体"/>
          <w:sz w:val="28"/>
          <w:szCs w:val="28"/>
          <w:highlight w:val="none"/>
        </w:rPr>
      </w:r>
      <w:r/>
    </w:p>
    <w:p>
      <w:pPr>
        <w:pStyle w:val="967"/>
        <w:ind w:firstLine="660"/>
        <w:spacing w:line="420" w:lineRule="exact"/>
        <w:rPr>
          <w:rFonts w:ascii="宋体" w:hAnsi="宋体" w:cs="宋体"/>
          <w:sz w:val="28"/>
          <w:szCs w:val="28"/>
          <w:highlight w:val="none"/>
        </w:rPr>
      </w:pPr>
      <w:r>
        <w:rPr>
          <w:rFonts w:hint="eastAsia" w:ascii="宋体" w:hAnsi="宋体" w:cs="宋体"/>
          <w:sz w:val="28"/>
          <w:szCs w:val="28"/>
          <w:highlight w:val="none"/>
          <w:lang w:bidi="ar"/>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highlight w:val="none"/>
        </w:rPr>
      </w:r>
      <w:r/>
    </w:p>
    <w:p>
      <w:pPr>
        <w:pStyle w:val="967"/>
        <w:ind w:firstLine="320"/>
        <w:spacing w:after="120"/>
        <w:rPr>
          <w:rFonts w:ascii="宋体" w:hAnsi="宋体" w:cs="仿宋_GB2312"/>
          <w:sz w:val="32"/>
          <w:szCs w:val="32"/>
          <w:highlight w:val="none"/>
        </w:rPr>
      </w:pPr>
      <w:r>
        <w:rPr>
          <w:rFonts w:ascii="宋体" w:hAnsi="宋体" w:cs="仿宋_GB2312"/>
          <w:sz w:val="32"/>
          <w:szCs w:val="32"/>
          <w:highlight w:val="none"/>
        </w:rPr>
      </w:r>
      <w:r/>
    </w:p>
    <w:p>
      <w:pPr>
        <w:pStyle w:val="967"/>
        <w:spacing w:line="360" w:lineRule="auto"/>
        <w:rPr>
          <w:rFonts w:ascii="宋体" w:hAnsi="宋体" w:cs="宋体"/>
          <w:b/>
          <w:sz w:val="30"/>
          <w:szCs w:val="30"/>
          <w:highlight w:val="none"/>
        </w:rPr>
      </w:pPr>
      <w:r>
        <w:rPr>
          <w:rFonts w:ascii="宋体" w:hAnsi="宋体" w:cs="宋体"/>
          <w:b/>
          <w:sz w:val="30"/>
          <w:szCs w:val="30"/>
          <w:highlight w:val="none"/>
        </w:rPr>
        <w:br w:type="page" w:clear="all"/>
      </w:r>
      <w:r>
        <w:rPr>
          <w:rFonts w:hint="eastAsia" w:ascii="宋体" w:hAnsi="宋体" w:cs="宋体"/>
          <w:b/>
          <w:sz w:val="30"/>
          <w:szCs w:val="30"/>
          <w:highlight w:val="none"/>
        </w:rPr>
        <w:t xml:space="preserve">附件6</w:t>
      </w:r>
      <w:r>
        <w:rPr>
          <w:rFonts w:ascii="宋体" w:hAnsi="宋体" w:cs="宋体"/>
          <w:b/>
          <w:sz w:val="30"/>
          <w:szCs w:val="30"/>
          <w:highlight w:val="none"/>
        </w:rPr>
      </w:r>
      <w:r/>
    </w:p>
    <w:p>
      <w:pPr>
        <w:pStyle w:val="967"/>
        <w:ind w:left="843" w:hanging="843"/>
        <w:jc w:val="center"/>
        <w:spacing w:line="360" w:lineRule="auto"/>
        <w:rPr>
          <w:rFonts w:ascii="Calibri" w:hAnsi="Calibri"/>
          <w:b/>
          <w:sz w:val="24"/>
          <w:szCs w:val="22"/>
          <w:highlight w:val="none"/>
        </w:rPr>
      </w:pPr>
      <w:r>
        <w:rPr>
          <w:rFonts w:hint="eastAsia" w:ascii="Calibri" w:hAnsi="Calibri"/>
          <w:b/>
          <w:sz w:val="24"/>
          <w:szCs w:val="22"/>
          <w:highlight w:val="none"/>
        </w:rPr>
        <w:t xml:space="preserve">投标及履约承诺书</w:t>
      </w:r>
      <w:r>
        <w:rPr>
          <w:rFonts w:ascii="Calibri" w:hAnsi="Calibri"/>
          <w:b/>
          <w:sz w:val="24"/>
          <w:szCs w:val="22"/>
          <w:highlight w:val="none"/>
        </w:rPr>
      </w:r>
      <w:r/>
    </w:p>
    <w:p>
      <w:pPr>
        <w:pStyle w:val="967"/>
        <w:jc w:val="left"/>
        <w:spacing w:line="360" w:lineRule="auto"/>
        <w:rPr>
          <w:rFonts w:ascii="Calibri" w:hAnsi="Calibri"/>
          <w:sz w:val="24"/>
          <w:szCs w:val="22"/>
          <w:highlight w:val="none"/>
          <w:u w:val="single"/>
        </w:rPr>
      </w:pPr>
      <w:r>
        <w:rPr>
          <w:rFonts w:ascii="Calibri" w:hAnsi="Calibri"/>
          <w:sz w:val="24"/>
          <w:szCs w:val="22"/>
          <w:highlight w:val="none"/>
          <w:u w:val="single"/>
        </w:rPr>
      </w:r>
      <w:r/>
    </w:p>
    <w:p>
      <w:pPr>
        <w:pStyle w:val="967"/>
        <w:jc w:val="left"/>
        <w:spacing w:line="360" w:lineRule="auto"/>
        <w:rPr>
          <w:rFonts w:ascii="Calibri" w:hAnsi="Calibri"/>
          <w:b/>
          <w:bCs/>
          <w:sz w:val="24"/>
          <w:szCs w:val="22"/>
          <w:highlight w:val="none"/>
        </w:rPr>
      </w:pPr>
      <w:r>
        <w:rPr>
          <w:rFonts w:hint="eastAsia" w:ascii="Calibri" w:hAnsi="Calibri"/>
          <w:sz w:val="24"/>
          <w:szCs w:val="22"/>
          <w:highlight w:val="none"/>
          <w:u w:val="single"/>
        </w:rPr>
        <w:t xml:space="preserve">南通市城市照明管理处</w:t>
      </w:r>
      <w:r>
        <w:rPr>
          <w:rFonts w:ascii="Calibri" w:hAnsi="Calibri"/>
          <w:sz w:val="24"/>
          <w:szCs w:val="22"/>
          <w:highlight w:val="none"/>
        </w:rPr>
        <w:t xml:space="preserve">：</w:t>
      </w:r>
      <w:r>
        <w:rPr>
          <w:rFonts w:ascii="Calibri" w:hAnsi="Calibri"/>
          <w:b/>
          <w:bCs/>
          <w:sz w:val="24"/>
          <w:szCs w:val="22"/>
          <w:highlight w:val="none"/>
        </w:rPr>
      </w:r>
      <w:r/>
    </w:p>
    <w:p>
      <w:pPr>
        <w:pStyle w:val="967"/>
        <w:ind w:firstLine="480"/>
        <w:jc w:val="left"/>
        <w:spacing w:line="360" w:lineRule="auto"/>
        <w:rPr>
          <w:rFonts w:ascii="Calibri" w:hAnsi="Calibri"/>
          <w:sz w:val="24"/>
          <w:szCs w:val="22"/>
          <w:highlight w:val="none"/>
        </w:rPr>
      </w:pPr>
      <w:r>
        <w:rPr>
          <w:rFonts w:ascii="Calibri" w:hAnsi="Calibri"/>
          <w:sz w:val="24"/>
          <w:szCs w:val="22"/>
          <w:highlight w:val="none"/>
        </w:rPr>
        <w:t xml:space="preserve">我单位（供应商名称）郑重</w:t>
      </w:r>
      <w:r>
        <w:rPr>
          <w:rFonts w:hint="eastAsia" w:ascii="Calibri" w:hAnsi="Calibri"/>
          <w:sz w:val="24"/>
          <w:szCs w:val="22"/>
          <w:highlight w:val="none"/>
        </w:rPr>
        <w:t xml:space="preserve">承诺</w:t>
      </w:r>
      <w:r>
        <w:rPr>
          <w:rFonts w:ascii="Calibri" w:hAnsi="Calibri"/>
          <w:sz w:val="24"/>
          <w:szCs w:val="22"/>
          <w:highlight w:val="none"/>
        </w:rPr>
        <w:t xml:space="preserve">：</w:t>
      </w:r>
      <w:r>
        <w:rPr>
          <w:rFonts w:ascii="Calibri" w:hAnsi="Calibri"/>
          <w:sz w:val="24"/>
          <w:szCs w:val="22"/>
          <w:highlight w:val="none"/>
        </w:rPr>
      </w:r>
      <w:r/>
    </w:p>
    <w:p>
      <w:pPr>
        <w:pStyle w:val="967"/>
        <w:ind w:firstLine="480"/>
        <w:jc w:val="left"/>
        <w:spacing w:line="360" w:lineRule="auto"/>
        <w:rPr>
          <w:rFonts w:ascii="宋体" w:hAnsi="宋体"/>
          <w:sz w:val="24"/>
          <w:szCs w:val="22"/>
          <w:highlight w:val="none"/>
        </w:rPr>
      </w:pPr>
      <w:r>
        <w:rPr>
          <w:rFonts w:hint="eastAsia" w:ascii="宋体" w:hAnsi="宋体"/>
          <w:sz w:val="24"/>
          <w:szCs w:val="22"/>
          <w:highlight w:val="none"/>
        </w:rPr>
        <w:t xml:space="preserve">1、在本次招投标活动中，不存在《中华人民共和国政府采购法实施条例》 第七十二条、第七十四条 阐述的相关情形。</w:t>
      </w:r>
      <w:r>
        <w:rPr>
          <w:rFonts w:ascii="Calibri" w:hAnsi="Calibri"/>
          <w:sz w:val="24"/>
          <w:szCs w:val="22"/>
          <w:highlight w:val="none"/>
        </w:rPr>
        <w:t xml:space="preserve">若与</w:t>
      </w:r>
      <w:r>
        <w:rPr>
          <w:rFonts w:hint="eastAsia" w:ascii="Calibri" w:hAnsi="Calibri"/>
          <w:sz w:val="24"/>
          <w:szCs w:val="22"/>
          <w:highlight w:val="none"/>
        </w:rPr>
        <w:t xml:space="preserve">实际</w:t>
      </w:r>
      <w:r>
        <w:rPr>
          <w:rFonts w:ascii="Calibri" w:hAnsi="Calibri"/>
          <w:sz w:val="24"/>
          <w:szCs w:val="22"/>
          <w:highlight w:val="none"/>
        </w:rPr>
        <w:t xml:space="preserve">情况不符，</w:t>
      </w:r>
      <w:r>
        <w:rPr>
          <w:rFonts w:hint="eastAsia" w:ascii="Calibri" w:hAnsi="Calibri"/>
          <w:sz w:val="24"/>
          <w:szCs w:val="22"/>
          <w:highlight w:val="none"/>
        </w:rPr>
        <w:t xml:space="preserve">我单位</w:t>
      </w:r>
      <w:r>
        <w:rPr>
          <w:rFonts w:ascii="Calibri" w:hAnsi="Calibri"/>
          <w:sz w:val="24"/>
          <w:szCs w:val="22"/>
          <w:highlight w:val="none"/>
        </w:rPr>
        <w:t xml:space="preserve">愿意承担由此而产生的一切后果</w:t>
      </w:r>
      <w:r>
        <w:rPr>
          <w:rFonts w:hint="eastAsia" w:ascii="Calibri" w:hAnsi="Calibri"/>
          <w:sz w:val="24"/>
          <w:szCs w:val="22"/>
          <w:highlight w:val="none"/>
        </w:rPr>
        <w:t xml:space="preserve">；</w:t>
      </w:r>
      <w:r>
        <w:rPr>
          <w:rFonts w:ascii="宋体" w:hAnsi="宋体"/>
          <w:sz w:val="24"/>
          <w:szCs w:val="22"/>
          <w:highlight w:val="none"/>
        </w:rPr>
      </w:r>
      <w:r/>
    </w:p>
    <w:p>
      <w:pPr>
        <w:pStyle w:val="967"/>
        <w:ind w:firstLine="480"/>
        <w:jc w:val="left"/>
        <w:spacing w:line="360" w:lineRule="auto"/>
        <w:rPr>
          <w:rFonts w:ascii="Calibri" w:hAnsi="Calibri"/>
          <w:sz w:val="24"/>
          <w:szCs w:val="22"/>
          <w:highlight w:val="none"/>
        </w:rPr>
      </w:pPr>
      <w:r>
        <w:rPr>
          <w:rFonts w:hint="eastAsia" w:ascii="宋体" w:hAnsi="宋体"/>
          <w:sz w:val="24"/>
          <w:szCs w:val="22"/>
          <w:highlight w:val="none"/>
        </w:rPr>
        <w:t xml:space="preserve">2、我单位在中标后充分响应磋商文件“项目需求”中各项要求，保质、保量、按时向采购人提供优质服务；</w:t>
      </w:r>
      <w:r>
        <w:rPr>
          <w:rFonts w:ascii="Calibri" w:hAnsi="Calibri"/>
          <w:sz w:val="24"/>
          <w:szCs w:val="22"/>
          <w:highlight w:val="none"/>
        </w:rPr>
      </w:r>
      <w:r/>
    </w:p>
    <w:p>
      <w:pPr>
        <w:pStyle w:val="967"/>
        <w:ind w:firstLine="480"/>
        <w:spacing w:line="360" w:lineRule="auto"/>
        <w:tabs>
          <w:tab w:val="left" w:pos="2020" w:leader="none"/>
          <w:tab w:val="center" w:pos="4535" w:leader="none"/>
        </w:tabs>
        <w:rPr>
          <w:rFonts w:ascii="宋体" w:hAnsi="宋体" w:cs="宋体"/>
          <w:sz w:val="24"/>
          <w:szCs w:val="22"/>
          <w:highlight w:val="none"/>
        </w:rPr>
      </w:pPr>
      <w:r>
        <w:rPr>
          <w:rFonts w:hint="eastAsia" w:ascii="宋体" w:hAnsi="宋体" w:cs="宋体"/>
          <w:sz w:val="24"/>
          <w:szCs w:val="22"/>
          <w:highlight w:val="none"/>
        </w:rPr>
        <w:t xml:space="preserve">3、在合同期内如因自身原因不能履行投标承诺，采购人为保证工作进度可立即通知第三方供应。如因不可抗拒力导致无法履约的，我单位将以书面形式向采购人作出说明，否则作违约处理；</w:t>
      </w:r>
      <w:r>
        <w:rPr>
          <w:rFonts w:ascii="宋体" w:hAnsi="宋体" w:cs="宋体"/>
          <w:sz w:val="24"/>
          <w:szCs w:val="22"/>
          <w:highlight w:val="none"/>
        </w:rPr>
      </w:r>
      <w:r/>
    </w:p>
    <w:p>
      <w:pPr>
        <w:pStyle w:val="967"/>
        <w:ind w:firstLine="480"/>
        <w:spacing w:line="360" w:lineRule="auto"/>
        <w:tabs>
          <w:tab w:val="left" w:pos="2020" w:leader="none"/>
          <w:tab w:val="center" w:pos="4535" w:leader="none"/>
        </w:tabs>
        <w:rPr>
          <w:rFonts w:ascii="宋体" w:hAnsi="宋体" w:cs="宋体"/>
          <w:sz w:val="24"/>
          <w:szCs w:val="22"/>
          <w:highlight w:val="none"/>
        </w:rPr>
      </w:pPr>
      <w:r>
        <w:rPr>
          <w:rFonts w:hint="eastAsia" w:ascii="宋体" w:hAnsi="宋体" w:cs="宋体"/>
          <w:sz w:val="24"/>
          <w:szCs w:val="22"/>
          <w:highlight w:val="none"/>
        </w:rPr>
        <w:t xml:space="preserve">4、在合同期内无条件配合采购人在数量、质量、服务等方面对我单位进行的各项检查、抽查工作，并承担由此产生的费用。如在检查过程中发现不符合的情况，我单位接受相应处罚，并无条件承担由此造成的一切损失及一切后果。</w:t>
      </w:r>
      <w:r>
        <w:rPr>
          <w:rFonts w:ascii="宋体" w:hAnsi="宋体" w:cs="宋体"/>
          <w:sz w:val="24"/>
          <w:szCs w:val="22"/>
          <w:highlight w:val="none"/>
        </w:rPr>
      </w:r>
      <w:r/>
    </w:p>
    <w:p>
      <w:pPr>
        <w:pStyle w:val="967"/>
        <w:spacing w:line="360" w:lineRule="auto"/>
        <w:tabs>
          <w:tab w:val="left" w:pos="2020" w:leader="none"/>
          <w:tab w:val="center" w:pos="4535" w:leader="none"/>
        </w:tabs>
        <w:rPr>
          <w:rFonts w:ascii="宋体" w:hAnsi="宋体" w:cs="宋体"/>
          <w:sz w:val="24"/>
          <w:szCs w:val="22"/>
          <w:highlight w:val="none"/>
        </w:rPr>
      </w:pPr>
      <w:r>
        <w:rPr>
          <w:rFonts w:ascii="宋体" w:hAnsi="宋体" w:cs="宋体"/>
          <w:sz w:val="24"/>
          <w:szCs w:val="22"/>
          <w:highlight w:val="none"/>
        </w:rPr>
      </w:r>
      <w:r/>
    </w:p>
    <w:p>
      <w:pPr>
        <w:pStyle w:val="967"/>
        <w:ind w:firstLine="240"/>
        <w:spacing w:line="360" w:lineRule="auto"/>
        <w:tabs>
          <w:tab w:val="left" w:pos="2020" w:leader="none"/>
          <w:tab w:val="center" w:pos="4535" w:leader="none"/>
        </w:tabs>
        <w:rPr>
          <w:rFonts w:ascii="Calibri" w:hAnsi="Calibri"/>
          <w:sz w:val="24"/>
          <w:szCs w:val="22"/>
          <w:highlight w:val="none"/>
        </w:rPr>
      </w:pPr>
      <w:r>
        <w:rPr>
          <w:rFonts w:ascii="Calibri" w:hAnsi="Calibri"/>
          <w:sz w:val="24"/>
          <w:szCs w:val="22"/>
          <w:highlight w:val="none"/>
        </w:rPr>
      </w:r>
      <w:r/>
    </w:p>
    <w:p>
      <w:pPr>
        <w:pStyle w:val="967"/>
        <w:ind w:firstLine="2289"/>
        <w:jc w:val="right"/>
        <w:spacing w:line="360" w:lineRule="auto"/>
        <w:rPr>
          <w:rFonts w:ascii="Calibri" w:hAnsi="Calibri"/>
          <w:b/>
          <w:sz w:val="24"/>
          <w:szCs w:val="22"/>
          <w:highlight w:val="none"/>
        </w:rPr>
      </w:pPr>
      <w:r>
        <w:rPr>
          <w:rFonts w:ascii="Calibri" w:hAnsi="Calibri"/>
          <w:b/>
          <w:sz w:val="24"/>
          <w:szCs w:val="22"/>
          <w:highlight w:val="none"/>
        </w:rPr>
      </w:r>
      <w:r/>
    </w:p>
    <w:p>
      <w:pPr>
        <w:pStyle w:val="967"/>
        <w:ind w:firstLine="3480"/>
        <w:jc w:val="right"/>
        <w:spacing w:line="360" w:lineRule="auto"/>
        <w:rPr>
          <w:rFonts w:ascii="Calibri" w:hAnsi="Calibri"/>
          <w:sz w:val="24"/>
          <w:szCs w:val="22"/>
          <w:highlight w:val="none"/>
        </w:rPr>
      </w:pPr>
      <w:r>
        <w:rPr>
          <w:rFonts w:hint="eastAsia" w:ascii="Calibri" w:hAnsi="Calibri"/>
          <w:sz w:val="24"/>
          <w:szCs w:val="22"/>
          <w:highlight w:val="none"/>
        </w:rPr>
        <w:t xml:space="preserve">承诺人</w:t>
      </w:r>
      <w:r>
        <w:rPr>
          <w:rFonts w:ascii="Calibri" w:hAnsi="Calibri"/>
          <w:sz w:val="24"/>
          <w:szCs w:val="22"/>
          <w:highlight w:val="none"/>
        </w:rPr>
        <w:t xml:space="preserve">：（公章）</w:t>
      </w:r>
      <w:r>
        <w:rPr>
          <w:rFonts w:ascii="Calibri" w:hAnsi="Calibri"/>
          <w:sz w:val="24"/>
          <w:szCs w:val="22"/>
          <w:highlight w:val="none"/>
        </w:rPr>
      </w:r>
      <w:r/>
    </w:p>
    <w:p>
      <w:pPr>
        <w:pStyle w:val="967"/>
        <w:ind w:firstLine="240"/>
        <w:jc w:val="right"/>
        <w:spacing w:line="360" w:lineRule="auto"/>
        <w:tabs>
          <w:tab w:val="left" w:pos="2020" w:leader="none"/>
          <w:tab w:val="center" w:pos="4535" w:leader="none"/>
        </w:tabs>
        <w:rPr>
          <w:rFonts w:ascii="宋体" w:hAnsi="宋体" w:cs="宋体"/>
          <w:sz w:val="24"/>
          <w:szCs w:val="22"/>
          <w:highlight w:val="none"/>
        </w:rPr>
      </w:pPr>
      <w:r>
        <w:rPr>
          <w:rFonts w:hint="eastAsia" w:ascii="宋体" w:hAnsi="宋体" w:cs="宋体"/>
          <w:sz w:val="24"/>
          <w:szCs w:val="22"/>
          <w:highlight w:val="none"/>
        </w:rPr>
        <w:t xml:space="preserve">法定代表人：（签字或盖章）</w:t>
      </w:r>
      <w:r>
        <w:rPr>
          <w:rFonts w:ascii="宋体" w:hAnsi="宋体" w:cs="宋体"/>
          <w:sz w:val="24"/>
          <w:szCs w:val="22"/>
          <w:highlight w:val="none"/>
        </w:rPr>
      </w:r>
      <w:r/>
    </w:p>
    <w:p>
      <w:pPr>
        <w:pStyle w:val="967"/>
        <w:ind w:firstLine="240"/>
        <w:jc w:val="right"/>
        <w:spacing w:line="360" w:lineRule="auto"/>
        <w:tabs>
          <w:tab w:val="left" w:pos="2020" w:leader="none"/>
          <w:tab w:val="center" w:pos="4535" w:leader="none"/>
        </w:tabs>
        <w:rPr>
          <w:rFonts w:ascii="宋体" w:hAnsi="宋体" w:cs="宋体"/>
          <w:sz w:val="24"/>
          <w:szCs w:val="22"/>
          <w:highlight w:val="none"/>
        </w:rPr>
      </w:pPr>
      <w:r>
        <w:rPr>
          <w:rFonts w:ascii="宋体" w:hAnsi="宋体" w:cs="宋体"/>
          <w:sz w:val="24"/>
          <w:szCs w:val="22"/>
          <w:highlight w:val="none"/>
        </w:rPr>
      </w:r>
      <w:r/>
    </w:p>
    <w:p>
      <w:pPr>
        <w:pStyle w:val="967"/>
        <w:spacing w:line="360" w:lineRule="auto"/>
        <w:rPr>
          <w:rFonts w:ascii="宋体" w:hAnsi="宋体" w:cs="仿宋_GB2312"/>
          <w:b/>
          <w:sz w:val="28"/>
          <w:szCs w:val="28"/>
          <w:highlight w:val="none"/>
        </w:rPr>
      </w:pPr>
      <w:r>
        <w:rPr>
          <w:rFonts w:ascii="宋体" w:hAnsi="宋体" w:cs="仿宋_GB2312"/>
          <w:b/>
          <w:sz w:val="28"/>
          <w:szCs w:val="28"/>
          <w:highlight w:val="none"/>
        </w:rPr>
        <w:br w:type="page" w:clear="all"/>
      </w:r>
      <w:r>
        <w:rPr>
          <w:rFonts w:hint="eastAsia" w:ascii="宋体" w:hAnsi="宋体" w:cs="仿宋_GB2312"/>
          <w:b/>
          <w:sz w:val="28"/>
          <w:szCs w:val="28"/>
          <w:highlight w:val="none"/>
          <w:lang w:bidi="ar"/>
        </w:rPr>
        <w:t xml:space="preserve">（二）符合性审查文件</w:t>
      </w:r>
      <w:r>
        <w:rPr>
          <w:rFonts w:ascii="宋体" w:hAnsi="宋体" w:cs="仿宋_GB2312"/>
          <w:b/>
          <w:sz w:val="28"/>
          <w:szCs w:val="28"/>
          <w:highlight w:val="none"/>
        </w:rPr>
      </w:r>
      <w:r/>
    </w:p>
    <w:p>
      <w:pPr>
        <w:pStyle w:val="967"/>
        <w:spacing w:line="360" w:lineRule="auto"/>
        <w:rPr>
          <w:rFonts w:ascii="宋体" w:hAnsi="宋体" w:cs="宋体"/>
          <w:b/>
          <w:sz w:val="30"/>
          <w:szCs w:val="30"/>
          <w:highlight w:val="none"/>
        </w:rPr>
      </w:pPr>
      <w:r>
        <w:rPr>
          <w:rFonts w:hint="eastAsia" w:ascii="宋体" w:hAnsi="宋体" w:cs="宋体"/>
          <w:b/>
          <w:sz w:val="30"/>
          <w:szCs w:val="30"/>
          <w:highlight w:val="none"/>
        </w:rPr>
        <w:t xml:space="preserve">附件7</w:t>
      </w:r>
      <w:r>
        <w:rPr>
          <w:rFonts w:ascii="宋体" w:hAnsi="宋体" w:cs="宋体"/>
          <w:b/>
          <w:sz w:val="30"/>
          <w:szCs w:val="30"/>
          <w:highlight w:val="none"/>
        </w:rPr>
      </w:r>
      <w:r/>
    </w:p>
    <w:p>
      <w:pPr>
        <w:pStyle w:val="999"/>
        <w:ind w:left="107"/>
        <w:jc w:val="center"/>
        <w:spacing w:before="65" w:line="222" w:lineRule="auto"/>
        <w:rPr>
          <w:rFonts w:hint="eastAsia" w:ascii="宋体" w:hAnsi="宋体" w:eastAsia="宋体" w:cs="宋体"/>
          <w:highlight w:val="none"/>
        </w:rPr>
      </w:pPr>
      <w:r>
        <w:rPr>
          <w:rFonts w:hint="eastAsia" w:ascii="宋体" w:hAnsi="宋体" w:eastAsia="宋体" w:cs="宋体"/>
          <w:b/>
          <w:bCs/>
          <w:spacing w:val="-5"/>
          <w:sz w:val="32"/>
          <w:highlight w:val="none"/>
        </w:rPr>
        <w:t xml:space="preserve">技术要求响应及偏离表</w:t>
      </w:r>
      <w:r>
        <w:rPr>
          <w:rFonts w:hint="eastAsia" w:ascii="宋体" w:hAnsi="宋体" w:eastAsia="宋体" w:cs="宋体"/>
          <w:highlight w:val="none"/>
        </w:rPr>
      </w:r>
      <w:r/>
    </w:p>
    <w:p>
      <w:pPr>
        <w:pStyle w:val="967"/>
        <w:spacing w:line="69" w:lineRule="exact"/>
        <w:rPr>
          <w:rFonts w:hint="eastAsia" w:ascii="宋体" w:hAnsi="宋体" w:cs="宋体"/>
          <w:highlight w:val="none"/>
        </w:rPr>
      </w:pPr>
      <w:r>
        <w:rPr>
          <w:rFonts w:hint="eastAsia" w:ascii="宋体" w:hAnsi="宋体" w:cs="宋体"/>
          <w:highlight w:val="none"/>
        </w:rPr>
      </w:r>
      <w:r/>
    </w:p>
    <w:tbl>
      <w:tblPr>
        <w:tblW w:w="869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4"/>
        <w:gridCol w:w="2959"/>
        <w:gridCol w:w="3102"/>
        <w:gridCol w:w="2083"/>
      </w:tblGrid>
      <w:tr>
        <w:trPr>
          <w:trHeight w:val="1015"/>
        </w:trPr>
        <w:tc>
          <w:tcPr>
            <w:tcW w:w="554" w:type="dxa"/>
            <w:vAlign w:val="top"/>
            <w:textDirection w:val="tbRlV"/>
            <w:noWrap w:val="false"/>
          </w:tcPr>
          <w:p>
            <w:pPr>
              <w:pStyle w:val="1091"/>
              <w:ind w:left="65"/>
              <w:spacing w:before="139" w:line="217" w:lineRule="auto"/>
              <w:rPr>
                <w:rFonts w:hint="eastAsia"/>
                <w:highlight w:val="none"/>
              </w:rPr>
            </w:pPr>
            <w:r>
              <w:rPr>
                <w:rFonts w:hint="eastAsia"/>
                <w:highlight w:val="none"/>
              </w:rPr>
              <w:t xml:space="preserve">序号</w:t>
            </w:r>
            <w:r>
              <w:rPr>
                <w:rFonts w:hint="eastAsia"/>
                <w:highlight w:val="none"/>
              </w:rPr>
            </w:r>
            <w:r/>
          </w:p>
        </w:tc>
        <w:tc>
          <w:tcPr>
            <w:tcW w:w="2959" w:type="dxa"/>
            <w:vAlign w:val="top"/>
            <w:textDirection w:val="lrTb"/>
            <w:noWrap w:val="false"/>
          </w:tcPr>
          <w:p>
            <w:pPr>
              <w:pStyle w:val="1091"/>
              <w:ind w:left="840"/>
              <w:spacing w:before="172" w:line="219" w:lineRule="auto"/>
              <w:rPr>
                <w:rFonts w:hint="eastAsia"/>
                <w:highlight w:val="none"/>
              </w:rPr>
            </w:pPr>
            <w:r>
              <w:rPr>
                <w:rFonts w:hint="eastAsia"/>
                <w:spacing w:val="-2"/>
                <w:highlight w:val="none"/>
              </w:rPr>
              <w:t xml:space="preserve">技术要求</w:t>
            </w:r>
            <w:r>
              <w:rPr>
                <w:rFonts w:hint="eastAsia"/>
                <w:highlight w:val="none"/>
              </w:rPr>
            </w:r>
            <w:r/>
          </w:p>
        </w:tc>
        <w:tc>
          <w:tcPr>
            <w:tcW w:w="3102" w:type="dxa"/>
            <w:vAlign w:val="top"/>
            <w:textDirection w:val="lrTb"/>
            <w:noWrap w:val="false"/>
          </w:tcPr>
          <w:p>
            <w:pPr>
              <w:pStyle w:val="1091"/>
              <w:ind w:left="735"/>
              <w:spacing w:before="173" w:line="220" w:lineRule="auto"/>
              <w:rPr>
                <w:rFonts w:hint="eastAsia"/>
                <w:highlight w:val="none"/>
              </w:rPr>
            </w:pPr>
            <w:r>
              <w:rPr>
                <w:rFonts w:hint="eastAsia"/>
                <w:spacing w:val="-2"/>
                <w:highlight w:val="none"/>
              </w:rPr>
              <w:t xml:space="preserve">投标响应情况</w:t>
            </w:r>
            <w:r>
              <w:rPr>
                <w:rFonts w:hint="eastAsia"/>
                <w:highlight w:val="none"/>
              </w:rPr>
            </w:r>
            <w:r/>
          </w:p>
        </w:tc>
        <w:tc>
          <w:tcPr>
            <w:tcW w:w="2083" w:type="dxa"/>
            <w:vAlign w:val="top"/>
            <w:textDirection w:val="lrTb"/>
            <w:noWrap w:val="false"/>
          </w:tcPr>
          <w:p>
            <w:pPr>
              <w:pStyle w:val="1091"/>
              <w:ind w:left="118"/>
              <w:spacing w:before="172" w:line="219" w:lineRule="auto"/>
              <w:rPr>
                <w:rFonts w:hint="eastAsia"/>
                <w:highlight w:val="none"/>
              </w:rPr>
            </w:pPr>
            <w:r>
              <w:rPr>
                <w:rFonts w:hint="eastAsia"/>
                <w:spacing w:val="-1"/>
                <w:highlight w:val="none"/>
              </w:rPr>
              <w:t xml:space="preserve">超出、符合或偏离</w:t>
            </w:r>
            <w:r>
              <w:rPr>
                <w:rFonts w:hint="eastAsia"/>
                <w:highlight w:val="none"/>
              </w:rPr>
            </w:r>
            <w:r/>
          </w:p>
        </w:tc>
      </w:tr>
      <w:tr>
        <w:trPr>
          <w:trHeight w:val="900"/>
        </w:trPr>
        <w:tc>
          <w:tcPr>
            <w:tcW w:w="554" w:type="dxa"/>
            <w:vAlign w:val="top"/>
            <w:textDirection w:val="lrTb"/>
            <w:noWrap w:val="false"/>
          </w:tcPr>
          <w:p>
            <w:pPr>
              <w:pStyle w:val="1091"/>
              <w:ind w:left="175"/>
              <w:spacing w:before="179" w:line="184" w:lineRule="auto"/>
              <w:rPr>
                <w:rFonts w:hint="eastAsia"/>
                <w:sz w:val="19"/>
                <w:szCs w:val="19"/>
                <w:highlight w:val="none"/>
              </w:rPr>
            </w:pPr>
            <w:r>
              <w:rPr>
                <w:rFonts w:hint="eastAsia"/>
                <w:sz w:val="19"/>
                <w:szCs w:val="19"/>
                <w:highlight w:val="none"/>
              </w:rPr>
              <w:t xml:space="preserve">1</w:t>
            </w:r>
            <w:r>
              <w:rPr>
                <w:rFonts w:hint="eastAsia"/>
                <w:sz w:val="19"/>
                <w:szCs w:val="19"/>
                <w:highlight w:val="none"/>
              </w:rPr>
            </w:r>
            <w:r/>
          </w:p>
        </w:tc>
        <w:tc>
          <w:tcPr>
            <w:tcW w:w="2959" w:type="dxa"/>
            <w:vAlign w:val="top"/>
            <w:textDirection w:val="lrTb"/>
            <w:noWrap w:val="false"/>
          </w:tcPr>
          <w:p>
            <w:pPr>
              <w:pStyle w:val="967"/>
              <w:rPr>
                <w:rFonts w:hint="eastAsia" w:ascii="宋体" w:hAnsi="宋体" w:cs="宋体"/>
                <w:highlight w:val="none"/>
              </w:rPr>
            </w:pPr>
            <w:r>
              <w:rPr>
                <w:rFonts w:hint="eastAsia" w:ascii="宋体" w:hAnsi="宋体" w:cs="宋体"/>
                <w:highlight w:val="none"/>
              </w:rPr>
            </w:r>
            <w:r/>
          </w:p>
        </w:tc>
        <w:tc>
          <w:tcPr>
            <w:tcW w:w="3102" w:type="dxa"/>
            <w:vAlign w:val="top"/>
            <w:textDirection w:val="lrTb"/>
            <w:noWrap w:val="false"/>
          </w:tcPr>
          <w:p>
            <w:pPr>
              <w:pStyle w:val="967"/>
              <w:rPr>
                <w:rFonts w:hint="eastAsia" w:ascii="宋体" w:hAnsi="宋体" w:cs="宋体"/>
                <w:highlight w:val="none"/>
              </w:rPr>
            </w:pPr>
            <w:r>
              <w:rPr>
                <w:rFonts w:hint="eastAsia" w:ascii="宋体" w:hAnsi="宋体" w:cs="宋体"/>
                <w:highlight w:val="none"/>
              </w:rPr>
            </w:r>
            <w:r/>
          </w:p>
        </w:tc>
        <w:tc>
          <w:tcPr>
            <w:tcW w:w="2083" w:type="dxa"/>
            <w:vAlign w:val="top"/>
            <w:textDirection w:val="lrTb"/>
            <w:noWrap w:val="false"/>
          </w:tcPr>
          <w:p>
            <w:pPr>
              <w:pStyle w:val="967"/>
              <w:rPr>
                <w:rFonts w:hint="eastAsia" w:ascii="宋体" w:hAnsi="宋体" w:cs="宋体"/>
                <w:highlight w:val="none"/>
              </w:rPr>
            </w:pPr>
            <w:r>
              <w:rPr>
                <w:rFonts w:hint="eastAsia" w:ascii="宋体" w:hAnsi="宋体" w:cs="宋体"/>
                <w:highlight w:val="none"/>
              </w:rPr>
            </w:r>
            <w:r/>
          </w:p>
        </w:tc>
      </w:tr>
      <w:tr>
        <w:trPr>
          <w:trHeight w:val="861"/>
        </w:trPr>
        <w:tc>
          <w:tcPr>
            <w:tcW w:w="554" w:type="dxa"/>
            <w:vAlign w:val="top"/>
            <w:textDirection w:val="lrTb"/>
            <w:noWrap w:val="false"/>
          </w:tcPr>
          <w:p>
            <w:pPr>
              <w:pStyle w:val="967"/>
              <w:jc w:val="center"/>
              <w:rPr>
                <w:rFonts w:hint="eastAsia" w:ascii="宋体" w:hAnsi="宋体" w:cs="宋体"/>
                <w:sz w:val="19"/>
                <w:szCs w:val="19"/>
                <w:highlight w:val="none"/>
              </w:rPr>
            </w:pPr>
            <w:r>
              <w:rPr>
                <w:rFonts w:hint="eastAsia" w:ascii="宋体" w:hAnsi="宋体" w:cs="宋体"/>
                <w:sz w:val="19"/>
                <w:szCs w:val="19"/>
                <w:highlight w:val="none"/>
              </w:rPr>
              <w:t xml:space="preserve">2</w:t>
            </w:r>
            <w:r>
              <w:rPr>
                <w:rFonts w:hint="eastAsia" w:ascii="宋体" w:hAnsi="宋体" w:cs="宋体"/>
                <w:sz w:val="19"/>
                <w:szCs w:val="19"/>
                <w:highlight w:val="none"/>
              </w:rPr>
            </w:r>
            <w:r/>
          </w:p>
        </w:tc>
        <w:tc>
          <w:tcPr>
            <w:tcW w:w="2959" w:type="dxa"/>
            <w:vAlign w:val="top"/>
            <w:textDirection w:val="lrTb"/>
            <w:noWrap w:val="false"/>
          </w:tcPr>
          <w:p>
            <w:pPr>
              <w:pStyle w:val="967"/>
              <w:rPr>
                <w:rFonts w:hint="eastAsia" w:ascii="宋体" w:hAnsi="宋体" w:cs="宋体"/>
                <w:highlight w:val="none"/>
              </w:rPr>
            </w:pPr>
            <w:r>
              <w:rPr>
                <w:rFonts w:hint="eastAsia" w:ascii="宋体" w:hAnsi="宋体" w:cs="宋体"/>
                <w:highlight w:val="none"/>
              </w:rPr>
            </w:r>
            <w:r/>
          </w:p>
        </w:tc>
        <w:tc>
          <w:tcPr>
            <w:tcW w:w="3102" w:type="dxa"/>
            <w:vAlign w:val="top"/>
            <w:textDirection w:val="lrTb"/>
            <w:noWrap w:val="false"/>
          </w:tcPr>
          <w:p>
            <w:pPr>
              <w:pStyle w:val="967"/>
              <w:rPr>
                <w:rFonts w:hint="eastAsia" w:ascii="宋体" w:hAnsi="宋体" w:cs="宋体"/>
                <w:highlight w:val="none"/>
              </w:rPr>
            </w:pPr>
            <w:r>
              <w:rPr>
                <w:rFonts w:hint="eastAsia" w:ascii="宋体" w:hAnsi="宋体" w:cs="宋体"/>
                <w:highlight w:val="none"/>
              </w:rPr>
            </w:r>
            <w:r/>
          </w:p>
        </w:tc>
        <w:tc>
          <w:tcPr>
            <w:tcW w:w="2083" w:type="dxa"/>
            <w:vAlign w:val="top"/>
            <w:textDirection w:val="lrTb"/>
            <w:noWrap w:val="false"/>
          </w:tcPr>
          <w:p>
            <w:pPr>
              <w:pStyle w:val="967"/>
              <w:rPr>
                <w:rFonts w:hint="eastAsia" w:ascii="宋体" w:hAnsi="宋体" w:cs="宋体"/>
                <w:highlight w:val="none"/>
              </w:rPr>
            </w:pPr>
            <w:r>
              <w:rPr>
                <w:rFonts w:hint="eastAsia" w:ascii="宋体" w:hAnsi="宋体" w:cs="宋体"/>
                <w:highlight w:val="none"/>
              </w:rPr>
            </w:r>
            <w:r/>
          </w:p>
        </w:tc>
      </w:tr>
      <w:tr>
        <w:trPr>
          <w:trHeight w:val="861"/>
        </w:trPr>
        <w:tc>
          <w:tcPr>
            <w:tcW w:w="554" w:type="dxa"/>
            <w:vAlign w:val="top"/>
            <w:textDirection w:val="lrTb"/>
            <w:noWrap w:val="false"/>
          </w:tcPr>
          <w:p>
            <w:pPr>
              <w:pStyle w:val="967"/>
              <w:jc w:val="center"/>
              <w:rPr>
                <w:rFonts w:hint="eastAsia" w:ascii="宋体" w:hAnsi="宋体" w:cs="宋体"/>
                <w:sz w:val="19"/>
                <w:szCs w:val="19"/>
                <w:highlight w:val="none"/>
              </w:rPr>
            </w:pPr>
            <w:r>
              <w:rPr>
                <w:rFonts w:hint="eastAsia" w:ascii="宋体" w:hAnsi="宋体" w:cs="宋体"/>
                <w:sz w:val="19"/>
                <w:szCs w:val="19"/>
                <w:highlight w:val="none"/>
              </w:rPr>
              <w:t xml:space="preserve">3</w:t>
            </w:r>
            <w:r>
              <w:rPr>
                <w:rFonts w:hint="eastAsia" w:ascii="宋体" w:hAnsi="宋体" w:cs="宋体"/>
                <w:sz w:val="19"/>
                <w:szCs w:val="19"/>
                <w:highlight w:val="none"/>
              </w:rPr>
            </w:r>
            <w:r/>
          </w:p>
        </w:tc>
        <w:tc>
          <w:tcPr>
            <w:tcW w:w="2959" w:type="dxa"/>
            <w:vAlign w:val="top"/>
            <w:textDirection w:val="lrTb"/>
            <w:noWrap w:val="false"/>
          </w:tcPr>
          <w:p>
            <w:pPr>
              <w:pStyle w:val="967"/>
              <w:rPr>
                <w:rFonts w:hint="eastAsia" w:ascii="宋体" w:hAnsi="宋体" w:cs="宋体"/>
                <w:highlight w:val="none"/>
              </w:rPr>
            </w:pPr>
            <w:r>
              <w:rPr>
                <w:rFonts w:hint="eastAsia" w:ascii="宋体" w:hAnsi="宋体" w:cs="宋体"/>
                <w:highlight w:val="none"/>
              </w:rPr>
            </w:r>
            <w:r/>
          </w:p>
        </w:tc>
        <w:tc>
          <w:tcPr>
            <w:tcW w:w="3102" w:type="dxa"/>
            <w:vAlign w:val="top"/>
            <w:textDirection w:val="lrTb"/>
            <w:noWrap w:val="false"/>
          </w:tcPr>
          <w:p>
            <w:pPr>
              <w:pStyle w:val="967"/>
              <w:rPr>
                <w:rFonts w:hint="eastAsia" w:ascii="宋体" w:hAnsi="宋体" w:cs="宋体"/>
                <w:highlight w:val="none"/>
              </w:rPr>
            </w:pPr>
            <w:r>
              <w:rPr>
                <w:rFonts w:hint="eastAsia" w:ascii="宋体" w:hAnsi="宋体" w:cs="宋体"/>
                <w:highlight w:val="none"/>
              </w:rPr>
            </w:r>
            <w:r/>
          </w:p>
        </w:tc>
        <w:tc>
          <w:tcPr>
            <w:tcW w:w="2083" w:type="dxa"/>
            <w:vAlign w:val="top"/>
            <w:textDirection w:val="lrTb"/>
            <w:noWrap w:val="false"/>
          </w:tcPr>
          <w:p>
            <w:pPr>
              <w:pStyle w:val="967"/>
              <w:rPr>
                <w:rFonts w:hint="eastAsia" w:ascii="宋体" w:hAnsi="宋体" w:cs="宋体"/>
                <w:highlight w:val="none"/>
              </w:rPr>
            </w:pPr>
            <w:r>
              <w:rPr>
                <w:rFonts w:hint="eastAsia" w:ascii="宋体" w:hAnsi="宋体" w:cs="宋体"/>
                <w:highlight w:val="none"/>
              </w:rPr>
            </w:r>
            <w:r/>
          </w:p>
        </w:tc>
      </w:tr>
      <w:tr>
        <w:trPr>
          <w:trHeight w:val="861"/>
        </w:trPr>
        <w:tc>
          <w:tcPr>
            <w:tcW w:w="554" w:type="dxa"/>
            <w:vAlign w:val="top"/>
            <w:textDirection w:val="lrTb"/>
            <w:noWrap w:val="false"/>
          </w:tcPr>
          <w:p>
            <w:pPr>
              <w:pStyle w:val="967"/>
              <w:jc w:val="center"/>
              <w:rPr>
                <w:rFonts w:hint="eastAsia" w:ascii="宋体" w:hAnsi="宋体" w:cs="宋体"/>
                <w:sz w:val="19"/>
                <w:szCs w:val="19"/>
                <w:highlight w:val="none"/>
              </w:rPr>
            </w:pPr>
            <w:r>
              <w:rPr>
                <w:rFonts w:hint="eastAsia" w:ascii="宋体" w:hAnsi="宋体" w:cs="宋体"/>
                <w:sz w:val="19"/>
                <w:szCs w:val="19"/>
                <w:highlight w:val="none"/>
              </w:rPr>
              <w:t xml:space="preserve">4</w:t>
            </w:r>
            <w:r>
              <w:rPr>
                <w:rFonts w:hint="eastAsia" w:ascii="宋体" w:hAnsi="宋体" w:cs="宋体"/>
                <w:sz w:val="19"/>
                <w:szCs w:val="19"/>
                <w:highlight w:val="none"/>
              </w:rPr>
            </w:r>
            <w:r/>
          </w:p>
        </w:tc>
        <w:tc>
          <w:tcPr>
            <w:tcW w:w="2959" w:type="dxa"/>
            <w:vAlign w:val="top"/>
            <w:textDirection w:val="lrTb"/>
            <w:noWrap w:val="false"/>
          </w:tcPr>
          <w:p>
            <w:pPr>
              <w:pStyle w:val="967"/>
              <w:rPr>
                <w:rFonts w:hint="eastAsia" w:ascii="宋体" w:hAnsi="宋体" w:cs="宋体"/>
                <w:highlight w:val="none"/>
              </w:rPr>
            </w:pPr>
            <w:r>
              <w:rPr>
                <w:rFonts w:hint="eastAsia" w:ascii="宋体" w:hAnsi="宋体" w:cs="宋体"/>
                <w:highlight w:val="none"/>
              </w:rPr>
            </w:r>
            <w:r/>
          </w:p>
        </w:tc>
        <w:tc>
          <w:tcPr>
            <w:tcW w:w="3102" w:type="dxa"/>
            <w:vAlign w:val="top"/>
            <w:textDirection w:val="lrTb"/>
            <w:noWrap w:val="false"/>
          </w:tcPr>
          <w:p>
            <w:pPr>
              <w:pStyle w:val="967"/>
              <w:rPr>
                <w:rFonts w:hint="eastAsia" w:ascii="宋体" w:hAnsi="宋体" w:cs="宋体"/>
                <w:highlight w:val="none"/>
              </w:rPr>
            </w:pPr>
            <w:r>
              <w:rPr>
                <w:rFonts w:hint="eastAsia" w:ascii="宋体" w:hAnsi="宋体" w:cs="宋体"/>
                <w:highlight w:val="none"/>
              </w:rPr>
            </w:r>
            <w:r/>
          </w:p>
        </w:tc>
        <w:tc>
          <w:tcPr>
            <w:tcW w:w="2083" w:type="dxa"/>
            <w:vAlign w:val="top"/>
            <w:textDirection w:val="lrTb"/>
            <w:noWrap w:val="false"/>
          </w:tcPr>
          <w:p>
            <w:pPr>
              <w:pStyle w:val="967"/>
              <w:rPr>
                <w:rFonts w:hint="eastAsia" w:ascii="宋体" w:hAnsi="宋体" w:cs="宋体"/>
                <w:highlight w:val="none"/>
              </w:rPr>
            </w:pPr>
            <w:r>
              <w:rPr>
                <w:rFonts w:hint="eastAsia" w:ascii="宋体" w:hAnsi="宋体" w:cs="宋体"/>
                <w:highlight w:val="none"/>
              </w:rPr>
            </w:r>
            <w:r/>
          </w:p>
        </w:tc>
      </w:tr>
    </w:tbl>
    <w:p>
      <w:pPr>
        <w:pStyle w:val="967"/>
        <w:ind w:firstLine="492"/>
        <w:jc w:val="right"/>
        <w:spacing w:line="460" w:lineRule="exact"/>
        <w:rPr>
          <w:rFonts w:hint="eastAsia" w:ascii="宋体" w:hAnsi="宋体" w:cs="宋体"/>
          <w:sz w:val="24"/>
          <w:highlight w:val="none"/>
        </w:rPr>
      </w:pPr>
      <w:r>
        <w:rPr>
          <w:rFonts w:hint="eastAsia" w:ascii="宋体" w:hAnsi="宋体" w:cs="宋体"/>
          <w:sz w:val="24"/>
          <w:highlight w:val="none"/>
        </w:rPr>
        <w:t xml:space="preserve">供应商：（加盖CA电子公章）</w:t>
      </w:r>
      <w:r>
        <w:rPr>
          <w:rFonts w:hint="eastAsia" w:ascii="宋体" w:hAnsi="宋体" w:cs="宋体"/>
          <w:sz w:val="24"/>
          <w:highlight w:val="none"/>
        </w:rPr>
      </w:r>
      <w:r/>
    </w:p>
    <w:p>
      <w:pPr>
        <w:pStyle w:val="967"/>
        <w:ind w:firstLine="420"/>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p>
      <w:pPr>
        <w:pStyle w:val="967"/>
        <w:jc w:val="right"/>
        <w:spacing w:after="120"/>
        <w:rPr>
          <w:rFonts w:hint="eastAsia" w:ascii="宋体" w:hAnsi="宋体" w:cs="宋体"/>
          <w:szCs w:val="22"/>
          <w:highlight w:val="none"/>
        </w:rPr>
      </w:pPr>
      <w:r>
        <w:rPr>
          <w:rFonts w:hint="eastAsia" w:ascii="宋体" w:hAnsi="宋体" w:cs="宋体"/>
          <w:sz w:val="24"/>
          <w:highlight w:val="none"/>
        </w:rPr>
        <w:t xml:space="preserve">   年</w:t>
      </w:r>
      <w:r>
        <w:rPr>
          <w:rFonts w:hint="eastAsia" w:ascii="宋体" w:hAnsi="宋体" w:cs="宋体"/>
          <w:sz w:val="24"/>
          <w:highlight w:val="none"/>
        </w:rPr>
        <w:tab/>
      </w:r>
      <w:r>
        <w:rPr>
          <w:rFonts w:hint="eastAsia" w:ascii="宋体" w:hAnsi="宋体" w:cs="宋体"/>
          <w:sz w:val="24"/>
          <w:highlight w:val="none"/>
        </w:rPr>
        <w:t xml:space="preserve"> 月 </w:t>
      </w:r>
      <w:r>
        <w:rPr>
          <w:rFonts w:hint="eastAsia" w:ascii="宋体" w:hAnsi="宋体" w:cs="宋体"/>
          <w:sz w:val="24"/>
          <w:highlight w:val="none"/>
        </w:rPr>
        <w:tab/>
      </w:r>
      <w:r>
        <w:rPr>
          <w:rFonts w:hint="eastAsia" w:ascii="宋体" w:hAnsi="宋体" w:cs="宋体"/>
          <w:sz w:val="24"/>
          <w:highlight w:val="none"/>
        </w:rPr>
        <w:t xml:space="preserve">日</w:t>
      </w:r>
      <w:r>
        <w:rPr>
          <w:rFonts w:hint="eastAsia" w:ascii="宋体" w:hAnsi="宋体" w:cs="宋体"/>
          <w:szCs w:val="22"/>
          <w:highlight w:val="none"/>
        </w:rPr>
      </w:r>
      <w:r/>
    </w:p>
    <w:p>
      <w:pPr>
        <w:pStyle w:val="999"/>
        <w:ind w:left="105"/>
        <w:spacing w:before="42" w:line="221" w:lineRule="auto"/>
        <w:rPr>
          <w:rFonts w:hint="eastAsia" w:ascii="宋体" w:hAnsi="宋体" w:eastAsia="宋体" w:cs="宋体"/>
          <w:spacing w:val="14"/>
          <w:highlight w:val="none"/>
        </w:rPr>
      </w:pPr>
      <w:r>
        <w:rPr>
          <w:rFonts w:hint="eastAsia" w:ascii="宋体" w:hAnsi="宋体" w:eastAsia="宋体" w:cs="宋体"/>
          <w:spacing w:val="14"/>
          <w:highlight w:val="none"/>
        </w:rPr>
      </w:r>
      <w:r/>
    </w:p>
    <w:p>
      <w:pPr>
        <w:pStyle w:val="967"/>
        <w:spacing w:line="400" w:lineRule="exact"/>
        <w:rPr>
          <w:rFonts w:ascii="宋体" w:hAnsi="宋体"/>
          <w:sz w:val="24"/>
          <w:szCs w:val="24"/>
          <w:highlight w:val="none"/>
        </w:rPr>
      </w:pPr>
      <w:r>
        <w:rPr>
          <w:rFonts w:hint="eastAsia" w:ascii="宋体" w:hAnsi="宋体"/>
          <w:sz w:val="24"/>
          <w:szCs w:val="24"/>
          <w:highlight w:val="none"/>
        </w:rPr>
        <w:t xml:space="preserve">附件7-1 证明材料1,证明材料2, ……</w:t>
      </w:r>
      <w:r>
        <w:rPr>
          <w:rFonts w:ascii="宋体" w:hAnsi="宋体"/>
          <w:sz w:val="24"/>
          <w:szCs w:val="24"/>
          <w:highlight w:val="none"/>
        </w:rPr>
      </w:r>
      <w:r/>
    </w:p>
    <w:p>
      <w:pPr>
        <w:pStyle w:val="967"/>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967"/>
        <w:contextualSpacing/>
        <w:jc w:val="left"/>
        <w:spacing w:line="360" w:lineRule="auto"/>
        <w:tabs>
          <w:tab w:val="left" w:pos="5325" w:leader="none"/>
        </w:tabs>
        <w:rPr>
          <w:rFonts w:hint="eastAsia" w:ascii="宋体" w:hAnsi="宋体" w:cs="宋体"/>
          <w:bCs/>
          <w:i/>
          <w:iCs/>
          <w:sz w:val="24"/>
          <w:szCs w:val="24"/>
          <w:highlight w:val="none"/>
          <w:lang w:val="zh-CN"/>
        </w:rPr>
      </w:pPr>
      <w:r>
        <w:rPr>
          <w:rFonts w:hint="eastAsia" w:ascii="宋体" w:hAnsi="宋体"/>
          <w:sz w:val="24"/>
          <w:szCs w:val="24"/>
          <w:highlight w:val="none"/>
        </w:rPr>
        <w:t xml:space="preserve">1.投标人必须</w:t>
      </w:r>
      <w:r>
        <w:rPr>
          <w:rFonts w:ascii="宋体" w:hAnsi="宋体"/>
          <w:sz w:val="24"/>
          <w:szCs w:val="24"/>
          <w:highlight w:val="none"/>
        </w:rPr>
        <w:t xml:space="preserve">对技术</w:t>
      </w:r>
      <w:r>
        <w:rPr>
          <w:rFonts w:hint="eastAsia" w:ascii="宋体" w:hAnsi="宋体"/>
          <w:sz w:val="24"/>
          <w:szCs w:val="24"/>
          <w:highlight w:val="none"/>
        </w:rPr>
        <w:t xml:space="preserve">要求</w:t>
      </w:r>
      <w:r>
        <w:rPr>
          <w:rFonts w:ascii="宋体" w:hAnsi="宋体"/>
          <w:sz w:val="24"/>
          <w:szCs w:val="24"/>
          <w:highlight w:val="none"/>
        </w:rPr>
        <w:t xml:space="preserve">中的实质性要求</w:t>
      </w:r>
      <w:r>
        <w:rPr>
          <w:rFonts w:hint="eastAsia" w:ascii="宋体" w:hAnsi="宋体"/>
          <w:i/>
          <w:sz w:val="24"/>
          <w:szCs w:val="24"/>
          <w:highlight w:val="none"/>
          <w:u w:val="single"/>
        </w:rPr>
        <w:t xml:space="preserve">（加</w:t>
      </w:r>
      <w:r>
        <w:rPr>
          <w:rFonts w:ascii="宋体" w:hAnsi="宋体"/>
          <w:i/>
          <w:sz w:val="24"/>
          <w:szCs w:val="24"/>
          <w:highlight w:val="none"/>
          <w:u w:val="single"/>
        </w:rPr>
        <w:t xml:space="preserve">斜体下划线内容</w:t>
      </w:r>
      <w:r>
        <w:rPr>
          <w:rFonts w:hint="eastAsia" w:ascii="宋体" w:hAnsi="宋体"/>
          <w:i/>
          <w:sz w:val="24"/>
          <w:szCs w:val="24"/>
          <w:highlight w:val="none"/>
          <w:u w:val="singl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hint="eastAsia" w:ascii="宋体" w:hAnsi="宋体"/>
          <w:sz w:val="24"/>
          <w:highlight w:val="none"/>
        </w:rPr>
        <w:t xml:space="preserve">否则作无效投标处理</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cs="宋体"/>
          <w:bCs/>
          <w:i/>
          <w:iCs/>
          <w:sz w:val="24"/>
          <w:szCs w:val="24"/>
          <w:highlight w:val="none"/>
          <w:lang w:val="zh-CN"/>
        </w:rPr>
        <w:t xml:space="preserve">技术部分实质性要求（请单独列出并加斜体下划线）</w:t>
      </w:r>
      <w:r>
        <w:rPr>
          <w:rFonts w:hint="eastAsia" w:ascii="宋体" w:hAnsi="宋体" w:cs="宋体"/>
          <w:bCs/>
          <w:i/>
          <w:iCs/>
          <w:sz w:val="24"/>
          <w:szCs w:val="24"/>
          <w:highlight w:val="none"/>
          <w:lang w:val="zh-CN"/>
        </w:rPr>
      </w:r>
      <w:r/>
    </w:p>
    <w:p>
      <w:pPr>
        <w:pStyle w:val="967"/>
        <w:contextualSpacing/>
        <w:spacing w:line="360" w:lineRule="auto"/>
        <w:tabs>
          <w:tab w:val="left" w:pos="5325" w:leader="none"/>
        </w:tabs>
        <w:rPr>
          <w:rFonts w:hint="eastAsia" w:ascii="宋体" w:hAnsi="宋体"/>
          <w:sz w:val="24"/>
          <w:szCs w:val="24"/>
          <w:highlight w:val="none"/>
        </w:rPr>
      </w:pPr>
      <w:r>
        <w:rPr>
          <w:rFonts w:hint="eastAsia" w:ascii="宋体" w:hAnsi="宋体" w:cs="宋体"/>
          <w:bCs/>
          <w:i/>
          <w:iCs/>
          <w:sz w:val="24"/>
          <w:szCs w:val="24"/>
          <w:highlight w:val="none"/>
          <w:u w:val="single"/>
          <w:lang w:val="zh-CN"/>
        </w:rPr>
        <w:t xml:space="preserve">完全响应采购人提出的采购标的需满足的质量、安全、技术规格、物理特性等要求（提供承诺函）。</w:t>
      </w:r>
      <w:r>
        <w:rPr>
          <w:rFonts w:hint="eastAsia" w:ascii="宋体" w:hAnsi="宋体"/>
          <w:sz w:val="24"/>
          <w:szCs w:val="24"/>
          <w:highlight w:val="none"/>
        </w:rPr>
      </w:r>
      <w:r/>
    </w:p>
    <w:p>
      <w:pPr>
        <w:pStyle w:val="967"/>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投标人必须</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ascii="宋体" w:hAnsi="宋体"/>
          <w:sz w:val="24"/>
          <w:szCs w:val="24"/>
          <w:highlight w:val="none"/>
        </w:rPr>
      </w:r>
      <w:r/>
    </w:p>
    <w:p>
      <w:pPr>
        <w:pStyle w:val="967"/>
        <w:spacing w:line="400" w:lineRule="exact"/>
        <w:rPr>
          <w:rFonts w:hint="eastAsia" w:ascii="宋体" w:hAnsi="宋体"/>
          <w:sz w:val="24"/>
          <w:szCs w:val="24"/>
          <w:highlight w:val="none"/>
        </w:rPr>
      </w:pPr>
      <w:r>
        <w:rPr>
          <w:rFonts w:hint="eastAsia" w:ascii="宋体" w:hAnsi="宋体"/>
          <w:sz w:val="24"/>
          <w:szCs w:val="24"/>
          <w:highlight w:val="none"/>
        </w:rPr>
        <w:t xml:space="preserve">3.投标人未对实质性要求逐条作出明确响应的，或未按招标文件要求提供证明材料的，该分包作无效投标处理。</w:t>
      </w:r>
      <w:r>
        <w:rPr>
          <w:rFonts w:hint="eastAsia" w:ascii="宋体" w:hAnsi="宋体"/>
          <w:sz w:val="24"/>
          <w:szCs w:val="24"/>
          <w:highlight w:val="none"/>
        </w:rPr>
      </w:r>
      <w:r/>
    </w:p>
    <w:p>
      <w:pPr>
        <w:pStyle w:val="967"/>
        <w:rPr>
          <w:rFonts w:hint="eastAsia" w:ascii="宋体" w:hAnsi="宋体" w:cs="宋体"/>
          <w:b/>
          <w:sz w:val="30"/>
          <w:szCs w:val="30"/>
          <w:highlight w:val="none"/>
        </w:rPr>
      </w:pPr>
      <w:r>
        <w:rPr>
          <w:rFonts w:hint="eastAsia" w:ascii="宋体" w:hAnsi="宋体" w:cs="宋体"/>
          <w:b/>
          <w:bCs/>
          <w:spacing w:val="-5"/>
          <w:highlight w:val="none"/>
        </w:rPr>
        <w:br w:type="page" w:clear="all"/>
      </w:r>
      <w:r>
        <w:rPr>
          <w:rFonts w:hint="eastAsia" w:ascii="宋体" w:hAnsi="宋体" w:cs="宋体"/>
          <w:b/>
          <w:sz w:val="30"/>
          <w:szCs w:val="30"/>
          <w:highlight w:val="none"/>
        </w:rPr>
        <w:t xml:space="preserve">附件8</w:t>
      </w:r>
      <w:r>
        <w:rPr>
          <w:rFonts w:hint="eastAsia" w:ascii="宋体" w:hAnsi="宋体" w:cs="宋体"/>
          <w:b/>
          <w:sz w:val="30"/>
          <w:szCs w:val="30"/>
          <w:highlight w:val="none"/>
        </w:rPr>
      </w:r>
      <w:r/>
    </w:p>
    <w:p>
      <w:pPr>
        <w:pStyle w:val="999"/>
        <w:ind w:left="107"/>
        <w:jc w:val="center"/>
        <w:spacing w:before="65" w:line="221" w:lineRule="auto"/>
        <w:rPr>
          <w:rFonts w:hint="eastAsia" w:ascii="宋体" w:hAnsi="宋体" w:eastAsia="宋体" w:cs="宋体"/>
          <w:highlight w:val="none"/>
        </w:rPr>
      </w:pPr>
      <w:r>
        <w:rPr>
          <w:rFonts w:hint="eastAsia" w:ascii="宋体" w:hAnsi="宋体" w:eastAsia="宋体" w:cs="宋体"/>
          <w:b/>
          <w:bCs/>
          <w:spacing w:val="-5"/>
          <w:sz w:val="32"/>
          <w:highlight w:val="none"/>
        </w:rPr>
        <w:t xml:space="preserve">商务要求响应及偏离表</w:t>
      </w:r>
      <w:r>
        <w:rPr>
          <w:rFonts w:hint="eastAsia" w:ascii="宋体" w:hAnsi="宋体" w:eastAsia="宋体" w:cs="宋体"/>
          <w:highlight w:val="none"/>
        </w:rPr>
      </w:r>
      <w:r/>
    </w:p>
    <w:p>
      <w:pPr>
        <w:pStyle w:val="967"/>
        <w:spacing w:line="82" w:lineRule="exact"/>
        <w:rPr>
          <w:rFonts w:hint="eastAsia" w:ascii="宋体" w:hAnsi="宋体" w:cs="宋体"/>
          <w:highlight w:val="none"/>
        </w:rPr>
      </w:pPr>
      <w:r>
        <w:rPr>
          <w:rFonts w:hint="eastAsia" w:ascii="宋体" w:hAnsi="宋体" w:cs="宋体"/>
          <w:highlight w:val="none"/>
        </w:rPr>
      </w:r>
      <w:r/>
    </w:p>
    <w:tbl>
      <w:tblPr>
        <w:tblW w:w="94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03"/>
        <w:gridCol w:w="3225"/>
        <w:gridCol w:w="3380"/>
        <w:gridCol w:w="2270"/>
      </w:tblGrid>
      <w:tr>
        <w:trPr>
          <w:trHeight w:val="973"/>
        </w:trPr>
        <w:tc>
          <w:tcPr>
            <w:tcW w:w="603" w:type="dxa"/>
            <w:vAlign w:val="top"/>
            <w:textDirection w:val="tbRlV"/>
            <w:noWrap w:val="false"/>
          </w:tcPr>
          <w:p>
            <w:pPr>
              <w:pStyle w:val="1091"/>
              <w:ind w:left="65"/>
              <w:spacing w:before="139" w:line="217" w:lineRule="auto"/>
              <w:rPr>
                <w:rFonts w:hint="eastAsia"/>
                <w:sz w:val="22"/>
                <w:szCs w:val="22"/>
                <w:highlight w:val="none"/>
              </w:rPr>
            </w:pPr>
            <w:r>
              <w:rPr>
                <w:rFonts w:hint="eastAsia"/>
                <w:sz w:val="22"/>
                <w:szCs w:val="22"/>
                <w:highlight w:val="none"/>
              </w:rPr>
              <w:t xml:space="preserve">序号</w:t>
            </w:r>
            <w:r>
              <w:rPr>
                <w:rFonts w:hint="eastAsia"/>
                <w:sz w:val="22"/>
                <w:szCs w:val="22"/>
                <w:highlight w:val="none"/>
              </w:rPr>
            </w:r>
            <w:r/>
          </w:p>
        </w:tc>
        <w:tc>
          <w:tcPr>
            <w:tcW w:w="3225" w:type="dxa"/>
            <w:vAlign w:val="top"/>
            <w:textDirection w:val="lrTb"/>
            <w:noWrap w:val="false"/>
          </w:tcPr>
          <w:p>
            <w:pPr>
              <w:pStyle w:val="1091"/>
              <w:ind w:left="840"/>
              <w:spacing w:before="172" w:line="219" w:lineRule="auto"/>
              <w:rPr>
                <w:rFonts w:hint="eastAsia"/>
                <w:sz w:val="22"/>
                <w:szCs w:val="22"/>
                <w:highlight w:val="none"/>
              </w:rPr>
            </w:pPr>
            <w:r>
              <w:rPr>
                <w:rFonts w:hint="eastAsia"/>
                <w:spacing w:val="-2"/>
                <w:sz w:val="22"/>
                <w:szCs w:val="22"/>
                <w:highlight w:val="none"/>
                <w:lang w:eastAsia="zh-CN"/>
              </w:rPr>
              <w:t xml:space="preserve">商务</w:t>
            </w:r>
            <w:r>
              <w:rPr>
                <w:rFonts w:hint="eastAsia"/>
                <w:spacing w:val="-2"/>
                <w:sz w:val="22"/>
                <w:szCs w:val="22"/>
                <w:highlight w:val="none"/>
              </w:rPr>
              <w:t xml:space="preserve">要求</w:t>
            </w:r>
            <w:r>
              <w:rPr>
                <w:rFonts w:hint="eastAsia"/>
                <w:sz w:val="22"/>
                <w:szCs w:val="22"/>
                <w:highlight w:val="none"/>
              </w:rPr>
            </w:r>
            <w:r/>
          </w:p>
        </w:tc>
        <w:tc>
          <w:tcPr>
            <w:tcW w:w="3380" w:type="dxa"/>
            <w:vAlign w:val="top"/>
            <w:textDirection w:val="lrTb"/>
            <w:noWrap w:val="false"/>
          </w:tcPr>
          <w:p>
            <w:pPr>
              <w:pStyle w:val="1091"/>
              <w:ind w:left="735"/>
              <w:spacing w:before="173" w:line="220" w:lineRule="auto"/>
              <w:rPr>
                <w:rFonts w:hint="eastAsia"/>
                <w:sz w:val="22"/>
                <w:szCs w:val="22"/>
                <w:highlight w:val="none"/>
              </w:rPr>
            </w:pPr>
            <w:r>
              <w:rPr>
                <w:rFonts w:hint="eastAsia"/>
                <w:spacing w:val="-2"/>
                <w:sz w:val="22"/>
                <w:szCs w:val="22"/>
                <w:highlight w:val="none"/>
              </w:rPr>
              <w:t xml:space="preserve">投标响应情况</w:t>
            </w:r>
            <w:r>
              <w:rPr>
                <w:rFonts w:hint="eastAsia"/>
                <w:sz w:val="22"/>
                <w:szCs w:val="22"/>
                <w:highlight w:val="none"/>
              </w:rPr>
            </w:r>
            <w:r/>
          </w:p>
        </w:tc>
        <w:tc>
          <w:tcPr>
            <w:tcW w:w="2270" w:type="dxa"/>
            <w:vAlign w:val="top"/>
            <w:textDirection w:val="lrTb"/>
            <w:noWrap w:val="false"/>
          </w:tcPr>
          <w:p>
            <w:pPr>
              <w:pStyle w:val="1091"/>
              <w:ind w:left="118"/>
              <w:spacing w:before="172" w:line="219" w:lineRule="auto"/>
              <w:rPr>
                <w:rFonts w:hint="eastAsia"/>
                <w:sz w:val="22"/>
                <w:szCs w:val="22"/>
                <w:highlight w:val="none"/>
              </w:rPr>
            </w:pPr>
            <w:r>
              <w:rPr>
                <w:rFonts w:hint="eastAsia"/>
                <w:spacing w:val="-1"/>
                <w:sz w:val="22"/>
                <w:szCs w:val="22"/>
                <w:highlight w:val="none"/>
              </w:rPr>
              <w:t xml:space="preserve">超出、符合或偏离</w:t>
            </w:r>
            <w:r>
              <w:rPr>
                <w:rFonts w:hint="eastAsia"/>
                <w:sz w:val="22"/>
                <w:szCs w:val="22"/>
                <w:highlight w:val="none"/>
              </w:rPr>
            </w:r>
            <w:r/>
          </w:p>
        </w:tc>
      </w:tr>
      <w:tr>
        <w:trPr>
          <w:trHeight w:val="864"/>
        </w:trPr>
        <w:tc>
          <w:tcPr>
            <w:tcW w:w="603" w:type="dxa"/>
            <w:vAlign w:val="top"/>
            <w:textDirection w:val="lrTb"/>
            <w:noWrap w:val="false"/>
          </w:tcPr>
          <w:p>
            <w:pPr>
              <w:pStyle w:val="1091"/>
              <w:ind w:left="175"/>
              <w:spacing w:before="179" w:line="184" w:lineRule="auto"/>
              <w:rPr>
                <w:rFonts w:hint="eastAsia"/>
                <w:sz w:val="22"/>
                <w:szCs w:val="22"/>
                <w:highlight w:val="none"/>
              </w:rPr>
            </w:pPr>
            <w:r>
              <w:rPr>
                <w:rFonts w:hint="eastAsia"/>
                <w:sz w:val="22"/>
                <w:szCs w:val="22"/>
                <w:highlight w:val="none"/>
              </w:rPr>
              <w:t xml:space="preserve">1</w:t>
            </w:r>
            <w:r>
              <w:rPr>
                <w:rFonts w:hint="eastAsia"/>
                <w:sz w:val="22"/>
                <w:szCs w:val="22"/>
                <w:highlight w:val="none"/>
              </w:rPr>
            </w:r>
            <w:r/>
          </w:p>
        </w:tc>
        <w:tc>
          <w:tcPr>
            <w:tcW w:w="3225" w:type="dxa"/>
            <w:vAlign w:val="top"/>
            <w:textDirection w:val="lrTb"/>
            <w:noWrap w:val="false"/>
          </w:tcPr>
          <w:p>
            <w:pPr>
              <w:pStyle w:val="967"/>
              <w:rPr>
                <w:rFonts w:hint="eastAsia" w:ascii="宋体" w:hAnsi="宋体" w:cs="宋体"/>
                <w:sz w:val="28"/>
                <w:szCs w:val="24"/>
                <w:highlight w:val="none"/>
              </w:rPr>
            </w:pPr>
            <w:r>
              <w:rPr>
                <w:rFonts w:hint="eastAsia" w:ascii="宋体" w:hAnsi="宋体" w:cs="宋体"/>
                <w:sz w:val="28"/>
                <w:szCs w:val="24"/>
                <w:highlight w:val="none"/>
              </w:rPr>
            </w:r>
            <w:r/>
          </w:p>
        </w:tc>
        <w:tc>
          <w:tcPr>
            <w:tcW w:w="3380" w:type="dxa"/>
            <w:vAlign w:val="top"/>
            <w:textDirection w:val="lrTb"/>
            <w:noWrap w:val="false"/>
          </w:tcPr>
          <w:p>
            <w:pPr>
              <w:pStyle w:val="967"/>
              <w:rPr>
                <w:rFonts w:hint="eastAsia" w:ascii="宋体" w:hAnsi="宋体" w:cs="宋体"/>
                <w:sz w:val="28"/>
                <w:szCs w:val="24"/>
                <w:highlight w:val="none"/>
              </w:rPr>
            </w:pPr>
            <w:r>
              <w:rPr>
                <w:rFonts w:hint="eastAsia" w:ascii="宋体" w:hAnsi="宋体" w:cs="宋体"/>
                <w:sz w:val="28"/>
                <w:szCs w:val="24"/>
                <w:highlight w:val="none"/>
              </w:rPr>
            </w:r>
            <w:r/>
          </w:p>
        </w:tc>
        <w:tc>
          <w:tcPr>
            <w:tcW w:w="2270" w:type="dxa"/>
            <w:vAlign w:val="top"/>
            <w:textDirection w:val="lrTb"/>
            <w:noWrap w:val="false"/>
          </w:tcPr>
          <w:p>
            <w:pPr>
              <w:pStyle w:val="967"/>
              <w:rPr>
                <w:rFonts w:hint="eastAsia" w:ascii="宋体" w:hAnsi="宋体" w:cs="宋体"/>
                <w:sz w:val="28"/>
                <w:szCs w:val="24"/>
                <w:highlight w:val="none"/>
              </w:rPr>
            </w:pPr>
            <w:r>
              <w:rPr>
                <w:rFonts w:hint="eastAsia" w:ascii="宋体" w:hAnsi="宋体" w:cs="宋体"/>
                <w:sz w:val="28"/>
                <w:szCs w:val="24"/>
                <w:highlight w:val="none"/>
              </w:rPr>
            </w:r>
            <w:r/>
          </w:p>
        </w:tc>
      </w:tr>
      <w:tr>
        <w:trPr>
          <w:trHeight w:val="827"/>
        </w:trPr>
        <w:tc>
          <w:tcPr>
            <w:tcW w:w="603" w:type="dxa"/>
            <w:vAlign w:val="top"/>
            <w:textDirection w:val="lrTb"/>
            <w:noWrap w:val="false"/>
          </w:tcPr>
          <w:p>
            <w:pPr>
              <w:pStyle w:val="967"/>
              <w:jc w:val="center"/>
              <w:rPr>
                <w:rFonts w:hint="eastAsia" w:ascii="宋体" w:hAnsi="宋体" w:cs="宋体"/>
                <w:sz w:val="22"/>
                <w:szCs w:val="22"/>
                <w:highlight w:val="none"/>
              </w:rPr>
            </w:pPr>
            <w:r>
              <w:rPr>
                <w:rFonts w:hint="eastAsia" w:ascii="宋体" w:hAnsi="宋体" w:cs="宋体"/>
                <w:sz w:val="22"/>
                <w:szCs w:val="22"/>
                <w:highlight w:val="none"/>
              </w:rPr>
              <w:t xml:space="preserve">2</w:t>
            </w:r>
            <w:r>
              <w:rPr>
                <w:rFonts w:hint="eastAsia" w:ascii="宋体" w:hAnsi="宋体" w:cs="宋体"/>
                <w:sz w:val="22"/>
                <w:szCs w:val="22"/>
                <w:highlight w:val="none"/>
              </w:rPr>
            </w:r>
            <w:r/>
          </w:p>
        </w:tc>
        <w:tc>
          <w:tcPr>
            <w:tcW w:w="3225" w:type="dxa"/>
            <w:vAlign w:val="top"/>
            <w:textDirection w:val="lrTb"/>
            <w:noWrap w:val="false"/>
          </w:tcPr>
          <w:p>
            <w:pPr>
              <w:pStyle w:val="967"/>
              <w:rPr>
                <w:rFonts w:hint="eastAsia" w:ascii="宋体" w:hAnsi="宋体" w:cs="宋体"/>
                <w:sz w:val="28"/>
                <w:szCs w:val="24"/>
                <w:highlight w:val="none"/>
              </w:rPr>
            </w:pPr>
            <w:r>
              <w:rPr>
                <w:rFonts w:hint="eastAsia" w:ascii="宋体" w:hAnsi="宋体" w:cs="宋体"/>
                <w:sz w:val="28"/>
                <w:szCs w:val="24"/>
                <w:highlight w:val="none"/>
              </w:rPr>
            </w:r>
            <w:r/>
          </w:p>
        </w:tc>
        <w:tc>
          <w:tcPr>
            <w:tcW w:w="3380" w:type="dxa"/>
            <w:vAlign w:val="top"/>
            <w:textDirection w:val="lrTb"/>
            <w:noWrap w:val="false"/>
          </w:tcPr>
          <w:p>
            <w:pPr>
              <w:pStyle w:val="967"/>
              <w:rPr>
                <w:rFonts w:hint="eastAsia" w:ascii="宋体" w:hAnsi="宋体" w:cs="宋体"/>
                <w:sz w:val="28"/>
                <w:szCs w:val="24"/>
                <w:highlight w:val="none"/>
              </w:rPr>
            </w:pPr>
            <w:r>
              <w:rPr>
                <w:rFonts w:hint="eastAsia" w:ascii="宋体" w:hAnsi="宋体" w:cs="宋体"/>
                <w:sz w:val="28"/>
                <w:szCs w:val="24"/>
                <w:highlight w:val="none"/>
              </w:rPr>
            </w:r>
            <w:r/>
          </w:p>
        </w:tc>
        <w:tc>
          <w:tcPr>
            <w:tcW w:w="2270" w:type="dxa"/>
            <w:vAlign w:val="top"/>
            <w:textDirection w:val="lrTb"/>
            <w:noWrap w:val="false"/>
          </w:tcPr>
          <w:p>
            <w:pPr>
              <w:pStyle w:val="967"/>
              <w:rPr>
                <w:rFonts w:hint="eastAsia" w:ascii="宋体" w:hAnsi="宋体" w:cs="宋体"/>
                <w:sz w:val="28"/>
                <w:szCs w:val="24"/>
                <w:highlight w:val="none"/>
              </w:rPr>
            </w:pPr>
            <w:r>
              <w:rPr>
                <w:rFonts w:hint="eastAsia" w:ascii="宋体" w:hAnsi="宋体" w:cs="宋体"/>
                <w:sz w:val="28"/>
                <w:szCs w:val="24"/>
                <w:highlight w:val="none"/>
              </w:rPr>
            </w:r>
            <w:r/>
          </w:p>
        </w:tc>
      </w:tr>
      <w:tr>
        <w:trPr>
          <w:trHeight w:val="827"/>
        </w:trPr>
        <w:tc>
          <w:tcPr>
            <w:tcW w:w="603" w:type="dxa"/>
            <w:vAlign w:val="top"/>
            <w:textDirection w:val="lrTb"/>
            <w:noWrap w:val="false"/>
          </w:tcPr>
          <w:p>
            <w:pPr>
              <w:pStyle w:val="967"/>
              <w:jc w:val="center"/>
              <w:rPr>
                <w:rFonts w:hint="eastAsia" w:ascii="宋体" w:hAnsi="宋体" w:cs="宋体"/>
                <w:sz w:val="22"/>
                <w:szCs w:val="22"/>
                <w:highlight w:val="none"/>
              </w:rPr>
            </w:pPr>
            <w:r>
              <w:rPr>
                <w:rFonts w:hint="eastAsia" w:ascii="宋体" w:hAnsi="宋体" w:cs="宋体"/>
                <w:sz w:val="22"/>
                <w:szCs w:val="22"/>
                <w:highlight w:val="none"/>
              </w:rPr>
              <w:t xml:space="preserve">3</w:t>
            </w:r>
            <w:r>
              <w:rPr>
                <w:rFonts w:hint="eastAsia" w:ascii="宋体" w:hAnsi="宋体" w:cs="宋体"/>
                <w:sz w:val="22"/>
                <w:szCs w:val="22"/>
                <w:highlight w:val="none"/>
              </w:rPr>
            </w:r>
            <w:r/>
          </w:p>
        </w:tc>
        <w:tc>
          <w:tcPr>
            <w:tcW w:w="3225" w:type="dxa"/>
            <w:vAlign w:val="top"/>
            <w:textDirection w:val="lrTb"/>
            <w:noWrap w:val="false"/>
          </w:tcPr>
          <w:p>
            <w:pPr>
              <w:pStyle w:val="967"/>
              <w:rPr>
                <w:rFonts w:hint="eastAsia" w:ascii="宋体" w:hAnsi="宋体" w:cs="宋体"/>
                <w:sz w:val="28"/>
                <w:szCs w:val="24"/>
                <w:highlight w:val="none"/>
              </w:rPr>
            </w:pPr>
            <w:r>
              <w:rPr>
                <w:rFonts w:hint="eastAsia" w:ascii="宋体" w:hAnsi="宋体" w:cs="宋体"/>
                <w:sz w:val="28"/>
                <w:szCs w:val="24"/>
                <w:highlight w:val="none"/>
              </w:rPr>
            </w:r>
            <w:r/>
          </w:p>
        </w:tc>
        <w:tc>
          <w:tcPr>
            <w:tcW w:w="3380" w:type="dxa"/>
            <w:vAlign w:val="top"/>
            <w:textDirection w:val="lrTb"/>
            <w:noWrap w:val="false"/>
          </w:tcPr>
          <w:p>
            <w:pPr>
              <w:pStyle w:val="967"/>
              <w:rPr>
                <w:rFonts w:hint="eastAsia" w:ascii="宋体" w:hAnsi="宋体" w:cs="宋体"/>
                <w:sz w:val="28"/>
                <w:szCs w:val="24"/>
                <w:highlight w:val="none"/>
              </w:rPr>
            </w:pPr>
            <w:r>
              <w:rPr>
                <w:rFonts w:hint="eastAsia" w:ascii="宋体" w:hAnsi="宋体" w:cs="宋体"/>
                <w:sz w:val="28"/>
                <w:szCs w:val="24"/>
                <w:highlight w:val="none"/>
              </w:rPr>
            </w:r>
            <w:r/>
          </w:p>
        </w:tc>
        <w:tc>
          <w:tcPr>
            <w:tcW w:w="2270" w:type="dxa"/>
            <w:vAlign w:val="top"/>
            <w:textDirection w:val="lrTb"/>
            <w:noWrap w:val="false"/>
          </w:tcPr>
          <w:p>
            <w:pPr>
              <w:pStyle w:val="967"/>
              <w:rPr>
                <w:rFonts w:hint="eastAsia" w:ascii="宋体" w:hAnsi="宋体" w:cs="宋体"/>
                <w:sz w:val="28"/>
                <w:szCs w:val="24"/>
                <w:highlight w:val="none"/>
              </w:rPr>
            </w:pPr>
            <w:r>
              <w:rPr>
                <w:rFonts w:hint="eastAsia" w:ascii="宋体" w:hAnsi="宋体" w:cs="宋体"/>
                <w:sz w:val="28"/>
                <w:szCs w:val="24"/>
                <w:highlight w:val="none"/>
              </w:rPr>
            </w:r>
            <w:r/>
          </w:p>
        </w:tc>
      </w:tr>
      <w:tr>
        <w:trPr>
          <w:trHeight w:val="837"/>
        </w:trPr>
        <w:tc>
          <w:tcPr>
            <w:tcW w:w="603" w:type="dxa"/>
            <w:vAlign w:val="top"/>
            <w:textDirection w:val="lrTb"/>
            <w:noWrap w:val="false"/>
          </w:tcPr>
          <w:p>
            <w:pPr>
              <w:pStyle w:val="967"/>
              <w:jc w:val="center"/>
              <w:rPr>
                <w:rFonts w:hint="eastAsia" w:ascii="宋体" w:hAnsi="宋体" w:cs="宋体"/>
                <w:sz w:val="22"/>
                <w:szCs w:val="22"/>
                <w:highlight w:val="none"/>
              </w:rPr>
            </w:pPr>
            <w:r>
              <w:rPr>
                <w:rFonts w:hint="eastAsia" w:ascii="宋体" w:hAnsi="宋体" w:cs="宋体"/>
                <w:sz w:val="22"/>
                <w:szCs w:val="22"/>
                <w:highlight w:val="none"/>
              </w:rPr>
              <w:t xml:space="preserve">4</w:t>
            </w:r>
            <w:r>
              <w:rPr>
                <w:rFonts w:hint="eastAsia" w:ascii="宋体" w:hAnsi="宋体" w:cs="宋体"/>
                <w:sz w:val="22"/>
                <w:szCs w:val="22"/>
                <w:highlight w:val="none"/>
              </w:rPr>
            </w:r>
            <w:r/>
          </w:p>
        </w:tc>
        <w:tc>
          <w:tcPr>
            <w:tcW w:w="3225" w:type="dxa"/>
            <w:vAlign w:val="top"/>
            <w:textDirection w:val="lrTb"/>
            <w:noWrap w:val="false"/>
          </w:tcPr>
          <w:p>
            <w:pPr>
              <w:pStyle w:val="967"/>
              <w:rPr>
                <w:rFonts w:hint="eastAsia" w:ascii="宋体" w:hAnsi="宋体" w:cs="宋体"/>
                <w:sz w:val="28"/>
                <w:szCs w:val="24"/>
                <w:highlight w:val="none"/>
              </w:rPr>
            </w:pPr>
            <w:r>
              <w:rPr>
                <w:rFonts w:hint="eastAsia" w:ascii="宋体" w:hAnsi="宋体" w:cs="宋体"/>
                <w:sz w:val="28"/>
                <w:szCs w:val="24"/>
                <w:highlight w:val="none"/>
              </w:rPr>
            </w:r>
            <w:r/>
          </w:p>
        </w:tc>
        <w:tc>
          <w:tcPr>
            <w:tcW w:w="3380" w:type="dxa"/>
            <w:vAlign w:val="top"/>
            <w:textDirection w:val="lrTb"/>
            <w:noWrap w:val="false"/>
          </w:tcPr>
          <w:p>
            <w:pPr>
              <w:pStyle w:val="967"/>
              <w:rPr>
                <w:rFonts w:hint="eastAsia" w:ascii="宋体" w:hAnsi="宋体" w:cs="宋体"/>
                <w:sz w:val="28"/>
                <w:szCs w:val="24"/>
                <w:highlight w:val="none"/>
              </w:rPr>
            </w:pPr>
            <w:r>
              <w:rPr>
                <w:rFonts w:hint="eastAsia" w:ascii="宋体" w:hAnsi="宋体" w:cs="宋体"/>
                <w:sz w:val="28"/>
                <w:szCs w:val="24"/>
                <w:highlight w:val="none"/>
              </w:rPr>
            </w:r>
            <w:r/>
          </w:p>
        </w:tc>
        <w:tc>
          <w:tcPr>
            <w:tcW w:w="2270" w:type="dxa"/>
            <w:vAlign w:val="top"/>
            <w:textDirection w:val="lrTb"/>
            <w:noWrap w:val="false"/>
          </w:tcPr>
          <w:p>
            <w:pPr>
              <w:pStyle w:val="967"/>
              <w:rPr>
                <w:rFonts w:hint="eastAsia" w:ascii="宋体" w:hAnsi="宋体" w:cs="宋体"/>
                <w:sz w:val="28"/>
                <w:szCs w:val="24"/>
                <w:highlight w:val="none"/>
              </w:rPr>
            </w:pPr>
            <w:r>
              <w:rPr>
                <w:rFonts w:hint="eastAsia" w:ascii="宋体" w:hAnsi="宋体" w:cs="宋体"/>
                <w:sz w:val="28"/>
                <w:szCs w:val="24"/>
                <w:highlight w:val="none"/>
              </w:rPr>
            </w:r>
            <w:r/>
          </w:p>
        </w:tc>
      </w:tr>
    </w:tbl>
    <w:p>
      <w:pPr>
        <w:pStyle w:val="967"/>
        <w:ind w:firstLine="492"/>
        <w:jc w:val="right"/>
        <w:spacing w:line="460" w:lineRule="exact"/>
        <w:rPr>
          <w:rFonts w:hint="eastAsia" w:ascii="宋体" w:hAnsi="宋体" w:cs="宋体"/>
          <w:sz w:val="24"/>
          <w:highlight w:val="none"/>
        </w:rPr>
      </w:pPr>
      <w:r>
        <w:rPr>
          <w:rFonts w:hint="eastAsia" w:ascii="宋体" w:hAnsi="宋体" w:cs="宋体"/>
          <w:sz w:val="24"/>
          <w:highlight w:val="none"/>
        </w:rPr>
        <w:t xml:space="preserve"> 供应商：（加盖CA电子公章）</w:t>
      </w:r>
      <w:r>
        <w:rPr>
          <w:rFonts w:hint="eastAsia" w:ascii="宋体" w:hAnsi="宋体" w:cs="宋体"/>
          <w:sz w:val="24"/>
          <w:highlight w:val="none"/>
        </w:rPr>
      </w:r>
      <w:r/>
    </w:p>
    <w:p>
      <w:pPr>
        <w:pStyle w:val="967"/>
        <w:ind w:firstLine="420"/>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p>
      <w:pPr>
        <w:pStyle w:val="967"/>
        <w:jc w:val="right"/>
        <w:spacing w:after="120"/>
        <w:rPr>
          <w:rFonts w:hint="eastAsia" w:ascii="宋体" w:hAnsi="宋体" w:cs="宋体"/>
          <w:szCs w:val="22"/>
          <w:highlight w:val="none"/>
        </w:rPr>
      </w:pPr>
      <w:r>
        <w:rPr>
          <w:rFonts w:hint="eastAsia" w:ascii="宋体" w:hAnsi="宋体" w:cs="宋体"/>
          <w:sz w:val="24"/>
          <w:highlight w:val="none"/>
        </w:rPr>
        <w:t xml:space="preserve">   年</w:t>
      </w:r>
      <w:r>
        <w:rPr>
          <w:rFonts w:hint="eastAsia" w:ascii="宋体" w:hAnsi="宋体" w:cs="宋体"/>
          <w:sz w:val="24"/>
          <w:highlight w:val="none"/>
        </w:rPr>
        <w:tab/>
      </w:r>
      <w:r>
        <w:rPr>
          <w:rFonts w:hint="eastAsia" w:ascii="宋体" w:hAnsi="宋体" w:cs="宋体"/>
          <w:sz w:val="24"/>
          <w:highlight w:val="none"/>
        </w:rPr>
        <w:t xml:space="preserve"> 月 </w:t>
      </w:r>
      <w:r>
        <w:rPr>
          <w:rFonts w:hint="eastAsia" w:ascii="宋体" w:hAnsi="宋体" w:cs="宋体"/>
          <w:sz w:val="24"/>
          <w:highlight w:val="none"/>
        </w:rPr>
        <w:tab/>
      </w:r>
      <w:r>
        <w:rPr>
          <w:rFonts w:hint="eastAsia" w:ascii="宋体" w:hAnsi="宋体" w:cs="宋体"/>
          <w:sz w:val="24"/>
          <w:highlight w:val="none"/>
        </w:rPr>
        <w:t xml:space="preserve">日</w:t>
      </w:r>
      <w:r>
        <w:rPr>
          <w:rFonts w:hint="eastAsia" w:ascii="宋体" w:hAnsi="宋体" w:cs="宋体"/>
          <w:szCs w:val="22"/>
          <w:highlight w:val="none"/>
        </w:rPr>
      </w:r>
      <w:r/>
    </w:p>
    <w:p>
      <w:pPr>
        <w:pStyle w:val="967"/>
        <w:spacing w:before="34"/>
        <w:rPr>
          <w:rFonts w:hint="eastAsia" w:ascii="宋体" w:hAnsi="宋体" w:cs="宋体"/>
          <w:highlight w:val="none"/>
        </w:rPr>
      </w:pPr>
      <w:r>
        <w:rPr>
          <w:rFonts w:hint="eastAsia" w:ascii="宋体" w:hAnsi="宋体" w:cs="宋体"/>
          <w:highlight w:val="none"/>
        </w:rPr>
      </w:r>
      <w:r/>
    </w:p>
    <w:p>
      <w:pPr>
        <w:pStyle w:val="967"/>
        <w:spacing w:line="400" w:lineRule="exact"/>
        <w:rPr>
          <w:rFonts w:hint="eastAsia" w:ascii="宋体" w:hAnsi="宋体"/>
          <w:sz w:val="24"/>
          <w:szCs w:val="24"/>
          <w:highlight w:val="none"/>
        </w:rPr>
      </w:pPr>
      <w:r>
        <w:rPr>
          <w:rFonts w:hint="eastAsia" w:ascii="宋体" w:hAnsi="宋体"/>
          <w:sz w:val="24"/>
          <w:szCs w:val="24"/>
          <w:highlight w:val="none"/>
        </w:rPr>
        <w:t xml:space="preserve">附件8-1  证明材料1,证明材料2, ……</w:t>
      </w:r>
      <w:r>
        <w:rPr>
          <w:rFonts w:hint="eastAsia" w:ascii="宋体" w:hAnsi="宋体"/>
          <w:sz w:val="24"/>
          <w:szCs w:val="24"/>
          <w:highlight w:val="none"/>
        </w:rPr>
      </w:r>
      <w:r/>
    </w:p>
    <w:p>
      <w:pPr>
        <w:pStyle w:val="967"/>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967"/>
        <w:contextualSpacing/>
        <w:spacing w:line="360" w:lineRule="auto"/>
        <w:tabs>
          <w:tab w:val="left" w:pos="5325" w:leader="none"/>
        </w:tabs>
        <w:rPr>
          <w:rFonts w:hint="eastAsia" w:ascii="宋体" w:hAnsi="宋体" w:cs="宋体"/>
          <w:bCs/>
          <w:i/>
          <w:iCs/>
          <w:sz w:val="24"/>
          <w:szCs w:val="24"/>
          <w:highlight w:val="none"/>
          <w:lang w:val="zh-CN"/>
        </w:rPr>
      </w:pPr>
      <w:r>
        <w:rPr>
          <w:rFonts w:hint="eastAsia" w:ascii="宋体" w:hAnsi="宋体"/>
          <w:sz w:val="24"/>
          <w:szCs w:val="24"/>
          <w:highlight w:val="none"/>
        </w:rPr>
        <w:t xml:space="preserve">1.投标人必须</w:t>
      </w:r>
      <w:r>
        <w:rPr>
          <w:rFonts w:ascii="宋体" w:hAnsi="宋体"/>
          <w:sz w:val="24"/>
          <w:szCs w:val="24"/>
          <w:highlight w:val="none"/>
        </w:rPr>
        <w:t xml:space="preserve">对商务要求中的实质性要求</w:t>
      </w:r>
      <w:r>
        <w:rPr>
          <w:rFonts w:hint="eastAsia" w:ascii="宋体" w:hAnsi="宋体"/>
          <w:i/>
          <w:sz w:val="24"/>
          <w:szCs w:val="24"/>
          <w:highlight w:val="none"/>
          <w:u w:val="single"/>
        </w:rPr>
        <w:t xml:space="preserve">（加</w:t>
      </w:r>
      <w:r>
        <w:rPr>
          <w:rFonts w:ascii="宋体" w:hAnsi="宋体"/>
          <w:i/>
          <w:sz w:val="24"/>
          <w:szCs w:val="24"/>
          <w:highlight w:val="none"/>
          <w:u w:val="single"/>
        </w:rPr>
        <w:t xml:space="preserve">斜体下划线内容</w:t>
      </w:r>
      <w:r>
        <w:rPr>
          <w:rFonts w:hint="eastAsia" w:ascii="宋体" w:hAnsi="宋体"/>
          <w:i/>
          <w:sz w:val="24"/>
          <w:szCs w:val="24"/>
          <w:highlight w:val="none"/>
          <w:u w:val="singl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hint="eastAsia" w:ascii="宋体" w:hAnsi="宋体"/>
          <w:sz w:val="24"/>
          <w:highlight w:val="none"/>
        </w:rPr>
        <w:t xml:space="preserve">否则作无效投标处理（</w:t>
      </w:r>
      <w:r>
        <w:rPr>
          <w:rFonts w:hint="eastAsia" w:ascii="宋体" w:hAnsi="宋体" w:cs="宋体"/>
          <w:bCs/>
          <w:i/>
          <w:iCs/>
          <w:sz w:val="24"/>
          <w:szCs w:val="24"/>
          <w:highlight w:val="none"/>
          <w:lang w:val="zh-CN"/>
        </w:rPr>
        <w:t xml:space="preserve">商务部分实质性要求（请单独列出并加斜体下划线）</w:t>
      </w:r>
      <w:r>
        <w:rPr>
          <w:rFonts w:hint="eastAsia" w:ascii="宋体" w:hAnsi="宋体" w:cs="宋体"/>
          <w:bCs/>
          <w:i/>
          <w:iCs/>
          <w:sz w:val="24"/>
          <w:szCs w:val="24"/>
          <w:highlight w:val="none"/>
          <w:lang w:val="zh-CN"/>
        </w:rPr>
      </w:r>
      <w:r/>
    </w:p>
    <w:p>
      <w:pPr>
        <w:pStyle w:val="967"/>
        <w:contextualSpacing/>
        <w:spacing w:line="360" w:lineRule="auto"/>
        <w:tabs>
          <w:tab w:val="left" w:pos="5325" w:leader="none"/>
        </w:tabs>
        <w:rPr>
          <w:rFonts w:hint="eastAsia" w:ascii="宋体" w:hAnsi="宋体" w:cs="宋体"/>
          <w:sz w:val="24"/>
          <w:szCs w:val="24"/>
          <w:highlight w:val="none"/>
          <w:lang w:val="zh-CN"/>
        </w:rPr>
      </w:pPr>
      <w:r>
        <w:rPr>
          <w:rFonts w:hint="eastAsia" w:ascii="宋体" w:hAnsi="宋体" w:cs="宋体"/>
          <w:bCs/>
          <w:i/>
          <w:iCs/>
          <w:sz w:val="24"/>
          <w:szCs w:val="24"/>
          <w:highlight w:val="none"/>
          <w:u w:val="single"/>
        </w:rPr>
        <w:t xml:space="preserve">能够积极响应采购人的调试工作</w:t>
      </w:r>
      <w:r>
        <w:rPr>
          <w:rFonts w:hint="eastAsia" w:ascii="宋体" w:hAnsi="宋体" w:cs="宋体"/>
          <w:bCs/>
          <w:i/>
          <w:iCs/>
          <w:sz w:val="24"/>
          <w:szCs w:val="24"/>
          <w:highlight w:val="none"/>
          <w:u w:val="single"/>
          <w:lang w:val="zh-CN"/>
        </w:rPr>
        <w:t xml:space="preserve">（提供承诺函）</w:t>
      </w:r>
      <w:r>
        <w:rPr>
          <w:rFonts w:hint="eastAsia" w:ascii="宋体" w:hAnsi="宋体" w:cs="宋体"/>
          <w:bCs/>
          <w:i/>
          <w:iCs/>
          <w:sz w:val="24"/>
          <w:szCs w:val="24"/>
          <w:highlight w:val="none"/>
          <w:u w:val="single"/>
        </w:rPr>
        <w:t xml:space="preserve">；</w:t>
      </w:r>
      <w:r>
        <w:rPr>
          <w:rFonts w:hint="eastAsia" w:ascii="宋体" w:hAnsi="宋体" w:cs="宋体"/>
          <w:bCs/>
          <w:i/>
          <w:iCs/>
          <w:sz w:val="24"/>
          <w:szCs w:val="24"/>
          <w:highlight w:val="none"/>
          <w:u w:val="single"/>
          <w:lang w:val="zh-CN"/>
        </w:rPr>
        <w:t xml:space="preserve">在质保期内，若出现产品缺陷问题，必须在24小时内解决（提供承诺函）。</w:t>
      </w:r>
      <w:r>
        <w:rPr>
          <w:rFonts w:hint="eastAsia" w:ascii="宋体" w:hAnsi="宋体" w:cs="宋体"/>
          <w:sz w:val="24"/>
          <w:szCs w:val="24"/>
          <w:highlight w:val="none"/>
          <w:lang w:val="zh-CN"/>
        </w:rPr>
      </w:r>
      <w:r/>
    </w:p>
    <w:p>
      <w:pPr>
        <w:pStyle w:val="967"/>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投标人必须</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ascii="宋体" w:hAnsi="宋体"/>
          <w:sz w:val="24"/>
          <w:szCs w:val="24"/>
          <w:highlight w:val="none"/>
        </w:rPr>
      </w:r>
      <w:r/>
    </w:p>
    <w:p>
      <w:pPr>
        <w:pStyle w:val="967"/>
        <w:spacing w:line="400" w:lineRule="exact"/>
        <w:rPr>
          <w:rFonts w:hint="eastAsia" w:ascii="宋体" w:hAnsi="宋体"/>
          <w:sz w:val="24"/>
          <w:szCs w:val="24"/>
          <w:highlight w:val="none"/>
        </w:rPr>
      </w:pPr>
      <w:r>
        <w:rPr>
          <w:rFonts w:hint="eastAsia" w:ascii="宋体" w:hAnsi="宋体"/>
          <w:sz w:val="24"/>
          <w:szCs w:val="24"/>
          <w:highlight w:val="none"/>
        </w:rPr>
        <w:t xml:space="preserve">3.投标人未对实质性要求逐条作出明确响应的，或未按招标文件要求提供证明材料的，该分包作无效投标处理。</w:t>
      </w:r>
      <w:r>
        <w:rPr>
          <w:rFonts w:hint="eastAsia" w:ascii="宋体" w:hAnsi="宋体"/>
          <w:sz w:val="24"/>
          <w:szCs w:val="24"/>
          <w:highlight w:val="none"/>
        </w:rPr>
      </w:r>
      <w:r/>
    </w:p>
    <w:p>
      <w:pPr>
        <w:pStyle w:val="999"/>
        <w:ind w:left="105"/>
        <w:spacing w:before="42" w:line="221" w:lineRule="auto"/>
        <w:rPr>
          <w:rFonts w:hint="eastAsia" w:ascii="宋体" w:hAnsi="宋体" w:eastAsia="宋体" w:cs="宋体"/>
          <w:spacing w:val="14"/>
          <w:highlight w:val="none"/>
        </w:rPr>
      </w:pPr>
      <w:r>
        <w:rPr>
          <w:rFonts w:hint="eastAsia" w:ascii="宋体" w:hAnsi="宋体" w:eastAsia="宋体" w:cs="宋体"/>
          <w:spacing w:val="14"/>
          <w:highlight w:val="none"/>
        </w:rPr>
      </w:r>
      <w:r/>
    </w:p>
    <w:p>
      <w:pPr>
        <w:pStyle w:val="999"/>
        <w:ind w:left="105"/>
        <w:spacing w:before="42" w:line="221" w:lineRule="auto"/>
        <w:rPr>
          <w:rFonts w:hint="eastAsia" w:ascii="宋体" w:hAnsi="宋体" w:eastAsia="宋体" w:cs="宋体"/>
          <w:spacing w:val="14"/>
          <w:highlight w:val="none"/>
        </w:rPr>
      </w:pPr>
      <w:r>
        <w:rPr>
          <w:rFonts w:hint="eastAsia" w:ascii="宋体" w:hAnsi="宋体" w:eastAsia="宋体" w:cs="宋体"/>
          <w:spacing w:val="14"/>
          <w:highlight w:val="none"/>
        </w:rPr>
      </w:r>
      <w:r/>
    </w:p>
    <w:p>
      <w:pPr>
        <w:pStyle w:val="1093"/>
        <w:contextualSpacing/>
        <w:spacing w:line="360" w:lineRule="auto"/>
        <w:rPr>
          <w:highlight w:val="none"/>
        </w:rPr>
      </w:pPr>
      <w:r>
        <w:rPr>
          <w:rFonts w:cs="仿宋_GB2312"/>
          <w:sz w:val="32"/>
          <w:szCs w:val="32"/>
          <w:highlight w:val="none"/>
        </w:rPr>
        <w:br w:type="page" w:clear="all"/>
      </w:r>
      <w:r>
        <w:rPr>
          <w:rFonts w:hint="eastAsia" w:ascii="Times New Roman" w:hAnsi="Times New Roman" w:cs="Times New Roman"/>
          <w:b/>
          <w:bCs/>
          <w:highlight w:val="none"/>
        </w:rPr>
        <w:t xml:space="preserve">（三）商务技术文件</w:t>
      </w:r>
      <w:r>
        <w:rPr>
          <w:highlight w:val="none"/>
        </w:rPr>
      </w:r>
      <w:r/>
    </w:p>
    <w:p>
      <w:pPr>
        <w:pStyle w:val="967"/>
        <w:rPr>
          <w:rFonts w:ascii="宋体" w:hAnsi="宋体" w:cs="宋体"/>
          <w:sz w:val="28"/>
          <w:szCs w:val="28"/>
          <w:highlight w:val="none"/>
        </w:rPr>
      </w:pPr>
      <w:r>
        <w:rPr>
          <w:rFonts w:hint="eastAsia" w:ascii="宋体" w:hAnsi="宋体" w:cs="宋体"/>
          <w:sz w:val="28"/>
          <w:szCs w:val="28"/>
          <w:highlight w:val="none"/>
        </w:rPr>
        <w:t xml:space="preserve">详见第五章评分要求</w:t>
      </w:r>
      <w:r>
        <w:rPr>
          <w:rFonts w:ascii="宋体" w:hAnsi="宋体" w:cs="宋体"/>
          <w:sz w:val="28"/>
          <w:szCs w:val="28"/>
          <w:highlight w:val="none"/>
        </w:rPr>
      </w:r>
      <w:r/>
    </w:p>
    <w:p>
      <w:pPr>
        <w:pStyle w:val="1035"/>
        <w:ind w:firstLine="562"/>
        <w:rPr>
          <w:rFonts w:ascii="宋体" w:hAnsi="宋体" w:cs="仿宋_GB2312"/>
          <w:b/>
          <w:sz w:val="28"/>
          <w:szCs w:val="28"/>
          <w:highlight w:val="none"/>
          <w:lang w:bidi="ar"/>
        </w:rPr>
      </w:pPr>
      <w:r>
        <w:rPr>
          <w:rFonts w:ascii="宋体" w:hAnsi="宋体" w:cs="仿宋_GB2312"/>
          <w:b/>
          <w:sz w:val="28"/>
          <w:szCs w:val="28"/>
          <w:highlight w:val="none"/>
          <w:lang w:bidi="ar"/>
        </w:rPr>
      </w:r>
      <w:r/>
    </w:p>
    <w:p>
      <w:pPr>
        <w:pStyle w:val="967"/>
        <w:jc w:val="left"/>
        <w:spacing w:line="360" w:lineRule="auto"/>
        <w:widowControl/>
        <w:rPr>
          <w:rFonts w:ascii="宋体" w:hAnsi="宋体" w:cs="仿宋_GB2312"/>
          <w:b/>
          <w:sz w:val="28"/>
          <w:szCs w:val="28"/>
          <w:highlight w:val="none"/>
          <w:lang w:bidi="ar"/>
        </w:rPr>
      </w:pPr>
      <w:r>
        <w:rPr>
          <w:rFonts w:hint="eastAsia" w:ascii="宋体" w:hAnsi="宋体" w:cs="仿宋_GB2312"/>
          <w:b/>
          <w:sz w:val="28"/>
          <w:szCs w:val="28"/>
          <w:highlight w:val="none"/>
          <w:lang w:bidi="ar"/>
        </w:rPr>
        <w:t xml:space="preserve">（四）价格文件</w:t>
      </w:r>
      <w:r>
        <w:rPr>
          <w:rFonts w:ascii="宋体" w:hAnsi="宋体" w:cs="仿宋_GB2312"/>
          <w:b/>
          <w:sz w:val="28"/>
          <w:szCs w:val="28"/>
          <w:highlight w:val="none"/>
          <w:lang w:bidi="ar"/>
        </w:rPr>
      </w:r>
      <w:r/>
    </w:p>
    <w:p>
      <w:pPr>
        <w:pStyle w:val="999"/>
        <w:ind w:left="107"/>
        <w:spacing w:before="65" w:line="221" w:lineRule="auto"/>
        <w:rPr>
          <w:rFonts w:ascii="宋体" w:hAnsi="宋体" w:eastAsia="宋体" w:cs="宋体"/>
          <w:b/>
          <w:sz w:val="30"/>
          <w:szCs w:val="30"/>
          <w:highlight w:val="none"/>
        </w:rPr>
      </w:pPr>
      <w:r>
        <w:rPr>
          <w:rFonts w:hint="eastAsia" w:ascii="宋体" w:hAnsi="宋体" w:eastAsia="宋体" w:cs="宋体"/>
          <w:b/>
          <w:sz w:val="30"/>
          <w:szCs w:val="30"/>
          <w:highlight w:val="none"/>
        </w:rPr>
        <w:t xml:space="preserve">附件9</w:t>
      </w:r>
      <w:r>
        <w:rPr>
          <w:rFonts w:ascii="宋体" w:hAnsi="宋体" w:eastAsia="宋体" w:cs="宋体"/>
          <w:b/>
          <w:sz w:val="30"/>
          <w:szCs w:val="30"/>
          <w:highlight w:val="none"/>
        </w:rPr>
      </w:r>
      <w:r/>
    </w:p>
    <w:p>
      <w:pPr>
        <w:pStyle w:val="967"/>
        <w:jc w:val="left"/>
        <w:widowControl/>
        <w:rPr>
          <w:rFonts w:ascii="宋体" w:hAnsi="宋体" w:cs="仿宋_GB2312"/>
          <w:sz w:val="24"/>
          <w:szCs w:val="22"/>
          <w:highlight w:val="none"/>
          <w:u w:val="single"/>
        </w:rPr>
      </w:pPr>
      <w:r>
        <w:rPr>
          <w:rFonts w:ascii="宋体" w:hAnsi="宋体" w:cs="仿宋_GB2312"/>
          <w:sz w:val="24"/>
          <w:szCs w:val="22"/>
          <w:highlight w:val="none"/>
          <w:u w:val="single"/>
        </w:rPr>
      </w:r>
      <w:r/>
    </w:p>
    <w:p>
      <w:pPr>
        <w:pStyle w:val="967"/>
        <w:jc w:val="center"/>
        <w:spacing w:before="100" w:beforeAutospacing="1" w:after="100" w:afterAutospacing="1" w:line="500" w:lineRule="atLeast"/>
        <w:widowControl/>
        <w:rPr>
          <w:rFonts w:hint="eastAsia" w:ascii="宋体" w:hAnsi="宋体" w:cs="宋体"/>
          <w:sz w:val="32"/>
          <w:szCs w:val="32"/>
          <w:highlight w:val="none"/>
        </w:rPr>
      </w:pPr>
      <w:r>
        <w:rPr>
          <w:rFonts w:hint="eastAsia" w:ascii="宋体" w:hAnsi="宋体" w:cs="宋体"/>
          <w:b/>
          <w:bCs/>
          <w:sz w:val="32"/>
          <w:szCs w:val="32"/>
          <w:highlight w:val="none"/>
        </w:rPr>
        <w:t xml:space="preserve">开  标 一 览  表</w:t>
      </w:r>
      <w:r>
        <w:rPr>
          <w:rFonts w:hint="eastAsia" w:ascii="宋体" w:hAnsi="宋体" w:cs="宋体"/>
          <w:sz w:val="32"/>
          <w:szCs w:val="32"/>
          <w:highlight w:val="none"/>
        </w:rPr>
      </w:r>
      <w:r/>
    </w:p>
    <w:p>
      <w:pPr>
        <w:pStyle w:val="967"/>
        <w:rPr>
          <w:rFonts w:hint="eastAsia" w:ascii="宋体" w:hAnsi="宋体" w:cs="宋体"/>
          <w:sz w:val="28"/>
          <w:szCs w:val="28"/>
          <w:highlight w:val="none"/>
          <w:u w:val="single"/>
        </w:rPr>
      </w:pPr>
      <w:r>
        <w:rPr>
          <w:rFonts w:hint="eastAsia" w:ascii="宋体" w:hAnsi="宋体" w:cs="宋体"/>
          <w:sz w:val="28"/>
          <w:szCs w:val="28"/>
          <w:highlight w:val="none"/>
        </w:rPr>
        <w:t xml:space="preserve">投标人全称（加盖公章）：</w:t>
      </w:r>
      <w:r>
        <w:rPr>
          <w:rFonts w:hint="eastAsia" w:ascii="宋体" w:hAnsi="宋体" w:cs="宋体"/>
          <w:sz w:val="28"/>
          <w:szCs w:val="28"/>
          <w:highlight w:val="none"/>
          <w:u w:val="single"/>
        </w:rPr>
      </w:r>
      <w:r/>
    </w:p>
    <w:p>
      <w:pPr>
        <w:pStyle w:val="967"/>
        <w:rPr>
          <w:rFonts w:hint="eastAsia" w:ascii="宋体" w:hAnsi="宋体" w:cs="宋体"/>
          <w:sz w:val="28"/>
          <w:szCs w:val="28"/>
          <w:highlight w:val="none"/>
          <w:u w:val="single"/>
        </w:rPr>
      </w:pPr>
      <w:r>
        <w:rPr>
          <w:rFonts w:hint="eastAsia" w:ascii="宋体" w:hAnsi="宋体" w:cs="宋体"/>
          <w:sz w:val="28"/>
          <w:szCs w:val="28"/>
          <w:highlight w:val="none"/>
        </w:rPr>
        <w:t xml:space="preserve">项目名称：</w:t>
      </w:r>
      <w:r>
        <w:rPr>
          <w:rFonts w:hint="eastAsia" w:ascii="宋体" w:hAnsi="宋体" w:cs="宋体"/>
          <w:sz w:val="28"/>
          <w:szCs w:val="28"/>
          <w:highlight w:val="none"/>
          <w:u w:val="single"/>
        </w:rPr>
      </w:r>
      <w:r/>
    </w:p>
    <w:p>
      <w:pPr>
        <w:pStyle w:val="967"/>
        <w:rPr>
          <w:rFonts w:hint="eastAsia" w:ascii="宋体" w:hAnsi="宋体" w:cs="宋体"/>
          <w:sz w:val="28"/>
          <w:szCs w:val="28"/>
          <w:highlight w:val="none"/>
        </w:rPr>
      </w:pPr>
      <w:r>
        <w:rPr>
          <w:rFonts w:hint="eastAsia" w:ascii="宋体" w:hAnsi="宋体" w:cs="宋体"/>
          <w:sz w:val="28"/>
          <w:szCs w:val="28"/>
          <w:highlight w:val="none"/>
        </w:rPr>
        <w:t xml:space="preserve">项目编号： </w:t>
      </w:r>
      <w:r>
        <w:rPr>
          <w:rFonts w:hint="eastAsia" w:ascii="宋体" w:hAnsi="宋体" w:cs="宋体"/>
          <w:sz w:val="28"/>
          <w:szCs w:val="28"/>
          <w:highlight w:val="none"/>
        </w:rPr>
      </w:r>
      <w:r/>
    </w:p>
    <w:p>
      <w:pPr>
        <w:pStyle w:val="967"/>
        <w:rPr>
          <w:rFonts w:hint="eastAsia" w:ascii="宋体" w:hAnsi="宋体" w:cs="宋体"/>
          <w:sz w:val="28"/>
          <w:szCs w:val="28"/>
          <w:highlight w:val="none"/>
        </w:rPr>
      </w:pPr>
      <w:r>
        <w:rPr>
          <w:rFonts w:hint="eastAsia" w:ascii="宋体" w:hAnsi="宋体" w:cs="宋体"/>
          <w:sz w:val="28"/>
          <w:szCs w:val="28"/>
          <w:highlight w:val="none"/>
        </w:rPr>
        <w:t xml:space="preserve">分包号：</w:t>
      </w:r>
      <w:r>
        <w:rPr>
          <w:rFonts w:hint="eastAsia" w:ascii="宋体" w:hAnsi="宋体" w:cs="宋体"/>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967"/>
              <w:jc w:val="center"/>
              <w:rPr>
                <w:rFonts w:hint="eastAsia" w:ascii="宋体" w:hAnsi="宋体" w:cs="宋体"/>
                <w:szCs w:val="22"/>
                <w:highlight w:val="none"/>
              </w:rPr>
            </w:pPr>
            <w:r>
              <w:rPr>
                <w:rFonts w:hint="eastAsia" w:ascii="宋体" w:hAnsi="宋体" w:cs="宋体"/>
                <w:sz w:val="28"/>
                <w:szCs w:val="28"/>
                <w:highlight w:val="none"/>
              </w:rPr>
              <w:t xml:space="preserve">投标货物、服务名称</w:t>
            </w:r>
            <w:r>
              <w:rPr>
                <w:rFonts w:hint="eastAsia" w:ascii="宋体" w:hAnsi="宋体" w:cs="宋体"/>
                <w:szCs w:val="22"/>
                <w:highlight w:val="none"/>
              </w:rPr>
            </w:r>
            <w:r/>
          </w:p>
        </w:tc>
        <w:tc>
          <w:tcPr>
            <w:tcW w:w="4607" w:type="dxa"/>
            <w:vAlign w:val="top"/>
            <w:textDirection w:val="lrTb"/>
            <w:noWrap w:val="false"/>
          </w:tcPr>
          <w:p>
            <w:pPr>
              <w:pStyle w:val="967"/>
              <w:jc w:val="center"/>
              <w:rPr>
                <w:rFonts w:hint="eastAsia" w:ascii="宋体" w:hAnsi="宋体" w:cs="宋体"/>
                <w:szCs w:val="22"/>
                <w:highlight w:val="none"/>
              </w:rPr>
            </w:pPr>
            <w:r>
              <w:rPr>
                <w:rFonts w:hint="eastAsia" w:ascii="宋体" w:hAnsi="宋体" w:cs="宋体"/>
                <w:sz w:val="28"/>
                <w:szCs w:val="28"/>
                <w:highlight w:val="none"/>
              </w:rPr>
              <w:t xml:space="preserve">投标总报价</w:t>
            </w:r>
            <w:r>
              <w:rPr>
                <w:rFonts w:hint="eastAsia" w:ascii="宋体" w:hAnsi="宋体" w:cs="宋体"/>
                <w:szCs w:val="22"/>
                <w:highlight w:val="none"/>
              </w:rPr>
            </w:r>
            <w:r/>
          </w:p>
        </w:tc>
      </w:tr>
      <w:tr>
        <w:trPr>
          <w:trHeight w:val="1091"/>
        </w:trPr>
        <w:tc>
          <w:tcPr>
            <w:tcW w:w="4148" w:type="dxa"/>
            <w:vAlign w:val="top"/>
            <w:textDirection w:val="lrTb"/>
            <w:noWrap w:val="false"/>
          </w:tcPr>
          <w:p>
            <w:pPr>
              <w:pStyle w:val="967"/>
              <w:rPr>
                <w:rFonts w:hint="eastAsia" w:ascii="宋体" w:hAnsi="宋体" w:cs="宋体"/>
                <w:szCs w:val="22"/>
                <w:highlight w:val="none"/>
              </w:rPr>
            </w:pPr>
            <w:r>
              <w:rPr>
                <w:rFonts w:hint="eastAsia" w:ascii="宋体" w:hAnsi="宋体" w:cs="宋体"/>
                <w:szCs w:val="22"/>
                <w:highlight w:val="none"/>
              </w:rPr>
            </w:r>
            <w:r/>
          </w:p>
        </w:tc>
        <w:tc>
          <w:tcPr>
            <w:tcW w:w="4607" w:type="dxa"/>
            <w:vAlign w:val="top"/>
            <w:textDirection w:val="lrTb"/>
            <w:noWrap w:val="false"/>
          </w:tcPr>
          <w:p>
            <w:pPr>
              <w:pStyle w:val="967"/>
              <w:rPr>
                <w:rFonts w:hint="eastAsia" w:ascii="宋体" w:hAnsi="宋体" w:cs="宋体"/>
                <w:sz w:val="28"/>
                <w:szCs w:val="28"/>
                <w:highlight w:val="none"/>
              </w:rPr>
            </w:pPr>
            <w:r>
              <w:rPr>
                <w:rFonts w:hint="eastAsia" w:ascii="宋体" w:hAnsi="宋体" w:cs="宋体"/>
                <w:sz w:val="28"/>
                <w:szCs w:val="28"/>
                <w:highlight w:val="none"/>
              </w:rPr>
              <w:t xml:space="preserve">大写：</w:t>
            </w:r>
            <w:r>
              <w:rPr>
                <w:rFonts w:hint="eastAsia" w:ascii="宋体" w:hAnsi="宋体" w:cs="宋体"/>
                <w:sz w:val="28"/>
                <w:szCs w:val="28"/>
                <w:highlight w:val="none"/>
              </w:rPr>
            </w:r>
            <w:r/>
          </w:p>
          <w:p>
            <w:pPr>
              <w:pStyle w:val="967"/>
              <w:rPr>
                <w:rFonts w:hint="eastAsia" w:ascii="宋体" w:hAnsi="宋体" w:cs="宋体"/>
                <w:szCs w:val="22"/>
                <w:highlight w:val="none"/>
                <w:u w:val="single"/>
              </w:rPr>
            </w:pPr>
            <w:r>
              <w:rPr>
                <w:rFonts w:hint="eastAsia" w:ascii="宋体" w:hAnsi="宋体" w:cs="宋体"/>
                <w:sz w:val="28"/>
                <w:szCs w:val="28"/>
                <w:highlight w:val="none"/>
              </w:rPr>
              <w:t xml:space="preserve">小写：元（人民币）</w:t>
            </w:r>
            <w:r>
              <w:rPr>
                <w:rFonts w:hint="eastAsia" w:ascii="宋体" w:hAnsi="宋体" w:cs="宋体"/>
                <w:szCs w:val="22"/>
                <w:highlight w:val="none"/>
                <w:u w:val="single"/>
              </w:rPr>
            </w:r>
            <w:r/>
          </w:p>
        </w:tc>
      </w:tr>
      <w:tr>
        <w:trPr/>
        <w:tc>
          <w:tcPr>
            <w:tcW w:w="4148" w:type="dxa"/>
            <w:vAlign w:val="top"/>
            <w:textDirection w:val="lrTb"/>
            <w:noWrap w:val="false"/>
          </w:tcPr>
          <w:p>
            <w:pPr>
              <w:pStyle w:val="967"/>
              <w:rPr>
                <w:rFonts w:hint="eastAsia" w:ascii="宋体" w:hAnsi="宋体" w:cs="宋体"/>
                <w:szCs w:val="22"/>
                <w:highlight w:val="none"/>
              </w:rPr>
            </w:pPr>
            <w:r>
              <w:rPr>
                <w:rFonts w:hint="eastAsia" w:ascii="宋体" w:hAnsi="宋体" w:cs="宋体"/>
                <w:sz w:val="28"/>
                <w:szCs w:val="28"/>
                <w:highlight w:val="none"/>
              </w:rPr>
              <w:t xml:space="preserve">主要货物、服务制造商及产地</w:t>
            </w:r>
            <w:r>
              <w:rPr>
                <w:rFonts w:hint="eastAsia" w:ascii="宋体" w:hAnsi="宋体" w:cs="宋体"/>
                <w:szCs w:val="22"/>
                <w:highlight w:val="none"/>
              </w:rPr>
            </w:r>
            <w:r/>
          </w:p>
        </w:tc>
        <w:tc>
          <w:tcPr>
            <w:tcW w:w="4607" w:type="dxa"/>
            <w:vAlign w:val="top"/>
            <w:textDirection w:val="lrTb"/>
            <w:noWrap w:val="false"/>
          </w:tcPr>
          <w:p>
            <w:pPr>
              <w:pStyle w:val="967"/>
              <w:rPr>
                <w:rFonts w:hint="eastAsia" w:ascii="宋体" w:hAnsi="宋体" w:cs="宋体"/>
                <w:szCs w:val="22"/>
                <w:highlight w:val="none"/>
              </w:rPr>
            </w:pPr>
            <w:r>
              <w:rPr>
                <w:rFonts w:hint="eastAsia" w:ascii="宋体" w:hAnsi="宋体" w:cs="宋体"/>
                <w:szCs w:val="22"/>
                <w:highlight w:val="none"/>
              </w:rPr>
            </w:r>
            <w:r/>
          </w:p>
        </w:tc>
      </w:tr>
      <w:tr>
        <w:trPr>
          <w:trHeight w:val="481"/>
        </w:trPr>
        <w:tc>
          <w:tcPr>
            <w:tcW w:w="4148" w:type="dxa"/>
            <w:vAlign w:val="top"/>
            <w:textDirection w:val="lrTb"/>
            <w:noWrap w:val="false"/>
          </w:tcPr>
          <w:p>
            <w:pPr>
              <w:pStyle w:val="967"/>
              <w:rPr>
                <w:rFonts w:hint="eastAsia" w:ascii="宋体" w:hAnsi="宋体" w:cs="宋体"/>
                <w:szCs w:val="22"/>
                <w:highlight w:val="none"/>
              </w:rPr>
            </w:pPr>
            <w:r>
              <w:rPr>
                <w:rFonts w:hint="eastAsia" w:ascii="宋体" w:hAnsi="宋体" w:cs="宋体"/>
                <w:szCs w:val="22"/>
                <w:highlight w:val="none"/>
              </w:rPr>
            </w:r>
            <w:r/>
          </w:p>
        </w:tc>
        <w:tc>
          <w:tcPr>
            <w:tcW w:w="4607" w:type="dxa"/>
            <w:vAlign w:val="top"/>
            <w:textDirection w:val="lrTb"/>
            <w:noWrap w:val="false"/>
          </w:tcPr>
          <w:p>
            <w:pPr>
              <w:pStyle w:val="967"/>
              <w:rPr>
                <w:rFonts w:hint="eastAsia" w:ascii="宋体" w:hAnsi="宋体" w:cs="宋体"/>
                <w:szCs w:val="22"/>
                <w:highlight w:val="none"/>
              </w:rPr>
            </w:pPr>
            <w:r>
              <w:rPr>
                <w:rFonts w:hint="eastAsia" w:ascii="宋体" w:hAnsi="宋体" w:cs="宋体"/>
                <w:szCs w:val="22"/>
                <w:highlight w:val="none"/>
              </w:rPr>
            </w:r>
            <w:r/>
          </w:p>
        </w:tc>
      </w:tr>
    </w:tbl>
    <w:p>
      <w:pPr>
        <w:pStyle w:val="967"/>
        <w:rPr>
          <w:rFonts w:hint="eastAsia" w:ascii="宋体" w:hAnsi="宋体" w:cs="宋体"/>
          <w:sz w:val="28"/>
          <w:szCs w:val="28"/>
          <w:highlight w:val="none"/>
        </w:rPr>
      </w:pPr>
      <w:r>
        <w:rPr>
          <w:rFonts w:hint="eastAsia" w:ascii="宋体" w:hAnsi="宋体" w:cs="宋体"/>
          <w:sz w:val="28"/>
          <w:szCs w:val="28"/>
          <w:highlight w:val="none"/>
        </w:rPr>
        <w:t xml:space="preserve">日期：</w:t>
      </w:r>
      <w:r>
        <w:rPr>
          <w:rFonts w:hint="eastAsia" w:ascii="宋体" w:hAnsi="宋体" w:cs="宋体"/>
          <w:sz w:val="28"/>
          <w:szCs w:val="28"/>
          <w:highlight w:val="none"/>
        </w:rPr>
      </w:r>
      <w:r/>
    </w:p>
    <w:p>
      <w:pPr>
        <w:pStyle w:val="967"/>
        <w:rPr>
          <w:rFonts w:hint="eastAsia" w:ascii="宋体" w:hAnsi="宋体" w:cs="宋体"/>
          <w:sz w:val="28"/>
          <w:szCs w:val="28"/>
          <w:highlight w:val="none"/>
        </w:rPr>
      </w:pPr>
      <w:r>
        <w:rPr>
          <w:rFonts w:hint="eastAsia" w:ascii="宋体" w:hAnsi="宋体" w:cs="宋体"/>
          <w:sz w:val="28"/>
          <w:szCs w:val="28"/>
          <w:highlight w:val="none"/>
        </w:rPr>
        <w:t xml:space="preserve">填写说明：</w:t>
      </w:r>
      <w:r>
        <w:rPr>
          <w:rFonts w:hint="eastAsia" w:ascii="宋体" w:hAnsi="宋体" w:cs="宋体"/>
          <w:sz w:val="28"/>
          <w:szCs w:val="28"/>
          <w:highlight w:val="none"/>
        </w:rPr>
      </w:r>
      <w:r/>
    </w:p>
    <w:p>
      <w:pPr>
        <w:pStyle w:val="967"/>
        <w:rPr>
          <w:rFonts w:hint="eastAsia" w:ascii="宋体" w:hAnsi="宋体" w:cs="宋体"/>
          <w:sz w:val="28"/>
          <w:szCs w:val="28"/>
          <w:highlight w:val="none"/>
        </w:rPr>
      </w:pPr>
      <w:r>
        <w:rPr>
          <w:rFonts w:hint="eastAsia" w:ascii="宋体" w:hAnsi="宋体" w:cs="宋体"/>
          <w:sz w:val="28"/>
          <w:szCs w:val="28"/>
          <w:highlight w:val="none"/>
        </w:rPr>
        <w:t xml:space="preserve">1、开标一览表必须加盖投标单位公章（复印件无效）。</w:t>
      </w:r>
      <w:r>
        <w:rPr>
          <w:rFonts w:hint="eastAsia" w:ascii="宋体" w:hAnsi="宋体" w:cs="宋体"/>
          <w:sz w:val="28"/>
          <w:szCs w:val="28"/>
          <w:highlight w:val="none"/>
        </w:rPr>
      </w:r>
      <w:r/>
    </w:p>
    <w:p>
      <w:pPr>
        <w:pStyle w:val="967"/>
        <w:rPr>
          <w:rFonts w:hint="eastAsia" w:ascii="宋体" w:hAnsi="宋体" w:cs="宋体"/>
          <w:sz w:val="28"/>
          <w:szCs w:val="28"/>
          <w:highlight w:val="none"/>
        </w:rPr>
      </w:pPr>
      <w:r>
        <w:rPr>
          <w:rFonts w:hint="eastAsia" w:ascii="宋体" w:hAnsi="宋体" w:cs="宋体"/>
          <w:sz w:val="28"/>
          <w:szCs w:val="28"/>
          <w:highlight w:val="none"/>
        </w:rPr>
        <w:t xml:space="preserve">2、如有分包，投标人投任何一个包的标的，都需单独填写开标一览表。</w:t>
      </w:r>
      <w:r>
        <w:rPr>
          <w:rFonts w:hint="eastAsia" w:ascii="宋体" w:hAnsi="宋体" w:cs="宋体"/>
          <w:sz w:val="28"/>
          <w:szCs w:val="28"/>
          <w:highlight w:val="none"/>
        </w:rPr>
      </w:r>
      <w:r/>
    </w:p>
    <w:p>
      <w:pPr>
        <w:pStyle w:val="967"/>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967"/>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967"/>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999"/>
        <w:spacing w:before="65" w:line="221"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br w:type="page" w:clear="all"/>
      </w:r>
      <w:r>
        <w:rPr>
          <w:rFonts w:hint="eastAsia" w:ascii="宋体" w:hAnsi="宋体" w:eastAsia="宋体" w:cs="宋体"/>
          <w:b/>
          <w:sz w:val="30"/>
          <w:szCs w:val="30"/>
          <w:highlight w:val="none"/>
        </w:rPr>
        <w:t xml:space="preserve">附件10</w:t>
      </w:r>
      <w:r>
        <w:rPr>
          <w:rFonts w:hint="eastAsia" w:ascii="宋体" w:hAnsi="宋体" w:eastAsia="宋体" w:cs="宋体"/>
          <w:b/>
          <w:bCs/>
          <w:sz w:val="32"/>
          <w:szCs w:val="32"/>
          <w:highlight w:val="none"/>
        </w:rPr>
      </w:r>
      <w:r/>
    </w:p>
    <w:p>
      <w:pPr>
        <w:pStyle w:val="967"/>
        <w:jc w:val="center"/>
        <w:spacing w:line="400" w:lineRule="exact"/>
        <w:rPr>
          <w:rFonts w:hint="eastAsia" w:ascii="宋体" w:hAnsi="宋体" w:cs="宋体"/>
          <w:b/>
          <w:bCs/>
          <w:sz w:val="32"/>
          <w:szCs w:val="32"/>
          <w:highlight w:val="none"/>
        </w:rPr>
      </w:pPr>
      <w:r>
        <w:rPr>
          <w:rFonts w:hint="eastAsia" w:ascii="宋体" w:hAnsi="宋体" w:cs="宋体"/>
          <w:b/>
          <w:bCs/>
          <w:sz w:val="32"/>
          <w:szCs w:val="32"/>
          <w:highlight w:val="none"/>
        </w:rPr>
        <w:t xml:space="preserve">分项报价明细表（货物类）</w:t>
      </w:r>
      <w:r>
        <w:rPr>
          <w:rFonts w:hint="eastAsia" w:ascii="宋体" w:hAnsi="宋体" w:cs="宋体"/>
          <w:b/>
          <w:bCs/>
          <w:sz w:val="32"/>
          <w:szCs w:val="32"/>
          <w:highlight w:val="none"/>
        </w:rPr>
      </w:r>
      <w:r/>
    </w:p>
    <w:p>
      <w:pPr>
        <w:pStyle w:val="967"/>
        <w:rPr>
          <w:rFonts w:hint="eastAsia" w:ascii="宋体" w:hAnsi="宋体" w:cs="宋体"/>
          <w:sz w:val="28"/>
          <w:szCs w:val="28"/>
          <w:highlight w:val="none"/>
          <w:u w:val="single"/>
        </w:rPr>
      </w:pPr>
      <w:r>
        <w:rPr>
          <w:rFonts w:hint="eastAsia" w:ascii="宋体" w:hAnsi="宋体" w:cs="宋体"/>
          <w:sz w:val="28"/>
          <w:szCs w:val="28"/>
          <w:highlight w:val="none"/>
        </w:rPr>
        <w:t xml:space="preserve">投标人全称（加盖公章）：</w:t>
      </w:r>
      <w:r>
        <w:rPr>
          <w:rFonts w:hint="eastAsia" w:ascii="宋体" w:hAnsi="宋体" w:cs="宋体"/>
          <w:sz w:val="28"/>
          <w:szCs w:val="28"/>
          <w:highlight w:val="none"/>
          <w:u w:val="single"/>
        </w:rPr>
      </w:r>
      <w:r/>
    </w:p>
    <w:p>
      <w:pPr>
        <w:pStyle w:val="967"/>
        <w:rPr>
          <w:rFonts w:hint="eastAsia" w:ascii="宋体" w:hAnsi="宋体" w:cs="宋体"/>
          <w:sz w:val="28"/>
          <w:szCs w:val="28"/>
          <w:highlight w:val="none"/>
          <w:u w:val="single"/>
        </w:rPr>
      </w:pPr>
      <w:r>
        <w:rPr>
          <w:rFonts w:hint="eastAsia" w:ascii="宋体" w:hAnsi="宋体" w:cs="宋体"/>
          <w:sz w:val="28"/>
          <w:szCs w:val="28"/>
          <w:highlight w:val="none"/>
        </w:rPr>
        <w:t xml:space="preserve">项目名称：</w:t>
      </w:r>
      <w:r>
        <w:rPr>
          <w:rFonts w:hint="eastAsia" w:ascii="宋体" w:hAnsi="宋体" w:cs="宋体"/>
          <w:sz w:val="28"/>
          <w:szCs w:val="28"/>
          <w:highlight w:val="none"/>
          <w:u w:val="single"/>
        </w:rPr>
      </w:r>
      <w:r/>
    </w:p>
    <w:p>
      <w:pPr>
        <w:pStyle w:val="967"/>
        <w:rPr>
          <w:rFonts w:hint="eastAsia" w:ascii="宋体" w:hAnsi="宋体" w:cs="宋体"/>
          <w:sz w:val="28"/>
          <w:szCs w:val="28"/>
          <w:highlight w:val="none"/>
        </w:rPr>
      </w:pPr>
      <w:r>
        <w:rPr>
          <w:rFonts w:hint="eastAsia" w:ascii="宋体" w:hAnsi="宋体" w:cs="宋体"/>
          <w:sz w:val="28"/>
          <w:szCs w:val="28"/>
          <w:highlight w:val="none"/>
        </w:rPr>
        <w:t xml:space="preserve">项目编号：</w:t>
      </w:r>
      <w:r>
        <w:rPr>
          <w:rFonts w:hint="eastAsia" w:ascii="宋体" w:hAnsi="宋体" w:cs="宋体"/>
          <w:sz w:val="28"/>
          <w:szCs w:val="28"/>
          <w:highlight w:val="none"/>
        </w:rPr>
      </w:r>
      <w:r/>
    </w:p>
    <w:p>
      <w:pPr>
        <w:pStyle w:val="1088"/>
        <w:ind w:firstLine="0"/>
        <w:spacing w:line="300" w:lineRule="auto"/>
        <w:rPr>
          <w:rFonts w:hint="eastAsia" w:ascii="宋体" w:eastAsia="宋体" w:cs="宋体"/>
          <w:sz w:val="28"/>
          <w:highlight w:val="none"/>
        </w:rPr>
      </w:pPr>
      <w:r>
        <w:rPr>
          <w:rFonts w:hint="eastAsia" w:ascii="宋体" w:eastAsia="宋体" w:cs="宋体"/>
          <w:sz w:val="28"/>
          <w:highlight w:val="none"/>
        </w:rPr>
        <w:t xml:space="preserve">分包号：</w:t>
      </w:r>
      <w:r>
        <w:rPr>
          <w:rFonts w:hint="eastAsia" w:ascii="宋体" w:eastAsia="宋体" w:cs="宋体"/>
          <w:sz w:val="28"/>
          <w:highlight w:val="none"/>
        </w:rPr>
      </w:r>
      <w:r/>
    </w:p>
    <w:tbl>
      <w:tblPr>
        <w:tblW w:w="108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2"/>
        <w:gridCol w:w="1304"/>
        <w:gridCol w:w="1888"/>
        <w:gridCol w:w="3152"/>
        <w:gridCol w:w="709"/>
        <w:gridCol w:w="709"/>
        <w:gridCol w:w="709"/>
        <w:gridCol w:w="850"/>
        <w:gridCol w:w="958"/>
      </w:tblGrid>
      <w:tr>
        <w:trPr>
          <w:trHeight w:val="397" w:hRule="exact"/>
        </w:trPr>
        <w:tc>
          <w:tcPr>
            <w:tcW w:w="602"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t xml:space="preserve">序号</w:t>
            </w:r>
            <w:r>
              <w:rPr>
                <w:rFonts w:hint="eastAsia" w:ascii="宋体" w:hAnsi="宋体" w:cs="等线"/>
                <w:sz w:val="18"/>
                <w:szCs w:val="18"/>
                <w:highlight w:val="none"/>
              </w:rPr>
            </w:r>
            <w:r/>
          </w:p>
        </w:tc>
        <w:tc>
          <w:tcPr>
            <w:tcW w:w="1304"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t xml:space="preserve">工程名称</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t xml:space="preserve">产品名称</w:t>
            </w:r>
            <w:r>
              <w:rPr>
                <w:rFonts w:hint="eastAsia" w:ascii="宋体" w:hAnsi="宋体" w:cs="等线"/>
                <w:sz w:val="18"/>
                <w:szCs w:val="18"/>
                <w:highlight w:val="none"/>
              </w:rPr>
            </w:r>
            <w:r/>
          </w:p>
        </w:tc>
        <w:tc>
          <w:tcPr>
            <w:tcW w:w="3152"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t xml:space="preserve">规格型号</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t xml:space="preserve">单位</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t xml:space="preserve">数量</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t xml:space="preserve">单价</w:t>
            </w: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t xml:space="preserve">总金额</w:t>
            </w:r>
            <w:r>
              <w:rPr>
                <w:rFonts w:hint="eastAsia" w:ascii="宋体" w:hAnsi="宋体" w:cs="等线"/>
                <w:sz w:val="18"/>
                <w:szCs w:val="18"/>
                <w:highlight w:val="none"/>
              </w:rPr>
            </w:r>
            <w:r/>
          </w:p>
        </w:tc>
        <w:tc>
          <w:tcPr>
            <w:tcW w:w="95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t xml:space="preserve">小计（元）</w:t>
            </w: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滨江国际街区揽江路（中心路——崇川路）道路照明工程</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B型(12米单挑带卡槽/120W/滨江)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restart"/>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12米单挑不带卡槽/120W/滨江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27</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3</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A型(12米单挑/标志牌L6/120W/滨江)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B-1型(12米单挑/信号灯L6/120W/滨江)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5</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B-2型(12米单挑/信号灯L4/120W/滨江)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B-3型(12米单挑/信号灯L6/120W/滨江)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7</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综合杆C型(12米单挑/监控L6/120W/滨江)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7</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8</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C型(12米投光灯带卡槽/2*120W/滨江)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9</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滨江国际街区中心路（洪江路——沿河路）道路照明工程</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A型(10米双挑不带卡槽/120W+60W/滨江)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restart"/>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10</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A型(10米双挑不带卡槽/160W+60W/滨江)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7</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11</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B型(10米双挑带卡槽/160W+60W/滨江)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A型(10米双挑/标志牌3L6/160W+60W/滨江)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13</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B-1型(10米双挑/信号灯L8/160W+60W/滨江)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B-2型(10米双挑/信号灯L10/160W+60W /滨江)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15</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C-1型(10米双挑/监控L8/160W+60W/滨江)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C-2型(10米双挑/监控L6/120W+60W/滨江)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17</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C型(12米2火投光灯/带卡槽/2*280W/滨江)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18</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滨江国际街区沿河路（长江路——中心路）道路照明工程</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12米单挑不带卡槽/160W/滨江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7</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restart"/>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19</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B型(12米单挑带卡槽/160W/滨江)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20</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A型(12米单挑/标志牌3L6/160W/滨江)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21</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B-1型(12米单挑/信号灯L4/160W/滨江)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22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B-2型(12米单挑/信号灯L8/160W/滨江)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23</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C型(12米单挑/监控L10/160W/滨江)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24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C型(12米3火投光灯/带卡槽/3*280W/滨江)</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25</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崇川路南侧规划路道路照明工程</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灯杆(含灯架)</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10m单臂</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根</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restart"/>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26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灯杆(含灯架)</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12m投光灯杆</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根</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27</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LED路灯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100W(暖白)</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28</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LED投光(泛光)灯具</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200W</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29</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桃园路北侧规划路道路照明工程</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灯杆(含灯架)</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8m单臂</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根</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restart"/>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30</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灯杆(含灯架)</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12m投光灯杆</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根</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31</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LED路灯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100W(暖白)</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32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LED投光(泛光)灯具</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200W</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33</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经十一路(幸福路--幸余路)照明工程</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灯杆(含灯架)</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12米单挑路灯</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30</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restart"/>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34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LED路灯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90W（暖白）</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30</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35</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LED投光(泛光)灯具</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200W（3000K）</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36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LED投光(泛光)灯具</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280W（3000K）</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37</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12米双火</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根</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38</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14米三火</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根</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39</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纬十一路(经十一路-通京大道)道路照明工程</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灯杆(含灯架)</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12米单挑路灯</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根</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restart"/>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40</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LED路灯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路灯12W LED</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41</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LED投光(泛光)灯具</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200W（3000K）</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42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12米双火</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43</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经十一路东侧规划路(幸福路-纬十一路)道路照明工程</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灯杆(含灯架)</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12米单挑</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根</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7</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restart"/>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44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LED路灯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12W LED</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7</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45</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LED投光(泛光)灯具</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200W（3000K）</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46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12米双火</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sz w:val="18"/>
                <w:szCs w:val="18"/>
                <w:highlight w:val="none"/>
              </w:rPr>
            </w:pPr>
            <w:r>
              <w:rPr>
                <w:highlight w:val="none"/>
              </w:rPr>
              <w:t xml:space="preserve">47</w:t>
            </w:r>
            <w:r>
              <w:rPr>
                <w:rFonts w:hint="eastAsia" w:ascii="宋体" w:hAnsi="宋体"/>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任港湾和五龙汇纬七路道路照明工程</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普通杆</w:t>
            </w:r>
            <w:r>
              <w:rPr>
                <w:rFonts w:hint="eastAsia" w:ascii="宋体" w:hAnsi="宋体"/>
                <w:sz w:val="18"/>
                <w:szCs w:val="18"/>
                <w:highlight w:val="none"/>
              </w:rPr>
            </w:r>
            <w:r/>
          </w:p>
        </w:tc>
        <w:tc>
          <w:tcPr>
            <w:tcW w:w="3152" w:type="dxa"/>
            <w:vAlign w:val="center"/>
            <w:textDirection w:val="lrTb"/>
            <w:noWrap w:val="false"/>
          </w:tcPr>
          <w:p>
            <w:pPr>
              <w:pStyle w:val="967"/>
              <w:jc w:val="left"/>
              <w:rPr>
                <w:rFonts w:hint="eastAsia" w:ascii="宋体" w:hAnsi="宋体"/>
                <w:sz w:val="18"/>
                <w:szCs w:val="18"/>
                <w:highlight w:val="none"/>
              </w:rPr>
            </w:pPr>
            <w:r>
              <w:rPr>
                <w:rFonts w:hint="eastAsia" w:ascii="宋体" w:hAnsi="宋体"/>
                <w:sz w:val="18"/>
                <w:szCs w:val="18"/>
                <w:highlight w:val="none"/>
              </w:rPr>
              <w:t xml:space="preserve">10m单挑带卡槽/LED90W/纬七路</w:t>
            </w:r>
            <w:r>
              <w:rPr>
                <w:rFonts w:hint="eastAsia" w:ascii="宋体" w:hAnsi="宋体"/>
                <w:sz w:val="18"/>
                <w:szCs w:val="18"/>
                <w:highlight w:val="none"/>
              </w:rPr>
            </w:r>
            <w:r/>
          </w:p>
        </w:tc>
        <w:tc>
          <w:tcPr>
            <w:tcW w:w="709"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套</w:t>
            </w:r>
            <w:r>
              <w:rPr>
                <w:rFonts w:hint="eastAsia" w:ascii="宋体" w:hAnsi="宋体"/>
                <w:sz w:val="18"/>
                <w:szCs w:val="18"/>
                <w:highlight w:val="none"/>
              </w:rPr>
            </w:r>
            <w:r/>
          </w:p>
        </w:tc>
        <w:tc>
          <w:tcPr>
            <w:tcW w:w="709"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15</w:t>
            </w:r>
            <w:r>
              <w:rPr>
                <w:rFonts w:hint="eastAsia" w:ascii="宋体" w:hAnsi="宋体"/>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restart"/>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sz w:val="18"/>
                <w:szCs w:val="18"/>
                <w:highlight w:val="none"/>
              </w:rPr>
            </w:pPr>
            <w:r>
              <w:rPr>
                <w:highlight w:val="none"/>
              </w:rPr>
              <w:t xml:space="preserve">48</w:t>
            </w:r>
            <w:r>
              <w:rPr>
                <w:rFonts w:hint="eastAsia" w:ascii="宋体" w:hAnsi="宋体"/>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投光灯</w:t>
            </w:r>
            <w:r>
              <w:rPr>
                <w:rFonts w:hint="eastAsia" w:ascii="宋体" w:hAnsi="宋体"/>
                <w:sz w:val="18"/>
                <w:szCs w:val="18"/>
                <w:highlight w:val="none"/>
              </w:rPr>
            </w:r>
            <w:r/>
          </w:p>
        </w:tc>
        <w:tc>
          <w:tcPr>
            <w:tcW w:w="3152" w:type="dxa"/>
            <w:vAlign w:val="center"/>
            <w:textDirection w:val="lrTb"/>
            <w:noWrap w:val="false"/>
          </w:tcPr>
          <w:p>
            <w:pPr>
              <w:pStyle w:val="967"/>
              <w:jc w:val="left"/>
              <w:rPr>
                <w:rFonts w:hint="eastAsia" w:ascii="宋体" w:hAnsi="宋体"/>
                <w:sz w:val="18"/>
                <w:szCs w:val="18"/>
                <w:highlight w:val="none"/>
              </w:rPr>
            </w:pPr>
            <w:r>
              <w:rPr>
                <w:rFonts w:hint="eastAsia" w:ascii="宋体" w:hAnsi="宋体"/>
                <w:sz w:val="18"/>
                <w:szCs w:val="18"/>
                <w:highlight w:val="none"/>
              </w:rPr>
              <w:t xml:space="preserve">12m双火投光灯-LED200W</w:t>
            </w:r>
            <w:r>
              <w:rPr>
                <w:rFonts w:hint="eastAsia" w:ascii="宋体" w:hAnsi="宋体"/>
                <w:sz w:val="18"/>
                <w:szCs w:val="18"/>
                <w:highlight w:val="none"/>
              </w:rPr>
            </w:r>
            <w:r/>
          </w:p>
        </w:tc>
        <w:tc>
          <w:tcPr>
            <w:tcW w:w="709"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套</w:t>
            </w:r>
            <w:r>
              <w:rPr>
                <w:rFonts w:hint="eastAsia" w:ascii="宋体" w:hAnsi="宋体"/>
                <w:sz w:val="18"/>
                <w:szCs w:val="18"/>
                <w:highlight w:val="none"/>
              </w:rPr>
            </w:r>
            <w:r/>
          </w:p>
        </w:tc>
        <w:tc>
          <w:tcPr>
            <w:tcW w:w="709"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2</w:t>
            </w:r>
            <w:r>
              <w:rPr>
                <w:rFonts w:hint="eastAsia" w:ascii="宋体" w:hAnsi="宋体"/>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49</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安达路下穿铁路通道照明工程</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14米投光灯/3*240W/火车站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6</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restart"/>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50</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10m双挑带卡槽/120W+60W/火车站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19</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51</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10m双挑带卡槽/电警L8/120W+60W/火车站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52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10m双挑带卡槽/标志牌3L5.2/120W+60W/火车站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53</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9m单挑带卡槽/60W/火车站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16</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54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隧道灯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60W </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48</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55</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隧道灯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30W</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48</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56</w:t>
            </w:r>
            <w:r>
              <w:rPr>
                <w:rFonts w:hint="eastAsia" w:ascii="宋体" w:hAnsi="宋体" w:cs="等线"/>
                <w:sz w:val="18"/>
                <w:szCs w:val="18"/>
                <w:highlight w:val="none"/>
              </w:rPr>
            </w:r>
            <w:r/>
          </w:p>
        </w:tc>
        <w:tc>
          <w:tcPr>
            <w:tcW w:w="1304" w:type="dxa"/>
            <w:vAlign w:val="center"/>
            <w:vMerge w:val="restart"/>
            <w:textDirection w:val="lrTb"/>
            <w:noWrap w:val="false"/>
          </w:tcPr>
          <w:p>
            <w:pPr>
              <w:pStyle w:val="967"/>
              <w:rPr>
                <w:rFonts w:hint="eastAsia" w:ascii="宋体" w:hAnsi="宋体" w:cs="等线"/>
                <w:sz w:val="18"/>
                <w:szCs w:val="18"/>
                <w:highlight w:val="none"/>
              </w:rPr>
            </w:pPr>
            <w:r>
              <w:rPr>
                <w:rFonts w:hint="eastAsia" w:ascii="宋体" w:hAnsi="宋体"/>
                <w:sz w:val="18"/>
                <w:szCs w:val="18"/>
                <w:highlight w:val="none"/>
              </w:rPr>
              <w:t xml:space="preserve">友谊路下穿铁路通道照明工程</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10m双挑带卡槽/120W+60W/火车站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27</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restart"/>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57</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10m双挑带卡槽/电警L10/120W+60W/火车站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58</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10m双挑带卡槽/标志牌3L5.2/120W+60W/火车站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59</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10m单挑带卡槽/160W/火车站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5</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60</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10m单挑带卡槽/标志牌2L4.5/160W/火车站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61</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9m单挑带卡槽/60W/火车站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9</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62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14米投光灯/3*240W/火车站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63</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隧道灯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60W </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44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64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隧道灯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30W</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44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65</w:t>
            </w:r>
            <w:r>
              <w:rPr>
                <w:rFonts w:hint="eastAsia" w:ascii="宋体" w:hAnsi="宋体" w:cs="等线"/>
                <w:sz w:val="18"/>
                <w:szCs w:val="18"/>
                <w:highlight w:val="none"/>
              </w:rPr>
            </w:r>
            <w:r/>
          </w:p>
        </w:tc>
        <w:tc>
          <w:tcPr>
            <w:tcW w:w="1304" w:type="dxa"/>
            <w:vAlign w:val="center"/>
            <w:vMerge w:val="restart"/>
            <w:textDirection w:val="lrTb"/>
            <w:noWrap w:val="false"/>
          </w:tcPr>
          <w:p>
            <w:pPr>
              <w:pStyle w:val="967"/>
              <w:rPr>
                <w:rFonts w:hint="eastAsia" w:ascii="宋体" w:hAnsi="宋体" w:cs="等线"/>
                <w:sz w:val="18"/>
                <w:szCs w:val="18"/>
                <w:highlight w:val="none"/>
              </w:rPr>
            </w:pPr>
            <w:r>
              <w:rPr>
                <w:rFonts w:hint="eastAsia" w:ascii="宋体" w:hAnsi="宋体"/>
                <w:sz w:val="18"/>
                <w:szCs w:val="18"/>
                <w:highlight w:val="none"/>
              </w:rPr>
              <w:t xml:space="preserve">石桥路下穿铁路通道工程</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10m双挑带卡槽/120W+60W/火车站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39</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restart"/>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66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10m双挑带卡槽/电警L8 /120W+60W/火车站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67</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10m双挑带卡槽/标志牌3L5.2/120W+60W/火车站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68</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12米投光灯/2*240W/火车站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69</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14米投光灯/3*240W/火车站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70</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隧道灯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60W</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18</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71</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隧道灯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30W</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18</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72</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火车站综合客运枢纽一期照明工程{站西路}</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B06（12m双挑带卡槽/电警L8/120W+60W/火车站）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restart"/>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73</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E01（12m双挑带卡槽/标志牌2L4.5 /120W+60W/火车站）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74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E02（12m单挑带卡槽/标志牌2L4.5/60W/火车站）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75</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D02（12m双挑带卡槽/标志牌2L4/120W+60W/火车站）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76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D01（12m单挑带卡槽/标志牌2L4/60W/火车站）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77</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F02（12m双挑带卡槽/120W+60W/火车站）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78</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F01（12m单挑带卡槽/60W/火车站）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79</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14米投光灯/3*200W/火车站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80</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火车站综合客运枢纽一期照明工程{站东路} </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B05（12m单挑带卡槽/电警L8/60W/火车站）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restart"/>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81</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E01（12m双挑带卡槽/标志牌2L4.5/120W+60W/火车站）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82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E02（12m单挑带卡槽/标志牌2L4.5/60W/火车站）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83</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D02（12m双挑带卡槽/标志牌2L4 /120W+60W/火车站）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84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D01（12m单挑带卡槽/标志牌2L4 /60W/火车站）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85</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F02（12m双挑带卡槽/120W+60W/火车站）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86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F01（12m单挑带卡槽/60W/火车站）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87</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14米投光灯/3*200W/火车站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88</w:t>
            </w:r>
            <w:r>
              <w:rPr>
                <w:rFonts w:hint="eastAsia" w:ascii="宋体" w:hAnsi="宋体" w:cs="等线"/>
                <w:sz w:val="18"/>
                <w:szCs w:val="18"/>
                <w:highlight w:val="none"/>
              </w:rPr>
            </w:r>
            <w:r/>
          </w:p>
        </w:tc>
        <w:tc>
          <w:tcPr>
            <w:tcW w:w="1304" w:type="dxa"/>
            <w:vAlign w:val="center"/>
            <w:vMerge w:val="restart"/>
            <w:textDirection w:val="lrTb"/>
            <w:noWrap w:val="false"/>
          </w:tcPr>
          <w:p>
            <w:pPr>
              <w:pStyle w:val="967"/>
              <w:rPr>
                <w:rFonts w:hint="eastAsia" w:ascii="宋体" w:hAnsi="宋体" w:cs="等线"/>
                <w:sz w:val="18"/>
                <w:szCs w:val="18"/>
                <w:highlight w:val="none"/>
              </w:rPr>
            </w:pPr>
            <w:r>
              <w:rPr>
                <w:rFonts w:hint="eastAsia" w:ascii="宋体" w:hAnsi="宋体"/>
                <w:sz w:val="18"/>
                <w:szCs w:val="18"/>
                <w:highlight w:val="none"/>
              </w:rPr>
              <w:t xml:space="preserve">火车站综合客运枢纽一期照明工程{顺达路（幸福大道~经九路）}</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A02（12m双挑带卡槽/信号灯L8/120W+60W/火车站）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restart"/>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89</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A02（12m双挑带卡槽/信号灯L8/160W+60W/火车站）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90</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B07（12m双挑带卡槽/电警L10+4/160W+60W/火车站）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91</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B08（12m双挑带卡槽/电警L12+4/120W+60W/火车站）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92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B08（12m双挑带卡槽/电警L12+4/160W+60W/火车站）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93</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B09（12m双挑带卡槽/电警L4+4/160W+60W/火车站）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94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C02（12m双挑带卡槽/标志牌3L5.2/120W+60W/火车站）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95</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C02（12m双挑带卡槽/标志牌3L5.2/160W+60W/火车站）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96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D02（12m双挑带卡槽/标志牌2L4/120W+60W/火车站）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97</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D02（12m双挑带卡槽/标志牌2L4/160W+60W/火车站）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98</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F02（12m双挑带卡槽/120W+60W/火车站）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16</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99</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F02（12m双挑带卡槽/160W+60W/火车站）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100</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14米投光灯/3*200W/火车站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8</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101</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A01（12m单挑带卡槽/信号灯L8 /160W/火车站）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102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A01（12m单挑带卡槽/信号灯L8/200W/火车站）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103</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A02（12m双挑带卡槽/信号灯L8/120W+60W/火车站）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104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A02（12m双挑带卡槽/信号灯L8/200W+60W/火车站）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105</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B01（12m单挑带卡槽/电警L12/160W/火车站）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106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B04（12m单挑带卡槽/电警L16/200W/火车站）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107</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B09（12m双挑带卡槽/电警L4+4/120W+60W/火车站）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108</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B09（12m双挑带卡槽/电警L4+4/200W+60W/火车站）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109</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C01（12m单挑带卡槽/标志牌3L5.2/160W/火车站）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110</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C01（12m单挑带卡槽/标志牌3L5.2/200W/火车站）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111</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F01（12m单挑带卡槽/160W/火车站）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7</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112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F01（12m单挑带卡槽/200W/火车站）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113</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F02（12m双挑带卡槽/90W+60W/火车站）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114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F02（12m双挑带卡槽/120W+60W/火车站）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9</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115</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F02（12m双挑带卡槽/200W+60W/火车站）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116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14米投光灯/3*200W/火车站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5</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117</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火车站综合客运枢纽一期照明工程{站北路}</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F01（12m单挑带卡槽/60W/火车站）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5</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restart"/>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118</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14米投光灯/3*200W/火车站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6</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119</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B10（14m中杆带卡槽/电警L6 /投光灯3*200W/火车站）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120</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灯杆(含灯架)</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9m单臂/120W/火车站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121</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护栏灯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6W</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150</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122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吸顶灯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60W</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43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123</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A01（12m单挑带卡槽/信号灯L8 /60W/火车站）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124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B02（12m双挑带卡槽/电警L12 /90W+60W/火车站）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125</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B03（10m单挑带卡槽/电警L10/60W/火车站）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126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C01（12m单挑带卡槽/标志牌3L5.2 /120W/火车站）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127</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C03（10m单挑带卡槽/标志牌3L5.2/60W/火车站）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128</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D03（10m单挑带卡槽/标志牌2L4 /60W/火车站）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129</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E03（10m单挑带卡槽/标志牌2L4.5 /90W/火车站）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130</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E04（12m单臂带卡槽/标志牌2L2.745+3 /60W/火车站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131</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E05（12m双臂带卡槽/标志牌2L2.745+3 /90W+60W/火车站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132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A03（14m中杆带卡槽/信号灯L3 /投光灯3*200W/火车站）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133</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综合杆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B10（14m中杆带卡槽/电警L6/投光灯3*200W/火车站）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134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F01（12m单挑带卡槽/60W/火车站）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15</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135</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F01（12m单挑带卡槽/120W/火车站）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136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F02（12m双挑带卡槽/90W+60W/火车站）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137</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F03（10m单挑带卡槽/60W/火车站）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17</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138</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普通杆</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F03（10m单挑带卡槽/90W/火车站）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139</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灯杆(含灯架)</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12m单臂</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杆</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6</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140</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LED路灯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160W(暖白)</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6</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141</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投光灯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14米投光灯/3*200W/火车站</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7</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pPr>
            <w:r>
              <w:rPr>
                <w:highlight w:val="none"/>
              </w:rPr>
              <w:t xml:space="preserve">142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护栏灯</w:t>
            </w:r>
            <w:r>
              <w:rPr>
                <w:rFonts w:hint="eastAsia" w:ascii="宋体" w:hAnsi="宋体" w:cs="等线"/>
                <w:sz w:val="18"/>
                <w:szCs w:val="18"/>
                <w:highlight w:val="none"/>
              </w:rPr>
            </w:r>
            <w:r/>
          </w:p>
        </w:tc>
        <w:tc>
          <w:tcPr>
            <w:tcW w:w="3152"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sz w:val="18"/>
                <w:szCs w:val="18"/>
                <w:highlight w:val="none"/>
              </w:rPr>
              <w:t xml:space="preserve">6W</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套</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sz w:val="18"/>
                <w:szCs w:val="18"/>
                <w:highlight w:val="none"/>
              </w:rPr>
              <w:t xml:space="preserve">530</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c>
          <w:tcPr>
            <w:tcW w:w="958" w:type="dxa"/>
            <w:vAlign w:val="center"/>
            <w:vMerge w:val="continue"/>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397" w:hRule="exact"/>
        </w:trPr>
        <w:tc>
          <w:tcPr>
            <w:gridSpan w:val="2"/>
            <w:tcW w:w="1906"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t xml:space="preserve">合计</w:t>
            </w:r>
            <w:r>
              <w:rPr>
                <w:rFonts w:hint="eastAsia" w:ascii="宋体" w:hAnsi="宋体" w:cs="等线"/>
                <w:sz w:val="18"/>
                <w:szCs w:val="18"/>
                <w:highlight w:val="none"/>
              </w:rPr>
            </w:r>
            <w:r/>
          </w:p>
        </w:tc>
        <w:tc>
          <w:tcPr>
            <w:gridSpan w:val="5"/>
            <w:tcW w:w="7167" w:type="dxa"/>
            <w:vAlign w:val="center"/>
            <w:textDirection w:val="lrTb"/>
            <w:noWrap w:val="false"/>
          </w:tcPr>
          <w:p>
            <w:pPr>
              <w:pStyle w:val="967"/>
              <w:jc w:val="left"/>
              <w:rPr>
                <w:rFonts w:hint="eastAsia" w:ascii="宋体" w:hAnsi="宋体" w:cs="等线"/>
                <w:sz w:val="18"/>
                <w:szCs w:val="18"/>
                <w:highlight w:val="none"/>
              </w:rPr>
            </w:pPr>
            <w:r>
              <w:rPr>
                <w:rFonts w:hint="eastAsia" w:ascii="宋体" w:hAnsi="宋体" w:cs="等线"/>
                <w:sz w:val="18"/>
                <w:szCs w:val="18"/>
                <w:highlight w:val="none"/>
              </w:rPr>
              <w:t xml:space="preserve">（大写）</w:t>
            </w:r>
            <w:r>
              <w:rPr>
                <w:rFonts w:hint="eastAsia" w:ascii="宋体" w:hAnsi="宋体" w:cs="等线"/>
                <w:sz w:val="18"/>
                <w:szCs w:val="18"/>
                <w:highlight w:val="none"/>
              </w:rPr>
            </w:r>
            <w:r/>
          </w:p>
        </w:tc>
        <w:tc>
          <w:tcPr>
            <w:gridSpan w:val="2"/>
            <w:tcW w:w="1808"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r>
            <w:r/>
          </w:p>
        </w:tc>
      </w:tr>
      <w:tr>
        <w:trPr>
          <w:trHeight w:val="1990" w:hRule="exact"/>
        </w:trPr>
        <w:tc>
          <w:tcPr>
            <w:tcW w:w="602" w:type="dxa"/>
            <w:vAlign w:val="center"/>
            <w:textDirection w:val="lrTb"/>
            <w:noWrap w:val="false"/>
          </w:tcPr>
          <w:p>
            <w:pPr>
              <w:pStyle w:val="967"/>
              <w:jc w:val="center"/>
              <w:rPr>
                <w:rFonts w:hint="eastAsia" w:ascii="宋体" w:hAnsi="宋体" w:cs="等线"/>
                <w:sz w:val="18"/>
                <w:szCs w:val="18"/>
                <w:highlight w:val="none"/>
              </w:rPr>
            </w:pPr>
            <w:r>
              <w:rPr>
                <w:rFonts w:hint="eastAsia" w:ascii="宋体" w:hAnsi="宋体" w:cs="等线"/>
                <w:sz w:val="18"/>
                <w:szCs w:val="18"/>
                <w:highlight w:val="none"/>
              </w:rPr>
              <w:t xml:space="preserve">备注</w:t>
            </w:r>
            <w:r>
              <w:rPr>
                <w:rFonts w:hint="eastAsia" w:ascii="宋体" w:hAnsi="宋体" w:cs="等线"/>
                <w:sz w:val="18"/>
                <w:szCs w:val="18"/>
                <w:highlight w:val="none"/>
              </w:rPr>
            </w:r>
            <w:r/>
          </w:p>
        </w:tc>
        <w:tc>
          <w:tcPr>
            <w:gridSpan w:val="7"/>
            <w:tcW w:w="9321" w:type="dxa"/>
            <w:vAlign w:val="center"/>
            <w:textDirection w:val="lrTb"/>
            <w:noWrap w:val="false"/>
          </w:tcPr>
          <w:p>
            <w:pPr>
              <w:pStyle w:val="967"/>
              <w:rPr>
                <w:rFonts w:hint="eastAsia" w:ascii="宋体" w:hAnsi="宋体" w:cs="等线"/>
                <w:sz w:val="18"/>
                <w:szCs w:val="18"/>
                <w:highlight w:val="none"/>
              </w:rPr>
            </w:pPr>
            <w:r>
              <w:rPr>
                <w:rFonts w:hint="eastAsia" w:ascii="宋体" w:hAnsi="宋体" w:cs="等线"/>
                <w:sz w:val="18"/>
                <w:szCs w:val="18"/>
                <w:highlight w:val="none"/>
              </w:rPr>
              <w:t xml:space="preserve">1.报价表中应含清单明细（灯具壳体、LED可调光电源、模组等）报价单。</w:t>
            </w:r>
            <w:r>
              <w:rPr>
                <w:rFonts w:hint="eastAsia" w:ascii="宋体" w:hAnsi="宋体" w:cs="等线"/>
                <w:sz w:val="18"/>
                <w:szCs w:val="18"/>
                <w:highlight w:val="none"/>
              </w:rPr>
            </w:r>
            <w:r/>
          </w:p>
          <w:p>
            <w:pPr>
              <w:pStyle w:val="967"/>
              <w:rPr>
                <w:rFonts w:ascii="宋体" w:hAnsi="宋体" w:cs="等线"/>
                <w:sz w:val="18"/>
                <w:szCs w:val="18"/>
                <w:highlight w:val="none"/>
              </w:rPr>
            </w:pPr>
            <w:r>
              <w:rPr>
                <w:rFonts w:hint="eastAsia" w:ascii="宋体" w:hAnsi="宋体" w:cs="等线"/>
                <w:sz w:val="18"/>
                <w:szCs w:val="18"/>
                <w:highlight w:val="none"/>
              </w:rPr>
              <w:t xml:space="preserve">2.灯杆含瓷插板等附件，灯杆门内需要有规格型号、合格标志、生产厂家的永久标识。</w:t>
            </w:r>
            <w:r>
              <w:rPr>
                <w:rFonts w:ascii="宋体" w:hAnsi="宋体" w:cs="等线"/>
                <w:sz w:val="18"/>
                <w:szCs w:val="18"/>
                <w:highlight w:val="none"/>
              </w:rPr>
            </w:r>
            <w:r/>
          </w:p>
          <w:p>
            <w:pPr>
              <w:pStyle w:val="967"/>
              <w:rPr>
                <w:rFonts w:hint="eastAsia" w:ascii="宋体" w:hAnsi="宋体" w:cs="等线"/>
                <w:sz w:val="18"/>
                <w:szCs w:val="18"/>
                <w:highlight w:val="none"/>
              </w:rPr>
            </w:pPr>
            <w:r>
              <w:rPr>
                <w:rFonts w:hint="eastAsia" w:ascii="宋体" w:hAnsi="宋体" w:cs="等线"/>
                <w:sz w:val="18"/>
                <w:szCs w:val="18"/>
                <w:highlight w:val="none"/>
              </w:rPr>
              <w:t xml:space="preserve">3.LED灯具采用NEMA接口，单灯控制器由需方提供，供方采用接口必须完全适配。</w:t>
            </w:r>
            <w:r>
              <w:rPr>
                <w:rFonts w:hint="eastAsia" w:ascii="宋体" w:hAnsi="宋体" w:cs="等线"/>
                <w:sz w:val="18"/>
                <w:szCs w:val="18"/>
                <w:highlight w:val="none"/>
              </w:rPr>
            </w:r>
            <w:r/>
          </w:p>
          <w:p>
            <w:pPr>
              <w:pStyle w:val="967"/>
              <w:rPr>
                <w:rFonts w:hint="eastAsia" w:ascii="宋体" w:hAnsi="宋体" w:cs="等线"/>
                <w:sz w:val="18"/>
                <w:szCs w:val="18"/>
                <w:highlight w:val="none"/>
              </w:rPr>
            </w:pPr>
            <w:r>
              <w:rPr>
                <w:rFonts w:hint="eastAsia" w:ascii="宋体" w:hAnsi="宋体" w:cs="等线"/>
                <w:sz w:val="18"/>
                <w:szCs w:val="18"/>
                <w:highlight w:val="none"/>
              </w:rPr>
              <w:t xml:space="preserve">4.由于市政工程的特殊性，如遇施工延期导致供货期延长的，供货单位必须考虑适当风险成本，并列入投标报价中。</w:t>
            </w:r>
            <w:r>
              <w:rPr>
                <w:rFonts w:hint="eastAsia" w:ascii="宋体" w:hAnsi="宋体" w:cs="等线"/>
                <w:sz w:val="18"/>
                <w:szCs w:val="18"/>
                <w:highlight w:val="none"/>
              </w:rPr>
            </w:r>
            <w:r/>
          </w:p>
          <w:p>
            <w:pPr>
              <w:pStyle w:val="967"/>
              <w:rPr>
                <w:rFonts w:hint="eastAsia" w:ascii="宋体" w:hAnsi="宋体" w:cs="等线"/>
                <w:sz w:val="18"/>
                <w:szCs w:val="18"/>
                <w:highlight w:val="none"/>
              </w:rPr>
            </w:pPr>
            <w:r>
              <w:rPr>
                <w:rFonts w:hint="eastAsia" w:ascii="宋体" w:hAnsi="宋体" w:cs="等线"/>
                <w:sz w:val="18"/>
                <w:szCs w:val="18"/>
                <w:highlight w:val="none"/>
              </w:rPr>
              <w:t xml:space="preserve">5.灯型、电源，根据工程实际变化进行调整，最终按实际供货数量为准。</w:t>
            </w:r>
            <w:r>
              <w:rPr>
                <w:rFonts w:hint="eastAsia" w:ascii="宋体" w:hAnsi="宋体" w:cs="等线"/>
                <w:sz w:val="18"/>
                <w:szCs w:val="18"/>
                <w:highlight w:val="none"/>
              </w:rPr>
            </w:r>
            <w:r/>
          </w:p>
          <w:p>
            <w:pPr>
              <w:pStyle w:val="967"/>
              <w:widowControl/>
              <w:rPr>
                <w:rFonts w:hint="eastAsia" w:ascii="宋体" w:hAnsi="宋体" w:cs="等线"/>
                <w:sz w:val="18"/>
                <w:szCs w:val="18"/>
                <w:highlight w:val="none"/>
              </w:rPr>
            </w:pPr>
            <w:r>
              <w:rPr>
                <w:rFonts w:hint="eastAsia" w:ascii="宋体" w:hAnsi="宋体" w:cs="等线"/>
                <w:sz w:val="18"/>
                <w:szCs w:val="18"/>
                <w:highlight w:val="none"/>
              </w:rPr>
              <w:t xml:space="preserve">6.根据需方实际需要进行生产安排，合同签订后安排生产数量。</w:t>
            </w:r>
            <w:r>
              <w:rPr>
                <w:rFonts w:hint="eastAsia" w:ascii="宋体" w:hAnsi="宋体" w:cs="等线"/>
                <w:sz w:val="18"/>
                <w:szCs w:val="18"/>
                <w:highlight w:val="none"/>
              </w:rPr>
            </w:r>
            <w:r/>
          </w:p>
        </w:tc>
        <w:tc>
          <w:tcPr>
            <w:tcW w:w="958" w:type="dxa"/>
            <w:vAlign w:val="center"/>
            <w:textDirection w:val="lrTb"/>
            <w:noWrap w:val="false"/>
          </w:tcPr>
          <w:p>
            <w:pPr>
              <w:pStyle w:val="967"/>
              <w:widowControl/>
              <w:rPr>
                <w:rFonts w:hint="eastAsia" w:ascii="宋体" w:hAnsi="宋体" w:cs="等线"/>
                <w:sz w:val="18"/>
                <w:szCs w:val="18"/>
                <w:highlight w:val="none"/>
              </w:rPr>
            </w:pPr>
            <w:r>
              <w:rPr>
                <w:rFonts w:hint="eastAsia" w:ascii="宋体" w:hAnsi="宋体" w:cs="等线"/>
                <w:sz w:val="18"/>
                <w:szCs w:val="18"/>
                <w:highlight w:val="none"/>
              </w:rPr>
            </w:r>
            <w:r/>
          </w:p>
        </w:tc>
      </w:tr>
    </w:tbl>
    <w:p>
      <w:pPr>
        <w:pStyle w:val="1088"/>
        <w:ind w:firstLine="0"/>
        <w:spacing w:line="300" w:lineRule="auto"/>
        <w:rPr>
          <w:rFonts w:hint="eastAsia" w:ascii="宋体" w:eastAsia="宋体" w:cs="宋体"/>
          <w:sz w:val="28"/>
          <w:highlight w:val="none"/>
        </w:rPr>
      </w:pPr>
      <w:r>
        <w:rPr>
          <w:rFonts w:hint="eastAsia" w:ascii="宋体" w:eastAsia="宋体" w:cs="宋体"/>
          <w:sz w:val="28"/>
          <w:highlight w:val="none"/>
        </w:rPr>
      </w:r>
      <w:r/>
    </w:p>
    <w:p>
      <w:pPr>
        <w:pStyle w:val="967"/>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备注：</w:t>
      </w:r>
      <w:r>
        <w:rPr>
          <w:rFonts w:ascii="仿宋" w:hAnsi="仿宋" w:eastAsia="仿宋"/>
          <w:sz w:val="28"/>
          <w:szCs w:val="28"/>
          <w:highlight w:val="none"/>
        </w:rPr>
      </w:r>
      <w:r/>
    </w:p>
    <w:p>
      <w:pPr>
        <w:pStyle w:val="967"/>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1.投标报价采用总承包方式，“投标总报价”应包括所投货物（包含与货物相关的服务）费用、安装调试费、测试验收费、培训费、运行维护费用、税金、国际（如果</w:t>
      </w:r>
      <w:r>
        <w:rPr>
          <w:rFonts w:ascii="仿宋" w:hAnsi="仿宋" w:eastAsia="仿宋"/>
          <w:sz w:val="28"/>
          <w:szCs w:val="28"/>
          <w:highlight w:val="none"/>
        </w:rPr>
        <w:t xml:space="preserve">有</w:t>
      </w:r>
      <w:r>
        <w:rPr>
          <w:rFonts w:hint="eastAsia" w:ascii="仿宋" w:hAnsi="仿宋" w:eastAsia="仿宋"/>
          <w:sz w:val="28"/>
          <w:szCs w:val="28"/>
          <w:highlight w:val="none"/>
        </w:rPr>
        <w:t xml:space="preserve">）国内运输保险、报关清关（如果</w:t>
      </w:r>
      <w:r>
        <w:rPr>
          <w:rFonts w:ascii="仿宋" w:hAnsi="仿宋" w:eastAsia="仿宋"/>
          <w:sz w:val="28"/>
          <w:szCs w:val="28"/>
          <w:highlight w:val="none"/>
        </w:rPr>
        <w:t xml:space="preserve">有</w:t>
      </w:r>
      <w:r>
        <w:rPr>
          <w:rFonts w:hint="eastAsia" w:ascii="仿宋" w:hAnsi="仿宋" w:eastAsia="仿宋"/>
          <w:sz w:val="28"/>
          <w:szCs w:val="28"/>
          <w:highlight w:val="none"/>
        </w:rPr>
        <w:t xml:space="preserve">）、开证（如果</w:t>
      </w:r>
      <w:r>
        <w:rPr>
          <w:rFonts w:ascii="仿宋" w:hAnsi="仿宋" w:eastAsia="仿宋"/>
          <w:sz w:val="28"/>
          <w:szCs w:val="28"/>
          <w:highlight w:val="none"/>
        </w:rPr>
        <w:t xml:space="preserve">有</w:t>
      </w:r>
      <w:r>
        <w:rPr>
          <w:rFonts w:hint="eastAsia" w:ascii="仿宋" w:hAnsi="仿宋" w:eastAsia="仿宋"/>
          <w:sz w:val="28"/>
          <w:szCs w:val="28"/>
          <w:highlight w:val="none"/>
        </w:rPr>
        <w:t xml:space="preserve">）、办理全套免税手续费用（如果</w:t>
      </w:r>
      <w:r>
        <w:rPr>
          <w:rFonts w:ascii="仿宋" w:hAnsi="仿宋" w:eastAsia="仿宋"/>
          <w:sz w:val="28"/>
          <w:szCs w:val="28"/>
          <w:highlight w:val="none"/>
        </w:rPr>
        <w:t xml:space="preserve">有</w:t>
      </w:r>
      <w:r>
        <w:rPr>
          <w:rFonts w:hint="eastAsia" w:ascii="仿宋" w:hAnsi="仿宋" w:eastAsia="仿宋"/>
          <w:sz w:val="28"/>
          <w:szCs w:val="28"/>
          <w:highlight w:val="none"/>
        </w:rPr>
        <w:t xml:space="preserve">）及其他有关的为完成本项目发生的所有费用，招标文件中另有规定的除外。</w:t>
      </w:r>
      <w:r>
        <w:rPr>
          <w:rFonts w:ascii="仿宋" w:hAnsi="仿宋" w:eastAsia="仿宋"/>
          <w:sz w:val="28"/>
          <w:szCs w:val="28"/>
          <w:highlight w:val="none"/>
        </w:rPr>
      </w:r>
      <w:r/>
    </w:p>
    <w:p>
      <w:pPr>
        <w:pStyle w:val="967"/>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bCs/>
          <w:sz w:val="28"/>
          <w:szCs w:val="28"/>
          <w:highlight w:val="none"/>
        </w:rPr>
        <w:t xml:space="preserve">分项报价明细表</w:t>
      </w:r>
      <w:r>
        <w:rPr>
          <w:rFonts w:hint="eastAsia" w:ascii="仿宋" w:hAnsi="仿宋" w:eastAsia="仿宋"/>
          <w:sz w:val="28"/>
          <w:szCs w:val="28"/>
          <w:highlight w:val="none"/>
        </w:rPr>
        <w:t xml:space="preserve">”中“总报价”数额应当与“招标</w:t>
      </w:r>
      <w:r>
        <w:rPr>
          <w:rFonts w:ascii="仿宋" w:hAnsi="仿宋" w:eastAsia="仿宋"/>
          <w:sz w:val="28"/>
          <w:szCs w:val="28"/>
          <w:highlight w:val="none"/>
        </w:rPr>
        <w:t xml:space="preserve">报价表</w:t>
      </w:r>
      <w:r>
        <w:rPr>
          <w:rFonts w:hint="eastAsia" w:ascii="仿宋" w:hAnsi="仿宋" w:eastAsia="仿宋"/>
          <w:sz w:val="28"/>
          <w:szCs w:val="28"/>
          <w:highlight w:val="none"/>
        </w:rPr>
        <w:t xml:space="preserve">”中“总价”数额一致。</w:t>
      </w:r>
      <w:r>
        <w:rPr>
          <w:rFonts w:ascii="仿宋" w:hAnsi="仿宋" w:eastAsia="仿宋"/>
          <w:sz w:val="28"/>
          <w:szCs w:val="28"/>
          <w:highlight w:val="none"/>
        </w:rPr>
      </w:r>
      <w:r/>
    </w:p>
    <w:p>
      <w:pPr>
        <w:pStyle w:val="967"/>
        <w:spacing w:line="48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3.投标人需认真填写本报价表，尤其注意规格型号的准确填写。</w:t>
      </w:r>
      <w:r>
        <w:rPr>
          <w:rFonts w:hint="eastAsia" w:ascii="仿宋" w:hAnsi="仿宋" w:eastAsia="仿宋"/>
          <w:sz w:val="28"/>
          <w:szCs w:val="28"/>
          <w:highlight w:val="none"/>
        </w:rPr>
      </w:r>
      <w:r/>
    </w:p>
    <w:p>
      <w:pPr>
        <w:pStyle w:val="967"/>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4.项目</w:t>
      </w:r>
      <w:r>
        <w:rPr>
          <w:rFonts w:ascii="仿宋" w:hAnsi="仿宋" w:eastAsia="仿宋"/>
          <w:sz w:val="28"/>
          <w:szCs w:val="28"/>
          <w:highlight w:val="none"/>
        </w:rPr>
        <w:t xml:space="preserve">经办人可以根据</w:t>
      </w:r>
      <w:r>
        <w:rPr>
          <w:rFonts w:hint="eastAsia" w:ascii="仿宋" w:hAnsi="仿宋" w:eastAsia="仿宋"/>
          <w:sz w:val="28"/>
          <w:szCs w:val="28"/>
          <w:highlight w:val="none"/>
        </w:rPr>
        <w:t xml:space="preserve">项目</w:t>
      </w:r>
      <w:r>
        <w:rPr>
          <w:rFonts w:ascii="仿宋" w:hAnsi="仿宋" w:eastAsia="仿宋"/>
          <w:sz w:val="28"/>
          <w:szCs w:val="28"/>
          <w:highlight w:val="none"/>
        </w:rPr>
        <w:t xml:space="preserve">实际需要</w:t>
      </w:r>
      <w:r>
        <w:rPr>
          <w:rFonts w:hint="eastAsia" w:ascii="仿宋" w:hAnsi="仿宋" w:eastAsia="仿宋"/>
          <w:sz w:val="28"/>
          <w:szCs w:val="28"/>
          <w:highlight w:val="none"/>
        </w:rPr>
        <w:t xml:space="preserve">对</w:t>
      </w:r>
      <w:r>
        <w:rPr>
          <w:rFonts w:ascii="仿宋" w:hAnsi="仿宋" w:eastAsia="仿宋"/>
          <w:sz w:val="28"/>
          <w:szCs w:val="28"/>
          <w:highlight w:val="none"/>
        </w:rPr>
        <w:t xml:space="preserve">表格结构进行</w:t>
      </w:r>
      <w:r>
        <w:rPr>
          <w:rFonts w:hint="eastAsia" w:ascii="仿宋" w:hAnsi="仿宋" w:eastAsia="仿宋"/>
          <w:sz w:val="28"/>
          <w:szCs w:val="28"/>
          <w:highlight w:val="none"/>
        </w:rPr>
        <w:t xml:space="preserve">调整</w:t>
      </w:r>
      <w:r>
        <w:rPr>
          <w:rFonts w:ascii="仿宋" w:hAnsi="仿宋" w:eastAsia="仿宋"/>
          <w:sz w:val="28"/>
          <w:szCs w:val="28"/>
          <w:highlight w:val="none"/>
        </w:rPr>
        <w:t xml:space="preserve">。</w:t>
      </w:r>
      <w:r>
        <w:rPr>
          <w:rFonts w:ascii="仿宋" w:hAnsi="仿宋" w:eastAsia="仿宋"/>
          <w:sz w:val="28"/>
          <w:szCs w:val="28"/>
          <w:highlight w:val="none"/>
        </w:rPr>
      </w:r>
      <w:r/>
    </w:p>
    <w:p>
      <w:pPr>
        <w:pStyle w:val="967"/>
        <w:spacing w:line="48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6.涉及节能产品、环境标志等享受政府采购扶持政策的项目，需在备注中分别明确注明.</w:t>
      </w:r>
      <w:r>
        <w:rPr>
          <w:rFonts w:hint="eastAsia" w:ascii="仿宋" w:hAnsi="仿宋" w:eastAsia="仿宋"/>
          <w:sz w:val="28"/>
          <w:szCs w:val="28"/>
          <w:highlight w:val="none"/>
        </w:rPr>
      </w:r>
      <w:r/>
    </w:p>
    <w:p>
      <w:pPr>
        <w:pStyle w:val="967"/>
        <w:rPr>
          <w:rFonts w:ascii="宋体" w:hAnsi="宋体"/>
          <w:sz w:val="28"/>
          <w:szCs w:val="28"/>
          <w:highlight w:val="none"/>
        </w:rPr>
      </w:pPr>
      <w:r>
        <w:rPr>
          <w:rFonts w:ascii="宋体" w:hAnsi="宋体"/>
          <w:sz w:val="28"/>
          <w:szCs w:val="28"/>
          <w:highlight w:val="none"/>
        </w:rPr>
      </w:r>
      <w:r/>
    </w:p>
    <w:p>
      <w:pPr>
        <w:pStyle w:val="967"/>
        <w:rPr>
          <w:rFonts w:ascii="宋体" w:hAnsi="宋体" w:cs="宋体"/>
          <w:sz w:val="22"/>
          <w:szCs w:val="22"/>
          <w:highlight w:val="none"/>
        </w:rPr>
      </w:pPr>
      <w:r>
        <w:rPr>
          <w:rFonts w:ascii="宋体" w:hAnsi="宋体" w:cs="宋体"/>
          <w:sz w:val="22"/>
          <w:szCs w:val="22"/>
          <w:highlight w:val="none"/>
        </w:rPr>
      </w:r>
      <w:r/>
    </w:p>
    <w:p>
      <w:pPr>
        <w:pStyle w:val="967"/>
        <w:rPr>
          <w:rFonts w:hint="eastAsia" w:ascii="宋体" w:hAnsi="宋体" w:cs="宋体"/>
          <w:sz w:val="24"/>
          <w:szCs w:val="24"/>
          <w:highlight w:val="none"/>
          <w:lang w:val="zh-CN"/>
        </w:rPr>
        <w:sectPr>
          <w:headerReference w:type="default" r:id="rId9"/>
          <w:footerReference w:type="default" r:id="rId12"/>
          <w:footerReference w:type="even" r:id="rId13"/>
          <w:footerReference w:type="first" r:id="rId14"/>
          <w:footnotePr/>
          <w:endnotePr/>
          <w:type w:val="nextPage"/>
          <w:pgSz w:w="11906" w:h="16838" w:orient="portrait"/>
          <w:pgMar w:top="1418" w:right="1474" w:bottom="1418" w:left="1365" w:header="851" w:footer="907" w:gutter="0"/>
          <w:cols w:num="1" w:sep="0" w:space="1701" w:equalWidth="1"/>
          <w:docGrid w:linePitch="360"/>
          <w:titlePg/>
        </w:sectPr>
      </w:pPr>
      <w:r>
        <w:rPr>
          <w:rFonts w:hint="eastAsia" w:ascii="宋体" w:hAnsi="宋体" w:cs="宋体"/>
          <w:sz w:val="24"/>
          <w:szCs w:val="24"/>
          <w:highlight w:val="none"/>
          <w:lang w:val="zh-CN"/>
        </w:rPr>
      </w:r>
      <w:r/>
    </w:p>
    <w:p>
      <w:pPr>
        <w:pStyle w:val="967"/>
        <w:ind w:left="-55" w:right="-75"/>
        <w:jc w:val="center"/>
        <w:spacing w:line="240" w:lineRule="atLeast"/>
        <w:rPr>
          <w:rFonts w:ascii="仿宋" w:hAnsi="仿宋" w:eastAsia="仿宋"/>
          <w:sz w:val="30"/>
          <w:szCs w:val="30"/>
          <w:highlight w:val="none"/>
        </w:rPr>
      </w:pPr>
      <w:r/>
      <w:bookmarkStart w:id="222" w:name="_Toc476153619"/>
      <w:r>
        <w:rPr>
          <w:rFonts w:hint="eastAsia" w:ascii="仿宋" w:hAnsi="仿宋" w:eastAsia="仿宋"/>
          <w:sz w:val="30"/>
          <w:szCs w:val="30"/>
          <w:highlight w:val="none"/>
        </w:rPr>
        <w:t xml:space="preserve">中小企业划型标准</w:t>
      </w:r>
      <w:bookmarkEnd w:id="222"/>
      <w:r>
        <w:rPr>
          <w:rFonts w:ascii="仿宋" w:hAnsi="仿宋" w:eastAsia="仿宋"/>
          <w:sz w:val="30"/>
          <w:szCs w:val="30"/>
          <w:highlight w:val="none"/>
        </w:rPr>
      </w:r>
      <w:r/>
    </w:p>
    <w:tbl>
      <w:tblPr>
        <w:tblW w:w="1447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90"/>
        <w:gridCol w:w="1955"/>
        <w:gridCol w:w="1198"/>
        <w:gridCol w:w="923"/>
        <w:gridCol w:w="943"/>
        <w:gridCol w:w="1108"/>
        <w:gridCol w:w="943"/>
        <w:gridCol w:w="1000"/>
        <w:gridCol w:w="1108"/>
        <w:gridCol w:w="961"/>
        <w:gridCol w:w="1006"/>
        <w:gridCol w:w="1108"/>
        <w:gridCol w:w="883"/>
        <w:gridCol w:w="852"/>
      </w:tblGrid>
      <w:tr>
        <w:trPr>
          <w:trHeight w:val="466"/>
          <w:tblHeader/>
        </w:trPr>
        <w:tc>
          <w:tcPr>
            <w:tcBorders>
              <w:top w:val="single" w:color="000000" w:sz="4" w:space="0"/>
              <w:left w:val="single" w:color="000000" w:sz="4" w:space="0"/>
              <w:bottom w:val="none" w:color="000000" w:sz="0" w:space="0"/>
              <w:right w:val="single" w:color="000000" w:sz="4" w:space="0"/>
            </w:tcBorders>
            <w:tcW w:w="490" w:type="dxa"/>
            <w:vAlign w:val="center"/>
            <w:vMerge w:val="restart"/>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序号</w:t>
            </w:r>
            <w:r>
              <w:rPr>
                <w:rFonts w:hAnsi="宋体"/>
                <w:sz w:val="20"/>
                <w:highlight w:val="none"/>
              </w:rPr>
            </w:r>
            <w:r/>
          </w:p>
        </w:tc>
        <w:tc>
          <w:tcPr>
            <w:tcBorders>
              <w:top w:val="single" w:color="000000" w:sz="4" w:space="0"/>
              <w:left w:val="none" w:color="000000" w:sz="4" w:space="0"/>
              <w:bottom w:val="none" w:color="000000" w:sz="0" w:space="0"/>
              <w:right w:val="single" w:color="000000" w:sz="4" w:space="0"/>
            </w:tcBorders>
            <w:tcW w:w="1955" w:type="dxa"/>
            <w:vAlign w:val="center"/>
            <w:vMerge w:val="restart"/>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行业</w:t>
            </w:r>
            <w:r>
              <w:rPr>
                <w:rFonts w:hAnsi="宋体"/>
                <w:sz w:val="20"/>
                <w:highlight w:val="none"/>
              </w:rPr>
            </w:r>
            <w:r/>
          </w:p>
        </w:tc>
        <w:tc>
          <w:tcPr>
            <w:gridSpan w:val="3"/>
            <w:tcBorders>
              <w:top w:val="single" w:color="000000" w:sz="4" w:space="0"/>
              <w:left w:val="none" w:color="000000" w:sz="4" w:space="0"/>
              <w:bottom w:val="single" w:color="000000" w:sz="4" w:space="0"/>
              <w:right w:val="single" w:color="000000" w:sz="4" w:space="0"/>
            </w:tcBorders>
            <w:tcW w:w="3064"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大型企业</w:t>
            </w:r>
            <w:r>
              <w:rPr>
                <w:rFonts w:hAnsi="宋体"/>
                <w:sz w:val="20"/>
                <w:highlight w:val="none"/>
              </w:rPr>
            </w:r>
            <w:r/>
          </w:p>
        </w:tc>
        <w:tc>
          <w:tcPr>
            <w:gridSpan w:val="3"/>
            <w:tcBorders>
              <w:top w:val="single" w:color="000000" w:sz="4" w:space="0"/>
              <w:left w:val="none" w:color="000000" w:sz="4" w:space="0"/>
              <w:bottom w:val="single" w:color="000000" w:sz="4" w:space="0"/>
              <w:right w:val="single" w:color="000000" w:sz="4" w:space="0"/>
            </w:tcBorders>
            <w:tcW w:w="3051"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中型企业</w:t>
            </w:r>
            <w:r>
              <w:rPr>
                <w:rFonts w:hAnsi="宋体"/>
                <w:sz w:val="20"/>
                <w:highlight w:val="none"/>
              </w:rPr>
            </w:r>
            <w:r/>
          </w:p>
        </w:tc>
        <w:tc>
          <w:tcPr>
            <w:gridSpan w:val="3"/>
            <w:tcBorders>
              <w:top w:val="single" w:color="000000" w:sz="4" w:space="0"/>
              <w:left w:val="none" w:color="000000" w:sz="4" w:space="0"/>
              <w:bottom w:val="single" w:color="000000" w:sz="4" w:space="0"/>
              <w:right w:val="single" w:color="000000" w:sz="4" w:space="0"/>
            </w:tcBorders>
            <w:tcW w:w="3075"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小型企业</w:t>
            </w:r>
            <w:r>
              <w:rPr>
                <w:rFonts w:hAnsi="宋体"/>
                <w:sz w:val="20"/>
                <w:highlight w:val="none"/>
              </w:rPr>
            </w:r>
            <w:r/>
          </w:p>
        </w:tc>
        <w:tc>
          <w:tcPr>
            <w:gridSpan w:val="3"/>
            <w:tcBorders>
              <w:top w:val="single" w:color="000000" w:sz="4" w:space="0"/>
              <w:left w:val="none" w:color="000000" w:sz="4" w:space="0"/>
              <w:bottom w:val="single" w:color="000000" w:sz="4" w:space="0"/>
              <w:right w:val="single" w:color="000000" w:sz="4" w:space="0"/>
            </w:tcBorders>
            <w:tcW w:w="2843"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微型企业</w:t>
            </w:r>
            <w:r>
              <w:rPr>
                <w:rFonts w:hAnsi="宋体"/>
                <w:sz w:val="20"/>
                <w:highlight w:val="none"/>
              </w:rPr>
            </w:r>
            <w:r/>
          </w:p>
        </w:tc>
      </w:tr>
      <w:tr>
        <w:trPr>
          <w:trHeight w:val="719"/>
          <w:tblHeader/>
        </w:trPr>
        <w:tc>
          <w:tcPr>
            <w:tcBorders>
              <w:top w:val="none" w:color="000000" w:sz="0" w:space="0"/>
              <w:left w:val="single" w:color="000000" w:sz="4" w:space="0"/>
              <w:bottom w:val="single" w:color="000000" w:sz="4" w:space="0"/>
              <w:right w:val="single" w:color="000000" w:sz="4" w:space="0"/>
            </w:tcBorders>
            <w:tcW w:w="490" w:type="dxa"/>
            <w:vAlign w:val="center"/>
            <w:vMerge w:val="continue"/>
            <w:textDirection w:val="lrTb"/>
            <w:noWrap w:val="false"/>
          </w:tcPr>
          <w:p>
            <w:pPr>
              <w:pStyle w:val="967"/>
              <w:ind w:left="-55" w:right="-75"/>
              <w:jc w:val="center"/>
              <w:spacing w:line="240" w:lineRule="atLeast"/>
              <w:rPr>
                <w:rFonts w:hAnsi="宋体" w:eastAsia="楷体_GB2312"/>
                <w:sz w:val="20"/>
                <w:szCs w:val="28"/>
                <w:highlight w:val="none"/>
              </w:rPr>
            </w:pPr>
            <w:r>
              <w:rPr>
                <w:rFonts w:hAnsi="宋体" w:eastAsia="楷体_GB2312"/>
                <w:sz w:val="20"/>
                <w:szCs w:val="28"/>
                <w:highlight w:val="none"/>
              </w:rPr>
            </w:r>
            <w:r/>
          </w:p>
        </w:tc>
        <w:tc>
          <w:tcPr>
            <w:tcBorders>
              <w:top w:val="none" w:color="000000" w:sz="0" w:space="0"/>
              <w:left w:val="none" w:color="000000" w:sz="4" w:space="0"/>
              <w:bottom w:val="single" w:color="000000" w:sz="4" w:space="0"/>
              <w:right w:val="single" w:color="000000" w:sz="4" w:space="0"/>
            </w:tcBorders>
            <w:tcW w:w="1955" w:type="dxa"/>
            <w:vAlign w:val="center"/>
            <w:vMerge w:val="continue"/>
            <w:textDirection w:val="lrTb"/>
            <w:noWrap w:val="false"/>
          </w:tcPr>
          <w:p>
            <w:pPr>
              <w:pStyle w:val="967"/>
              <w:ind w:left="-55" w:right="-75"/>
              <w:jc w:val="left"/>
              <w:spacing w:line="240" w:lineRule="atLeast"/>
              <w:rPr>
                <w:rFonts w:hAnsi="宋体" w:eastAsia="楷体_GB2312"/>
                <w:sz w:val="20"/>
                <w:szCs w:val="28"/>
                <w:highlight w:val="none"/>
              </w:rPr>
            </w:pPr>
            <w:r>
              <w:rPr>
                <w:rFonts w:hAnsi="宋体" w:eastAsia="楷体_GB2312"/>
                <w:sz w:val="20"/>
                <w:szCs w:val="28"/>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营业收入</w:t>
            </w:r>
            <w:r>
              <w:rPr>
                <w:rFonts w:hAnsi="宋体"/>
                <w:sz w:val="20"/>
                <w:highlight w:val="none"/>
              </w:rPr>
            </w:r>
            <w:r/>
          </w:p>
          <w:p>
            <w:pPr>
              <w:pStyle w:val="967"/>
              <w:ind w:left="-55" w:right="-75"/>
              <w:jc w:val="center"/>
              <w:spacing w:line="240" w:lineRule="atLeast"/>
              <w:rPr>
                <w:rFonts w:hAnsi="宋体"/>
                <w:sz w:val="20"/>
                <w:highlight w:val="none"/>
              </w:rPr>
            </w:pPr>
            <w:r>
              <w:rPr>
                <w:rFonts w:hAnsi="宋体"/>
                <w:sz w:val="20"/>
                <w:highlight w:val="none"/>
              </w:rPr>
              <w:t xml:space="preserve">(万元)</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从业人员</w:t>
            </w:r>
            <w:r>
              <w:rPr>
                <w:rFonts w:hAnsi="宋体"/>
                <w:sz w:val="20"/>
                <w:highlight w:val="none"/>
              </w:rPr>
            </w:r>
            <w:r/>
          </w:p>
          <w:p>
            <w:pPr>
              <w:pStyle w:val="967"/>
              <w:ind w:left="-55" w:right="-75"/>
              <w:jc w:val="center"/>
              <w:spacing w:line="240" w:lineRule="atLeast"/>
              <w:rPr>
                <w:rFonts w:hAnsi="宋体"/>
                <w:sz w:val="20"/>
                <w:highlight w:val="none"/>
              </w:rPr>
            </w:pPr>
            <w:r>
              <w:rPr>
                <w:rFonts w:hAnsi="宋体"/>
                <w:sz w:val="20"/>
                <w:highlight w:val="none"/>
              </w:rPr>
              <w:t xml:space="preserve">(人)</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总资产</w:t>
            </w:r>
            <w:r>
              <w:rPr>
                <w:rFonts w:hAnsi="宋体"/>
                <w:sz w:val="20"/>
                <w:highlight w:val="none"/>
              </w:rPr>
            </w:r>
            <w:r/>
          </w:p>
          <w:p>
            <w:pPr>
              <w:pStyle w:val="967"/>
              <w:ind w:left="-55" w:right="-75"/>
              <w:jc w:val="center"/>
              <w:spacing w:line="240" w:lineRule="atLeast"/>
              <w:rPr>
                <w:rFonts w:hAnsi="宋体"/>
                <w:sz w:val="20"/>
                <w:highlight w:val="none"/>
              </w:rPr>
            </w:pPr>
            <w:r>
              <w:rPr>
                <w:rFonts w:hAnsi="宋体"/>
                <w:sz w:val="20"/>
                <w:highlight w:val="none"/>
              </w:rPr>
              <w:t xml:space="preserve">(万元)</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营业收入</w:t>
            </w:r>
            <w:r>
              <w:rPr>
                <w:rFonts w:hAnsi="宋体"/>
                <w:sz w:val="20"/>
                <w:highlight w:val="none"/>
              </w:rPr>
            </w:r>
            <w:r/>
          </w:p>
          <w:p>
            <w:pPr>
              <w:pStyle w:val="967"/>
              <w:ind w:left="-55" w:right="-75"/>
              <w:jc w:val="center"/>
              <w:spacing w:line="240" w:lineRule="atLeast"/>
              <w:rPr>
                <w:rFonts w:hAnsi="宋体"/>
                <w:sz w:val="20"/>
                <w:highlight w:val="none"/>
              </w:rPr>
            </w:pPr>
            <w:r>
              <w:rPr>
                <w:rFonts w:hAnsi="宋体"/>
                <w:sz w:val="20"/>
                <w:highlight w:val="none"/>
              </w:rPr>
              <w:t xml:space="preserve">(万元)</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从业人员</w:t>
            </w:r>
            <w:r>
              <w:rPr>
                <w:rFonts w:hAnsi="宋体"/>
                <w:sz w:val="20"/>
                <w:highlight w:val="none"/>
              </w:rPr>
            </w:r>
            <w:r/>
          </w:p>
          <w:p>
            <w:pPr>
              <w:pStyle w:val="967"/>
              <w:ind w:left="-55" w:right="-75"/>
              <w:jc w:val="center"/>
              <w:spacing w:line="240" w:lineRule="atLeast"/>
              <w:rPr>
                <w:rFonts w:hAnsi="宋体"/>
                <w:sz w:val="20"/>
                <w:highlight w:val="none"/>
              </w:rPr>
            </w:pPr>
            <w:r>
              <w:rPr>
                <w:rFonts w:hAnsi="宋体"/>
                <w:sz w:val="20"/>
                <w:highlight w:val="none"/>
              </w:rPr>
              <w:t xml:space="preserve">(人)</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总资产</w:t>
            </w:r>
            <w:r>
              <w:rPr>
                <w:rFonts w:hAnsi="宋体"/>
                <w:sz w:val="20"/>
                <w:highlight w:val="none"/>
              </w:rPr>
            </w:r>
            <w:r/>
          </w:p>
          <w:p>
            <w:pPr>
              <w:pStyle w:val="967"/>
              <w:ind w:left="-55" w:right="-75"/>
              <w:jc w:val="center"/>
              <w:spacing w:line="240" w:lineRule="atLeast"/>
              <w:rPr>
                <w:rFonts w:hAnsi="宋体"/>
                <w:sz w:val="20"/>
                <w:highlight w:val="none"/>
              </w:rPr>
            </w:pPr>
            <w:r>
              <w:rPr>
                <w:rFonts w:hAnsi="宋体"/>
                <w:sz w:val="20"/>
                <w:highlight w:val="none"/>
              </w:rPr>
              <w:t xml:space="preserve">(万元)</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营业收入</w:t>
            </w:r>
            <w:r>
              <w:rPr>
                <w:rFonts w:hAnsi="宋体"/>
                <w:sz w:val="20"/>
                <w:highlight w:val="none"/>
              </w:rPr>
            </w:r>
            <w:r/>
          </w:p>
          <w:p>
            <w:pPr>
              <w:pStyle w:val="967"/>
              <w:ind w:left="-55" w:right="-75"/>
              <w:jc w:val="center"/>
              <w:spacing w:line="240" w:lineRule="atLeast"/>
              <w:rPr>
                <w:rFonts w:hAnsi="宋体"/>
                <w:sz w:val="20"/>
                <w:highlight w:val="none"/>
              </w:rPr>
            </w:pPr>
            <w:r>
              <w:rPr>
                <w:rFonts w:hAnsi="宋体"/>
                <w:sz w:val="20"/>
                <w:highlight w:val="none"/>
              </w:rPr>
              <w:t xml:space="preserve">(万元)</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ind w:left="104" w:right="-75" w:hanging="159"/>
              <w:jc w:val="center"/>
              <w:spacing w:line="240" w:lineRule="atLeast"/>
              <w:rPr>
                <w:rFonts w:hAnsi="宋体"/>
                <w:sz w:val="20"/>
                <w:highlight w:val="none"/>
              </w:rPr>
            </w:pPr>
            <w:r>
              <w:rPr>
                <w:rFonts w:hint="eastAsia" w:hAnsi="宋体"/>
                <w:sz w:val="20"/>
                <w:highlight w:val="none"/>
              </w:rPr>
              <w:t xml:space="preserve">从业人员</w:t>
            </w:r>
            <w:r>
              <w:rPr>
                <w:rFonts w:hAnsi="宋体"/>
                <w:sz w:val="20"/>
                <w:highlight w:val="none"/>
              </w:rPr>
            </w:r>
            <w:r/>
          </w:p>
          <w:p>
            <w:pPr>
              <w:pStyle w:val="967"/>
              <w:ind w:left="-55" w:right="-75"/>
              <w:jc w:val="center"/>
              <w:spacing w:line="240" w:lineRule="atLeast"/>
              <w:rPr>
                <w:rFonts w:hAnsi="宋体"/>
                <w:sz w:val="20"/>
                <w:highlight w:val="none"/>
              </w:rPr>
            </w:pPr>
            <w:r>
              <w:rPr>
                <w:rFonts w:hAnsi="宋体"/>
                <w:sz w:val="20"/>
                <w:highlight w:val="none"/>
              </w:rPr>
              <w:t xml:space="preserve">(人)</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总资产</w:t>
            </w:r>
            <w:r>
              <w:rPr>
                <w:rFonts w:hAnsi="宋体"/>
                <w:sz w:val="20"/>
                <w:highlight w:val="none"/>
              </w:rPr>
            </w:r>
            <w:r/>
          </w:p>
          <w:p>
            <w:pPr>
              <w:pStyle w:val="967"/>
              <w:ind w:left="-55" w:right="-75"/>
              <w:jc w:val="center"/>
              <w:spacing w:line="240" w:lineRule="atLeast"/>
              <w:rPr>
                <w:rFonts w:hAnsi="宋体"/>
                <w:sz w:val="20"/>
                <w:highlight w:val="none"/>
              </w:rPr>
            </w:pPr>
            <w:r>
              <w:rPr>
                <w:rFonts w:hAnsi="宋体"/>
                <w:sz w:val="20"/>
                <w:highlight w:val="none"/>
              </w:rPr>
              <w:t xml:space="preserve">(万元)</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营业收入</w:t>
            </w:r>
            <w:r>
              <w:rPr>
                <w:rFonts w:hAnsi="宋体"/>
                <w:sz w:val="20"/>
                <w:highlight w:val="none"/>
              </w:rPr>
            </w:r>
            <w:r/>
          </w:p>
          <w:p>
            <w:pPr>
              <w:pStyle w:val="967"/>
              <w:ind w:left="-55" w:right="-75"/>
              <w:jc w:val="center"/>
              <w:spacing w:line="240" w:lineRule="atLeast"/>
              <w:rPr>
                <w:rFonts w:hAnsi="宋体"/>
                <w:sz w:val="20"/>
                <w:highlight w:val="none"/>
              </w:rPr>
            </w:pPr>
            <w:r>
              <w:rPr>
                <w:rFonts w:hAnsi="宋体"/>
                <w:sz w:val="20"/>
                <w:highlight w:val="none"/>
              </w:rPr>
              <w:t xml:space="preserve">(万元)</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从业人员</w:t>
            </w:r>
            <w:r>
              <w:rPr>
                <w:rFonts w:hAnsi="宋体"/>
                <w:sz w:val="20"/>
                <w:highlight w:val="none"/>
              </w:rPr>
            </w:r>
            <w:r/>
          </w:p>
          <w:p>
            <w:pPr>
              <w:pStyle w:val="967"/>
              <w:ind w:left="-55" w:right="-75"/>
              <w:jc w:val="center"/>
              <w:spacing w:line="240" w:lineRule="atLeast"/>
              <w:rPr>
                <w:rFonts w:hAnsi="宋体"/>
                <w:sz w:val="20"/>
                <w:highlight w:val="none"/>
              </w:rPr>
            </w:pPr>
            <w:r>
              <w:rPr>
                <w:rFonts w:hAnsi="宋体"/>
                <w:sz w:val="20"/>
                <w:highlight w:val="none"/>
              </w:rPr>
              <w:t xml:space="preserve">(人)</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总资产</w:t>
            </w:r>
            <w:r>
              <w:rPr>
                <w:rFonts w:hAnsi="宋体"/>
                <w:sz w:val="20"/>
                <w:highlight w:val="none"/>
              </w:rPr>
            </w:r>
            <w:r/>
          </w:p>
          <w:p>
            <w:pPr>
              <w:pStyle w:val="967"/>
              <w:ind w:left="-55" w:right="-75"/>
              <w:jc w:val="center"/>
              <w:spacing w:line="240" w:lineRule="atLeast"/>
              <w:rPr>
                <w:rFonts w:hAnsi="宋体"/>
                <w:sz w:val="20"/>
                <w:highlight w:val="none"/>
              </w:rPr>
            </w:pPr>
            <w:r>
              <w:rPr>
                <w:rFonts w:hAnsi="宋体"/>
                <w:sz w:val="20"/>
                <w:highlight w:val="none"/>
              </w:rPr>
              <w:t xml:space="preserve">(万元)</w:t>
            </w:r>
            <w:r>
              <w:rPr>
                <w:rFonts w:hAnsi="宋体"/>
                <w:sz w:val="20"/>
                <w:highlight w:val="none"/>
              </w:rPr>
            </w:r>
            <w:r/>
          </w:p>
        </w:tc>
      </w:tr>
      <w:tr>
        <w:trPr>
          <w:trHeight w:val="364"/>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rPr>
                <w:rFonts w:hAnsi="宋体"/>
                <w:bCs/>
                <w:sz w:val="20"/>
                <w:highlight w:val="none"/>
              </w:rPr>
            </w:pPr>
            <w:r>
              <w:rPr>
                <w:rFonts w:hAnsi="宋体"/>
                <w:bCs/>
                <w:sz w:val="20"/>
                <w:highlight w:val="none"/>
              </w:rPr>
              <w:t xml:space="preserve">1</w:t>
            </w:r>
            <w:r>
              <w:rPr>
                <w:rFonts w:hAnsi="宋体"/>
                <w:bCs/>
                <w:sz w:val="20"/>
                <w:highlight w:val="none"/>
              </w:rPr>
            </w:r>
            <w:r/>
          </w:p>
        </w:tc>
        <w:tc>
          <w:tcPr>
            <w:tcBorders>
              <w:top w:val="singl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bCs/>
                <w:sz w:val="20"/>
                <w:highlight w:val="none"/>
              </w:rPr>
            </w:pPr>
            <w:r>
              <w:rPr>
                <w:rFonts w:hint="eastAsia" w:hAnsi="宋体"/>
                <w:bCs/>
                <w:sz w:val="20"/>
                <w:highlight w:val="none"/>
              </w:rPr>
              <w:t xml:space="preserve">农、林、牧、渔业</w:t>
            </w:r>
            <w:r>
              <w:rPr>
                <w:rFonts w:hAnsi="宋体"/>
                <w:bCs/>
                <w:sz w:val="20"/>
                <w:highlight w:val="none"/>
              </w:rPr>
            </w:r>
            <w:r/>
          </w:p>
        </w:tc>
        <w:tc>
          <w:tcPr>
            <w:tcBorders>
              <w:top w:val="singl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500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50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50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r>
      <w:tr>
        <w:trPr>
          <w:trHeight w:val="346"/>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bCs/>
                <w:sz w:val="20"/>
                <w:highlight w:val="none"/>
              </w:rPr>
            </w:pPr>
            <w:r>
              <w:rPr>
                <w:rFonts w:hAnsi="宋体"/>
                <w:bCs/>
                <w:sz w:val="20"/>
                <w:highlight w:val="none"/>
              </w:rPr>
              <w:t xml:space="preserve">2</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bCs/>
                <w:sz w:val="20"/>
                <w:highlight w:val="none"/>
              </w:rPr>
            </w:pPr>
            <w:r>
              <w:rPr>
                <w:rFonts w:hint="eastAsia" w:hAnsi="宋体"/>
                <w:bCs/>
                <w:sz w:val="20"/>
                <w:highlight w:val="none"/>
              </w:rPr>
              <w:t xml:space="preserve">工业</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40000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r>
      <w:tr>
        <w:trPr>
          <w:trHeight w:val="346"/>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bCs/>
                <w:sz w:val="20"/>
                <w:highlight w:val="none"/>
              </w:rPr>
            </w:pPr>
            <w:r>
              <w:rPr>
                <w:rFonts w:hAnsi="宋体"/>
                <w:bCs/>
                <w:sz w:val="20"/>
                <w:highlight w:val="none"/>
              </w:rPr>
              <w:t xml:space="preserve">3</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bCs/>
                <w:sz w:val="20"/>
                <w:highlight w:val="none"/>
              </w:rPr>
            </w:pPr>
            <w:r>
              <w:rPr>
                <w:rFonts w:hint="eastAsia" w:hAnsi="宋体"/>
                <w:bCs/>
                <w:sz w:val="20"/>
                <w:highlight w:val="none"/>
              </w:rPr>
              <w:t xml:space="preserve">建筑业</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80000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80000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5000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5000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r>
      <w:tr>
        <w:trPr>
          <w:trHeight w:val="346"/>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bCs/>
                <w:sz w:val="20"/>
                <w:highlight w:val="none"/>
              </w:rPr>
            </w:pPr>
            <w:r>
              <w:rPr>
                <w:rFonts w:hAnsi="宋体"/>
                <w:bCs/>
                <w:sz w:val="20"/>
                <w:highlight w:val="none"/>
              </w:rPr>
              <w:t xml:space="preserve">4</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bCs/>
                <w:sz w:val="20"/>
                <w:highlight w:val="none"/>
              </w:rPr>
            </w:pPr>
            <w:r>
              <w:rPr>
                <w:rFonts w:hint="eastAsia" w:hAnsi="宋体"/>
                <w:bCs/>
                <w:sz w:val="20"/>
                <w:highlight w:val="none"/>
              </w:rPr>
              <w:t xml:space="preserve">批发业</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40000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5000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5</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r>
      <w:tr>
        <w:trPr>
          <w:trHeight w:val="346"/>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bCs/>
                <w:sz w:val="20"/>
                <w:highlight w:val="none"/>
              </w:rPr>
            </w:pPr>
            <w:r>
              <w:rPr>
                <w:rFonts w:hAnsi="宋体"/>
                <w:bCs/>
                <w:sz w:val="20"/>
                <w:highlight w:val="none"/>
              </w:rPr>
              <w:t xml:space="preserve">5</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bCs/>
                <w:sz w:val="20"/>
                <w:highlight w:val="none"/>
              </w:rPr>
            </w:pPr>
            <w:r>
              <w:rPr>
                <w:rFonts w:hint="eastAsia" w:hAnsi="宋体"/>
                <w:bCs/>
                <w:sz w:val="20"/>
                <w:highlight w:val="none"/>
              </w:rPr>
              <w:t xml:space="preserve">零售业</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500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50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r>
      <w:tr>
        <w:trPr>
          <w:trHeight w:val="346"/>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bCs/>
                <w:sz w:val="20"/>
                <w:highlight w:val="none"/>
              </w:rPr>
            </w:pPr>
            <w:r>
              <w:rPr>
                <w:rFonts w:hAnsi="宋体"/>
                <w:bCs/>
                <w:sz w:val="20"/>
                <w:highlight w:val="none"/>
              </w:rPr>
              <w:t xml:space="preserve">6</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bCs/>
                <w:sz w:val="20"/>
                <w:highlight w:val="none"/>
              </w:rPr>
            </w:pPr>
            <w:r>
              <w:rPr>
                <w:rFonts w:hint="eastAsia" w:hAnsi="宋体"/>
                <w:bCs/>
                <w:sz w:val="20"/>
                <w:highlight w:val="none"/>
              </w:rPr>
              <w:t xml:space="preserve">交通运输业</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r>
      <w:tr>
        <w:trPr>
          <w:trHeight w:val="346"/>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bCs/>
                <w:sz w:val="20"/>
                <w:highlight w:val="none"/>
              </w:rPr>
            </w:pPr>
            <w:r>
              <w:rPr>
                <w:rFonts w:hAnsi="宋体"/>
                <w:bCs/>
                <w:sz w:val="20"/>
                <w:highlight w:val="none"/>
              </w:rPr>
              <w:t xml:space="preserve">7</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bCs/>
                <w:sz w:val="20"/>
                <w:highlight w:val="none"/>
              </w:rPr>
            </w:pPr>
            <w:r>
              <w:rPr>
                <w:rFonts w:hint="eastAsia" w:hAnsi="宋体"/>
                <w:bCs/>
                <w:sz w:val="20"/>
                <w:highlight w:val="none"/>
              </w:rPr>
              <w:t xml:space="preserve">仓储业</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r>
      <w:tr>
        <w:trPr>
          <w:trHeight w:val="346"/>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bCs/>
                <w:sz w:val="20"/>
                <w:highlight w:val="none"/>
              </w:rPr>
            </w:pPr>
            <w:r>
              <w:rPr>
                <w:rFonts w:hAnsi="宋体"/>
                <w:bCs/>
                <w:sz w:val="20"/>
                <w:highlight w:val="none"/>
              </w:rPr>
              <w:t xml:space="preserve">8</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bCs/>
                <w:sz w:val="20"/>
                <w:highlight w:val="none"/>
              </w:rPr>
            </w:pPr>
            <w:r>
              <w:rPr>
                <w:rFonts w:hint="eastAsia" w:hAnsi="宋体"/>
                <w:bCs/>
                <w:sz w:val="20"/>
                <w:highlight w:val="none"/>
              </w:rPr>
              <w:t xml:space="preserve">邮政业</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r>
      <w:tr>
        <w:trPr>
          <w:trHeight w:val="346"/>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bCs/>
                <w:sz w:val="20"/>
                <w:highlight w:val="none"/>
              </w:rPr>
            </w:pPr>
            <w:r>
              <w:rPr>
                <w:rFonts w:hAnsi="宋体"/>
                <w:bCs/>
                <w:sz w:val="20"/>
                <w:highlight w:val="none"/>
              </w:rPr>
              <w:t xml:space="preserve">9</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bCs/>
                <w:sz w:val="20"/>
                <w:highlight w:val="none"/>
              </w:rPr>
            </w:pPr>
            <w:r>
              <w:rPr>
                <w:rFonts w:hint="eastAsia" w:hAnsi="宋体"/>
                <w:bCs/>
                <w:sz w:val="20"/>
                <w:highlight w:val="none"/>
              </w:rPr>
              <w:t xml:space="preserve">住宿业</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r>
      <w:tr>
        <w:trPr>
          <w:trHeight w:val="346"/>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bCs/>
                <w:sz w:val="20"/>
                <w:highlight w:val="none"/>
              </w:rPr>
            </w:pPr>
            <w:r>
              <w:rPr>
                <w:rFonts w:hAnsi="宋体"/>
                <w:bCs/>
                <w:sz w:val="20"/>
                <w:highlight w:val="none"/>
              </w:rPr>
              <w:t xml:space="preserve">10</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bCs/>
                <w:sz w:val="20"/>
                <w:highlight w:val="none"/>
              </w:rPr>
            </w:pPr>
            <w:r>
              <w:rPr>
                <w:rFonts w:hint="eastAsia" w:hAnsi="宋体"/>
                <w:bCs/>
                <w:sz w:val="20"/>
                <w:highlight w:val="none"/>
              </w:rPr>
              <w:t xml:space="preserve">餐饮业</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r>
      <w:tr>
        <w:trPr>
          <w:trHeight w:val="346"/>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sz w:val="20"/>
                <w:highlight w:val="none"/>
              </w:rPr>
            </w:pPr>
            <w:r>
              <w:rPr>
                <w:rFonts w:hAnsi="宋体"/>
                <w:sz w:val="20"/>
                <w:highlight w:val="none"/>
              </w:rPr>
              <w:t xml:space="preserve">11</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sz w:val="20"/>
                <w:highlight w:val="none"/>
              </w:rPr>
            </w:pPr>
            <w:r>
              <w:rPr>
                <w:rFonts w:hint="eastAsia" w:hAnsi="宋体"/>
                <w:sz w:val="20"/>
                <w:highlight w:val="none"/>
              </w:rPr>
              <w:t xml:space="preserve">信息传输业</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r>
      <w:tr>
        <w:trPr>
          <w:trHeight w:val="482"/>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sz w:val="20"/>
                <w:highlight w:val="none"/>
              </w:rPr>
            </w:pPr>
            <w:r>
              <w:rPr>
                <w:rFonts w:hAnsi="宋体"/>
                <w:sz w:val="20"/>
                <w:highlight w:val="none"/>
              </w:rPr>
              <w:t xml:space="preserve">12</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sz w:val="20"/>
                <w:highlight w:val="none"/>
              </w:rPr>
            </w:pPr>
            <w:r>
              <w:rPr>
                <w:rFonts w:hint="eastAsia" w:hAnsi="宋体"/>
                <w:sz w:val="20"/>
                <w:highlight w:val="none"/>
              </w:rPr>
              <w:t xml:space="preserve">软件和信息技术服务业</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50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50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r>
      <w:tr>
        <w:trPr>
          <w:trHeight w:val="465"/>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bCs/>
                <w:sz w:val="20"/>
                <w:highlight w:val="none"/>
              </w:rPr>
            </w:pPr>
            <w:r>
              <w:rPr>
                <w:rFonts w:hAnsi="宋体"/>
                <w:bCs/>
                <w:sz w:val="20"/>
                <w:highlight w:val="none"/>
              </w:rPr>
              <w:t xml:space="preserve">13</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bCs/>
                <w:sz w:val="20"/>
                <w:highlight w:val="none"/>
              </w:rPr>
            </w:pPr>
            <w:r>
              <w:rPr>
                <w:rFonts w:hint="eastAsia" w:hAnsi="宋体"/>
                <w:bCs/>
                <w:sz w:val="20"/>
                <w:highlight w:val="none"/>
              </w:rPr>
              <w:t xml:space="preserve">房地产开发经验</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或</w:t>
            </w:r>
            <w:r>
              <w:rPr>
                <w:rFonts w:hAnsi="宋体"/>
                <w:sz w:val="20"/>
                <w:highlight w:val="none"/>
              </w:rPr>
              <w:t xml:space="preserve">,≥10000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且</w:t>
            </w:r>
            <w:r>
              <w:rPr>
                <w:rFonts w:hAnsi="宋体"/>
                <w:sz w:val="20"/>
                <w:highlight w:val="none"/>
              </w:rPr>
              <w:t xml:space="preserve">,≥5000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且</w:t>
            </w:r>
            <w:r>
              <w:rPr>
                <w:rFonts w:hAnsi="宋体"/>
                <w:sz w:val="20"/>
                <w:highlight w:val="none"/>
              </w:rPr>
              <w:t xml:space="preserve">,≥2000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或</w:t>
            </w:r>
            <w:r>
              <w:rPr>
                <w:rFonts w:hAnsi="宋体"/>
                <w:sz w:val="20"/>
                <w:highlight w:val="none"/>
              </w:rPr>
              <w:t xml:space="preserve">,＜2000</w:t>
            </w:r>
            <w:r>
              <w:rPr>
                <w:rFonts w:hAnsi="宋体"/>
                <w:sz w:val="20"/>
                <w:highlight w:val="none"/>
              </w:rPr>
            </w:r>
            <w:r/>
          </w:p>
        </w:tc>
      </w:tr>
      <w:tr>
        <w:trPr>
          <w:trHeight w:val="346"/>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bCs/>
                <w:sz w:val="20"/>
                <w:highlight w:val="none"/>
              </w:rPr>
            </w:pPr>
            <w:r>
              <w:rPr>
                <w:rFonts w:hAnsi="宋体"/>
                <w:bCs/>
                <w:sz w:val="20"/>
                <w:highlight w:val="none"/>
              </w:rPr>
              <w:t xml:space="preserve">14</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bCs/>
                <w:sz w:val="20"/>
                <w:highlight w:val="none"/>
              </w:rPr>
            </w:pPr>
            <w:r>
              <w:rPr>
                <w:rFonts w:hint="eastAsia" w:hAnsi="宋体"/>
                <w:bCs/>
                <w:sz w:val="20"/>
                <w:highlight w:val="none"/>
              </w:rPr>
              <w:t xml:space="preserve">物业管理</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5000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500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500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r>
      <w:tr>
        <w:trPr>
          <w:trHeight w:val="465"/>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bCs/>
                <w:sz w:val="20"/>
                <w:highlight w:val="none"/>
              </w:rPr>
            </w:pPr>
            <w:r>
              <w:rPr>
                <w:rFonts w:hAnsi="宋体"/>
                <w:bCs/>
                <w:sz w:val="20"/>
                <w:highlight w:val="none"/>
              </w:rPr>
              <w:t xml:space="preserve">15</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bCs/>
                <w:sz w:val="20"/>
                <w:highlight w:val="none"/>
              </w:rPr>
            </w:pPr>
            <w:r>
              <w:rPr>
                <w:rFonts w:hint="eastAsia" w:hAnsi="宋体"/>
                <w:bCs/>
                <w:sz w:val="20"/>
                <w:highlight w:val="none"/>
              </w:rPr>
              <w:t xml:space="preserve">租赁和商务服务业</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或</w:t>
            </w:r>
            <w:r>
              <w:rPr>
                <w:rFonts w:hAnsi="宋体"/>
                <w:sz w:val="20"/>
                <w:highlight w:val="none"/>
              </w:rPr>
              <w:t xml:space="preserve">,≥120000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且</w:t>
            </w:r>
            <w:r>
              <w:rPr>
                <w:rFonts w:hAnsi="宋体"/>
                <w:sz w:val="20"/>
                <w:highlight w:val="none"/>
              </w:rPr>
              <w:t xml:space="preserve">,≥8000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且</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或</w:t>
            </w:r>
            <w:r>
              <w:rPr>
                <w:rFonts w:hAnsi="宋体"/>
                <w:sz w:val="20"/>
                <w:highlight w:val="none"/>
              </w:rPr>
              <w:t xml:space="preserve">,＜100</w:t>
            </w:r>
            <w:r>
              <w:rPr>
                <w:rFonts w:hAnsi="宋体"/>
                <w:sz w:val="20"/>
                <w:highlight w:val="none"/>
              </w:rPr>
            </w:r>
            <w:r/>
          </w:p>
        </w:tc>
      </w:tr>
      <w:tr>
        <w:trPr>
          <w:trHeight w:val="355"/>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sz w:val="20"/>
                <w:highlight w:val="none"/>
              </w:rPr>
            </w:pPr>
            <w:r>
              <w:rPr>
                <w:rFonts w:hAnsi="宋体"/>
                <w:sz w:val="20"/>
                <w:highlight w:val="none"/>
              </w:rPr>
              <w:t xml:space="preserve">16</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sz w:val="20"/>
                <w:highlight w:val="none"/>
              </w:rPr>
            </w:pPr>
            <w:r>
              <w:rPr>
                <w:rFonts w:hint="eastAsia" w:hAnsi="宋体"/>
                <w:sz w:val="20"/>
                <w:highlight w:val="none"/>
              </w:rPr>
              <w:t xml:space="preserve">其他未列明行业</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r>
    </w:tbl>
    <w:p>
      <w:pPr>
        <w:pStyle w:val="999"/>
        <w:spacing w:before="240" w:line="360" w:lineRule="auto"/>
        <w:rPr>
          <w:rFonts w:hAnsi="宋体"/>
          <w:szCs w:val="24"/>
          <w:highlight w:val="none"/>
        </w:rPr>
        <w:sectPr>
          <w:footnotePr/>
          <w:endnotePr/>
          <w:type w:val="nextPage"/>
          <w:pgSz w:w="16838" w:h="11906" w:orient="landscape"/>
          <w:pgMar w:top="1588" w:right="1418" w:bottom="1198" w:left="1418" w:header="851" w:footer="907" w:gutter="0"/>
          <w:cols w:num="1" w:sep="0" w:space="1701" w:equalWidth="1"/>
          <w:docGrid w:linePitch="360"/>
          <w:titlePg/>
        </w:sectPr>
      </w:pPr>
      <w:r>
        <w:rPr>
          <w:rStyle w:val="1040"/>
          <w:rFonts w:hint="eastAsia" w:ascii="宋体" w:hAnsi="宋体" w:cs="仿宋"/>
          <w:bCs w:val="0"/>
          <w:sz w:val="20"/>
          <w:szCs w:val="20"/>
          <w:highlight w:val="none"/>
        </w:rPr>
        <w:t xml:space="preserve">说明：上述标准参照《关于印发中小企业划型标准规定的通知》（工信部联企业</w:t>
      </w:r>
      <w:r>
        <w:rPr>
          <w:rStyle w:val="1040"/>
          <w:rFonts w:ascii="宋体" w:hAnsi="宋体" w:cs="仿宋"/>
          <w:bCs w:val="0"/>
          <w:sz w:val="20"/>
          <w:szCs w:val="20"/>
          <w:highlight w:val="none"/>
        </w:rPr>
        <w:t xml:space="preserve">[2011]300号），大型、中型和小型企业须同时满足所列指标的下限，否则下划一档；微型企业只须满足所列指标中的一项即可。</w:t>
      </w:r>
      <w:r>
        <w:rPr>
          <w:rFonts w:hAnsi="宋体"/>
          <w:szCs w:val="24"/>
          <w:highlight w:val="none"/>
        </w:rPr>
      </w:r>
      <w:r/>
    </w:p>
    <w:p>
      <w:pPr>
        <w:pStyle w:val="967"/>
        <w:jc w:val="left"/>
        <w:spacing w:line="360" w:lineRule="auto"/>
        <w:rPr>
          <w:bCs/>
          <w:highlight w:val="none"/>
        </w:rPr>
      </w:pPr>
      <w:r>
        <w:rPr>
          <w:rFonts w:hint="eastAsia"/>
          <w:bCs/>
          <w:highlight w:val="none"/>
        </w:rPr>
        <w:t xml:space="preserve">格式11：其他声明函</w:t>
      </w:r>
      <w:r>
        <w:rPr>
          <w:bCs/>
          <w:highlight w:val="none"/>
        </w:rPr>
      </w:r>
      <w:r/>
    </w:p>
    <w:p>
      <w:pPr>
        <w:pStyle w:val="999"/>
        <w:rPr>
          <w:highlight w:val="none"/>
        </w:rPr>
      </w:pPr>
      <w:r>
        <w:rPr>
          <w:highlight w:val="none"/>
        </w:rPr>
      </w:r>
      <w:r/>
    </w:p>
    <w:p>
      <w:pPr>
        <w:pStyle w:val="967"/>
        <w:ind w:left="100"/>
        <w:jc w:val="left"/>
        <w:spacing w:before="50" w:line="360" w:lineRule="auto"/>
        <w:rPr>
          <w:rFonts w:hAnsi="宋体"/>
          <w:szCs w:val="24"/>
          <w:highlight w:val="none"/>
        </w:rPr>
        <w:outlineLvl w:val="2"/>
      </w:pPr>
      <w:r/>
      <w:bookmarkStart w:id="223" w:name="_Toc174468394"/>
      <w:r>
        <w:rPr>
          <w:rFonts w:hint="eastAsia" w:hAnsi="宋体"/>
          <w:szCs w:val="24"/>
          <w:highlight w:val="none"/>
        </w:rPr>
        <w:t xml:space="preserve">（一）残疾人福利性单位声明函格式</w:t>
      </w:r>
      <w:bookmarkEnd w:id="223"/>
      <w:r>
        <w:rPr>
          <w:rFonts w:hAnsi="宋体"/>
          <w:szCs w:val="24"/>
          <w:highlight w:val="none"/>
        </w:rPr>
      </w:r>
      <w:r/>
    </w:p>
    <w:p>
      <w:pPr>
        <w:pStyle w:val="967"/>
        <w:ind w:firstLine="482"/>
        <w:jc w:val="center"/>
        <w:rPr>
          <w:rFonts w:hAnsi="宋体"/>
          <w:szCs w:val="24"/>
          <w:highlight w:val="none"/>
        </w:rPr>
      </w:pPr>
      <w:r>
        <w:rPr>
          <w:rFonts w:hAnsi="宋体"/>
          <w:szCs w:val="24"/>
          <w:highlight w:val="none"/>
        </w:rPr>
      </w:r>
      <w:r/>
    </w:p>
    <w:p>
      <w:pPr>
        <w:pStyle w:val="967"/>
        <w:ind w:firstLine="482"/>
        <w:jc w:val="center"/>
        <w:rPr>
          <w:rFonts w:hAnsi="宋体"/>
          <w:szCs w:val="24"/>
          <w:highlight w:val="none"/>
        </w:rPr>
      </w:pPr>
      <w:r>
        <w:rPr>
          <w:rFonts w:hint="eastAsia" w:hAnsi="宋体"/>
          <w:szCs w:val="24"/>
          <w:highlight w:val="none"/>
        </w:rPr>
        <w:t xml:space="preserve">残疾人福利性单位声明函</w:t>
      </w:r>
      <w:r>
        <w:rPr>
          <w:rFonts w:hAnsi="宋体"/>
          <w:szCs w:val="24"/>
          <w:highlight w:val="none"/>
        </w:rPr>
      </w:r>
      <w:r/>
    </w:p>
    <w:p>
      <w:pPr>
        <w:pStyle w:val="967"/>
        <w:rPr>
          <w:rFonts w:hAnsi="宋体"/>
          <w:szCs w:val="24"/>
          <w:highlight w:val="none"/>
        </w:rPr>
      </w:pPr>
      <w:r>
        <w:rPr>
          <w:rFonts w:hAnsi="宋体"/>
          <w:szCs w:val="24"/>
          <w:highlight w:val="none"/>
        </w:rPr>
      </w:r>
      <w:r/>
    </w:p>
    <w:p>
      <w:pPr>
        <w:pStyle w:val="967"/>
        <w:ind w:firstLine="480"/>
        <w:spacing w:line="360" w:lineRule="auto"/>
        <w:rPr>
          <w:rFonts w:hAnsi="宋体"/>
          <w:szCs w:val="24"/>
          <w:highlight w:val="none"/>
        </w:rPr>
      </w:pPr>
      <w:r>
        <w:rPr>
          <w:rFonts w:hint="eastAsia" w:hAnsi="宋体"/>
          <w:szCs w:val="24"/>
          <w:highlight w:val="none"/>
        </w:rPr>
        <w:t xml:space="preserve">本单位郑重声明，根据《财政部民政部中国残疾人联合会关于促进残疾人就业政府采购政策的通知》（财库〔</w:t>
      </w:r>
      <w:r>
        <w:rPr>
          <w:rFonts w:hAnsi="宋体"/>
          <w:szCs w:val="24"/>
          <w:highlight w:val="none"/>
        </w:rPr>
        <w:t xml:space="preserve">2017〕141号）的规定，本单位为符合条件的残疾人福利性单位，且本单位参加</w:t>
      </w:r>
      <w:r>
        <w:rPr>
          <w:rFonts w:hint="eastAsia" w:hAnsi="宋体"/>
          <w:szCs w:val="24"/>
          <w:highlight w:val="none"/>
        </w:rPr>
        <w:t xml:space="preserve">单位的项目采购活动提供本单位制造的货物（由本单位承担工程</w:t>
      </w:r>
      <w:r>
        <w:rPr>
          <w:rFonts w:hAnsi="宋体"/>
          <w:szCs w:val="24"/>
          <w:highlight w:val="none"/>
        </w:rPr>
        <w:t xml:space="preserve">/提供服务），或者提供其他残疾人福利性单位制造的货物（不包括使用非残疾人福利性单位注册商标的货物）。</w:t>
      </w:r>
      <w:r>
        <w:rPr>
          <w:rFonts w:hAnsi="宋体"/>
          <w:szCs w:val="24"/>
          <w:highlight w:val="none"/>
        </w:rPr>
      </w:r>
      <w:r/>
    </w:p>
    <w:p>
      <w:pPr>
        <w:pStyle w:val="967"/>
        <w:ind w:firstLine="480"/>
        <w:spacing w:line="360" w:lineRule="auto"/>
        <w:rPr>
          <w:rFonts w:hAnsi="宋体"/>
          <w:szCs w:val="24"/>
          <w:highlight w:val="none"/>
        </w:rPr>
      </w:pPr>
      <w:r>
        <w:rPr>
          <w:rFonts w:hint="eastAsia" w:hAnsi="宋体"/>
          <w:szCs w:val="24"/>
          <w:highlight w:val="none"/>
        </w:rPr>
        <w:t xml:space="preserve">本单位对上述声明的真实性负责。如有虚假，将依法承担相应责任。</w:t>
      </w:r>
      <w:r>
        <w:rPr>
          <w:rFonts w:hAnsi="宋体"/>
          <w:szCs w:val="24"/>
          <w:highlight w:val="none"/>
        </w:rPr>
      </w:r>
      <w:r/>
    </w:p>
    <w:p>
      <w:pPr>
        <w:pStyle w:val="967"/>
        <w:rPr>
          <w:rFonts w:hAnsi="宋体"/>
          <w:szCs w:val="24"/>
          <w:highlight w:val="none"/>
        </w:rPr>
      </w:pPr>
      <w:r>
        <w:rPr>
          <w:rFonts w:hAnsi="宋体"/>
          <w:szCs w:val="24"/>
          <w:highlight w:val="none"/>
        </w:rPr>
      </w:r>
      <w:r/>
    </w:p>
    <w:p>
      <w:pPr>
        <w:pStyle w:val="967"/>
        <w:ind w:firstLine="4560"/>
        <w:rPr>
          <w:rFonts w:hAnsi="宋体"/>
          <w:szCs w:val="24"/>
          <w:highlight w:val="none"/>
        </w:rPr>
      </w:pPr>
      <w:r>
        <w:rPr>
          <w:rFonts w:hint="eastAsia" w:hAnsi="宋体"/>
          <w:szCs w:val="24"/>
          <w:highlight w:val="none"/>
        </w:rPr>
        <w:t xml:space="preserve">投标人名称（盖章）：</w:t>
      </w:r>
      <w:r>
        <w:rPr>
          <w:rFonts w:hAnsi="宋体"/>
          <w:szCs w:val="24"/>
          <w:highlight w:val="none"/>
        </w:rPr>
      </w:r>
      <w:r/>
    </w:p>
    <w:p>
      <w:pPr>
        <w:pStyle w:val="967"/>
        <w:ind w:firstLine="4560"/>
        <w:rPr>
          <w:rFonts w:hAnsi="宋体"/>
          <w:szCs w:val="24"/>
          <w:highlight w:val="none"/>
        </w:rPr>
      </w:pPr>
      <w:r>
        <w:rPr>
          <w:rFonts w:hint="eastAsia" w:hAnsi="宋体"/>
          <w:szCs w:val="24"/>
          <w:highlight w:val="none"/>
        </w:rPr>
        <w:t xml:space="preserve">日</w:t>
      </w:r>
      <w:r>
        <w:rPr>
          <w:rFonts w:hAnsi="宋体"/>
          <w:szCs w:val="24"/>
          <w:highlight w:val="none"/>
        </w:rPr>
        <w:tab/>
      </w:r>
      <w:r>
        <w:rPr>
          <w:rFonts w:hint="eastAsia" w:hAnsi="宋体"/>
          <w:szCs w:val="24"/>
          <w:highlight w:val="none"/>
        </w:rPr>
        <w:t xml:space="preserve">期：</w:t>
      </w:r>
      <w:r>
        <w:rPr>
          <w:rFonts w:hAnsi="宋体"/>
          <w:szCs w:val="24"/>
          <w:highlight w:val="none"/>
        </w:rPr>
      </w:r>
      <w:r/>
    </w:p>
    <w:p>
      <w:pPr>
        <w:pStyle w:val="967"/>
        <w:rPr>
          <w:rFonts w:hAnsi="宋体"/>
          <w:szCs w:val="24"/>
          <w:highlight w:val="none"/>
        </w:rPr>
      </w:pPr>
      <w:r>
        <w:rPr>
          <w:rFonts w:hAnsi="宋体"/>
          <w:szCs w:val="24"/>
          <w:highlight w:val="none"/>
        </w:rPr>
      </w:r>
      <w:r/>
    </w:p>
    <w:p>
      <w:pPr>
        <w:pStyle w:val="967"/>
        <w:rPr>
          <w:rFonts w:hAnsi="宋体"/>
          <w:szCs w:val="24"/>
          <w:highlight w:val="none"/>
        </w:rPr>
      </w:pPr>
      <w:r>
        <w:rPr>
          <w:rFonts w:hAnsi="宋体"/>
          <w:szCs w:val="24"/>
          <w:highlight w:val="none"/>
        </w:rPr>
      </w:r>
      <w:r/>
    </w:p>
    <w:p>
      <w:pPr>
        <w:pStyle w:val="967"/>
        <w:rPr>
          <w:rFonts w:hAnsi="宋体"/>
          <w:szCs w:val="24"/>
          <w:highlight w:val="none"/>
        </w:rPr>
      </w:pPr>
      <w:r>
        <w:rPr>
          <w:rFonts w:hAnsi="宋体"/>
          <w:szCs w:val="24"/>
          <w:highlight w:val="none"/>
        </w:rPr>
      </w:r>
      <w:r/>
    </w:p>
    <w:p>
      <w:pPr>
        <w:pStyle w:val="967"/>
        <w:rPr>
          <w:rFonts w:hAnsi="宋体"/>
          <w:szCs w:val="24"/>
          <w:highlight w:val="none"/>
        </w:rPr>
      </w:pPr>
      <w:r>
        <w:rPr>
          <w:rFonts w:hAnsi="宋体"/>
          <w:szCs w:val="24"/>
          <w:highlight w:val="none"/>
        </w:rPr>
      </w:r>
      <w:r/>
    </w:p>
    <w:p>
      <w:pPr>
        <w:pStyle w:val="967"/>
        <w:rPr>
          <w:rFonts w:hAnsi="宋体"/>
          <w:szCs w:val="24"/>
          <w:highlight w:val="none"/>
        </w:rPr>
      </w:pPr>
      <w:r>
        <w:rPr>
          <w:rFonts w:hAnsi="宋体"/>
          <w:szCs w:val="24"/>
          <w:highlight w:val="none"/>
        </w:rPr>
      </w:r>
      <w:r/>
    </w:p>
    <w:p>
      <w:pPr>
        <w:pStyle w:val="967"/>
        <w:rPr>
          <w:rFonts w:hAnsi="宋体"/>
          <w:szCs w:val="24"/>
          <w:highlight w:val="none"/>
        </w:rPr>
      </w:pPr>
      <w:r>
        <w:rPr>
          <w:rFonts w:hAnsi="宋体"/>
          <w:szCs w:val="24"/>
          <w:highlight w:val="none"/>
        </w:rPr>
      </w:r>
      <w:r/>
    </w:p>
    <w:p>
      <w:pPr>
        <w:pStyle w:val="967"/>
        <w:rPr>
          <w:rFonts w:hAnsi="宋体"/>
          <w:szCs w:val="24"/>
          <w:highlight w:val="none"/>
        </w:rPr>
      </w:pPr>
      <w:r>
        <w:rPr>
          <w:rFonts w:hAnsi="宋体"/>
          <w:szCs w:val="24"/>
          <w:highlight w:val="none"/>
        </w:rPr>
      </w:r>
      <w:r/>
    </w:p>
    <w:p>
      <w:pPr>
        <w:pStyle w:val="967"/>
        <w:ind w:left="100"/>
        <w:jc w:val="left"/>
        <w:spacing w:before="50" w:line="360" w:lineRule="auto"/>
        <w:rPr>
          <w:rFonts w:hAnsi="宋体"/>
          <w:szCs w:val="24"/>
          <w:highlight w:val="none"/>
        </w:rPr>
        <w:outlineLvl w:val="2"/>
      </w:pPr>
      <w:r/>
      <w:bookmarkStart w:id="224" w:name="_Toc174468395"/>
      <w:r>
        <w:rPr>
          <w:rFonts w:hint="eastAsia" w:hAnsi="宋体"/>
          <w:szCs w:val="24"/>
          <w:highlight w:val="none"/>
        </w:rPr>
        <w:t xml:space="preserve">（二）属于监狱企业的证明文件</w:t>
      </w:r>
      <w:bookmarkEnd w:id="224"/>
      <w:r>
        <w:rPr>
          <w:rFonts w:hAnsi="宋体"/>
          <w:szCs w:val="24"/>
          <w:highlight w:val="none"/>
        </w:rPr>
      </w:r>
      <w:r/>
    </w:p>
    <w:p>
      <w:pPr>
        <w:pStyle w:val="967"/>
        <w:ind w:firstLine="480"/>
        <w:spacing w:line="360" w:lineRule="auto"/>
        <w:rPr>
          <w:rFonts w:hAnsi="宋体"/>
          <w:szCs w:val="24"/>
          <w:highlight w:val="none"/>
        </w:rPr>
      </w:pPr>
      <w:r>
        <w:rPr>
          <w:rFonts w:hint="eastAsia" w:hAnsi="宋体"/>
          <w:szCs w:val="24"/>
          <w:highlight w:val="none"/>
        </w:rPr>
        <w:t xml:space="preserve">提供由省级以上监狱管理局、戒毒管理局</w:t>
      </w:r>
      <w:r>
        <w:rPr>
          <w:rFonts w:hAnsi="宋体"/>
          <w:szCs w:val="24"/>
          <w:highlight w:val="none"/>
        </w:rPr>
        <w:t xml:space="preserve">(含新疆生产建设兵团)出具的属于监狱企业的证明文件</w:t>
      </w:r>
      <w:r>
        <w:rPr>
          <w:rFonts w:hAnsi="宋体"/>
          <w:szCs w:val="24"/>
          <w:highlight w:val="none"/>
        </w:rPr>
      </w:r>
      <w:r/>
    </w:p>
    <w:p>
      <w:pPr>
        <w:pStyle w:val="967"/>
        <w:ind w:firstLine="480"/>
        <w:spacing w:line="360" w:lineRule="auto"/>
        <w:rPr>
          <w:rFonts w:hAnsi="宋体"/>
          <w:szCs w:val="24"/>
          <w:highlight w:val="none"/>
        </w:rPr>
      </w:pPr>
      <w:r>
        <w:rPr>
          <w:rFonts w:hAnsi="宋体"/>
          <w:szCs w:val="24"/>
          <w:highlight w:val="none"/>
        </w:rPr>
      </w:r>
      <w:r/>
    </w:p>
    <w:p>
      <w:pPr>
        <w:pStyle w:val="967"/>
        <w:ind w:left="100"/>
        <w:jc w:val="left"/>
        <w:spacing w:before="50" w:line="360" w:lineRule="auto"/>
        <w:rPr>
          <w:rFonts w:hAnsi="宋体"/>
          <w:szCs w:val="24"/>
          <w:highlight w:val="none"/>
        </w:rPr>
        <w:outlineLvl w:val="2"/>
      </w:pPr>
      <w:r/>
      <w:bookmarkStart w:id="225" w:name="_Toc174468396"/>
      <w:r>
        <w:rPr>
          <w:rFonts w:hint="eastAsia" w:hAnsi="宋体"/>
          <w:szCs w:val="24"/>
          <w:highlight w:val="none"/>
        </w:rPr>
        <w:t xml:space="preserve">（三）节能产品认证文件</w:t>
      </w:r>
      <w:bookmarkEnd w:id="225"/>
      <w:r>
        <w:rPr>
          <w:rFonts w:hAnsi="宋体"/>
          <w:szCs w:val="24"/>
          <w:highlight w:val="none"/>
        </w:rPr>
      </w:r>
      <w:r/>
    </w:p>
    <w:p>
      <w:pPr>
        <w:pStyle w:val="967"/>
        <w:ind w:firstLine="480"/>
        <w:spacing w:line="360" w:lineRule="auto"/>
        <w:rPr>
          <w:rFonts w:hAnsi="宋体"/>
          <w:szCs w:val="24"/>
          <w:highlight w:val="none"/>
        </w:rPr>
      </w:pPr>
      <w:r>
        <w:rPr>
          <w:rFonts w:hint="eastAsia" w:hAnsi="宋体"/>
          <w:szCs w:val="24"/>
          <w:highlight w:val="none"/>
        </w:rPr>
        <w:t xml:space="preserve">提供其投标产品在《节能产品政府采购清单》中相应的页面截图及相关证明材料</w:t>
      </w:r>
      <w:r>
        <w:rPr>
          <w:rFonts w:hAnsi="宋体"/>
          <w:szCs w:val="24"/>
          <w:highlight w:val="none"/>
        </w:rPr>
      </w:r>
      <w:r/>
    </w:p>
    <w:p>
      <w:pPr>
        <w:pStyle w:val="967"/>
        <w:ind w:firstLine="480"/>
        <w:spacing w:line="360" w:lineRule="auto"/>
        <w:rPr>
          <w:rFonts w:hAnsi="宋体"/>
          <w:szCs w:val="24"/>
          <w:highlight w:val="none"/>
        </w:rPr>
      </w:pPr>
      <w:r>
        <w:rPr>
          <w:rFonts w:hAnsi="宋体"/>
          <w:szCs w:val="24"/>
          <w:highlight w:val="none"/>
        </w:rPr>
      </w:r>
      <w:r/>
    </w:p>
    <w:p>
      <w:pPr>
        <w:pStyle w:val="967"/>
        <w:ind w:left="100"/>
        <w:jc w:val="left"/>
        <w:spacing w:before="50" w:line="360" w:lineRule="auto"/>
        <w:rPr>
          <w:rFonts w:hAnsi="宋体"/>
          <w:szCs w:val="24"/>
          <w:highlight w:val="none"/>
        </w:rPr>
        <w:outlineLvl w:val="2"/>
      </w:pPr>
      <w:r/>
      <w:bookmarkStart w:id="226" w:name="_Toc174468397"/>
      <w:r>
        <w:rPr>
          <w:rFonts w:hint="eastAsia" w:hAnsi="宋体"/>
          <w:szCs w:val="24"/>
          <w:highlight w:val="none"/>
        </w:rPr>
        <w:t xml:space="preserve">（四）环境标志产品认证文件</w:t>
      </w:r>
      <w:bookmarkEnd w:id="226"/>
      <w:r>
        <w:rPr>
          <w:rFonts w:hAnsi="宋体"/>
          <w:szCs w:val="24"/>
          <w:highlight w:val="none"/>
        </w:rPr>
      </w:r>
      <w:r/>
    </w:p>
    <w:p>
      <w:pPr>
        <w:pStyle w:val="967"/>
        <w:ind w:firstLine="480"/>
        <w:spacing w:line="360" w:lineRule="auto"/>
        <w:rPr>
          <w:rFonts w:hAnsi="宋体"/>
          <w:szCs w:val="24"/>
          <w:highlight w:val="none"/>
        </w:rPr>
      </w:pPr>
      <w:r>
        <w:rPr>
          <w:rFonts w:hint="eastAsia" w:hAnsi="宋体"/>
          <w:szCs w:val="24"/>
          <w:highlight w:val="none"/>
        </w:rPr>
        <w:t xml:space="preserve">提供其投标产品在《环境标志产品政府采购清单》中相应的页面截图及相关证明材料</w:t>
      </w:r>
      <w:r>
        <w:rPr>
          <w:rFonts w:hAnsi="宋体"/>
          <w:szCs w:val="24"/>
          <w:highlight w:val="none"/>
        </w:rPr>
      </w:r>
      <w:r/>
    </w:p>
    <w:p>
      <w:pPr>
        <w:pStyle w:val="967"/>
        <w:jc w:val="left"/>
        <w:widowControl/>
        <w:rPr>
          <w:rFonts w:hAnsi="宋体"/>
          <w:szCs w:val="24"/>
          <w:highlight w:val="none"/>
        </w:rPr>
      </w:pPr>
      <w:r>
        <w:rPr>
          <w:rFonts w:hint="eastAsia" w:hAnsi="宋体"/>
          <w:szCs w:val="24"/>
          <w:highlight w:val="none"/>
        </w:rPr>
        <w:br w:type="page" w:clear="all"/>
      </w:r>
      <w:r>
        <w:rPr>
          <w:rFonts w:hAnsi="宋体"/>
          <w:szCs w:val="24"/>
          <w:highlight w:val="none"/>
        </w:rPr>
      </w:r>
      <w:r/>
    </w:p>
    <w:p>
      <w:pPr>
        <w:pStyle w:val="967"/>
        <w:ind w:left="100"/>
        <w:jc w:val="left"/>
        <w:spacing w:before="50" w:line="360" w:lineRule="auto"/>
        <w:rPr>
          <w:rFonts w:hAnsi="宋体"/>
          <w:szCs w:val="24"/>
          <w:highlight w:val="none"/>
        </w:rPr>
        <w:outlineLvl w:val="2"/>
      </w:pPr>
      <w:r>
        <w:rPr>
          <w:rFonts w:hint="eastAsia" w:hAnsi="宋体"/>
          <w:szCs w:val="24"/>
          <w:highlight w:val="none"/>
        </w:rPr>
        <w:t xml:space="preserve">（五）关于符合本国产品标准的声明函</w:t>
      </w:r>
      <w:r>
        <w:rPr>
          <w:rFonts w:hAnsi="宋体"/>
          <w:szCs w:val="24"/>
          <w:highlight w:val="none"/>
        </w:rPr>
      </w:r>
      <w:r/>
    </w:p>
    <w:p>
      <w:pPr>
        <w:pStyle w:val="967"/>
        <w:ind w:firstLine="420"/>
        <w:spacing w:line="360" w:lineRule="auto"/>
        <w:rPr>
          <w:rFonts w:hAnsi="宋体" w:cs="方正魏碑_GBK"/>
          <w:highlight w:val="none"/>
        </w:rPr>
      </w:pPr>
      <w:r>
        <w:rPr>
          <w:rFonts w:hAnsi="宋体" w:cs="方正魏碑_GBK"/>
          <w:highlight w:val="none"/>
        </w:rPr>
      </w:r>
      <w:r/>
    </w:p>
    <w:p>
      <w:pPr>
        <w:pStyle w:val="967"/>
        <w:ind w:firstLine="420"/>
        <w:spacing w:line="360" w:lineRule="auto"/>
        <w:rPr>
          <w:rFonts w:hAnsi="宋体" w:cs="方正魏碑_GBK"/>
          <w:highlight w:val="none"/>
        </w:rPr>
      </w:pPr>
      <w:r>
        <w:rPr>
          <w:rFonts w:hint="eastAsia" w:hAnsi="宋体" w:cs="方正魏碑_GBK"/>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Ansi="宋体" w:cs="方正魏碑_GBK"/>
          <w:highlight w:val="none"/>
        </w:rPr>
      </w:r>
      <w:r/>
    </w:p>
    <w:p>
      <w:pPr>
        <w:pStyle w:val="967"/>
        <w:ind w:firstLine="420"/>
        <w:spacing w:before="30" w:after="30" w:line="360" w:lineRule="auto"/>
        <w:rPr>
          <w:rFonts w:hAnsi="宋体" w:cs="方正魏碑_GBK"/>
          <w:highlight w:val="none"/>
        </w:rPr>
      </w:pP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4571365</wp:posOffset>
                </wp:positionH>
                <wp:positionV relativeFrom="paragraph">
                  <wp:posOffset>78740</wp:posOffset>
                </wp:positionV>
                <wp:extent cx="577215" cy="9207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7;o:allowoverlap:true;o:allowincell:true;mso-position-horizontal-relative:text;margin-left:359.9pt;mso-position-horizontal:absolute;mso-position-vertical-relative:text;margin-top:6.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shd w:val="clear" w:color="auto" w:fill="ffffff"/>
        </w:rPr>
        <w:t xml:space="preserve">1.</w:t>
      </w:r>
      <w:r>
        <w:rPr>
          <w:rFonts w:hint="eastAsia" w:hAnsi="宋体" w:cs="方正魏碑_GBK"/>
          <w:highlight w:val="none"/>
          <w:u w:val="single"/>
          <w:shd w:val="clear" w:color="auto" w:fill="ffffff"/>
        </w:rPr>
        <w:t xml:space="preserve">（产品名称1）</w:t>
      </w:r>
      <w:r>
        <w:rPr>
          <w:rFonts w:hint="eastAsia" w:hAnsi="宋体" w:cs="方正魏碑_GBK"/>
          <w:highlight w:val="none"/>
          <w:shd w:val="clear" w:color="auto" w:fill="ffffff"/>
          <w:vertAlign w:val="superscript"/>
        </w:rPr>
        <w:t xml:space="preserve">1</w:t>
      </w:r>
      <w:r>
        <w:rPr>
          <w:rFonts w:hint="eastAsia" w:hAnsi="宋体" w:cs="方正魏碑_GBK"/>
          <w:highlight w:val="none"/>
          <w:shd w:val="clear" w:color="auto" w:fill="ffffff"/>
        </w:rPr>
        <w:t xml:space="preserve">，生产厂为</w:t>
      </w:r>
      <w:r>
        <w:rPr>
          <w:rFonts w:hint="eastAsia" w:hAnsi="宋体" w:cs="方正魏碑_GBK"/>
          <w:highlight w:val="none"/>
          <w:u w:val="single"/>
          <w:shd w:val="clear" w:color="auto" w:fill="ffffff"/>
        </w:rPr>
        <w:t xml:space="preserve">（厂名）</w:t>
      </w:r>
      <w:r>
        <w:rPr>
          <w:rFonts w:hint="eastAsia" w:hAnsi="宋体" w:cs="方正魏碑_GBK"/>
          <w:highlight w:val="none"/>
          <w:shd w:val="clear" w:color="auto" w:fill="ffffff"/>
          <w:vertAlign w:val="superscript"/>
        </w:rPr>
        <w:t xml:space="preserve">2</w:t>
      </w:r>
      <w:r>
        <w:rPr>
          <w:rFonts w:hint="eastAsia" w:hAnsi="宋体" w:cs="方正魏碑_GBK"/>
          <w:highlight w:val="none"/>
          <w:shd w:val="clear" w:color="auto" w:fill="ffffff"/>
        </w:rPr>
        <w:t xml:space="preserve">，厂址为</w:t>
      </w:r>
      <w:r>
        <w:rPr>
          <w:rFonts w:hint="eastAsia" w:hAnsi="宋体" w:cs="方正魏碑_GBK"/>
          <w:highlight w:val="none"/>
          <w:u w:val="single"/>
          <w:shd w:val="clear" w:color="auto" w:fill="ffffff"/>
        </w:rPr>
        <w:t xml:space="preserve">（生产厂址）</w:t>
      </w:r>
      <w:r>
        <w:rPr>
          <w:rFonts w:hint="eastAsia" w:hAnsi="宋体" w:cs="方正魏碑_GBK"/>
          <w:highlight w:val="none"/>
          <w:shd w:val="clear" w:color="auto" w:fill="ffffff"/>
        </w:rPr>
        <w:t xml:space="preserve">。</w:t>
      </w:r>
      <w:r>
        <w:rPr>
          <w:rFonts w:hint="eastAsia" w:hAnsi="宋体" w:cs="方正魏碑_GBK"/>
          <w:highlight w:val="none"/>
          <w:u w:val="single"/>
          <w:shd w:val="clear" w:color="auto" w:fill="ffffff"/>
        </w:rPr>
        <w:t xml:space="preserve"> （产品名称1） </w:t>
      </w:r>
      <w:r>
        <w:rPr>
          <w:rFonts w:hint="eastAsia" w:hAnsi="宋体" w:cs="方正魏碑_GBK"/>
          <w:highlight w:val="none"/>
          <w:shd w:val="clear" w:color="auto" w:fill="ffffff"/>
        </w:rPr>
        <w:t xml:space="preserve">的中国境内生产的组件成本占比≥</w:t>
      </w:r>
      <w:r>
        <w:rPr>
          <w:rFonts w:hint="eastAsia" w:hAnsi="宋体" w:cs="方正魏碑_GBK"/>
          <w:highlight w:val="none"/>
          <w:u w:val="single"/>
          <w:shd w:val="clear" w:color="auto" w:fill="ffffff"/>
        </w:rPr>
        <w:t xml:space="preserve">（规定</w:t>
      </w:r>
      <w:r>
        <w:rPr>
          <w:rFonts w:hAnsi="宋体" w:cs="方正魏碑_GBK"/>
          <w:highlight w:val="none"/>
          <w:u w:val="single"/>
          <w:shd w:val="clear" w:color="auto" w:fill="ffffff"/>
        </w:rPr>
        <w:t xml:space="preserve">比例</w:t>
      </w:r>
      <w:r>
        <w:rPr>
          <w:rFonts w:hint="eastAsia" w:hAnsi="宋体" w:cs="方正魏碑_GBK"/>
          <w:highlight w:val="none"/>
          <w:u w:val="single"/>
          <w:shd w:val="clear" w:color="auto" w:fill="ffffff"/>
        </w:rPr>
        <w:t xml:space="preserve">）</w:t>
      </w:r>
      <w:r>
        <w:rPr>
          <w:rFonts w:hint="eastAsia" w:hAnsi="宋体" w:cs="方正魏碑_GBK"/>
          <w:highlight w:val="none"/>
          <w:shd w:val="clear" w:color="auto" w:fill="ffffff"/>
          <w:vertAlign w:val="superscript"/>
        </w:rPr>
        <w:t xml:space="preserve">3</w:t>
      </w:r>
      <w:r>
        <w:rPr>
          <w:rFonts w:hint="eastAsia" w:hAnsi="宋体" w:cs="方正魏碑_GBK"/>
          <w:highlight w:val="none"/>
          <w:shd w:val="clear" w:color="auto" w:fill="ffffff"/>
        </w:rPr>
        <w:t xml:space="preserve">。</w:t>
      </w:r>
      <w:r>
        <w:rPr>
          <w:rFonts w:hint="eastAsia" w:hAnsi="宋体" w:cs="方正魏碑_GBK"/>
          <w:highlight w:val="none"/>
          <w:u w:val="single"/>
          <w:shd w:val="clear" w:color="auto" w:fill="ffffff"/>
        </w:rPr>
        <w:t xml:space="preserve">（产品名称1）</w:t>
      </w:r>
      <w:r>
        <w:rPr>
          <w:rFonts w:hint="eastAsia" w:hAnsi="宋体" w:cs="方正魏碑_GBK"/>
          <w:highlight w:val="none"/>
          <w:shd w:val="clear" w:color="auto" w:fill="ffffff"/>
        </w:rPr>
        <w:t xml:space="preserve">的</w:t>
      </w:r>
      <w:r>
        <w:rPr>
          <w:rFonts w:hint="eastAsia" w:hAnsi="宋体" w:cs="方正魏碑_GBK"/>
          <w:highlight w:val="none"/>
          <w:u w:val="single"/>
          <w:shd w:val="clear" w:color="auto" w:fill="ffffff"/>
        </w:rPr>
        <w:t xml:space="preserve">（关键</w:t>
      </w:r>
      <w:r>
        <w:rPr>
          <w:rFonts w:hAnsi="宋体" w:cs="方正魏碑_GBK"/>
          <w:highlight w:val="none"/>
          <w:u w:val="single"/>
          <w:shd w:val="clear" w:color="auto" w:fill="ffffff"/>
        </w:rPr>
        <w:t xml:space="preserve">组件</w:t>
      </w:r>
      <w:r>
        <w:rPr>
          <w:rFonts w:hint="eastAsia" w:hAnsi="宋体" w:cs="方正魏碑_GBK"/>
          <w:highlight w:val="none"/>
          <w:u w:val="single"/>
          <w:shd w:val="clear" w:color="auto" w:fill="ffffff"/>
        </w:rPr>
        <w:t xml:space="preserve">）</w:t>
      </w:r>
      <w:r>
        <w:rPr>
          <w:rFonts w:hint="eastAsia" w:hAnsi="宋体" w:cs="方正魏碑_GBK"/>
          <w:highlight w:val="none"/>
          <w:shd w:val="clear" w:color="auto" w:fill="ffffff"/>
          <w:vertAlign w:val="superscript"/>
        </w:rPr>
        <w:t xml:space="preserve">4</w:t>
      </w:r>
      <w:r>
        <w:rPr>
          <w:rFonts w:hint="eastAsia" w:hAnsi="宋体" w:cs="方正魏碑_GBK"/>
          <w:highlight w:val="none"/>
          <w:shd w:val="clear" w:color="auto" w:fill="ffffff"/>
        </w:rPr>
        <w:t xml:space="preserve">在中国境内生产。</w:t>
      </w:r>
      <w:r>
        <w:rPr>
          <w:rFonts w:hint="eastAsia" w:hAnsi="宋体" w:cs="方正魏碑_GBK"/>
          <w:highlight w:val="none"/>
          <w:u w:val="single"/>
          <w:shd w:val="clear" w:color="auto" w:fill="ffffff"/>
        </w:rPr>
        <w:t xml:space="preserve">（产品名称1）</w:t>
      </w:r>
      <w:r>
        <w:rPr>
          <w:rFonts w:hint="eastAsia" w:hAnsi="宋体" w:cs="方正魏碑_GBK"/>
          <w:highlight w:val="none"/>
          <w:shd w:val="clear" w:color="auto" w:fill="ffffff"/>
        </w:rPr>
        <w:t xml:space="preserve">的</w:t>
      </w:r>
      <w:r>
        <w:rPr>
          <w:rFonts w:hint="eastAsia" w:hAnsi="宋体" w:cs="方正魏碑_GBK"/>
          <w:highlight w:val="none"/>
          <w:u w:val="single"/>
          <w:shd w:val="clear" w:color="auto" w:fill="ffffff"/>
        </w:rPr>
        <w:t xml:space="preserve">（关键工序）</w:t>
      </w:r>
      <w:r>
        <w:rPr>
          <w:rFonts w:hint="eastAsia" w:hAnsi="宋体" w:cs="方正魏碑_GBK"/>
          <w:highlight w:val="none"/>
          <w:shd w:val="clear" w:color="auto" w:fill="ffffff"/>
          <w:vertAlign w:val="superscript"/>
        </w:rPr>
        <w:t xml:space="preserve">5</w:t>
      </w:r>
      <w:r>
        <w:rPr>
          <w:rFonts w:hint="eastAsia" w:hAnsi="宋体" w:cs="方正魏碑_GBK"/>
          <w:highlight w:val="none"/>
          <w:shd w:val="clear" w:color="auto" w:fill="ffffff"/>
        </w:rPr>
        <w:t xml:space="preserve">在中国境内完成。</w:t>
      </w:r>
      <w:r>
        <w:rPr>
          <w:rFonts w:hAnsi="宋体" w:cs="方正魏碑_GBK"/>
          <w:highlight w:val="none"/>
        </w:rPr>
      </w:r>
      <w:r/>
    </w:p>
    <w:p>
      <w:pPr>
        <w:pStyle w:val="967"/>
        <w:ind w:firstLine="420"/>
        <w:spacing w:before="30" w:after="30" w:line="360" w:lineRule="auto"/>
        <w:rPr>
          <w:rFonts w:hAnsi="宋体" w:cs="方正魏碑_GBK"/>
          <w:highlight w:val="none"/>
        </w:rPr>
      </w:pP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shd w:val="clear" w:color="auto" w:fill="ffffff"/>
        </w:rPr>
        <w:t xml:space="preserve">2.</w:t>
      </w:r>
      <w:r>
        <w:rPr>
          <w:rFonts w:hint="eastAsia" w:hAnsi="宋体" w:cs="方正魏碑_GBK"/>
          <w:highlight w:val="none"/>
          <w:u w:val="single"/>
          <w:shd w:val="clear" w:color="auto" w:fill="ffffff"/>
        </w:rPr>
        <w:t xml:space="preserve">（产品名称2）</w:t>
      </w:r>
      <w:r>
        <w:rPr>
          <w:rFonts w:hint="eastAsia" w:hAnsi="宋体" w:cs="方正魏碑_GBK"/>
          <w:highlight w:val="none"/>
          <w:shd w:val="clear" w:color="auto" w:fill="ffffff"/>
        </w:rPr>
        <w:t xml:space="preserve">，生产厂为</w:t>
      </w:r>
      <w:r>
        <w:rPr>
          <w:rFonts w:hint="eastAsia" w:hAnsi="宋体" w:cs="方正魏碑_GBK"/>
          <w:highlight w:val="none"/>
          <w:u w:val="single"/>
          <w:shd w:val="clear" w:color="auto" w:fill="ffffff"/>
        </w:rPr>
        <w:t xml:space="preserve">（厂名）</w:t>
      </w:r>
      <w:r>
        <w:rPr>
          <w:rFonts w:hint="eastAsia" w:hAnsi="宋体" w:cs="方正魏碑_GBK"/>
          <w:highlight w:val="none"/>
          <w:shd w:val="clear" w:color="auto" w:fill="ffffff"/>
        </w:rPr>
        <w:t xml:space="preserve">，厂址为</w:t>
      </w:r>
      <w:r>
        <w:rPr>
          <w:rFonts w:hint="eastAsia" w:hAnsi="宋体" w:cs="方正魏碑_GBK"/>
          <w:highlight w:val="none"/>
          <w:u w:val="single"/>
          <w:shd w:val="clear" w:color="auto" w:fill="ffffff"/>
        </w:rPr>
        <w:t xml:space="preserve">（生产厂址）</w:t>
      </w:r>
      <w:r>
        <w:rPr>
          <w:rFonts w:hint="eastAsia" w:hAnsi="宋体" w:cs="方正魏碑_GBK"/>
          <w:highlight w:val="none"/>
          <w:shd w:val="clear" w:color="auto" w:fill="ffffff"/>
        </w:rPr>
        <w:t xml:space="preserve">。</w:t>
      </w:r>
      <w:r>
        <w:rPr>
          <w:rFonts w:hint="eastAsia" w:hAnsi="宋体" w:cs="方正魏碑_GBK"/>
          <w:highlight w:val="none"/>
          <w:u w:val="single"/>
          <w:shd w:val="clear" w:color="auto" w:fill="ffffff"/>
        </w:rPr>
        <w:t xml:space="preserve">（产品名称2）</w:t>
      </w:r>
      <w:r>
        <w:rPr>
          <w:rFonts w:hint="eastAsia" w:hAnsi="宋体" w:cs="方正魏碑_GBK"/>
          <w:highlight w:val="none"/>
          <w:shd w:val="clear" w:color="auto" w:fill="ffffff"/>
        </w:rPr>
        <w:t xml:space="preserve">的中国境内生产的组件成本占比≥</w:t>
      </w:r>
      <w:r>
        <w:rPr>
          <w:rFonts w:hint="eastAsia" w:hAnsi="宋体" w:cs="方正魏碑_GBK"/>
          <w:highlight w:val="none"/>
          <w:u w:val="single"/>
          <w:shd w:val="clear" w:color="auto" w:fill="ffffff"/>
        </w:rPr>
        <w:t xml:space="preserve">（规定</w:t>
      </w:r>
      <w:r>
        <w:rPr>
          <w:rFonts w:hAnsi="宋体" w:cs="方正魏碑_GBK"/>
          <w:highlight w:val="none"/>
          <w:u w:val="single"/>
          <w:shd w:val="clear" w:color="auto" w:fill="ffffff"/>
        </w:rPr>
        <w:t xml:space="preserve">比例</w:t>
      </w:r>
      <w:r>
        <w:rPr>
          <w:rFonts w:hint="eastAsia" w:hAnsi="宋体" w:cs="方正魏碑_GBK"/>
          <w:highlight w:val="none"/>
          <w:u w:val="single"/>
          <w:shd w:val="clear" w:color="auto" w:fill="ffffff"/>
        </w:rPr>
        <w:t xml:space="preserve">）</w:t>
      </w:r>
      <w:r>
        <w:rPr>
          <w:rFonts w:hint="eastAsia" w:hAnsi="宋体" w:cs="方正魏碑_GBK"/>
          <w:highlight w:val="none"/>
          <w:shd w:val="clear" w:color="auto" w:fill="ffffff"/>
        </w:rPr>
        <w:t xml:space="preserve">。</w:t>
      </w:r>
      <w:r>
        <w:rPr>
          <w:rFonts w:hint="eastAsia" w:hAnsi="宋体" w:cs="方正魏碑_GBK"/>
          <w:highlight w:val="none"/>
          <w:u w:val="single"/>
          <w:shd w:val="clear" w:color="auto" w:fill="ffffff"/>
        </w:rPr>
        <w:t xml:space="preserve">（产品名称2）</w:t>
      </w:r>
      <w:r>
        <w:rPr>
          <w:rFonts w:hint="eastAsia" w:hAnsi="宋体" w:cs="方正魏碑_GBK"/>
          <w:highlight w:val="none"/>
          <w:shd w:val="clear" w:color="auto" w:fill="ffffff"/>
        </w:rPr>
        <w:t xml:space="preserve">的</w:t>
      </w:r>
      <w:r>
        <w:rPr>
          <w:rFonts w:hint="eastAsia" w:hAnsi="宋体" w:cs="方正魏碑_GBK"/>
          <w:highlight w:val="none"/>
          <w:u w:val="single"/>
          <w:shd w:val="clear" w:color="auto" w:fill="ffffff"/>
        </w:rPr>
        <w:t xml:space="preserve">（关键</w:t>
      </w:r>
      <w:r>
        <w:rPr>
          <w:rFonts w:hAnsi="宋体" w:cs="方正魏碑_GBK"/>
          <w:highlight w:val="none"/>
          <w:u w:val="single"/>
          <w:shd w:val="clear" w:color="auto" w:fill="ffffff"/>
        </w:rPr>
        <w:t xml:space="preserve">组件</w:t>
      </w:r>
      <w:r>
        <w:rPr>
          <w:rFonts w:hint="eastAsia" w:hAnsi="宋体" w:cs="方正魏碑_GBK"/>
          <w:highlight w:val="none"/>
          <w:u w:val="single"/>
          <w:shd w:val="clear" w:color="auto" w:fill="ffffff"/>
        </w:rPr>
        <w:t xml:space="preserve">）</w:t>
      </w:r>
      <w:r>
        <w:rPr>
          <w:rFonts w:hint="eastAsia" w:hAnsi="宋体" w:cs="方正魏碑_GBK"/>
          <w:highlight w:val="none"/>
          <w:shd w:val="clear" w:color="auto" w:fill="ffffff"/>
        </w:rPr>
        <w:t xml:space="preserve">在中国境内生产。</w:t>
      </w:r>
      <w:r>
        <w:rPr>
          <w:rFonts w:hint="eastAsia" w:hAnsi="宋体" w:cs="方正魏碑_GBK"/>
          <w:highlight w:val="none"/>
          <w:u w:val="single"/>
          <w:shd w:val="clear" w:color="auto" w:fill="ffffff"/>
        </w:rPr>
        <w:t xml:space="preserve">（产品名称1）</w:t>
      </w:r>
      <w:r>
        <w:rPr>
          <w:rFonts w:hint="eastAsia" w:hAnsi="宋体" w:cs="方正魏碑_GBK"/>
          <w:highlight w:val="none"/>
          <w:shd w:val="clear" w:color="auto" w:fill="ffffff"/>
        </w:rPr>
        <w:t xml:space="preserve">的</w:t>
      </w:r>
      <w:r>
        <w:rPr>
          <w:rFonts w:hint="eastAsia" w:hAnsi="宋体" w:cs="方正魏碑_GBK"/>
          <w:highlight w:val="none"/>
          <w:u w:val="single"/>
          <w:shd w:val="clear" w:color="auto" w:fill="ffffff"/>
        </w:rPr>
        <w:t xml:space="preserve">（关键工序）</w:t>
      </w:r>
      <w:r>
        <w:rPr>
          <w:rFonts w:hint="eastAsia" w:hAnsi="宋体" w:cs="方正魏碑_GBK"/>
          <w:highlight w:val="none"/>
          <w:shd w:val="clear" w:color="auto" w:fill="ffffff"/>
        </w:rPr>
        <w:t xml:space="preserve">在中国境内完成。</w:t>
      </w:r>
      <w:r>
        <w:rPr>
          <w:rFonts w:hAnsi="宋体" w:cs="方正魏碑_GBK"/>
          <w:highlight w:val="none"/>
        </w:rPr>
      </w:r>
      <w:r/>
    </w:p>
    <w:p>
      <w:pPr>
        <w:pStyle w:val="967"/>
        <w:ind w:firstLine="420"/>
        <w:spacing w:before="30" w:after="30" w:line="360" w:lineRule="auto"/>
        <w:rPr>
          <w:rFonts w:hAnsi="宋体" w:cs="方正魏碑_GBK"/>
          <w:highlight w:val="none"/>
        </w:rPr>
      </w:pPr>
      <w:r>
        <w:rPr>
          <w:rFonts w:hint="eastAsia" w:hAnsi="宋体" w:cs="方正魏碑_GBK"/>
          <w:highlight w:val="none"/>
          <w:shd w:val="clear" w:color="auto" w:fill="ffffff"/>
        </w:rPr>
        <w:t xml:space="preserve">……</w:t>
      </w:r>
      <w:r>
        <w:rPr>
          <w:rFonts w:hAnsi="宋体" w:cs="方正魏碑_GBK"/>
          <w:highlight w:val="none"/>
        </w:rPr>
      </w:r>
      <w:r/>
    </w:p>
    <w:p>
      <w:pPr>
        <w:pStyle w:val="967"/>
        <w:ind w:firstLine="420"/>
        <w:spacing w:before="30" w:after="30" w:line="360" w:lineRule="auto"/>
        <w:rPr>
          <w:rFonts w:hAnsi="宋体" w:cs="方正魏碑_GBK"/>
          <w:highlight w:val="none"/>
        </w:rPr>
      </w:pPr>
      <w:r>
        <w:rPr>
          <w:rFonts w:hint="eastAsia" w:hAnsi="宋体" w:cs="方正魏碑_GBK"/>
          <w:highlight w:val="none"/>
          <w:shd w:val="clear" w:color="auto" w:fill="ffffff"/>
        </w:rPr>
        <w:t xml:space="preserve">本公司（单位）对上述声明内容的真实性负责。如有虚假，愿承担相应法律责任。</w:t>
      </w:r>
      <w:r>
        <w:rPr>
          <w:rFonts w:hAnsi="宋体" w:cs="方正魏碑_GBK"/>
          <w:highlight w:val="none"/>
        </w:rPr>
      </w:r>
      <w:r/>
    </w:p>
    <w:p>
      <w:pPr>
        <w:pStyle w:val="967"/>
        <w:spacing w:before="30" w:after="30" w:line="360" w:lineRule="auto"/>
        <w:rPr>
          <w:rFonts w:hAnsi="宋体" w:cs="方正魏碑_GBK"/>
          <w:highlight w:val="none"/>
        </w:rPr>
      </w:pPr>
      <w:r>
        <w:rPr>
          <w:rFonts w:hAnsi="宋体" w:cs="方正魏碑_GBK"/>
          <w:highlight w:val="none"/>
        </w:rPr>
      </w:r>
      <w:r/>
    </w:p>
    <w:p>
      <w:pPr>
        <w:pStyle w:val="967"/>
        <w:ind w:right="1560" w:firstLine="444"/>
        <w:jc w:val="center"/>
        <w:spacing w:line="360" w:lineRule="auto"/>
        <w:tabs>
          <w:tab w:val="left" w:pos="4860" w:leader="none"/>
        </w:tabs>
        <w:rPr>
          <w:rFonts w:hAnsi="宋体"/>
          <w:highlight w:val="none"/>
        </w:rPr>
      </w:pPr>
      <w:r>
        <w:rPr>
          <w:rFonts w:hint="eastAsia" w:hAnsi="宋体"/>
          <w:spacing w:val="6"/>
          <w:highlight w:val="none"/>
        </w:rPr>
        <w:t xml:space="preserve">           </w:t>
      </w:r>
      <w:r>
        <w:rPr>
          <w:rFonts w:hint="eastAsia" w:hAnsi="宋体"/>
          <w:highlight w:val="none"/>
        </w:rPr>
        <w:t xml:space="preserve">               投标人名称（盖章）：</w:t>
      </w:r>
      <w:r>
        <w:rPr>
          <w:rFonts w:hAnsi="宋体"/>
          <w:highlight w:val="none"/>
        </w:rPr>
      </w:r>
      <w:r/>
    </w:p>
    <w:p>
      <w:pPr>
        <w:pStyle w:val="967"/>
        <w:ind w:right="1560" w:firstLine="420"/>
        <w:jc w:val="center"/>
        <w:spacing w:line="360" w:lineRule="auto"/>
        <w:tabs>
          <w:tab w:val="left" w:pos="4860" w:leader="none"/>
        </w:tabs>
        <w:rPr>
          <w:rFonts w:hAnsi="宋体"/>
          <w:highlight w:val="none"/>
        </w:rPr>
      </w:pPr>
      <w:r>
        <w:rPr>
          <w:rFonts w:hint="eastAsia" w:hAnsi="宋体"/>
          <w:highlight w:val="none"/>
        </w:rPr>
        <w:t xml:space="preserve">                              日  期：</w:t>
      </w:r>
      <w:r>
        <w:rPr>
          <w:rFonts w:hAnsi="宋体"/>
          <w:highlight w:val="none"/>
        </w:rPr>
      </w:r>
      <w:r/>
    </w:p>
    <w:p>
      <w:pPr>
        <w:pStyle w:val="967"/>
        <w:jc w:val="center"/>
        <w:spacing w:before="30" w:after="30" w:line="360" w:lineRule="auto"/>
        <w:rPr>
          <w:rFonts w:hAnsi="宋体" w:cs="方正魏碑_GBK"/>
          <w:highlight w:val="none"/>
        </w:rPr>
      </w:pPr>
      <w:r>
        <w:rPr>
          <w:rFonts w:hint="eastAsia" w:hAnsi="宋体" w:cs="方正魏碑_GBK"/>
          <w:highlight w:val="none"/>
          <w:shd w:val="clear" w:color="auto" w:fill="ffffff"/>
        </w:rPr>
        <w:t xml:space="preserve">   </w:t>
      </w:r>
      <w:r>
        <w:rPr>
          <w:rFonts w:hAnsi="宋体" w:cs="方正魏碑_GBK"/>
          <w:highlight w:val="none"/>
        </w:rPr>
      </w:r>
      <w:r/>
    </w:p>
    <w:p>
      <w:pPr>
        <w:pStyle w:val="967"/>
        <w:spacing w:before="30" w:after="30" w:line="360" w:lineRule="auto"/>
        <w:rPr>
          <w:rFonts w:hAnsi="宋体" w:cs="方正魏碑_GBK"/>
          <w:highlight w:val="none"/>
        </w:rPr>
      </w:pPr>
      <w:r>
        <w:rPr>
          <w:rFonts w:hint="eastAsia" w:hAnsi="宋体" w:cs="方正魏碑_GBK"/>
          <w:highlight w:val="none"/>
          <w:shd w:val="clear" w:color="auto" w:fill="ffffff"/>
        </w:rPr>
        <w:t xml:space="preserve">__________________</w:t>
      </w:r>
      <w:r>
        <w:rPr>
          <w:rFonts w:hAnsi="宋体" w:cs="方正魏碑_GBK"/>
          <w:highlight w:val="none"/>
        </w:rPr>
      </w:r>
      <w:r/>
    </w:p>
    <w:p>
      <w:pPr>
        <w:pStyle w:val="967"/>
        <w:spacing w:before="30" w:after="30" w:line="360" w:lineRule="auto"/>
        <w:rPr>
          <w:rFonts w:hAnsi="宋体" w:cs="方正魏碑_GBK"/>
          <w:highlight w:val="none"/>
        </w:rPr>
      </w:pPr>
      <w:r>
        <w:rPr>
          <w:rFonts w:hint="eastAsia" w:hAnsi="宋体" w:cs="方正魏碑_GBK"/>
          <w:highlight w:val="none"/>
          <w:shd w:val="clear" w:color="auto" w:fill="ffffff"/>
        </w:rPr>
        <w:t xml:space="preserve">1.产品如有型号，请在“产品名称”栏一并填写。</w:t>
      </w:r>
      <w:r>
        <w:rPr>
          <w:rFonts w:hAnsi="宋体" w:cs="方正魏碑_GBK"/>
          <w:highlight w:val="none"/>
        </w:rPr>
      </w:r>
      <w:r/>
    </w:p>
    <w:p>
      <w:pPr>
        <w:pStyle w:val="967"/>
        <w:spacing w:before="30" w:after="30" w:line="360" w:lineRule="auto"/>
        <w:rPr>
          <w:rFonts w:hAnsi="宋体" w:cs="方正魏碑_GBK"/>
          <w:highlight w:val="none"/>
        </w:rPr>
      </w:pPr>
      <w:r>
        <w:rPr>
          <w:rFonts w:hint="eastAsia" w:hAnsi="宋体" w:cs="方正魏碑_GBK"/>
          <w:highlight w:val="none"/>
          <w:shd w:val="clear" w:color="auto" w:fill="ffffff"/>
        </w:rPr>
        <w:t xml:space="preserve">2.生产厂名与厂址应与生产厂营业执照载明的相关信息保持一致。</w:t>
      </w:r>
      <w:r>
        <w:rPr>
          <w:rFonts w:hAnsi="宋体" w:cs="方正魏碑_GBK"/>
          <w:highlight w:val="none"/>
        </w:rPr>
      </w:r>
      <w:r/>
    </w:p>
    <w:p>
      <w:pPr>
        <w:pStyle w:val="967"/>
        <w:spacing w:before="30" w:after="30" w:line="360" w:lineRule="auto"/>
        <w:rPr>
          <w:rFonts w:hAnsi="宋体" w:cs="方正魏碑_GBK"/>
          <w:highlight w:val="none"/>
        </w:rPr>
      </w:pPr>
      <w:r>
        <w:rPr>
          <w:rFonts w:hint="eastAsia" w:hAnsi="宋体" w:cs="方正魏碑_GBK"/>
          <w:highlight w:val="none"/>
          <w:shd w:val="clear" w:color="auto" w:fill="ffffff"/>
        </w:rPr>
        <w:t xml:space="preserve">3.该产品的中国境内生产的组件成本占比相关要求实施前，“规定比例”栏可不填，下同。</w:t>
      </w:r>
      <w:r>
        <w:rPr>
          <w:rFonts w:hAnsi="宋体" w:cs="方正魏碑_GBK"/>
          <w:highlight w:val="none"/>
        </w:rPr>
      </w:r>
      <w:r/>
    </w:p>
    <w:p>
      <w:pPr>
        <w:pStyle w:val="967"/>
        <w:spacing w:before="30" w:after="30" w:line="360" w:lineRule="auto"/>
        <w:rPr>
          <w:rFonts w:hAnsi="宋体" w:cs="方正魏碑_GBK"/>
          <w:highlight w:val="none"/>
        </w:rPr>
      </w:pPr>
      <w:r>
        <w:rPr>
          <w:rFonts w:hint="eastAsia" w:hAnsi="宋体" w:cs="方正魏碑_GBK"/>
          <w:highlight w:val="none"/>
          <w:shd w:val="clear" w:color="auto" w:fill="ffffff"/>
        </w:rPr>
        <w:t xml:space="preserve">4.该产品的关键组件要求实施前，“关键组件”栏可不填，下同。</w:t>
      </w:r>
      <w:r>
        <w:rPr>
          <w:rFonts w:hAnsi="宋体" w:cs="方正魏碑_GBK"/>
          <w:highlight w:val="none"/>
        </w:rPr>
      </w:r>
      <w:r/>
    </w:p>
    <w:p>
      <w:pPr>
        <w:pStyle w:val="967"/>
        <w:spacing w:before="30" w:after="30" w:line="360" w:lineRule="auto"/>
        <w:rPr>
          <w:rFonts w:hAnsi="宋体" w:cs="方正魏碑_GBK"/>
          <w:highlight w:val="none"/>
          <w:shd w:val="clear" w:color="auto" w:fill="ffffff"/>
        </w:rPr>
      </w:pPr>
      <w:r>
        <w:rPr>
          <w:rFonts w:hint="eastAsia" w:hAnsi="宋体" w:cs="方正魏碑_GBK"/>
          <w:highlight w:val="none"/>
          <w:shd w:val="clear" w:color="auto" w:fill="ffffff"/>
        </w:rPr>
        <w:t xml:space="preserve">5.该产品的关键工序要求实施前，“关键工序”栏可不填，下同。</w:t>
      </w:r>
      <w:r>
        <w:rPr>
          <w:rFonts w:hAnsi="宋体" w:cs="方正魏碑_GBK"/>
          <w:highlight w:val="none"/>
          <w:shd w:val="clear" w:color="auto" w:fill="ffffff"/>
        </w:rPr>
      </w:r>
      <w:r/>
    </w:p>
    <w:p>
      <w:pPr>
        <w:pStyle w:val="967"/>
        <w:spacing w:before="30" w:after="30" w:line="360" w:lineRule="auto"/>
        <w:rPr>
          <w:rFonts w:hAnsi="宋体" w:cs="方正魏碑_GBK"/>
          <w:highlight w:val="none"/>
          <w:shd w:val="clear" w:color="auto" w:fill="ffffff"/>
        </w:rPr>
      </w:pPr>
      <w:r>
        <w:rPr>
          <w:rFonts w:hint="eastAsia" w:hAnsi="宋体" w:cs="方正魏碑_GBK"/>
          <w:highlight w:val="none"/>
          <w:shd w:val="clear" w:color="auto" w:fill="ffffff"/>
        </w:rPr>
        <w:t xml:space="preserve">6.用斜线划除的地方无需填写。</w:t>
      </w:r>
      <w:r>
        <w:rPr>
          <w:rFonts w:hAnsi="宋体" w:cs="方正魏碑_GBK"/>
          <w:highlight w:val="none"/>
          <w:shd w:val="clear" w:color="auto" w:fill="ffffff"/>
        </w:rPr>
      </w:r>
      <w:r/>
    </w:p>
    <w:p>
      <w:pPr>
        <w:pStyle w:val="967"/>
        <w:ind w:firstLine="480"/>
        <w:spacing w:line="360" w:lineRule="auto"/>
        <w:rPr>
          <w:rFonts w:hAnsi="宋体"/>
          <w:szCs w:val="24"/>
          <w:highlight w:val="none"/>
        </w:rPr>
      </w:pPr>
      <w:r>
        <w:rPr>
          <w:rFonts w:hAnsi="宋体"/>
          <w:szCs w:val="24"/>
          <w:highlight w:val="none"/>
        </w:rPr>
      </w:r>
      <w:r/>
    </w:p>
    <w:p>
      <w:pPr>
        <w:pStyle w:val="967"/>
        <w:rPr>
          <w:rFonts w:eastAsia="黑体"/>
          <w:sz w:val="32"/>
          <w:szCs w:val="32"/>
          <w:highlight w:val="none"/>
        </w:rPr>
      </w:pPr>
      <w:r>
        <w:rPr>
          <w:rFonts w:eastAsia="黑体"/>
          <w:sz w:val="32"/>
          <w:szCs w:val="32"/>
          <w:highlight w:val="none"/>
        </w:rPr>
      </w:r>
      <w:r/>
    </w:p>
    <w:p>
      <w:pPr>
        <w:pStyle w:val="999"/>
        <w:rPr>
          <w:rFonts w:ascii="Times New Roman" w:eastAsia="黑体"/>
          <w:sz w:val="32"/>
          <w:szCs w:val="32"/>
          <w:highlight w:val="none"/>
        </w:rPr>
      </w:pPr>
      <w:r>
        <w:rPr>
          <w:rFonts w:ascii="Times New Roman" w:eastAsia="黑体"/>
          <w:sz w:val="32"/>
          <w:szCs w:val="32"/>
          <w:highlight w:val="none"/>
        </w:rPr>
      </w:r>
      <w:r/>
    </w:p>
    <w:p>
      <w:pPr>
        <w:pStyle w:val="967"/>
        <w:rPr>
          <w:rFonts w:eastAsia="黑体"/>
          <w:sz w:val="32"/>
          <w:szCs w:val="32"/>
          <w:highlight w:val="none"/>
        </w:rPr>
      </w:pPr>
      <w:r>
        <w:rPr>
          <w:rFonts w:eastAsia="黑体"/>
          <w:sz w:val="32"/>
          <w:szCs w:val="32"/>
          <w:highlight w:val="none"/>
        </w:rPr>
      </w:r>
      <w:r/>
    </w:p>
    <w:p>
      <w:pPr>
        <w:pStyle w:val="999"/>
        <w:rPr>
          <w:rFonts w:ascii="Times New Roman" w:eastAsia="黑体"/>
          <w:sz w:val="32"/>
          <w:szCs w:val="32"/>
          <w:highlight w:val="none"/>
        </w:rPr>
      </w:pPr>
      <w:r>
        <w:rPr>
          <w:rFonts w:ascii="Times New Roman" w:eastAsia="黑体"/>
          <w:sz w:val="32"/>
          <w:szCs w:val="32"/>
          <w:highlight w:val="none"/>
        </w:rPr>
      </w:r>
      <w:r/>
    </w:p>
    <w:p>
      <w:pPr>
        <w:pStyle w:val="967"/>
        <w:rPr>
          <w:rFonts w:ascii="宋体" w:hAnsi="宋体" w:cs="宋体"/>
          <w:bCs/>
          <w:sz w:val="22"/>
          <w:szCs w:val="22"/>
          <w:highlight w:val="none"/>
        </w:rPr>
      </w:pPr>
      <w:r>
        <w:rPr>
          <w:rFonts w:hint="eastAsia" w:ascii="宋体" w:hAnsi="宋体" w:cs="宋体"/>
          <w:sz w:val="24"/>
          <w:szCs w:val="24"/>
          <w:highlight w:val="none"/>
          <w:lang w:val="zh-CN"/>
        </w:rPr>
        <w:br w:type="page" w:clear="all"/>
      </w:r>
      <w:r>
        <w:rPr>
          <w:rFonts w:ascii="宋体" w:hAnsi="宋体" w:cs="宋体"/>
          <w:bCs/>
          <w:sz w:val="22"/>
          <w:szCs w:val="22"/>
          <w:highlight w:val="none"/>
        </w:rPr>
      </w:r>
      <w:r/>
    </w:p>
    <w:p>
      <w:pPr>
        <w:pStyle w:val="967"/>
        <w:jc w:val="center"/>
        <w:rPr>
          <w:rFonts w:ascii="宋体" w:hAnsi="宋体" w:cs="仿宋"/>
          <w:b/>
          <w:bCs/>
          <w:sz w:val="32"/>
          <w:szCs w:val="32"/>
          <w:highlight w:val="none"/>
        </w:rPr>
      </w:pPr>
      <w:r/>
      <w:bookmarkEnd w:id="218"/>
      <w:r/>
      <w:bookmarkEnd w:id="219"/>
      <w:r/>
      <w:bookmarkEnd w:id="220"/>
      <w:r>
        <w:rPr>
          <w:rFonts w:hint="eastAsia" w:ascii="宋体" w:hAnsi="宋体" w:cs="仿宋"/>
          <w:b/>
          <w:bCs/>
          <w:sz w:val="32"/>
          <w:szCs w:val="32"/>
          <w:highlight w:val="none"/>
        </w:rPr>
        <w:t xml:space="preserve">质疑函范本</w:t>
      </w:r>
      <w:r>
        <w:rPr>
          <w:rFonts w:ascii="宋体" w:hAnsi="宋体" w:cs="仿宋"/>
          <w:b/>
          <w:bCs/>
          <w:sz w:val="32"/>
          <w:szCs w:val="32"/>
          <w:highlight w:val="none"/>
        </w:rPr>
      </w:r>
      <w:r/>
    </w:p>
    <w:p>
      <w:pPr>
        <w:pStyle w:val="967"/>
        <w:spacing w:before="290" w:line="360" w:lineRule="auto"/>
        <w:rPr>
          <w:rFonts w:ascii="宋体" w:hAnsi="宋体" w:cs="仿宋"/>
          <w:bCs/>
          <w:sz w:val="24"/>
          <w:szCs w:val="24"/>
          <w:highlight w:val="none"/>
        </w:rPr>
      </w:pPr>
      <w:r>
        <w:rPr>
          <w:rFonts w:hint="eastAsia" w:ascii="宋体" w:hAnsi="宋体" w:cs="仿宋"/>
          <w:bCs/>
          <w:sz w:val="24"/>
          <w:szCs w:val="24"/>
          <w:highlight w:val="none"/>
        </w:rPr>
        <w:t xml:space="preserve">一、质疑投标人基本信息</w:t>
      </w:r>
      <w:r>
        <w:rPr>
          <w:rFonts w:ascii="宋体" w:hAnsi="宋体" w:cs="仿宋"/>
          <w:bCs/>
          <w:sz w:val="24"/>
          <w:szCs w:val="24"/>
          <w:highlight w:val="none"/>
        </w:rPr>
      </w:r>
      <w:r/>
    </w:p>
    <w:p>
      <w:pPr>
        <w:pStyle w:val="9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质疑投标人：</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67"/>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67"/>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67"/>
        <w:spacing w:line="360" w:lineRule="auto"/>
        <w:rPr>
          <w:rFonts w:ascii="宋体" w:hAnsi="宋体" w:cs="仿宋"/>
          <w:sz w:val="24"/>
          <w:szCs w:val="24"/>
          <w:highlight w:val="none"/>
        </w:rPr>
      </w:pP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67"/>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67"/>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二、质疑项目基本情况</w:t>
      </w:r>
      <w:r>
        <w:rPr>
          <w:rFonts w:ascii="宋体" w:hAnsi="宋体" w:cs="仿宋"/>
          <w:bCs/>
          <w:sz w:val="24"/>
          <w:szCs w:val="24"/>
          <w:highlight w:val="none"/>
        </w:rPr>
      </w:r>
      <w:r/>
    </w:p>
    <w:p>
      <w:pPr>
        <w:pStyle w:val="967"/>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67"/>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67"/>
        <w:spacing w:line="360" w:lineRule="auto"/>
        <w:rPr>
          <w:rFonts w:ascii="宋体" w:hAnsi="宋体" w:cs="仿宋"/>
          <w:sz w:val="24"/>
          <w:szCs w:val="24"/>
          <w:highlight w:val="none"/>
        </w:rPr>
      </w:pPr>
      <w:r>
        <w:rPr>
          <w:rFonts w:hint="eastAsia" w:ascii="宋体" w:hAnsi="宋体" w:cs="仿宋"/>
          <w:sz w:val="24"/>
          <w:szCs w:val="24"/>
          <w:highlight w:val="none"/>
        </w:rPr>
        <w:t xml:space="preserve">采购文件获取日期：</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67"/>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三、质疑事项具体内容</w:t>
      </w:r>
      <w:r>
        <w:rPr>
          <w:rFonts w:ascii="宋体" w:hAnsi="宋体" w:cs="仿宋"/>
          <w:bCs/>
          <w:sz w:val="24"/>
          <w:szCs w:val="24"/>
          <w:highlight w:val="none"/>
        </w:rPr>
      </w:r>
      <w:r/>
    </w:p>
    <w:p>
      <w:pPr>
        <w:pStyle w:val="9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67"/>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67"/>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ascii="宋体" w:hAnsi="宋体" w:cs="仿宋"/>
          <w:sz w:val="24"/>
          <w:szCs w:val="24"/>
          <w:highlight w:val="none"/>
          <w:u w:val="single"/>
        </w:rPr>
      </w:r>
      <w:r/>
    </w:p>
    <w:p>
      <w:pPr>
        <w:pStyle w:val="967"/>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967"/>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rPr>
          <w:rFonts w:ascii="宋体" w:hAnsi="宋体" w:cs="仿宋"/>
          <w:bCs/>
          <w:sz w:val="24"/>
          <w:szCs w:val="24"/>
          <w:highlight w:val="none"/>
        </w:rPr>
      </w:r>
      <w:r/>
    </w:p>
    <w:p>
      <w:pPr>
        <w:pStyle w:val="9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67"/>
        <w:rPr>
          <w:rFonts w:ascii="宋体" w:hAnsi="宋体"/>
          <w:sz w:val="24"/>
          <w:szCs w:val="24"/>
          <w:highlight w:val="none"/>
        </w:rPr>
      </w:pPr>
      <w:r>
        <w:rPr>
          <w:rFonts w:hint="eastAsia" w:ascii="宋体" w:hAnsi="宋体"/>
          <w:sz w:val="24"/>
          <w:szCs w:val="24"/>
          <w:highlight w:val="none"/>
        </w:rPr>
        <w:t xml:space="preserve">签字(签章)：                   公章：                      </w:t>
      </w:r>
      <w:r>
        <w:rPr>
          <w:rFonts w:ascii="宋体" w:hAnsi="宋体"/>
          <w:sz w:val="24"/>
          <w:szCs w:val="24"/>
          <w:highlight w:val="none"/>
        </w:rPr>
      </w:r>
      <w:r/>
    </w:p>
    <w:p>
      <w:pPr>
        <w:pStyle w:val="967"/>
        <w:rPr>
          <w:rFonts w:ascii="宋体" w:hAnsi="宋体"/>
          <w:sz w:val="24"/>
          <w:szCs w:val="24"/>
          <w:highlight w:val="none"/>
        </w:rPr>
      </w:pPr>
      <w:r>
        <w:rPr>
          <w:rFonts w:hint="eastAsia" w:ascii="宋体" w:hAnsi="宋体"/>
          <w:sz w:val="24"/>
          <w:szCs w:val="24"/>
          <w:highlight w:val="none"/>
        </w:rPr>
        <w:t xml:space="preserve">日期：    </w:t>
      </w:r>
      <w:r>
        <w:rPr>
          <w:rFonts w:ascii="宋体" w:hAnsi="宋体"/>
          <w:sz w:val="24"/>
          <w:szCs w:val="24"/>
          <w:highlight w:val="none"/>
        </w:rPr>
      </w:r>
      <w:r/>
    </w:p>
    <w:p>
      <w:pPr>
        <w:pStyle w:val="967"/>
        <w:spacing w:line="400" w:lineRule="exact"/>
        <w:rPr>
          <w:rFonts w:ascii="宋体" w:hAnsi="宋体"/>
          <w:b/>
          <w:sz w:val="24"/>
          <w:szCs w:val="24"/>
          <w:highlight w:val="none"/>
        </w:rPr>
      </w:pPr>
      <w:r>
        <w:rPr>
          <w:rFonts w:hint="eastAsia" w:ascii="宋体" w:hAnsi="宋体"/>
          <w:b/>
          <w:sz w:val="24"/>
          <w:szCs w:val="24"/>
          <w:highlight w:val="none"/>
        </w:rPr>
        <w:t xml:space="preserve">质疑函制作说明：</w:t>
      </w:r>
      <w:r>
        <w:rPr>
          <w:rFonts w:ascii="宋体" w:hAnsi="宋体"/>
          <w:b/>
          <w:sz w:val="24"/>
          <w:szCs w:val="24"/>
          <w:highlight w:val="none"/>
        </w:rPr>
      </w:r>
      <w:r/>
    </w:p>
    <w:p>
      <w:pPr>
        <w:pStyle w:val="967"/>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1.投标人提出质疑时，应提交质疑函和必要的证明材料。</w:t>
      </w:r>
      <w:r>
        <w:rPr>
          <w:rFonts w:ascii="宋体" w:hAnsi="宋体"/>
          <w:sz w:val="24"/>
          <w:szCs w:val="24"/>
          <w:highlight w:val="none"/>
        </w:rPr>
      </w:r>
      <w:r/>
    </w:p>
    <w:p>
      <w:pPr>
        <w:pStyle w:val="967"/>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2.质疑投标人若委托代理人进行质疑的，质疑函应按要求列明“授权代表”的有关内容，并在附件中提交由质疑</w:t>
      </w:r>
      <w:r>
        <w:rPr>
          <w:rFonts w:hint="eastAsia" w:ascii="宋体" w:hAnsi="宋体" w:cs="宋体"/>
          <w:sz w:val="24"/>
          <w:szCs w:val="24"/>
          <w:highlight w:val="none"/>
        </w:rPr>
        <w:t xml:space="preserve">投标人签署的授权委托书。授权委托书应载明代理人的姓名或者名称、代理事项、具体权限、期限和相关事项。</w:t>
      </w:r>
      <w:r>
        <w:rPr>
          <w:rFonts w:ascii="宋体" w:hAnsi="宋体"/>
          <w:sz w:val="24"/>
          <w:szCs w:val="24"/>
          <w:highlight w:val="none"/>
        </w:rPr>
      </w:r>
      <w:r/>
    </w:p>
    <w:p>
      <w:pPr>
        <w:pStyle w:val="967"/>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3.质疑投标人若对项目的某一分包进行质疑，质疑函中应列明具体分包号。</w:t>
      </w:r>
      <w:r>
        <w:rPr>
          <w:rFonts w:ascii="宋体" w:hAnsi="宋体"/>
          <w:sz w:val="24"/>
          <w:szCs w:val="24"/>
          <w:highlight w:val="none"/>
        </w:rPr>
      </w:r>
      <w:r/>
    </w:p>
    <w:p>
      <w:pPr>
        <w:pStyle w:val="967"/>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rPr>
          <w:rFonts w:ascii="宋体" w:hAnsi="宋体"/>
          <w:sz w:val="24"/>
          <w:szCs w:val="24"/>
          <w:highlight w:val="none"/>
        </w:rPr>
      </w:r>
      <w:r/>
    </w:p>
    <w:p>
      <w:pPr>
        <w:pStyle w:val="967"/>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5.质疑函的质疑请求应与质疑事项相关。</w:t>
      </w:r>
      <w:r>
        <w:rPr>
          <w:rFonts w:ascii="宋体" w:hAnsi="宋体"/>
          <w:sz w:val="24"/>
          <w:szCs w:val="24"/>
          <w:highlight w:val="none"/>
        </w:rPr>
      </w:r>
      <w:r/>
    </w:p>
    <w:p>
      <w:pPr>
        <w:pStyle w:val="967"/>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rPr>
          <w:rFonts w:ascii="宋体" w:hAnsi="宋体"/>
          <w:sz w:val="24"/>
          <w:szCs w:val="24"/>
          <w:highlight w:val="none"/>
        </w:rPr>
      </w:r>
      <w:r/>
    </w:p>
    <w:p>
      <w:pPr>
        <w:pStyle w:val="1035"/>
        <w:ind w:firstLine="0"/>
        <w:rPr>
          <w:rFonts w:hint="eastAsia"/>
          <w:highlight w:val="none"/>
        </w:rPr>
      </w:pPr>
      <w:r>
        <w:rPr>
          <w:rFonts w:hint="eastAsia"/>
          <w:highlight w:val="none"/>
        </w:rPr>
      </w:r>
      <w:r/>
    </w:p>
    <w:p>
      <w:pPr>
        <w:pStyle w:val="981"/>
        <w:ind w:firstLine="0"/>
        <w:rPr>
          <w:rFonts w:hint="eastAsia"/>
          <w:sz w:val="24"/>
          <w:szCs w:val="24"/>
          <w:highlight w:val="none"/>
        </w:rPr>
      </w:pPr>
      <w:r>
        <w:rPr>
          <w:rFonts w:hint="eastAsia"/>
          <w:sz w:val="24"/>
          <w:szCs w:val="24"/>
          <w:highlight w:val="none"/>
        </w:rPr>
      </w:r>
      <w:r/>
    </w:p>
    <w:p>
      <w:pPr>
        <w:pStyle w:val="981"/>
        <w:ind w:firstLine="0"/>
        <w:rPr>
          <w:rFonts w:hint="eastAsia"/>
          <w:sz w:val="24"/>
          <w:szCs w:val="24"/>
          <w:highlight w:val="none"/>
        </w:rPr>
      </w:pPr>
      <w:r>
        <w:rPr>
          <w:rFonts w:hint="eastAsia"/>
          <w:sz w:val="24"/>
          <w:szCs w:val="24"/>
          <w:highlight w:val="none"/>
        </w:rPr>
      </w:r>
      <w:r/>
    </w:p>
    <w:p>
      <w:pPr>
        <w:pStyle w:val="1035"/>
        <w:ind w:firstLine="0"/>
        <w:jc w:val="left"/>
        <w:rPr>
          <w:rFonts w:hint="eastAsia"/>
          <w:highlight w:val="none"/>
        </w:rPr>
      </w:pPr>
      <w:r>
        <w:rPr>
          <w:rFonts w:hint="eastAsia"/>
          <w:highlight w:val="none"/>
        </w:rPr>
      </w:r>
      <w:r/>
    </w:p>
    <w:sectPr>
      <w:footnotePr/>
      <w:endnotePr/>
      <w:type w:val="nextPage"/>
      <w:pgSz w:w="11906" w:h="16838" w:orient="portrait"/>
      <w:pgMar w:top="1418" w:right="1474"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Arial Unicode MS">
    <w:panose1 w:val="020B0604020202020204"/>
  </w:font>
  <w:font w:name="华文彩云">
    <w:panose1 w:val="02010800040101010101"/>
  </w:font>
  <w:font w:name="华文新魏">
    <w:panose1 w:val="02010800040101010101"/>
  </w:font>
  <w:font w:name="Showcard Gothic">
    <w:panose1 w:val="04020904020102020604"/>
  </w:font>
  <w:font w:name="方正黑体_GBK">
    <w:panose1 w:val="020B0503020202020204"/>
  </w:font>
  <w:font w:name="方正仿宋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楷体_GB2312">
    <w:panose1 w:val="02010609060101010101"/>
  </w:font>
  <w:font w:name="方正锐正黑_GBK 中">
    <w:panose1 w:val="020B0503020202020204"/>
  </w:font>
  <w:font w:name="Tahoma">
    <w:panose1 w:val="020B0604030504040204"/>
  </w:font>
  <w:font w:name="Calibri">
    <w:panose1 w:val="020F0502020204030204"/>
  </w:font>
  <w:font w:name="Courier New">
    <w:panose1 w:val="020703090202050204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方正仿宋_GB2312">
    <w:panose1 w:val="020B0503020202020204"/>
  </w:font>
  <w:font w:name="Arial">
    <w:panose1 w:val="020B0604020202020204"/>
  </w:font>
  <w:font w:name="Arial Black">
    <w:panose1 w:val="020B0A040201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left="4110"/>
      <w:spacing w:line="173" w:lineRule="auto"/>
      <w:rPr>
        <w:rFonts w:eastAsia="Times New Roman"/>
        <w:sz w:val="18"/>
        <w:szCs w:val="18"/>
      </w:rPr>
    </w:pPr>
    <w:r>
      <w:rPr>
        <w:rFonts w:eastAsia="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left="4110"/>
      <w:spacing w:line="173" w:lineRule="auto"/>
      <w:rPr>
        <w:rFonts w:eastAsia="Times New Roman"/>
        <w:sz w:val="18"/>
        <w:szCs w:val="18"/>
      </w:rPr>
    </w:pPr>
    <w:r>
      <w:rPr>
        <w:rFonts w:eastAsia="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6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67"/>
                    </w:pPr>
                    <w:r/>
                    <w:r/>
                  </w:p>
                </w:txbxContent>
              </v:textbox>
            </v:shape>
          </w:pict>
        </mc:Fallback>
      </mc:AlternateContent>
    </w:r>
    <w:r/>
  </w:p>
  <w:p>
    <w:pPr>
      <w:pStyle w:val="101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enter" w:pos="4153" w:leader="none"/>
        <w:tab w:val="right" w:pos="8306" w:leader="none"/>
      </w:tabs>
      <w:rPr>
        <w:rStyle w:val="1041"/>
      </w:rPr>
      <w:framePr w:wrap="around" w:vAnchor="text" w:hAnchor="margin" w:xAlign="center" w:y="1"/>
    </w:pPr>
    <w:r>
      <w:fldChar w:fldCharType="begin"/>
    </w:r>
    <w:r>
      <w:rPr>
        <w:rStyle w:val="1041"/>
      </w:rPr>
      <w:instrText xml:space="preserve">PAGE  </w:instrText>
    </w:r>
    <w:r>
      <w:fldChar w:fldCharType="separate"/>
    </w:r>
    <w:r>
      <w:rPr>
        <w:rStyle w:val="1041"/>
      </w:rPr>
      <w:t xml:space="preserve">1</w:t>
    </w:r>
    <w:r>
      <w:fldChar w:fldCharType="end"/>
    </w:r>
    <w:r>
      <w:rPr>
        <w:rStyle w:val="1041"/>
      </w:rPr>
    </w:r>
    <w:r/>
  </w:p>
  <w:p>
    <w:pPr>
      <w:pStyle w:val="1016"/>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tabs>
                              <w:tab w:val="clear" w:pos="4153" w:leader="none"/>
                              <w:tab w:val="clear" w:pos="8306" w:leader="none"/>
                            </w:tabs>
                          </w:pPr>
                          <w:r>
                            <w:t xml:space="preserve">第 </w:t>
                          </w:r>
                          <w:r>
                            <w:fldChar w:fldCharType="begin"/>
                          </w:r>
                          <w:r>
                            <w:instrText xml:space="preserve"> PAGE  \* MERGEFORMAT </w:instrText>
                          </w:r>
                          <w:r>
                            <w:fldChar w:fldCharType="separate"/>
                          </w:r>
                          <w:r>
                            <w:t xml:space="preserve">26</w:t>
                          </w:r>
                          <w:r>
                            <w:fldChar w:fldCharType="end"/>
                          </w:r>
                          <w:r>
                            <w:t xml:space="preserve"> 页</w:t>
                          </w:r>
                          <w:r/>
                        </w:p>
                        <w:p>
                          <w:pPr>
                            <w:pStyle w:val="96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tabs>
                        <w:tab w:val="clear" w:pos="4153" w:leader="none"/>
                        <w:tab w:val="clear" w:pos="8306" w:leader="none"/>
                      </w:tabs>
                    </w:pPr>
                    <w:r>
                      <w:t xml:space="preserve">第 </w:t>
                    </w:r>
                    <w:r>
                      <w:fldChar w:fldCharType="begin"/>
                    </w:r>
                    <w:r>
                      <w:instrText xml:space="preserve"> PAGE  \* MERGEFORMAT </w:instrText>
                    </w:r>
                    <w:r>
                      <w:fldChar w:fldCharType="separate"/>
                    </w:r>
                    <w:r>
                      <w:t xml:space="preserve">26</w:t>
                    </w:r>
                    <w:r>
                      <w:fldChar w:fldCharType="end"/>
                    </w:r>
                    <w:r>
                      <w:t xml:space="preserve"> 页</w:t>
                    </w:r>
                    <w:r/>
                  </w:p>
                  <w:p>
                    <w:pPr>
                      <w:pStyle w:val="96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9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67"/>
        <w:tabs>
          <w:tab w:val="num" w:pos="312" w:leader="none"/>
        </w:tabs>
      </w:pPr>
      <w:rPr>
        <w:strike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67"/>
        <w:tabs>
          <w:tab w:val="num" w:pos="312" w:leader="none"/>
        </w:tabs>
      </w:pPr>
    </w:lvl>
    <w:lvl w:ilvl="1">
      <w:start w:val="1"/>
      <w:numFmt w:val="bullet"/>
      <w:isLgl w:val="false"/>
      <w:suff w:val="tab"/>
      <w:lvlText w:val="o"/>
      <w:lvlJc w:val="left"/>
      <w:pPr>
        <w:pStyle w:val="967"/>
        <w:ind w:left="1440" w:hanging="360"/>
      </w:pPr>
      <w:rPr>
        <w:rFonts w:ascii="Courier New" w:hAnsi="Courier New" w:eastAsia="Courier New" w:cs="Courier New"/>
      </w:rPr>
    </w:lvl>
    <w:lvl w:ilvl="2">
      <w:start w:val="1"/>
      <w:numFmt w:val="bullet"/>
      <w:isLgl w:val="false"/>
      <w:suff w:val="tab"/>
      <w:lvlText w:val="§"/>
      <w:lvlJc w:val="left"/>
      <w:pPr>
        <w:pStyle w:val="967"/>
        <w:ind w:left="2160" w:hanging="360"/>
      </w:pPr>
      <w:rPr>
        <w:rFonts w:ascii="Wingdings" w:hAnsi="Wingdings" w:eastAsia="Wingdings" w:cs="Wingdings"/>
      </w:rPr>
    </w:lvl>
    <w:lvl w:ilvl="3">
      <w:start w:val="1"/>
      <w:numFmt w:val="bullet"/>
      <w:isLgl w:val="false"/>
      <w:suff w:val="tab"/>
      <w:lvlText w:val="·"/>
      <w:lvlJc w:val="left"/>
      <w:pPr>
        <w:pStyle w:val="967"/>
        <w:ind w:left="2880" w:hanging="360"/>
      </w:pPr>
      <w:rPr>
        <w:rFonts w:ascii="Symbol" w:hAnsi="Symbol" w:eastAsia="Symbol" w:cs="Symbol"/>
      </w:rPr>
    </w:lvl>
    <w:lvl w:ilvl="4">
      <w:start w:val="1"/>
      <w:numFmt w:val="bullet"/>
      <w:isLgl w:val="false"/>
      <w:suff w:val="tab"/>
      <w:lvlText w:val="o"/>
      <w:lvlJc w:val="left"/>
      <w:pPr>
        <w:pStyle w:val="967"/>
        <w:ind w:left="3600" w:hanging="360"/>
      </w:pPr>
      <w:rPr>
        <w:rFonts w:ascii="Courier New" w:hAnsi="Courier New" w:eastAsia="Courier New" w:cs="Courier New"/>
      </w:rPr>
    </w:lvl>
    <w:lvl w:ilvl="5">
      <w:start w:val="1"/>
      <w:numFmt w:val="bullet"/>
      <w:isLgl w:val="false"/>
      <w:suff w:val="tab"/>
      <w:lvlText w:val="§"/>
      <w:lvlJc w:val="left"/>
      <w:pPr>
        <w:pStyle w:val="967"/>
        <w:ind w:left="4320" w:hanging="360"/>
      </w:pPr>
      <w:rPr>
        <w:rFonts w:ascii="Wingdings" w:hAnsi="Wingdings" w:eastAsia="Wingdings" w:cs="Wingdings"/>
      </w:rPr>
    </w:lvl>
    <w:lvl w:ilvl="6">
      <w:start w:val="1"/>
      <w:numFmt w:val="bullet"/>
      <w:isLgl w:val="false"/>
      <w:suff w:val="tab"/>
      <w:lvlText w:val="·"/>
      <w:lvlJc w:val="left"/>
      <w:pPr>
        <w:pStyle w:val="967"/>
        <w:ind w:left="5040" w:hanging="360"/>
      </w:pPr>
      <w:rPr>
        <w:rFonts w:ascii="Symbol" w:hAnsi="Symbol" w:eastAsia="Symbol" w:cs="Symbol"/>
      </w:rPr>
    </w:lvl>
    <w:lvl w:ilvl="7">
      <w:start w:val="1"/>
      <w:numFmt w:val="bullet"/>
      <w:isLgl w:val="false"/>
      <w:suff w:val="tab"/>
      <w:lvlText w:val="o"/>
      <w:lvlJc w:val="left"/>
      <w:pPr>
        <w:pStyle w:val="967"/>
        <w:ind w:left="5760" w:hanging="360"/>
      </w:pPr>
      <w:rPr>
        <w:rFonts w:ascii="Courier New" w:hAnsi="Courier New" w:eastAsia="Courier New" w:cs="Courier New"/>
      </w:rPr>
    </w:lvl>
    <w:lvl w:ilvl="8">
      <w:start w:val="1"/>
      <w:numFmt w:val="bullet"/>
      <w:isLgl w:val="false"/>
      <w:suff w:val="tab"/>
      <w:lvlText w:val="§"/>
      <w:lvlJc w:val="left"/>
      <w:pPr>
        <w:pStyle w:val="967"/>
        <w:ind w:left="6480" w:hanging="360"/>
      </w:pPr>
      <w:rPr>
        <w:rFonts w:ascii="Wingdings" w:hAnsi="Wingdings" w:eastAsia="Wingdings" w:cs="Wingdings"/>
      </w:rPr>
    </w:lvl>
  </w:abstractNum>
  <w:abstractNum w:abstractNumId="3">
    <w:multiLevelType w:val="hybridMultilevel"/>
    <w:lvl w:ilvl="0">
      <w:start w:val="1"/>
      <w:numFmt w:val="upperLetter"/>
      <w:pStyle w:val="1049"/>
      <w:isLgl w:val="false"/>
      <w:suff w:val="tab"/>
      <w:lvlText w:val="附录%1."/>
      <w:lvlJc w:val="left"/>
      <w:pPr>
        <w:pStyle w:val="9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67"/>
        <w:ind w:left="425" w:hanging="425"/>
      </w:pPr>
    </w:lvl>
    <w:lvl w:ilvl="1">
      <w:start w:val="1"/>
      <w:numFmt w:val="bullet"/>
      <w:isLgl w:val="false"/>
      <w:suff w:val="tab"/>
      <w:lvlText w:val="o"/>
      <w:lvlJc w:val="left"/>
      <w:pPr>
        <w:pStyle w:val="967"/>
        <w:ind w:left="1440" w:hanging="360"/>
      </w:pPr>
      <w:rPr>
        <w:rFonts w:ascii="Courier New" w:hAnsi="Courier New" w:eastAsia="Courier New" w:cs="Courier New"/>
      </w:rPr>
    </w:lvl>
    <w:lvl w:ilvl="2">
      <w:start w:val="1"/>
      <w:numFmt w:val="bullet"/>
      <w:isLgl w:val="false"/>
      <w:suff w:val="tab"/>
      <w:lvlText w:val="§"/>
      <w:lvlJc w:val="left"/>
      <w:pPr>
        <w:pStyle w:val="967"/>
        <w:ind w:left="2160" w:hanging="360"/>
      </w:pPr>
      <w:rPr>
        <w:rFonts w:ascii="Wingdings" w:hAnsi="Wingdings" w:eastAsia="Wingdings" w:cs="Wingdings"/>
      </w:rPr>
    </w:lvl>
    <w:lvl w:ilvl="3">
      <w:start w:val="1"/>
      <w:numFmt w:val="bullet"/>
      <w:isLgl w:val="false"/>
      <w:suff w:val="tab"/>
      <w:lvlText w:val="·"/>
      <w:lvlJc w:val="left"/>
      <w:pPr>
        <w:pStyle w:val="967"/>
        <w:ind w:left="2880" w:hanging="360"/>
      </w:pPr>
      <w:rPr>
        <w:rFonts w:ascii="Symbol" w:hAnsi="Symbol" w:eastAsia="Symbol" w:cs="Symbol"/>
      </w:rPr>
    </w:lvl>
    <w:lvl w:ilvl="4">
      <w:start w:val="1"/>
      <w:numFmt w:val="bullet"/>
      <w:isLgl w:val="false"/>
      <w:suff w:val="tab"/>
      <w:lvlText w:val="o"/>
      <w:lvlJc w:val="left"/>
      <w:pPr>
        <w:pStyle w:val="967"/>
        <w:ind w:left="3600" w:hanging="360"/>
      </w:pPr>
      <w:rPr>
        <w:rFonts w:ascii="Courier New" w:hAnsi="Courier New" w:eastAsia="Courier New" w:cs="Courier New"/>
      </w:rPr>
    </w:lvl>
    <w:lvl w:ilvl="5">
      <w:start w:val="1"/>
      <w:numFmt w:val="bullet"/>
      <w:isLgl w:val="false"/>
      <w:suff w:val="tab"/>
      <w:lvlText w:val="§"/>
      <w:lvlJc w:val="left"/>
      <w:pPr>
        <w:pStyle w:val="967"/>
        <w:ind w:left="4320" w:hanging="360"/>
      </w:pPr>
      <w:rPr>
        <w:rFonts w:ascii="Wingdings" w:hAnsi="Wingdings" w:eastAsia="Wingdings" w:cs="Wingdings"/>
      </w:rPr>
    </w:lvl>
    <w:lvl w:ilvl="6">
      <w:start w:val="1"/>
      <w:numFmt w:val="bullet"/>
      <w:isLgl w:val="false"/>
      <w:suff w:val="tab"/>
      <w:lvlText w:val="·"/>
      <w:lvlJc w:val="left"/>
      <w:pPr>
        <w:pStyle w:val="967"/>
        <w:ind w:left="5040" w:hanging="360"/>
      </w:pPr>
      <w:rPr>
        <w:rFonts w:ascii="Symbol" w:hAnsi="Symbol" w:eastAsia="Symbol" w:cs="Symbol"/>
      </w:rPr>
    </w:lvl>
    <w:lvl w:ilvl="7">
      <w:start w:val="1"/>
      <w:numFmt w:val="bullet"/>
      <w:isLgl w:val="false"/>
      <w:suff w:val="tab"/>
      <w:lvlText w:val="o"/>
      <w:lvlJc w:val="left"/>
      <w:pPr>
        <w:pStyle w:val="967"/>
        <w:ind w:left="5760" w:hanging="360"/>
      </w:pPr>
      <w:rPr>
        <w:rFonts w:ascii="Courier New" w:hAnsi="Courier New" w:eastAsia="Courier New" w:cs="Courier New"/>
      </w:rPr>
    </w:lvl>
    <w:lvl w:ilvl="8">
      <w:start w:val="1"/>
      <w:numFmt w:val="bullet"/>
      <w:isLgl w:val="false"/>
      <w:suff w:val="tab"/>
      <w:lvlText w:val="§"/>
      <w:lvlJc w:val="left"/>
      <w:pPr>
        <w:pStyle w:val="967"/>
        <w:ind w:left="6480" w:hanging="360"/>
      </w:pPr>
      <w:rPr>
        <w:rFonts w:ascii="Wingdings" w:hAnsi="Wingdings" w:eastAsia="Wingdings" w:cs="Wingdings"/>
      </w:rPr>
    </w:lvl>
  </w:abstractNum>
  <w:abstractNum w:abstractNumId="5">
    <w:multiLevelType w:val="hybridMultilevel"/>
    <w:lvl w:ilvl="0">
      <w:start w:val="1"/>
      <w:numFmt w:val="decimal"/>
      <w:pStyle w:val="1066"/>
      <w:isLgl w:val="false"/>
      <w:suff w:val="tab"/>
      <w:lvlText w:val="%1."/>
      <w:lvlJc w:val="left"/>
      <w:pPr>
        <w:pStyle w:val="967"/>
        <w:ind w:left="709" w:hanging="709"/>
        <w:tabs>
          <w:tab w:val="num" w:pos="709" w:leader="none"/>
        </w:tabs>
      </w:pPr>
      <w:rPr>
        <w:rFonts w:hint="eastAsia"/>
      </w:rPr>
    </w:lvl>
    <w:lvl w:ilvl="1">
      <w:start w:val="1"/>
      <w:numFmt w:val="decimal"/>
      <w:isLgl w:val="false"/>
      <w:suff w:val="tab"/>
      <w:lvlText w:val="%1.%2"/>
      <w:lvlJc w:val="left"/>
      <w:pPr>
        <w:pStyle w:val="967"/>
        <w:ind w:left="709" w:hanging="709"/>
        <w:tabs>
          <w:tab w:val="num" w:pos="709" w:leader="none"/>
        </w:tabs>
      </w:pPr>
      <w:rPr>
        <w:rFonts w:hint="eastAsia"/>
      </w:rPr>
    </w:lvl>
    <w:lvl w:ilvl="2">
      <w:start w:val="1"/>
      <w:numFmt w:val="decimal"/>
      <w:isLgl w:val="false"/>
      <w:suff w:val="tab"/>
      <w:lvlText w:val="%1.%2.%3."/>
      <w:lvlJc w:val="left"/>
      <w:pPr>
        <w:pStyle w:val="967"/>
        <w:ind w:left="425" w:hanging="425"/>
        <w:tabs>
          <w:tab w:val="num" w:pos="425" w:leader="none"/>
        </w:tabs>
      </w:pPr>
      <w:rPr>
        <w:rFonts w:hint="eastAsia"/>
      </w:rPr>
    </w:lvl>
    <w:lvl w:ilvl="3">
      <w:start w:val="1"/>
      <w:numFmt w:val="decimal"/>
      <w:isLgl w:val="false"/>
      <w:suff w:val="tab"/>
      <w:lvlText w:val="%1.%2.%3.%4."/>
      <w:lvlJc w:val="left"/>
      <w:pPr>
        <w:pStyle w:val="967"/>
        <w:ind w:left="851" w:hanging="851"/>
        <w:tabs>
          <w:tab w:val="num" w:pos="851" w:leader="none"/>
        </w:tabs>
      </w:pPr>
      <w:rPr>
        <w:rFonts w:hint="eastAsia"/>
      </w:rPr>
    </w:lvl>
    <w:lvl w:ilvl="4">
      <w:start w:val="1"/>
      <w:numFmt w:val="decimal"/>
      <w:isLgl w:val="false"/>
      <w:suff w:val="tab"/>
      <w:lvlText w:val="%1.%2.%3.%4.%5."/>
      <w:lvlJc w:val="left"/>
      <w:pPr>
        <w:pStyle w:val="967"/>
        <w:ind w:left="992" w:hanging="992"/>
        <w:tabs>
          <w:tab w:val="num" w:pos="992" w:leader="none"/>
        </w:tabs>
      </w:pPr>
      <w:rPr>
        <w:rFonts w:hint="eastAsia"/>
      </w:rPr>
    </w:lvl>
    <w:lvl w:ilvl="5">
      <w:start w:val="1"/>
      <w:numFmt w:val="decimal"/>
      <w:isLgl w:val="false"/>
      <w:suff w:val="tab"/>
      <w:lvlText w:val="%1.%2.%3.%4.%5.%6."/>
      <w:lvlJc w:val="left"/>
      <w:pPr>
        <w:pStyle w:val="967"/>
        <w:ind w:left="1134" w:hanging="1134"/>
        <w:tabs>
          <w:tab w:val="num" w:pos="1134" w:leader="none"/>
        </w:tabs>
      </w:pPr>
      <w:rPr>
        <w:rFonts w:hint="eastAsia"/>
      </w:rPr>
    </w:lvl>
    <w:lvl w:ilvl="6">
      <w:start w:val="1"/>
      <w:numFmt w:val="decimal"/>
      <w:isLgl w:val="false"/>
      <w:suff w:val="tab"/>
      <w:lvlText w:val="%1.%2.%3.%4.%5.%6.%7."/>
      <w:lvlJc w:val="left"/>
      <w:pPr>
        <w:pStyle w:val="967"/>
        <w:ind w:left="1276" w:hanging="1276"/>
        <w:tabs>
          <w:tab w:val="num" w:pos="1276" w:leader="none"/>
        </w:tabs>
      </w:pPr>
      <w:rPr>
        <w:rFonts w:hint="eastAsia"/>
      </w:rPr>
    </w:lvl>
    <w:lvl w:ilvl="7">
      <w:start w:val="1"/>
      <w:numFmt w:val="decimal"/>
      <w:isLgl w:val="false"/>
      <w:suff w:val="tab"/>
      <w:lvlText w:val="%1.%2.%3.%4.%5.%6.%7.%8."/>
      <w:lvlJc w:val="left"/>
      <w:pPr>
        <w:pStyle w:val="967"/>
        <w:ind w:left="1418" w:hanging="1418"/>
        <w:tabs>
          <w:tab w:val="num" w:pos="1418" w:leader="none"/>
        </w:tabs>
      </w:pPr>
      <w:rPr>
        <w:rFonts w:hint="eastAsia"/>
      </w:rPr>
    </w:lvl>
    <w:lvl w:ilvl="8">
      <w:start w:val="1"/>
      <w:numFmt w:val="decimal"/>
      <w:isLgl w:val="false"/>
      <w:suff w:val="tab"/>
      <w:lvlText w:val="%1.%2.%3.%4.%5.%6.%7.%8.%9."/>
      <w:lvlJc w:val="left"/>
      <w:pPr>
        <w:pStyle w:val="967"/>
        <w:ind w:left="1559" w:hanging="1559"/>
        <w:tabs>
          <w:tab w:val="num" w:pos="1559" w:leader="none"/>
        </w:tabs>
      </w:pPr>
      <w:rPr>
        <w:rFonts w:hint="eastAsia"/>
      </w:rPr>
    </w:lvl>
  </w:abstractNum>
  <w:abstractNum w:abstractNumId="6">
    <w:multiLevelType w:val="hybridMultilevel"/>
    <w:lvl w:ilvl="0">
      <w:start w:val="1"/>
      <w:numFmt w:val="decimal"/>
      <w:isLgl w:val="false"/>
      <w:suff w:val="tab"/>
      <w:lvlText w:val="%1)"/>
      <w:lvlJc w:val="left"/>
      <w:pPr>
        <w:pStyle w:val="967"/>
        <w:ind w:left="566" w:hanging="425"/>
      </w:pPr>
    </w:lvl>
    <w:lvl w:ilvl="1">
      <w:start w:val="1"/>
      <w:numFmt w:val="lowerLetter"/>
      <w:isLgl w:val="false"/>
      <w:suff w:val="tab"/>
      <w:lvlText w:val="%2)"/>
      <w:lvlJc w:val="left"/>
      <w:pPr>
        <w:pStyle w:val="967"/>
        <w:ind w:left="840" w:hanging="420"/>
      </w:pPr>
    </w:lvl>
    <w:lvl w:ilvl="2">
      <w:start w:val="1"/>
      <w:numFmt w:val="lowerRoman"/>
      <w:isLgl w:val="false"/>
      <w:suff w:val="tab"/>
      <w:lvlText w:val="%3."/>
      <w:lvlJc w:val="right"/>
      <w:pPr>
        <w:pStyle w:val="967"/>
        <w:ind w:left="1260" w:hanging="420"/>
      </w:pPr>
    </w:lvl>
    <w:lvl w:ilvl="3">
      <w:start w:val="1"/>
      <w:numFmt w:val="decimal"/>
      <w:isLgl w:val="false"/>
      <w:suff w:val="tab"/>
      <w:lvlText w:val="%4."/>
      <w:lvlJc w:val="left"/>
      <w:pPr>
        <w:pStyle w:val="967"/>
        <w:ind w:left="1680" w:hanging="420"/>
      </w:pPr>
    </w:lvl>
    <w:lvl w:ilvl="4">
      <w:start w:val="1"/>
      <w:numFmt w:val="lowerLetter"/>
      <w:isLgl w:val="false"/>
      <w:suff w:val="tab"/>
      <w:lvlText w:val="%5)"/>
      <w:lvlJc w:val="left"/>
      <w:pPr>
        <w:pStyle w:val="967"/>
        <w:ind w:left="2100" w:hanging="420"/>
      </w:pPr>
    </w:lvl>
    <w:lvl w:ilvl="5">
      <w:start w:val="1"/>
      <w:numFmt w:val="lowerRoman"/>
      <w:isLgl w:val="false"/>
      <w:suff w:val="tab"/>
      <w:lvlText w:val="%6."/>
      <w:lvlJc w:val="right"/>
      <w:pPr>
        <w:pStyle w:val="967"/>
        <w:ind w:left="2520" w:hanging="420"/>
      </w:pPr>
    </w:lvl>
    <w:lvl w:ilvl="6">
      <w:start w:val="1"/>
      <w:numFmt w:val="decimal"/>
      <w:isLgl w:val="false"/>
      <w:suff w:val="tab"/>
      <w:lvlText w:val="%7."/>
      <w:lvlJc w:val="left"/>
      <w:pPr>
        <w:pStyle w:val="967"/>
        <w:ind w:left="2940" w:hanging="420"/>
      </w:pPr>
    </w:lvl>
    <w:lvl w:ilvl="7">
      <w:start w:val="1"/>
      <w:numFmt w:val="lowerLetter"/>
      <w:isLgl w:val="false"/>
      <w:suff w:val="tab"/>
      <w:lvlText w:val="%8)"/>
      <w:lvlJc w:val="left"/>
      <w:pPr>
        <w:pStyle w:val="967"/>
        <w:ind w:left="3360" w:hanging="420"/>
      </w:pPr>
    </w:lvl>
    <w:lvl w:ilvl="8">
      <w:start w:val="1"/>
      <w:numFmt w:val="lowerRoman"/>
      <w:isLgl w:val="false"/>
      <w:suff w:val="tab"/>
      <w:lvlText w:val="%9."/>
      <w:lvlJc w:val="right"/>
      <w:pPr>
        <w:pStyle w:val="967"/>
        <w:ind w:left="3780" w:hanging="420"/>
      </w:pPr>
    </w:lvl>
  </w:abstractNum>
  <w:abstractNum w:abstractNumId="7">
    <w:multiLevelType w:val="hybridMultilevel"/>
    <w:lvl w:ilvl="0">
      <w:start w:val="2"/>
      <w:numFmt w:val="chineseCounting"/>
      <w:isLgl w:val="false"/>
      <w:suff w:val="nothing"/>
      <w:lvlText w:val="（%1）"/>
      <w:lvlJc w:val="left"/>
      <w:pPr>
        <w:pStyle w:val="9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pStyle w:val="967"/>
        <w:ind w:left="0" w:firstLine="0"/>
      </w:pPr>
      <w:rPr>
        <w:rFonts w:hint="eastAsia"/>
      </w:rPr>
    </w:lvl>
    <w:lvl w:ilvl="1">
      <w:start w:val="1"/>
      <w:numFmt w:val="decimal"/>
      <w:isLgl w:val="false"/>
      <w:suff w:val="nothing"/>
      <w:lvlText w:val="%2、"/>
      <w:lvlJc w:val="left"/>
      <w:pPr>
        <w:pStyle w:val="967"/>
        <w:ind w:left="0" w:firstLine="0"/>
      </w:pPr>
      <w:rPr>
        <w:rFonts w:hint="eastAsia"/>
      </w:rPr>
    </w:lvl>
    <w:lvl w:ilvl="2">
      <w:start w:val="1"/>
      <w:numFmt w:val="decimal"/>
      <w:isLgl w:val="false"/>
      <w:suff w:val="nothing"/>
      <w:lvlText w:val="%2.%3 "/>
      <w:lvlJc w:val="left"/>
      <w:pPr>
        <w:pStyle w:val="967"/>
        <w:ind w:left="0" w:firstLine="0"/>
      </w:pPr>
      <w:rPr>
        <w:rFonts w:hint="eastAsia"/>
      </w:rPr>
    </w:lvl>
    <w:lvl w:ilvl="3">
      <w:start w:val="1"/>
      <w:numFmt w:val="decimal"/>
      <w:isLgl w:val="false"/>
      <w:suff w:val="nothing"/>
      <w:lvlText w:val="%2.%3.%4 "/>
      <w:lvlJc w:val="left"/>
      <w:pPr>
        <w:pStyle w:val="967"/>
        <w:ind w:left="0" w:firstLine="0"/>
      </w:pPr>
      <w:rPr>
        <w:rFonts w:hint="eastAsia"/>
      </w:rPr>
    </w:lvl>
    <w:lvl w:ilvl="4">
      <w:start w:val="1"/>
      <w:numFmt w:val="decimal"/>
      <w:isLgl w:val="false"/>
      <w:suff w:val="nothing"/>
      <w:lvlText w:val="%2.%3.%4.%5 "/>
      <w:lvlJc w:val="left"/>
      <w:pPr>
        <w:pStyle w:val="967"/>
        <w:ind w:left="0" w:firstLine="0"/>
      </w:pPr>
      <w:rPr>
        <w:rFonts w:hint="eastAsia"/>
      </w:rPr>
    </w:lvl>
    <w:lvl w:ilvl="5">
      <w:start w:val="1"/>
      <w:numFmt w:val="decimal"/>
      <w:pStyle w:val="973"/>
      <w:isLgl w:val="false"/>
      <w:suff w:val="nothing"/>
      <w:lvlText w:val=""/>
      <w:lvlJc w:val="left"/>
      <w:pPr>
        <w:pStyle w:val="967"/>
        <w:ind w:left="0" w:firstLine="0"/>
      </w:pPr>
      <w:rPr>
        <w:rFonts w:hint="eastAsia"/>
      </w:rPr>
    </w:lvl>
    <w:lvl w:ilvl="6">
      <w:start w:val="1"/>
      <w:numFmt w:val="decimal"/>
      <w:pStyle w:val="974"/>
      <w:isLgl w:val="false"/>
      <w:suff w:val="nothing"/>
      <w:lvlText w:val=""/>
      <w:lvlJc w:val="left"/>
      <w:pPr>
        <w:pStyle w:val="967"/>
        <w:ind w:left="0" w:firstLine="0"/>
      </w:pPr>
      <w:rPr>
        <w:rFonts w:hint="eastAsia"/>
      </w:rPr>
    </w:lvl>
    <w:lvl w:ilvl="7">
      <w:start w:val="1"/>
      <w:numFmt w:val="decimal"/>
      <w:pStyle w:val="975"/>
      <w:isLgl w:val="false"/>
      <w:suff w:val="nothing"/>
      <w:lvlText w:val=""/>
      <w:lvlJc w:val="left"/>
      <w:pPr>
        <w:pStyle w:val="967"/>
        <w:ind w:left="0" w:firstLine="0"/>
      </w:pPr>
      <w:rPr>
        <w:rFonts w:hint="eastAsia"/>
      </w:rPr>
    </w:lvl>
    <w:lvl w:ilvl="8">
      <w:start w:val="1"/>
      <w:numFmt w:val="decimal"/>
      <w:pStyle w:val="976"/>
      <w:isLgl w:val="false"/>
      <w:suff w:val="nothing"/>
      <w:lvlText w:val=""/>
      <w:lvlJc w:val="left"/>
      <w:pPr>
        <w:pStyle w:val="967"/>
        <w:ind w:left="0" w:firstLine="0"/>
      </w:pPr>
      <w:rPr>
        <w:rFonts w:hint="eastAsia"/>
      </w:rPr>
    </w:lvl>
  </w:abstractNum>
  <w:abstractNum w:abstractNumId="9">
    <w:multiLevelType w:val="hybridMultilevel"/>
    <w:lvl w:ilvl="0">
      <w:start w:val="1"/>
      <w:numFmt w:val="decimal"/>
      <w:isLgl w:val="false"/>
      <w:suff w:val="tab"/>
      <w:lvlText w:val="%1)"/>
      <w:lvlJc w:val="left"/>
      <w:pPr>
        <w:pStyle w:val="967"/>
        <w:ind w:left="420" w:hanging="420"/>
      </w:pPr>
    </w:lvl>
    <w:lvl w:ilvl="1">
      <w:start w:val="5"/>
      <w:numFmt w:val="decimal"/>
      <w:isLgl w:val="false"/>
      <w:suff w:val="tab"/>
      <w:lvlText w:val="%2.1"/>
      <w:lvlJc w:val="left"/>
      <w:pPr>
        <w:pStyle w:val="967"/>
        <w:ind w:left="840" w:hanging="420"/>
      </w:pPr>
      <w:rPr>
        <w:rFonts w:hint="eastAsia"/>
      </w:rPr>
    </w:lvl>
    <w:lvl w:ilvl="2">
      <w:start w:val="1"/>
      <w:numFmt w:val="lowerRoman"/>
      <w:isLgl w:val="false"/>
      <w:suff w:val="tab"/>
      <w:lvlText w:val="%3."/>
      <w:lvlJc w:val="right"/>
      <w:pPr>
        <w:pStyle w:val="967"/>
        <w:ind w:left="1260" w:hanging="420"/>
      </w:pPr>
    </w:lvl>
    <w:lvl w:ilvl="3">
      <w:start w:val="1"/>
      <w:numFmt w:val="decimal"/>
      <w:isLgl w:val="false"/>
      <w:suff w:val="tab"/>
      <w:lvlText w:val="%4."/>
      <w:lvlJc w:val="left"/>
      <w:pPr>
        <w:pStyle w:val="967"/>
        <w:ind w:left="1680" w:hanging="420"/>
      </w:pPr>
    </w:lvl>
    <w:lvl w:ilvl="4">
      <w:start w:val="1"/>
      <w:numFmt w:val="lowerLetter"/>
      <w:isLgl w:val="false"/>
      <w:suff w:val="tab"/>
      <w:lvlText w:val="%5)"/>
      <w:lvlJc w:val="left"/>
      <w:pPr>
        <w:pStyle w:val="967"/>
        <w:ind w:left="2100" w:hanging="420"/>
      </w:pPr>
    </w:lvl>
    <w:lvl w:ilvl="5">
      <w:start w:val="1"/>
      <w:numFmt w:val="lowerRoman"/>
      <w:isLgl w:val="false"/>
      <w:suff w:val="tab"/>
      <w:lvlText w:val="%6."/>
      <w:lvlJc w:val="right"/>
      <w:pPr>
        <w:pStyle w:val="967"/>
        <w:ind w:left="2520" w:hanging="420"/>
      </w:pPr>
    </w:lvl>
    <w:lvl w:ilvl="6">
      <w:start w:val="1"/>
      <w:numFmt w:val="decimal"/>
      <w:isLgl w:val="false"/>
      <w:suff w:val="tab"/>
      <w:lvlText w:val="%7."/>
      <w:lvlJc w:val="left"/>
      <w:pPr>
        <w:pStyle w:val="967"/>
        <w:ind w:left="2940" w:hanging="420"/>
      </w:pPr>
    </w:lvl>
    <w:lvl w:ilvl="7">
      <w:start w:val="1"/>
      <w:numFmt w:val="lowerLetter"/>
      <w:isLgl w:val="false"/>
      <w:suff w:val="tab"/>
      <w:lvlText w:val="%8)"/>
      <w:lvlJc w:val="left"/>
      <w:pPr>
        <w:pStyle w:val="967"/>
        <w:ind w:left="3360" w:hanging="420"/>
      </w:pPr>
    </w:lvl>
    <w:lvl w:ilvl="8">
      <w:start w:val="1"/>
      <w:numFmt w:val="lowerRoman"/>
      <w:isLgl w:val="false"/>
      <w:suff w:val="tab"/>
      <w:lvlText w:val="%9."/>
      <w:lvlJc w:val="right"/>
      <w:pPr>
        <w:pStyle w:val="967"/>
        <w:ind w:left="3780" w:hanging="420"/>
      </w:pPr>
    </w:lvl>
  </w:abstractNum>
  <w:abstractNum w:abstractNumId="10">
    <w:multiLevelType w:val="hybridMultilevel"/>
    <w:lvl w:ilvl="0">
      <w:start w:val="1"/>
      <w:numFmt w:val="japaneseCounting"/>
      <w:isLgl w:val="false"/>
      <w:suff w:val="tab"/>
      <w:lvlText w:val="第%1章"/>
      <w:lvlJc w:val="left"/>
      <w:pPr>
        <w:pStyle w:val="96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5"/>
  </w:num>
  <w:num w:numId="4">
    <w:abstractNumId w:val="10"/>
  </w:num>
  <w:num w:numId="5">
    <w:abstractNumId w:val="4"/>
  </w:num>
  <w:num w:numId="6">
    <w:abstractNumId w:val="9"/>
  </w:num>
  <w:num w:numId="7">
    <w:abstractNumId w:val="6"/>
  </w:num>
  <w:num w:numId="8">
    <w:abstractNumId w:val="1"/>
  </w:num>
  <w:num w:numId="9">
    <w:abstractNumId w:val="0"/>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name w:val="Heading 1"/>
    <w:basedOn w:val="967"/>
    <w:next w:val="967"/>
    <w:link w:val="790"/>
    <w:uiPriority w:val="9"/>
    <w:qFormat/>
    <w:pPr>
      <w:keepLines/>
      <w:keepNext/>
      <w:spacing w:before="480" w:after="200"/>
      <w:outlineLvl w:val="0"/>
    </w:pPr>
    <w:rPr>
      <w:rFonts w:ascii="Arial" w:hAnsi="Arial" w:eastAsia="Arial" w:cs="Arial"/>
      <w:sz w:val="40"/>
      <w:szCs w:val="40"/>
    </w:rPr>
  </w:style>
  <w:style w:type="character" w:styleId="790">
    <w:name w:val="Heading 1 Char"/>
    <w:link w:val="789"/>
    <w:uiPriority w:val="9"/>
    <w:rPr>
      <w:rFonts w:ascii="Arial" w:hAnsi="Arial" w:eastAsia="Arial" w:cs="Arial"/>
      <w:sz w:val="40"/>
      <w:szCs w:val="40"/>
    </w:rPr>
  </w:style>
  <w:style w:type="paragraph" w:styleId="791">
    <w:name w:val="Heading 2"/>
    <w:basedOn w:val="967"/>
    <w:next w:val="967"/>
    <w:link w:val="792"/>
    <w:uiPriority w:val="9"/>
    <w:unhideWhenUsed/>
    <w:qFormat/>
    <w:pPr>
      <w:keepLines/>
      <w:keepNext/>
      <w:spacing w:before="360" w:after="200"/>
      <w:outlineLvl w:val="1"/>
    </w:pPr>
    <w:rPr>
      <w:rFonts w:ascii="Arial" w:hAnsi="Arial" w:eastAsia="Arial" w:cs="Arial"/>
      <w:sz w:val="34"/>
    </w:rPr>
  </w:style>
  <w:style w:type="character" w:styleId="792">
    <w:name w:val="Heading 2 Char"/>
    <w:link w:val="791"/>
    <w:uiPriority w:val="9"/>
    <w:rPr>
      <w:rFonts w:ascii="Arial" w:hAnsi="Arial" w:eastAsia="Arial" w:cs="Arial"/>
      <w:sz w:val="34"/>
    </w:rPr>
  </w:style>
  <w:style w:type="paragraph" w:styleId="793">
    <w:name w:val="Heading 3"/>
    <w:basedOn w:val="967"/>
    <w:next w:val="967"/>
    <w:link w:val="794"/>
    <w:uiPriority w:val="9"/>
    <w:unhideWhenUsed/>
    <w:qFormat/>
    <w:pPr>
      <w:keepLines/>
      <w:keepNext/>
      <w:spacing w:before="320" w:after="200"/>
      <w:outlineLvl w:val="2"/>
    </w:pPr>
    <w:rPr>
      <w:rFonts w:ascii="Arial" w:hAnsi="Arial" w:eastAsia="Arial" w:cs="Arial"/>
      <w:sz w:val="30"/>
      <w:szCs w:val="30"/>
    </w:rPr>
  </w:style>
  <w:style w:type="character" w:styleId="794">
    <w:name w:val="Heading 3 Char"/>
    <w:link w:val="793"/>
    <w:uiPriority w:val="9"/>
    <w:rPr>
      <w:rFonts w:ascii="Arial" w:hAnsi="Arial" w:eastAsia="Arial" w:cs="Arial"/>
      <w:sz w:val="30"/>
      <w:szCs w:val="30"/>
    </w:rPr>
  </w:style>
  <w:style w:type="paragraph" w:styleId="795">
    <w:name w:val="Heading 4"/>
    <w:basedOn w:val="967"/>
    <w:next w:val="967"/>
    <w:link w:val="796"/>
    <w:uiPriority w:val="9"/>
    <w:unhideWhenUsed/>
    <w:qFormat/>
    <w:pPr>
      <w:keepLines/>
      <w:keepNext/>
      <w:spacing w:before="320" w:after="200"/>
      <w:outlineLvl w:val="3"/>
    </w:pPr>
    <w:rPr>
      <w:rFonts w:ascii="Arial" w:hAnsi="Arial" w:eastAsia="Arial" w:cs="Arial"/>
      <w:b/>
      <w:bCs/>
      <w:sz w:val="26"/>
      <w:szCs w:val="26"/>
    </w:rPr>
  </w:style>
  <w:style w:type="character" w:styleId="796">
    <w:name w:val="Heading 4 Char"/>
    <w:link w:val="795"/>
    <w:uiPriority w:val="9"/>
    <w:rPr>
      <w:rFonts w:ascii="Arial" w:hAnsi="Arial" w:eastAsia="Arial" w:cs="Arial"/>
      <w:b/>
      <w:bCs/>
      <w:sz w:val="26"/>
      <w:szCs w:val="26"/>
    </w:rPr>
  </w:style>
  <w:style w:type="paragraph" w:styleId="797">
    <w:name w:val="Heading 5"/>
    <w:basedOn w:val="967"/>
    <w:next w:val="967"/>
    <w:link w:val="798"/>
    <w:uiPriority w:val="9"/>
    <w:unhideWhenUsed/>
    <w:qFormat/>
    <w:pPr>
      <w:keepLines/>
      <w:keepNext/>
      <w:spacing w:before="320" w:after="200"/>
      <w:outlineLvl w:val="4"/>
    </w:pPr>
    <w:rPr>
      <w:rFonts w:ascii="Arial" w:hAnsi="Arial" w:eastAsia="Arial" w:cs="Arial"/>
      <w:b/>
      <w:bCs/>
      <w:sz w:val="24"/>
      <w:szCs w:val="24"/>
    </w:rPr>
  </w:style>
  <w:style w:type="character" w:styleId="798">
    <w:name w:val="Heading 5 Char"/>
    <w:link w:val="797"/>
    <w:uiPriority w:val="9"/>
    <w:rPr>
      <w:rFonts w:ascii="Arial" w:hAnsi="Arial" w:eastAsia="Arial" w:cs="Arial"/>
      <w:b/>
      <w:bCs/>
      <w:sz w:val="24"/>
      <w:szCs w:val="24"/>
    </w:rPr>
  </w:style>
  <w:style w:type="paragraph" w:styleId="799">
    <w:name w:val="Heading 6"/>
    <w:basedOn w:val="967"/>
    <w:next w:val="967"/>
    <w:link w:val="800"/>
    <w:uiPriority w:val="9"/>
    <w:unhideWhenUsed/>
    <w:qFormat/>
    <w:pPr>
      <w:keepLines/>
      <w:keepNext/>
      <w:spacing w:before="320" w:after="200"/>
      <w:outlineLvl w:val="5"/>
    </w:pPr>
    <w:rPr>
      <w:rFonts w:ascii="Arial" w:hAnsi="Arial" w:eastAsia="Arial" w:cs="Arial"/>
      <w:b/>
      <w:bCs/>
      <w:sz w:val="22"/>
      <w:szCs w:val="22"/>
    </w:rPr>
  </w:style>
  <w:style w:type="character" w:styleId="800">
    <w:name w:val="Heading 6 Char"/>
    <w:link w:val="799"/>
    <w:uiPriority w:val="9"/>
    <w:rPr>
      <w:rFonts w:ascii="Arial" w:hAnsi="Arial" w:eastAsia="Arial" w:cs="Arial"/>
      <w:b/>
      <w:bCs/>
      <w:sz w:val="22"/>
      <w:szCs w:val="22"/>
    </w:rPr>
  </w:style>
  <w:style w:type="paragraph" w:styleId="801">
    <w:name w:val="Heading 7"/>
    <w:basedOn w:val="967"/>
    <w:next w:val="967"/>
    <w:link w:val="802"/>
    <w:uiPriority w:val="9"/>
    <w:unhideWhenUsed/>
    <w:qFormat/>
    <w:pPr>
      <w:keepLines/>
      <w:keepNext/>
      <w:spacing w:before="320" w:after="200"/>
      <w:outlineLvl w:val="6"/>
    </w:pPr>
    <w:rPr>
      <w:rFonts w:ascii="Arial" w:hAnsi="Arial" w:eastAsia="Arial" w:cs="Arial"/>
      <w:b/>
      <w:bCs/>
      <w:i/>
      <w:iCs/>
      <w:sz w:val="22"/>
      <w:szCs w:val="22"/>
    </w:rPr>
  </w:style>
  <w:style w:type="character" w:styleId="802">
    <w:name w:val="Heading 7 Char"/>
    <w:link w:val="801"/>
    <w:uiPriority w:val="9"/>
    <w:rPr>
      <w:rFonts w:ascii="Arial" w:hAnsi="Arial" w:eastAsia="Arial" w:cs="Arial"/>
      <w:b/>
      <w:bCs/>
      <w:i/>
      <w:iCs/>
      <w:sz w:val="22"/>
      <w:szCs w:val="22"/>
    </w:rPr>
  </w:style>
  <w:style w:type="paragraph" w:styleId="803">
    <w:name w:val="Heading 8"/>
    <w:basedOn w:val="967"/>
    <w:next w:val="967"/>
    <w:link w:val="804"/>
    <w:uiPriority w:val="9"/>
    <w:unhideWhenUsed/>
    <w:qFormat/>
    <w:pPr>
      <w:keepLines/>
      <w:keepNext/>
      <w:spacing w:before="320" w:after="200"/>
      <w:outlineLvl w:val="7"/>
    </w:pPr>
    <w:rPr>
      <w:rFonts w:ascii="Arial" w:hAnsi="Arial" w:eastAsia="Arial" w:cs="Arial"/>
      <w:i/>
      <w:iCs/>
      <w:sz w:val="22"/>
      <w:szCs w:val="22"/>
    </w:rPr>
  </w:style>
  <w:style w:type="character" w:styleId="804">
    <w:name w:val="Heading 8 Char"/>
    <w:link w:val="803"/>
    <w:uiPriority w:val="9"/>
    <w:rPr>
      <w:rFonts w:ascii="Arial" w:hAnsi="Arial" w:eastAsia="Arial" w:cs="Arial"/>
      <w:i/>
      <w:iCs/>
      <w:sz w:val="22"/>
      <w:szCs w:val="22"/>
    </w:rPr>
  </w:style>
  <w:style w:type="paragraph" w:styleId="805">
    <w:name w:val="Heading 9"/>
    <w:basedOn w:val="967"/>
    <w:next w:val="967"/>
    <w:link w:val="806"/>
    <w:uiPriority w:val="9"/>
    <w:unhideWhenUsed/>
    <w:qFormat/>
    <w:pPr>
      <w:keepLines/>
      <w:keepNext/>
      <w:spacing w:before="320" w:after="200"/>
      <w:outlineLvl w:val="8"/>
    </w:pPr>
    <w:rPr>
      <w:rFonts w:ascii="Arial" w:hAnsi="Arial" w:eastAsia="Arial" w:cs="Arial"/>
      <w:i/>
      <w:iCs/>
      <w:sz w:val="21"/>
      <w:szCs w:val="21"/>
    </w:rPr>
  </w:style>
  <w:style w:type="character" w:styleId="806">
    <w:name w:val="Heading 9 Char"/>
    <w:link w:val="805"/>
    <w:uiPriority w:val="9"/>
    <w:rPr>
      <w:rFonts w:ascii="Arial" w:hAnsi="Arial" w:eastAsia="Arial" w:cs="Arial"/>
      <w:i/>
      <w:iCs/>
      <w:sz w:val="21"/>
      <w:szCs w:val="21"/>
    </w:rPr>
  </w:style>
  <w:style w:type="paragraph" w:styleId="807">
    <w:name w:val="List Paragraph"/>
    <w:basedOn w:val="967"/>
    <w:uiPriority w:val="34"/>
    <w:qFormat/>
    <w:pPr>
      <w:contextualSpacing/>
      <w:ind w:left="720"/>
    </w:pPr>
  </w:style>
  <w:style w:type="paragraph" w:styleId="808">
    <w:name w:val="No Spacing"/>
    <w:uiPriority w:val="1"/>
    <w:qFormat/>
    <w:pPr>
      <w:spacing w:before="0" w:after="0" w:line="240" w:lineRule="auto"/>
    </w:pPr>
  </w:style>
  <w:style w:type="paragraph" w:styleId="809">
    <w:name w:val="Title"/>
    <w:basedOn w:val="967"/>
    <w:next w:val="967"/>
    <w:link w:val="810"/>
    <w:uiPriority w:val="10"/>
    <w:qFormat/>
    <w:pPr>
      <w:contextualSpacing/>
      <w:spacing w:before="300" w:after="200"/>
    </w:pPr>
    <w:rPr>
      <w:sz w:val="48"/>
      <w:szCs w:val="48"/>
    </w:rPr>
  </w:style>
  <w:style w:type="character" w:styleId="810">
    <w:name w:val="Title Char"/>
    <w:link w:val="809"/>
    <w:uiPriority w:val="10"/>
    <w:rPr>
      <w:sz w:val="48"/>
      <w:szCs w:val="48"/>
    </w:rPr>
  </w:style>
  <w:style w:type="paragraph" w:styleId="811">
    <w:name w:val="Subtitle"/>
    <w:basedOn w:val="967"/>
    <w:next w:val="967"/>
    <w:link w:val="812"/>
    <w:uiPriority w:val="11"/>
    <w:qFormat/>
    <w:pPr>
      <w:spacing w:before="200" w:after="200"/>
    </w:pPr>
    <w:rPr>
      <w:sz w:val="24"/>
      <w:szCs w:val="24"/>
    </w:rPr>
  </w:style>
  <w:style w:type="character" w:styleId="812">
    <w:name w:val="Subtitle Char"/>
    <w:link w:val="811"/>
    <w:uiPriority w:val="11"/>
    <w:rPr>
      <w:sz w:val="24"/>
      <w:szCs w:val="24"/>
    </w:rPr>
  </w:style>
  <w:style w:type="paragraph" w:styleId="813">
    <w:name w:val="Quote"/>
    <w:basedOn w:val="967"/>
    <w:next w:val="967"/>
    <w:link w:val="814"/>
    <w:uiPriority w:val="29"/>
    <w:qFormat/>
    <w:pPr>
      <w:ind w:left="720" w:right="720"/>
    </w:pPr>
    <w:rPr>
      <w:i/>
    </w:rPr>
  </w:style>
  <w:style w:type="character" w:styleId="814">
    <w:name w:val="Quote Char"/>
    <w:link w:val="813"/>
    <w:uiPriority w:val="29"/>
    <w:rPr>
      <w:i/>
    </w:rPr>
  </w:style>
  <w:style w:type="paragraph" w:styleId="815">
    <w:name w:val="Intense Quote"/>
    <w:basedOn w:val="967"/>
    <w:next w:val="967"/>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name w:val="Intense Quote Char"/>
    <w:link w:val="815"/>
    <w:uiPriority w:val="30"/>
    <w:rPr>
      <w:i/>
    </w:rPr>
  </w:style>
  <w:style w:type="paragraph" w:styleId="817">
    <w:name w:val="Header"/>
    <w:basedOn w:val="967"/>
    <w:link w:val="818"/>
    <w:uiPriority w:val="99"/>
    <w:unhideWhenUsed/>
    <w:pPr>
      <w:spacing w:after="0" w:line="240" w:lineRule="auto"/>
      <w:tabs>
        <w:tab w:val="center" w:pos="7143" w:leader="none"/>
        <w:tab w:val="right" w:pos="14287" w:leader="none"/>
      </w:tabs>
    </w:pPr>
  </w:style>
  <w:style w:type="character" w:styleId="818">
    <w:name w:val="Header Char"/>
    <w:link w:val="817"/>
    <w:uiPriority w:val="99"/>
  </w:style>
  <w:style w:type="paragraph" w:styleId="819">
    <w:name w:val="Footer"/>
    <w:basedOn w:val="967"/>
    <w:link w:val="822"/>
    <w:uiPriority w:val="99"/>
    <w:unhideWhenUsed/>
    <w:pPr>
      <w:spacing w:after="0" w:line="240" w:lineRule="auto"/>
      <w:tabs>
        <w:tab w:val="center" w:pos="7143" w:leader="none"/>
        <w:tab w:val="right" w:pos="14287" w:leader="none"/>
      </w:tabs>
    </w:pPr>
  </w:style>
  <w:style w:type="character" w:styleId="820">
    <w:name w:val="Footer Char"/>
    <w:link w:val="819"/>
    <w:uiPriority w:val="99"/>
  </w:style>
  <w:style w:type="paragraph" w:styleId="821">
    <w:name w:val="Caption"/>
    <w:basedOn w:val="967"/>
    <w:next w:val="967"/>
    <w:uiPriority w:val="35"/>
    <w:semiHidden/>
    <w:unhideWhenUsed/>
    <w:qFormat/>
    <w:pPr>
      <w:spacing w:line="276" w:lineRule="auto"/>
    </w:pPr>
    <w:rPr>
      <w:b/>
      <w:bCs/>
      <w:color w:val="4f81bd" w:themeColor="accent1"/>
      <w:sz w:val="18"/>
      <w:szCs w:val="18"/>
    </w:rPr>
  </w:style>
  <w:style w:type="character" w:styleId="822">
    <w:name w:val="Caption Char"/>
    <w:basedOn w:val="821"/>
    <w:link w:val="819"/>
    <w:uiPriority w:val="99"/>
  </w:style>
  <w:style w:type="table" w:styleId="8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9">
    <w:name w:val="Hyperlink"/>
    <w:uiPriority w:val="99"/>
    <w:unhideWhenUsed/>
    <w:rPr>
      <w:color w:val="0000ff" w:themeColor="hyperlink"/>
      <w:u w:val="single"/>
    </w:rPr>
  </w:style>
  <w:style w:type="paragraph" w:styleId="950">
    <w:name w:val="footnote text"/>
    <w:basedOn w:val="967"/>
    <w:link w:val="951"/>
    <w:uiPriority w:val="99"/>
    <w:semiHidden/>
    <w:unhideWhenUsed/>
    <w:pPr>
      <w:spacing w:after="40" w:line="240" w:lineRule="auto"/>
    </w:pPr>
    <w:rPr>
      <w:sz w:val="18"/>
    </w:rPr>
  </w:style>
  <w:style w:type="character" w:styleId="951">
    <w:name w:val="Footnote Text Char"/>
    <w:link w:val="950"/>
    <w:uiPriority w:val="99"/>
    <w:rPr>
      <w:sz w:val="18"/>
    </w:rPr>
  </w:style>
  <w:style w:type="character" w:styleId="952">
    <w:name w:val="footnote reference"/>
    <w:uiPriority w:val="99"/>
    <w:unhideWhenUsed/>
    <w:rPr>
      <w:vertAlign w:val="superscript"/>
    </w:rPr>
  </w:style>
  <w:style w:type="paragraph" w:styleId="953">
    <w:name w:val="endnote text"/>
    <w:basedOn w:val="967"/>
    <w:link w:val="954"/>
    <w:uiPriority w:val="99"/>
    <w:semiHidden/>
    <w:unhideWhenUsed/>
    <w:pPr>
      <w:spacing w:after="0" w:line="240" w:lineRule="auto"/>
    </w:pPr>
    <w:rPr>
      <w:sz w:val="20"/>
    </w:rPr>
  </w:style>
  <w:style w:type="character" w:styleId="954">
    <w:name w:val="Endnote Text Char"/>
    <w:link w:val="953"/>
    <w:uiPriority w:val="99"/>
    <w:rPr>
      <w:sz w:val="20"/>
    </w:rPr>
  </w:style>
  <w:style w:type="character" w:styleId="955">
    <w:name w:val="endnote reference"/>
    <w:uiPriority w:val="99"/>
    <w:semiHidden/>
    <w:unhideWhenUsed/>
    <w:rPr>
      <w:vertAlign w:val="superscript"/>
    </w:rPr>
  </w:style>
  <w:style w:type="paragraph" w:styleId="956">
    <w:name w:val="toc 1"/>
    <w:basedOn w:val="967"/>
    <w:next w:val="967"/>
    <w:uiPriority w:val="39"/>
    <w:unhideWhenUsed/>
    <w:pPr>
      <w:ind w:left="0" w:right="0" w:firstLine="0"/>
      <w:spacing w:after="57"/>
    </w:pPr>
  </w:style>
  <w:style w:type="paragraph" w:styleId="957">
    <w:name w:val="toc 2"/>
    <w:basedOn w:val="967"/>
    <w:next w:val="967"/>
    <w:uiPriority w:val="39"/>
    <w:unhideWhenUsed/>
    <w:pPr>
      <w:ind w:left="283" w:right="0" w:firstLine="0"/>
      <w:spacing w:after="57"/>
    </w:pPr>
  </w:style>
  <w:style w:type="paragraph" w:styleId="958">
    <w:name w:val="toc 3"/>
    <w:basedOn w:val="967"/>
    <w:next w:val="967"/>
    <w:uiPriority w:val="39"/>
    <w:unhideWhenUsed/>
    <w:pPr>
      <w:ind w:left="567" w:right="0" w:firstLine="0"/>
      <w:spacing w:after="57"/>
    </w:pPr>
  </w:style>
  <w:style w:type="paragraph" w:styleId="959">
    <w:name w:val="toc 4"/>
    <w:basedOn w:val="967"/>
    <w:next w:val="967"/>
    <w:uiPriority w:val="39"/>
    <w:unhideWhenUsed/>
    <w:pPr>
      <w:ind w:left="850" w:right="0" w:firstLine="0"/>
      <w:spacing w:after="57"/>
    </w:pPr>
  </w:style>
  <w:style w:type="paragraph" w:styleId="960">
    <w:name w:val="toc 5"/>
    <w:basedOn w:val="967"/>
    <w:next w:val="967"/>
    <w:uiPriority w:val="39"/>
    <w:unhideWhenUsed/>
    <w:pPr>
      <w:ind w:left="1134" w:right="0" w:firstLine="0"/>
      <w:spacing w:after="57"/>
    </w:pPr>
  </w:style>
  <w:style w:type="paragraph" w:styleId="961">
    <w:name w:val="toc 6"/>
    <w:basedOn w:val="967"/>
    <w:next w:val="967"/>
    <w:uiPriority w:val="39"/>
    <w:unhideWhenUsed/>
    <w:pPr>
      <w:ind w:left="1417" w:right="0" w:firstLine="0"/>
      <w:spacing w:after="57"/>
    </w:pPr>
  </w:style>
  <w:style w:type="paragraph" w:styleId="962">
    <w:name w:val="toc 7"/>
    <w:basedOn w:val="967"/>
    <w:next w:val="967"/>
    <w:uiPriority w:val="39"/>
    <w:unhideWhenUsed/>
    <w:pPr>
      <w:ind w:left="1701" w:right="0" w:firstLine="0"/>
      <w:spacing w:after="57"/>
    </w:pPr>
  </w:style>
  <w:style w:type="paragraph" w:styleId="963">
    <w:name w:val="toc 8"/>
    <w:basedOn w:val="967"/>
    <w:next w:val="967"/>
    <w:uiPriority w:val="39"/>
    <w:unhideWhenUsed/>
    <w:pPr>
      <w:ind w:left="1984" w:right="0" w:firstLine="0"/>
      <w:spacing w:after="57"/>
    </w:pPr>
  </w:style>
  <w:style w:type="paragraph" w:styleId="964">
    <w:name w:val="toc 9"/>
    <w:basedOn w:val="967"/>
    <w:next w:val="967"/>
    <w:uiPriority w:val="39"/>
    <w:unhideWhenUsed/>
    <w:pPr>
      <w:ind w:left="2268" w:right="0" w:firstLine="0"/>
      <w:spacing w:after="57"/>
    </w:pPr>
  </w:style>
  <w:style w:type="paragraph" w:styleId="965">
    <w:name w:val="TOC Heading"/>
    <w:uiPriority w:val="39"/>
    <w:unhideWhenUsed/>
  </w:style>
  <w:style w:type="paragraph" w:styleId="966">
    <w:name w:val="table of figures"/>
    <w:basedOn w:val="967"/>
    <w:next w:val="967"/>
    <w:uiPriority w:val="99"/>
    <w:unhideWhenUsed/>
    <w:pPr>
      <w:spacing w:after="0" w:afterAutospacing="0"/>
    </w:pPr>
  </w:style>
  <w:style w:type="paragraph" w:styleId="967" w:default="1">
    <w:name w:val="Normal"/>
    <w:next w:val="967"/>
    <w:link w:val="967"/>
    <w:qFormat/>
    <w:pPr>
      <w:jc w:val="both"/>
      <w:widowControl w:val="off"/>
    </w:pPr>
    <w:rPr>
      <w:sz w:val="21"/>
      <w:szCs w:val="21"/>
      <w:lang w:val="en-US" w:eastAsia="zh-CN" w:bidi="ar-SA"/>
    </w:rPr>
  </w:style>
  <w:style w:type="paragraph" w:styleId="968">
    <w:name w:val="标题 1"/>
    <w:basedOn w:val="967"/>
    <w:next w:val="967"/>
    <w:link w:val="979"/>
    <w:qFormat/>
    <w:pPr>
      <w:jc w:val="center"/>
      <w:keepNext/>
      <w:outlineLvl w:val="0"/>
    </w:pPr>
    <w:rPr>
      <w:rFonts w:ascii="方正仿宋_GB2312" w:eastAsia="方正仿宋_GB2312"/>
      <w:sz w:val="28"/>
      <w:szCs w:val="28"/>
    </w:rPr>
  </w:style>
  <w:style w:type="paragraph" w:styleId="969">
    <w:name w:val="标题 2"/>
    <w:basedOn w:val="967"/>
    <w:next w:val="981"/>
    <w:link w:val="980"/>
    <w:qFormat/>
    <w:pPr>
      <w:jc w:val="center"/>
      <w:keepLines/>
      <w:keepNext/>
      <w:spacing w:before="260" w:after="260" w:line="416" w:lineRule="auto"/>
      <w:outlineLvl w:val="1"/>
    </w:pPr>
    <w:rPr>
      <w:rFonts w:ascii="Arial" w:hAnsi="Arial" w:eastAsia="幼圆"/>
      <w:b/>
      <w:bCs/>
      <w:sz w:val="44"/>
      <w:szCs w:val="44"/>
    </w:rPr>
  </w:style>
  <w:style w:type="paragraph" w:styleId="970">
    <w:name w:val="标题 3"/>
    <w:basedOn w:val="967"/>
    <w:next w:val="981"/>
    <w:link w:val="983"/>
    <w:qFormat/>
    <w:pPr>
      <w:keepLines/>
      <w:keepNext/>
      <w:spacing w:before="260" w:after="260" w:line="416" w:lineRule="auto"/>
      <w:outlineLvl w:val="2"/>
    </w:pPr>
    <w:rPr>
      <w:b/>
      <w:bCs/>
      <w:sz w:val="32"/>
      <w:szCs w:val="32"/>
    </w:rPr>
  </w:style>
  <w:style w:type="paragraph" w:styleId="971">
    <w:name w:val="标题 4"/>
    <w:basedOn w:val="967"/>
    <w:next w:val="981"/>
    <w:link w:val="984"/>
    <w:qFormat/>
    <w:pPr>
      <w:keepLines/>
      <w:keepNext/>
      <w:spacing w:before="280" w:after="290" w:line="376" w:lineRule="auto"/>
      <w:outlineLvl w:val="3"/>
    </w:pPr>
    <w:rPr>
      <w:rFonts w:ascii="Arial" w:hAnsi="Arial" w:eastAsia="黑体"/>
      <w:b/>
      <w:bCs/>
      <w:sz w:val="28"/>
      <w:szCs w:val="28"/>
    </w:rPr>
  </w:style>
  <w:style w:type="paragraph" w:styleId="972">
    <w:name w:val="标题 5"/>
    <w:basedOn w:val="967"/>
    <w:next w:val="981"/>
    <w:link w:val="985"/>
    <w:qFormat/>
    <w:pPr>
      <w:keepNext/>
      <w:outlineLvl w:val="4"/>
    </w:pPr>
    <w:rPr>
      <w:rFonts w:ascii="宋体"/>
      <w:color w:val="000000"/>
      <w:sz w:val="28"/>
      <w:szCs w:val="28"/>
    </w:rPr>
  </w:style>
  <w:style w:type="paragraph" w:styleId="973">
    <w:name w:val="标题 6"/>
    <w:basedOn w:val="967"/>
    <w:next w:val="967"/>
    <w:link w:val="986"/>
    <w:qFormat/>
    <w:pPr>
      <w:numPr>
        <w:ilvl w:val="5"/>
        <w:numId w:val="1"/>
      </w:numPr>
      <w:keepLines/>
      <w:keepNext/>
      <w:spacing w:before="240" w:after="64" w:line="320" w:lineRule="auto"/>
      <w:outlineLvl w:val="5"/>
    </w:pPr>
    <w:rPr>
      <w:rFonts w:ascii="Arial" w:hAnsi="Arial" w:eastAsia="黑体"/>
      <w:b/>
      <w:bCs/>
      <w:sz w:val="24"/>
      <w:szCs w:val="24"/>
    </w:rPr>
  </w:style>
  <w:style w:type="paragraph" w:styleId="974">
    <w:name w:val="标题 7"/>
    <w:basedOn w:val="967"/>
    <w:next w:val="967"/>
    <w:link w:val="987"/>
    <w:qFormat/>
    <w:pPr>
      <w:numPr>
        <w:ilvl w:val="6"/>
        <w:numId w:val="1"/>
      </w:numPr>
      <w:keepLines/>
      <w:keepNext/>
      <w:spacing w:before="240" w:after="64" w:line="320" w:lineRule="auto"/>
      <w:outlineLvl w:val="6"/>
    </w:pPr>
    <w:rPr>
      <w:b/>
      <w:bCs/>
      <w:sz w:val="24"/>
      <w:szCs w:val="24"/>
    </w:rPr>
  </w:style>
  <w:style w:type="paragraph" w:styleId="975">
    <w:name w:val="标题 8"/>
    <w:basedOn w:val="967"/>
    <w:next w:val="967"/>
    <w:link w:val="988"/>
    <w:qFormat/>
    <w:pPr>
      <w:numPr>
        <w:ilvl w:val="7"/>
        <w:numId w:val="1"/>
      </w:numPr>
      <w:keepLines/>
      <w:keepNext/>
      <w:spacing w:before="240" w:after="64" w:line="320" w:lineRule="auto"/>
      <w:outlineLvl w:val="7"/>
    </w:pPr>
    <w:rPr>
      <w:rFonts w:ascii="Arial" w:hAnsi="Arial" w:eastAsia="黑体"/>
      <w:sz w:val="24"/>
      <w:szCs w:val="24"/>
    </w:rPr>
  </w:style>
  <w:style w:type="paragraph" w:styleId="976">
    <w:name w:val="标题 9"/>
    <w:basedOn w:val="967"/>
    <w:next w:val="967"/>
    <w:link w:val="989"/>
    <w:qFormat/>
    <w:pPr>
      <w:numPr>
        <w:ilvl w:val="8"/>
        <w:numId w:val="1"/>
      </w:numPr>
      <w:keepLines/>
      <w:keepNext/>
      <w:spacing w:before="240" w:after="64" w:line="320" w:lineRule="auto"/>
      <w:outlineLvl w:val="8"/>
    </w:pPr>
    <w:rPr>
      <w:rFonts w:ascii="Arial" w:hAnsi="Arial" w:eastAsia="黑体"/>
      <w:sz w:val="20"/>
    </w:rPr>
  </w:style>
  <w:style w:type="character" w:styleId="977">
    <w:name w:val="默认段落字体"/>
    <w:next w:val="977"/>
    <w:link w:val="967"/>
    <w:uiPriority w:val="1"/>
    <w:unhideWhenUsed/>
  </w:style>
  <w:style w:type="table" w:styleId="978">
    <w:name w:val="普通表格"/>
    <w:next w:val="978"/>
    <w:link w:val="967"/>
    <w:uiPriority w:val="99"/>
    <w:unhideWhenUsed/>
    <w:tblPr/>
  </w:style>
  <w:style w:type="character" w:styleId="979">
    <w:name w:val="标题 1 字符"/>
    <w:next w:val="979"/>
    <w:link w:val="968"/>
    <w:rPr>
      <w:rFonts w:ascii="方正仿宋_GB2312" w:hAnsi="Times New Roman" w:eastAsia="方正仿宋_GB2312" w:cs="Times New Roman"/>
      <w:sz w:val="28"/>
      <w:szCs w:val="28"/>
    </w:rPr>
  </w:style>
  <w:style w:type="character" w:styleId="980">
    <w:name w:val="标题 2 字符"/>
    <w:next w:val="980"/>
    <w:link w:val="969"/>
    <w:rPr>
      <w:rFonts w:ascii="Arial" w:hAnsi="Arial" w:eastAsia="幼圆" w:cs="Arial"/>
      <w:b/>
      <w:bCs/>
      <w:sz w:val="44"/>
      <w:szCs w:val="44"/>
    </w:rPr>
  </w:style>
  <w:style w:type="paragraph" w:styleId="981">
    <w:name w:val="正文缩进"/>
    <w:basedOn w:val="967"/>
    <w:next w:val="981"/>
    <w:link w:val="982"/>
    <w:pPr>
      <w:ind w:firstLine="420"/>
    </w:pPr>
    <w:rPr>
      <w:sz w:val="20"/>
    </w:rPr>
  </w:style>
  <w:style w:type="character" w:styleId="982">
    <w:name w:val="正文缩进 字符"/>
    <w:next w:val="982"/>
    <w:link w:val="981"/>
    <w:rPr>
      <w:rFonts w:ascii="Times New Roman" w:hAnsi="Times New Roman" w:eastAsia="宋体" w:cs="Times New Roman"/>
      <w:szCs w:val="21"/>
    </w:rPr>
  </w:style>
  <w:style w:type="character" w:styleId="983">
    <w:name w:val="标题 3 字符"/>
    <w:next w:val="983"/>
    <w:link w:val="970"/>
    <w:rPr>
      <w:rFonts w:ascii="Times New Roman" w:hAnsi="Times New Roman" w:eastAsia="宋体" w:cs="Times New Roman"/>
      <w:b/>
      <w:bCs/>
      <w:sz w:val="32"/>
      <w:szCs w:val="32"/>
    </w:rPr>
  </w:style>
  <w:style w:type="character" w:styleId="984">
    <w:name w:val="标题 4 字符"/>
    <w:next w:val="984"/>
    <w:link w:val="971"/>
    <w:rPr>
      <w:rFonts w:ascii="Arial" w:hAnsi="Arial" w:eastAsia="黑体" w:cs="Arial"/>
      <w:b/>
      <w:bCs/>
      <w:sz w:val="28"/>
      <w:szCs w:val="28"/>
    </w:rPr>
  </w:style>
  <w:style w:type="character" w:styleId="985">
    <w:name w:val="标题 5 字符"/>
    <w:next w:val="985"/>
    <w:link w:val="972"/>
    <w:rPr>
      <w:rFonts w:ascii="宋体" w:hAnsi="Times New Roman" w:eastAsia="宋体" w:cs="Times New Roman"/>
      <w:color w:val="000000"/>
      <w:sz w:val="28"/>
      <w:szCs w:val="28"/>
    </w:rPr>
  </w:style>
  <w:style w:type="character" w:styleId="986">
    <w:name w:val="标题 6 字符"/>
    <w:next w:val="986"/>
    <w:link w:val="973"/>
    <w:rPr>
      <w:rFonts w:ascii="Arial" w:hAnsi="Arial" w:eastAsia="黑体" w:cs="Times New Roman"/>
      <w:b/>
      <w:bCs/>
      <w:sz w:val="24"/>
      <w:szCs w:val="24"/>
    </w:rPr>
  </w:style>
  <w:style w:type="character" w:styleId="987">
    <w:name w:val="标题 7 字符"/>
    <w:next w:val="987"/>
    <w:link w:val="974"/>
    <w:rPr>
      <w:rFonts w:ascii="Times New Roman" w:hAnsi="Times New Roman" w:eastAsia="宋体" w:cs="Times New Roman"/>
      <w:b/>
      <w:bCs/>
      <w:sz w:val="24"/>
      <w:szCs w:val="24"/>
    </w:rPr>
  </w:style>
  <w:style w:type="character" w:styleId="988">
    <w:name w:val="标题 8 字符"/>
    <w:next w:val="988"/>
    <w:link w:val="975"/>
    <w:rPr>
      <w:rFonts w:ascii="Arial" w:hAnsi="Arial" w:eastAsia="黑体" w:cs="Times New Roman"/>
      <w:sz w:val="24"/>
      <w:szCs w:val="24"/>
    </w:rPr>
  </w:style>
  <w:style w:type="character" w:styleId="989">
    <w:name w:val="标题 9 字符"/>
    <w:next w:val="989"/>
    <w:link w:val="976"/>
    <w:rPr>
      <w:rFonts w:ascii="Arial" w:hAnsi="Arial" w:eastAsia="黑体" w:cs="Times New Roman"/>
      <w:szCs w:val="21"/>
    </w:rPr>
  </w:style>
  <w:style w:type="paragraph" w:styleId="990">
    <w:name w:val="列表 3"/>
    <w:basedOn w:val="967"/>
    <w:next w:val="990"/>
    <w:link w:val="967"/>
    <w:pPr>
      <w:ind w:left="100" w:hanging="200"/>
    </w:pPr>
  </w:style>
  <w:style w:type="paragraph" w:styleId="991">
    <w:name w:val="目录 7"/>
    <w:basedOn w:val="967"/>
    <w:next w:val="967"/>
    <w:link w:val="967"/>
    <w:semiHidden/>
    <w:pPr>
      <w:ind w:left="1260"/>
      <w:jc w:val="left"/>
    </w:pPr>
  </w:style>
  <w:style w:type="paragraph" w:styleId="992">
    <w:name w:val="文档结构图"/>
    <w:basedOn w:val="967"/>
    <w:next w:val="992"/>
    <w:link w:val="993"/>
    <w:semiHidden/>
    <w:pPr>
      <w:shd w:val="clear" w:color="auto" w:fill="000080"/>
    </w:pPr>
    <w:rPr>
      <w:sz w:val="20"/>
    </w:rPr>
  </w:style>
  <w:style w:type="character" w:styleId="993">
    <w:name w:val="文档结构图 字符"/>
    <w:next w:val="993"/>
    <w:link w:val="992"/>
    <w:semiHidden/>
    <w:rPr>
      <w:rFonts w:ascii="Times New Roman" w:hAnsi="Times New Roman" w:eastAsia="宋体" w:cs="Times New Roman"/>
      <w:szCs w:val="21"/>
      <w:shd w:val="clear" w:color="auto" w:fill="000080"/>
    </w:rPr>
  </w:style>
  <w:style w:type="paragraph" w:styleId="994">
    <w:name w:val="引文目录标题"/>
    <w:basedOn w:val="967"/>
    <w:next w:val="967"/>
    <w:link w:val="967"/>
    <w:uiPriority w:val="99"/>
    <w:unhideWhenUsed/>
    <w:qFormat/>
    <w:pPr>
      <w:spacing w:before="120"/>
    </w:pPr>
    <w:rPr>
      <w:rFonts w:ascii="Cambria" w:hAnsi="Cambria"/>
      <w:szCs w:val="24"/>
    </w:rPr>
  </w:style>
  <w:style w:type="paragraph" w:styleId="995">
    <w:name w:val="批注文字"/>
    <w:basedOn w:val="967"/>
    <w:next w:val="995"/>
    <w:link w:val="996"/>
    <w:semiHidden/>
    <w:pPr>
      <w:jc w:val="left"/>
    </w:pPr>
    <w:rPr>
      <w:sz w:val="20"/>
    </w:rPr>
  </w:style>
  <w:style w:type="character" w:styleId="996">
    <w:name w:val="批注文字 字符"/>
    <w:next w:val="996"/>
    <w:link w:val="995"/>
    <w:semiHidden/>
    <w:rPr>
      <w:rFonts w:ascii="Times New Roman" w:hAnsi="Times New Roman" w:eastAsia="宋体" w:cs="Times New Roman"/>
      <w:szCs w:val="21"/>
    </w:rPr>
  </w:style>
  <w:style w:type="paragraph" w:styleId="997">
    <w:name w:val="正文文本 3"/>
    <w:basedOn w:val="967"/>
    <w:next w:val="997"/>
    <w:link w:val="998"/>
    <w:rPr>
      <w:rFonts w:ascii="方正仿宋_GB2312" w:hAnsi="Arial" w:eastAsia="方正仿宋_GB2312"/>
      <w:sz w:val="32"/>
      <w:szCs w:val="32"/>
    </w:rPr>
  </w:style>
  <w:style w:type="character" w:styleId="998">
    <w:name w:val="正文文本 3 字符"/>
    <w:next w:val="998"/>
    <w:link w:val="997"/>
    <w:rPr>
      <w:rFonts w:ascii="方正仿宋_GB2312" w:hAnsi="Arial" w:eastAsia="方正仿宋_GB2312" w:cs="Times New Roman"/>
      <w:sz w:val="32"/>
      <w:szCs w:val="32"/>
    </w:rPr>
  </w:style>
  <w:style w:type="paragraph" w:styleId="999">
    <w:name w:val="正文文本"/>
    <w:basedOn w:val="967"/>
    <w:next w:val="967"/>
    <w:link w:val="1000"/>
    <w:rPr>
      <w:rFonts w:ascii="方正仿宋_GB2312" w:hAnsi="Arial" w:eastAsia="方正仿宋_GB2312"/>
      <w:sz w:val="28"/>
      <w:szCs w:val="28"/>
    </w:rPr>
  </w:style>
  <w:style w:type="character" w:styleId="1000">
    <w:name w:val="正文文本 字符"/>
    <w:next w:val="1000"/>
    <w:link w:val="999"/>
    <w:rPr>
      <w:rFonts w:ascii="方正仿宋_GB2312" w:hAnsi="Arial" w:eastAsia="方正仿宋_GB2312" w:cs="Times New Roman"/>
      <w:sz w:val="28"/>
      <w:szCs w:val="28"/>
    </w:rPr>
  </w:style>
  <w:style w:type="paragraph" w:styleId="1001">
    <w:name w:val="正文文本缩进"/>
    <w:basedOn w:val="967"/>
    <w:next w:val="1003"/>
    <w:link w:val="1002"/>
    <w:pPr>
      <w:ind w:firstLine="645"/>
    </w:pPr>
    <w:rPr>
      <w:rFonts w:ascii="方正仿宋_GB2312" w:eastAsia="方正仿宋_GB2312"/>
      <w:sz w:val="32"/>
      <w:szCs w:val="32"/>
    </w:rPr>
  </w:style>
  <w:style w:type="character" w:styleId="1002">
    <w:name w:val="正文文本缩进 字符"/>
    <w:next w:val="1002"/>
    <w:link w:val="1001"/>
    <w:rPr>
      <w:rFonts w:ascii="方正仿宋_GB2312" w:hAnsi="Times New Roman" w:eastAsia="方正仿宋_GB2312" w:cs="Times New Roman"/>
      <w:sz w:val="32"/>
      <w:szCs w:val="32"/>
    </w:rPr>
  </w:style>
  <w:style w:type="paragraph" w:styleId="1003">
    <w:name w:val="寄信人地址"/>
    <w:basedOn w:val="967"/>
    <w:next w:val="1003"/>
    <w:link w:val="967"/>
    <w:uiPriority w:val="99"/>
    <w:unhideWhenUsed/>
    <w:qFormat/>
    <w:rPr>
      <w:rFonts w:ascii="Arial" w:hAnsi="Arial"/>
    </w:rPr>
  </w:style>
  <w:style w:type="paragraph" w:styleId="1004">
    <w:name w:val="列表 2"/>
    <w:basedOn w:val="967"/>
    <w:next w:val="1004"/>
    <w:link w:val="967"/>
    <w:pPr>
      <w:ind w:left="100" w:hanging="200"/>
    </w:pPr>
  </w:style>
  <w:style w:type="paragraph" w:styleId="1005">
    <w:name w:val="目录 5"/>
    <w:basedOn w:val="967"/>
    <w:next w:val="967"/>
    <w:link w:val="967"/>
    <w:semiHidden/>
    <w:pPr>
      <w:ind w:left="840"/>
      <w:jc w:val="left"/>
    </w:pPr>
  </w:style>
  <w:style w:type="paragraph" w:styleId="1006">
    <w:name w:val="目录 3"/>
    <w:basedOn w:val="967"/>
    <w:next w:val="967"/>
    <w:link w:val="967"/>
    <w:semiHidden/>
    <w:pPr>
      <w:ind w:left="420"/>
      <w:jc w:val="left"/>
    </w:pPr>
    <w:rPr>
      <w:i/>
      <w:iCs/>
      <w:szCs w:val="24"/>
    </w:rPr>
  </w:style>
  <w:style w:type="paragraph" w:styleId="1007">
    <w:name w:val="纯文本"/>
    <w:basedOn w:val="967"/>
    <w:next w:val="1007"/>
    <w:link w:val="1008"/>
    <w:rPr>
      <w:rFonts w:ascii="宋体" w:hAnsi="Courier New"/>
      <w:sz w:val="20"/>
    </w:rPr>
  </w:style>
  <w:style w:type="character" w:styleId="1008">
    <w:name w:val="纯文本 字符"/>
    <w:next w:val="1008"/>
    <w:link w:val="1007"/>
    <w:rPr>
      <w:rFonts w:ascii="宋体" w:hAnsi="Courier New" w:eastAsia="宋体" w:cs="Courier New"/>
      <w:szCs w:val="21"/>
    </w:rPr>
  </w:style>
  <w:style w:type="paragraph" w:styleId="1009">
    <w:name w:val="目录 8"/>
    <w:basedOn w:val="967"/>
    <w:next w:val="967"/>
    <w:link w:val="967"/>
    <w:semiHidden/>
    <w:pPr>
      <w:ind w:left="1470"/>
      <w:jc w:val="left"/>
    </w:pPr>
  </w:style>
  <w:style w:type="paragraph" w:styleId="1010">
    <w:name w:val="日期"/>
    <w:basedOn w:val="967"/>
    <w:next w:val="967"/>
    <w:link w:val="1011"/>
    <w:rPr>
      <w:sz w:val="24"/>
      <w:szCs w:val="24"/>
    </w:rPr>
  </w:style>
  <w:style w:type="character" w:styleId="1011">
    <w:name w:val="日期 字符"/>
    <w:next w:val="1011"/>
    <w:link w:val="1010"/>
    <w:rPr>
      <w:rFonts w:ascii="Times New Roman" w:hAnsi="Times New Roman" w:eastAsia="宋体" w:cs="Times New Roman"/>
      <w:sz w:val="24"/>
      <w:szCs w:val="24"/>
    </w:rPr>
  </w:style>
  <w:style w:type="paragraph" w:styleId="1012">
    <w:name w:val="正文文本缩进 2"/>
    <w:basedOn w:val="967"/>
    <w:next w:val="1012"/>
    <w:link w:val="1013"/>
    <w:pPr>
      <w:ind w:left="630" w:firstLine="645"/>
    </w:pPr>
    <w:rPr>
      <w:rFonts w:ascii="Arial" w:hAnsi="Arial" w:eastAsia="方正仿宋_GB2312"/>
      <w:sz w:val="32"/>
      <w:szCs w:val="32"/>
    </w:rPr>
  </w:style>
  <w:style w:type="character" w:styleId="1013">
    <w:name w:val="正文文本缩进 2 字符"/>
    <w:next w:val="1013"/>
    <w:link w:val="1012"/>
    <w:rPr>
      <w:rFonts w:ascii="Arial" w:hAnsi="Arial" w:eastAsia="方正仿宋_GB2312" w:cs="Arial"/>
      <w:sz w:val="32"/>
      <w:szCs w:val="32"/>
    </w:rPr>
  </w:style>
  <w:style w:type="paragraph" w:styleId="1014">
    <w:name w:val="批注框文本"/>
    <w:basedOn w:val="967"/>
    <w:next w:val="1014"/>
    <w:link w:val="1015"/>
    <w:semiHidden/>
    <w:rPr>
      <w:sz w:val="18"/>
      <w:szCs w:val="18"/>
    </w:rPr>
  </w:style>
  <w:style w:type="character" w:styleId="1015">
    <w:name w:val="批注框文本 字符"/>
    <w:next w:val="1015"/>
    <w:link w:val="1014"/>
    <w:semiHidden/>
    <w:rPr>
      <w:rFonts w:ascii="Times New Roman" w:hAnsi="Times New Roman" w:eastAsia="宋体" w:cs="Times New Roman"/>
      <w:sz w:val="18"/>
      <w:szCs w:val="18"/>
    </w:rPr>
  </w:style>
  <w:style w:type="paragraph" w:styleId="1016">
    <w:name w:val="页脚"/>
    <w:basedOn w:val="967"/>
    <w:next w:val="1016"/>
    <w:link w:val="1017"/>
    <w:uiPriority w:val="99"/>
    <w:pPr>
      <w:jc w:val="left"/>
      <w:tabs>
        <w:tab w:val="center" w:pos="4153" w:leader="none"/>
        <w:tab w:val="right" w:pos="8306" w:leader="none"/>
      </w:tabs>
    </w:pPr>
    <w:rPr>
      <w:sz w:val="18"/>
      <w:szCs w:val="18"/>
    </w:rPr>
  </w:style>
  <w:style w:type="character" w:styleId="1017">
    <w:name w:val="页脚 字符"/>
    <w:next w:val="1017"/>
    <w:link w:val="1016"/>
    <w:uiPriority w:val="99"/>
    <w:rPr>
      <w:rFonts w:ascii="Times New Roman" w:hAnsi="Times New Roman" w:eastAsia="宋体" w:cs="Times New Roman"/>
      <w:sz w:val="18"/>
      <w:szCs w:val="18"/>
    </w:rPr>
  </w:style>
  <w:style w:type="paragraph" w:styleId="1018">
    <w:name w:val="页眉"/>
    <w:basedOn w:val="967"/>
    <w:next w:val="1018"/>
    <w:link w:val="1019"/>
    <w:pPr>
      <w:jc w:val="center"/>
      <w:tabs>
        <w:tab w:val="center" w:pos="4153" w:leader="none"/>
        <w:tab w:val="right" w:pos="8306" w:leader="none"/>
      </w:tabs>
      <w:pBdr>
        <w:bottom w:val="single" w:color="000000" w:sz="6" w:space="1"/>
      </w:pBdr>
    </w:pPr>
    <w:rPr>
      <w:sz w:val="18"/>
      <w:szCs w:val="18"/>
    </w:rPr>
  </w:style>
  <w:style w:type="character" w:styleId="1019">
    <w:name w:val="页眉 字符"/>
    <w:next w:val="1019"/>
    <w:link w:val="1018"/>
    <w:rPr>
      <w:rFonts w:ascii="Times New Roman" w:hAnsi="Times New Roman" w:eastAsia="宋体" w:cs="Times New Roman"/>
      <w:sz w:val="18"/>
      <w:szCs w:val="18"/>
    </w:rPr>
  </w:style>
  <w:style w:type="paragraph" w:styleId="1020">
    <w:name w:val="目录 1"/>
    <w:basedOn w:val="967"/>
    <w:next w:val="967"/>
    <w:link w:val="967"/>
    <w:semiHidden/>
    <w:pPr>
      <w:jc w:val="left"/>
      <w:spacing w:before="120" w:after="120" w:line="400" w:lineRule="exact"/>
      <w:tabs>
        <w:tab w:val="right" w:pos="8720" w:leader="dot"/>
      </w:tabs>
    </w:pPr>
    <w:rPr>
      <w:rFonts w:ascii="宋体" w:hAnsi="宋体"/>
      <w:caps/>
      <w:sz w:val="24"/>
      <w:szCs w:val="24"/>
    </w:rPr>
  </w:style>
  <w:style w:type="paragraph" w:styleId="1021">
    <w:name w:val="目录 4"/>
    <w:basedOn w:val="967"/>
    <w:next w:val="967"/>
    <w:link w:val="967"/>
    <w:semiHidden/>
    <w:pPr>
      <w:ind w:left="630"/>
      <w:jc w:val="left"/>
    </w:pPr>
  </w:style>
  <w:style w:type="paragraph" w:styleId="1022">
    <w:name w:val="列表"/>
    <w:basedOn w:val="967"/>
    <w:next w:val="1022"/>
    <w:link w:val="967"/>
    <w:pPr>
      <w:ind w:left="200" w:hanging="200"/>
    </w:pPr>
  </w:style>
  <w:style w:type="paragraph" w:styleId="1023">
    <w:name w:val="目录 6"/>
    <w:basedOn w:val="967"/>
    <w:next w:val="967"/>
    <w:link w:val="967"/>
    <w:semiHidden/>
    <w:pPr>
      <w:ind w:left="1050"/>
      <w:jc w:val="left"/>
    </w:pPr>
  </w:style>
  <w:style w:type="paragraph" w:styleId="1024">
    <w:name w:val="正文文本缩进 3"/>
    <w:basedOn w:val="967"/>
    <w:next w:val="1024"/>
    <w:link w:val="1025"/>
    <w:pPr>
      <w:ind w:left="645" w:firstLine="645"/>
    </w:pPr>
    <w:rPr>
      <w:rFonts w:ascii="Arial" w:hAnsi="Arial" w:eastAsia="方正仿宋_GB2312"/>
      <w:color w:val="ffff00"/>
      <w:sz w:val="32"/>
      <w:szCs w:val="32"/>
    </w:rPr>
  </w:style>
  <w:style w:type="character" w:styleId="1025">
    <w:name w:val="正文文本缩进 3 字符"/>
    <w:next w:val="1025"/>
    <w:link w:val="1024"/>
    <w:rPr>
      <w:rFonts w:ascii="Arial" w:hAnsi="Arial" w:eastAsia="方正仿宋_GB2312" w:cs="Arial"/>
      <w:color w:val="ffff00"/>
      <w:sz w:val="32"/>
      <w:szCs w:val="32"/>
    </w:rPr>
  </w:style>
  <w:style w:type="paragraph" w:styleId="1026">
    <w:name w:val="图表目录"/>
    <w:basedOn w:val="967"/>
    <w:next w:val="967"/>
    <w:link w:val="967"/>
    <w:semiHidden/>
    <w:pPr>
      <w:ind w:left="840" w:hanging="420"/>
    </w:pPr>
  </w:style>
  <w:style w:type="paragraph" w:styleId="1027">
    <w:name w:val="目录 2"/>
    <w:basedOn w:val="967"/>
    <w:next w:val="967"/>
    <w:link w:val="967"/>
    <w:semiHidden/>
    <w:pPr>
      <w:ind w:left="210"/>
      <w:jc w:val="left"/>
    </w:pPr>
    <w:rPr>
      <w:smallCaps/>
      <w:szCs w:val="24"/>
    </w:rPr>
  </w:style>
  <w:style w:type="paragraph" w:styleId="1028">
    <w:name w:val="目录 9"/>
    <w:basedOn w:val="967"/>
    <w:next w:val="967"/>
    <w:link w:val="967"/>
    <w:semiHidden/>
    <w:pPr>
      <w:ind w:left="1680"/>
      <w:jc w:val="left"/>
    </w:pPr>
  </w:style>
  <w:style w:type="paragraph" w:styleId="1029">
    <w:name w:val="正文文本 2"/>
    <w:basedOn w:val="967"/>
    <w:next w:val="1029"/>
    <w:link w:val="1030"/>
    <w:pPr>
      <w:jc w:val="center"/>
      <w:widowControl/>
    </w:pPr>
    <w:rPr>
      <w:rFonts w:ascii="方正仿宋_GB2312" w:eastAsia="方正仿宋_GB2312"/>
      <w:sz w:val="28"/>
      <w:szCs w:val="28"/>
    </w:rPr>
  </w:style>
  <w:style w:type="character" w:styleId="1030">
    <w:name w:val="正文文本 2 字符"/>
    <w:next w:val="1030"/>
    <w:link w:val="1029"/>
    <w:rPr>
      <w:rFonts w:ascii="方正仿宋_GB2312" w:hAnsi="Times New Roman" w:eastAsia="方正仿宋_GB2312" w:cs="Times New Roman"/>
      <w:sz w:val="28"/>
      <w:szCs w:val="28"/>
    </w:rPr>
  </w:style>
  <w:style w:type="paragraph" w:styleId="1031">
    <w:name w:val="普通(网站)"/>
    <w:basedOn w:val="967"/>
    <w:next w:val="1031"/>
    <w:link w:val="967"/>
    <w:uiPriority w:val="99"/>
    <w:pPr>
      <w:jc w:val="left"/>
      <w:spacing w:before="100" w:beforeAutospacing="1" w:after="100" w:afterAutospacing="1"/>
      <w:widowControl/>
    </w:pPr>
    <w:rPr>
      <w:rFonts w:ascii="宋体" w:hAnsi="宋体" w:cs="宋体"/>
      <w:sz w:val="24"/>
      <w:szCs w:val="24"/>
    </w:rPr>
  </w:style>
  <w:style w:type="paragraph" w:styleId="1032">
    <w:name w:val="索引 1"/>
    <w:basedOn w:val="967"/>
    <w:next w:val="967"/>
    <w:link w:val="967"/>
    <w:semiHidden/>
    <w:pPr>
      <w:spacing w:line="240" w:lineRule="atLeast"/>
    </w:pPr>
    <w:rPr>
      <w:b/>
      <w:bCs/>
    </w:rPr>
  </w:style>
  <w:style w:type="paragraph" w:styleId="1033">
    <w:name w:val="批注主题"/>
    <w:basedOn w:val="995"/>
    <w:next w:val="995"/>
    <w:link w:val="1034"/>
    <w:semiHidden/>
    <w:rPr>
      <w:b/>
      <w:bCs/>
    </w:rPr>
  </w:style>
  <w:style w:type="character" w:styleId="1034">
    <w:name w:val="批注主题 字符"/>
    <w:next w:val="1034"/>
    <w:link w:val="1033"/>
    <w:semiHidden/>
    <w:rPr>
      <w:rFonts w:ascii="Times New Roman" w:hAnsi="Times New Roman" w:eastAsia="宋体" w:cs="Times New Roman"/>
      <w:b/>
      <w:bCs/>
      <w:szCs w:val="21"/>
    </w:rPr>
  </w:style>
  <w:style w:type="paragraph" w:styleId="1035">
    <w:name w:val="正文首行缩进"/>
    <w:basedOn w:val="999"/>
    <w:next w:val="1037"/>
    <w:link w:val="1036"/>
    <w:pPr>
      <w:ind w:firstLine="200"/>
      <w:spacing w:line="360" w:lineRule="auto"/>
    </w:pPr>
    <w:rPr>
      <w:rFonts w:ascii="方正仿宋_GB2312" w:hAnsi="Times New Roman" w:eastAsia="方正仿宋_GB2312"/>
      <w:sz w:val="30"/>
      <w:szCs w:val="30"/>
    </w:rPr>
  </w:style>
  <w:style w:type="character" w:styleId="1036">
    <w:name w:val="正文文本首行缩进 字符"/>
    <w:next w:val="1036"/>
    <w:link w:val="1035"/>
    <w:rPr>
      <w:rFonts w:ascii="方正仿宋_GB2312" w:hAnsi="Times New Roman" w:eastAsia="方正仿宋_GB2312" w:cs="Times New Roman"/>
      <w:sz w:val="30"/>
      <w:szCs w:val="30"/>
    </w:rPr>
  </w:style>
  <w:style w:type="paragraph" w:styleId="1037">
    <w:name w:val="正文首行缩进 2"/>
    <w:basedOn w:val="1001"/>
    <w:next w:val="967"/>
    <w:link w:val="1038"/>
    <w:pPr>
      <w:ind w:firstLine="420"/>
      <w:spacing w:line="360" w:lineRule="auto"/>
    </w:pPr>
    <w:rPr>
      <w:rFonts w:ascii="宋体" w:hAnsi="宋体" w:eastAsia="宋体"/>
      <w:szCs w:val="20"/>
    </w:rPr>
  </w:style>
  <w:style w:type="character" w:styleId="1038">
    <w:name w:val="正文文本首行缩进 2 字符"/>
    <w:next w:val="1038"/>
    <w:link w:val="1037"/>
    <w:rPr>
      <w:rFonts w:ascii="宋体" w:hAnsi="宋体" w:eastAsia="宋体" w:cs="Times New Roman"/>
      <w:sz w:val="32"/>
      <w:szCs w:val="20"/>
    </w:rPr>
  </w:style>
  <w:style w:type="table" w:styleId="1039">
    <w:name w:val="网格型"/>
    <w:basedOn w:val="978"/>
    <w:next w:val="1039"/>
    <w:link w:val="967"/>
    <w:uiPriority w:val="59"/>
    <w:pPr>
      <w:jc w:val="both"/>
      <w:widowControl w:val="off"/>
    </w:pPr>
    <w:rPr>
      <w:rFonts w:ascii="Times New Roman" w:hAnsi="Times New Roman" w:eastAsia="宋体" w:cs="Times New Roman"/>
      <w:sz w:val="20"/>
      <w:szCs w:val="20"/>
    </w:rPr>
    <w:tblPr/>
  </w:style>
  <w:style w:type="character" w:styleId="1040">
    <w:name w:val="要点"/>
    <w:next w:val="1040"/>
    <w:link w:val="967"/>
    <w:qFormat/>
    <w:rPr>
      <w:b/>
      <w:bCs/>
    </w:rPr>
  </w:style>
  <w:style w:type="character" w:styleId="1041">
    <w:name w:val="页码"/>
    <w:next w:val="1041"/>
    <w:link w:val="967"/>
  </w:style>
  <w:style w:type="character" w:styleId="1042">
    <w:name w:val="已访问的超链接"/>
    <w:next w:val="1042"/>
    <w:link w:val="967"/>
    <w:rPr>
      <w:color w:val="800080"/>
      <w:u w:val="single"/>
    </w:rPr>
  </w:style>
  <w:style w:type="character" w:styleId="1043">
    <w:name w:val="超链接"/>
    <w:next w:val="1043"/>
    <w:link w:val="967"/>
    <w:rPr>
      <w:color w:val="0000ff"/>
      <w:u w:val="single"/>
    </w:rPr>
  </w:style>
  <w:style w:type="character" w:styleId="1044">
    <w:name w:val="批注引用"/>
    <w:next w:val="1044"/>
    <w:link w:val="967"/>
    <w:semiHidden/>
    <w:rPr>
      <w:sz w:val="21"/>
      <w:szCs w:val="21"/>
    </w:rPr>
  </w:style>
  <w:style w:type="paragraph" w:styleId="1045">
    <w:name w:val="style4"/>
    <w:basedOn w:val="967"/>
    <w:next w:val="1046"/>
    <w:link w:val="967"/>
    <w:qFormat/>
    <w:pPr>
      <w:spacing w:before="280" w:after="280"/>
      <w:widowControl/>
    </w:pPr>
    <w:rPr>
      <w:rFonts w:ascii="宋体"/>
      <w:sz w:val="18"/>
    </w:rPr>
  </w:style>
  <w:style w:type="paragraph" w:styleId="1046">
    <w:name w:val="2"/>
    <w:next w:val="967"/>
    <w:link w:val="967"/>
    <w:uiPriority w:val="99"/>
    <w:qFormat/>
    <w:pPr>
      <w:jc w:val="both"/>
      <w:widowControl w:val="off"/>
    </w:pPr>
    <w:rPr>
      <w:sz w:val="21"/>
      <w:szCs w:val="21"/>
      <w:lang w:val="en-US" w:eastAsia="zh-CN" w:bidi="ar-SA"/>
    </w:rPr>
  </w:style>
  <w:style w:type="character" w:styleId="1047">
    <w:name w:val="font5 Char"/>
    <w:next w:val="1047"/>
    <w:link w:val="967"/>
    <w:rPr>
      <w:rFonts w:ascii="宋体" w:hAnsi="宋体" w:eastAsia="宋体"/>
      <w:sz w:val="28"/>
      <w:szCs w:val="28"/>
      <w:lang w:val="en-US" w:eastAsia="zh-CN" w:bidi="ar-SA"/>
    </w:rPr>
  </w:style>
  <w:style w:type="character" w:styleId="1048">
    <w:name w:val="二级目录 Char"/>
    <w:next w:val="1048"/>
    <w:link w:val="1049"/>
    <w:rPr>
      <w:b/>
      <w:sz w:val="30"/>
      <w:szCs w:val="28"/>
      <w:lang w:val="en-US" w:eastAsia="zh-CN" w:bidi="ar-SA"/>
    </w:rPr>
  </w:style>
  <w:style w:type="paragraph" w:styleId="1049">
    <w:name w:val="二级目录"/>
    <w:next w:val="967"/>
    <w:link w:val="1048"/>
    <w:pPr>
      <w:numPr>
        <w:ilvl w:val="0"/>
        <w:numId w:val="2"/>
      </w:numPr>
      <w:tabs>
        <w:tab w:val="left" w:pos="907" w:leader="none"/>
        <w:tab w:val="left" w:pos="1145" w:leader="none"/>
      </w:tabs>
      <w:outlineLvl w:val="1"/>
    </w:pPr>
    <w:rPr>
      <w:b/>
      <w:sz w:val="30"/>
      <w:szCs w:val="28"/>
      <w:lang w:val="en-US" w:eastAsia="zh-CN" w:bidi="ar-SA"/>
    </w:rPr>
  </w:style>
  <w:style w:type="character" w:styleId="1050">
    <w:name w:val="列出段落 Char,Bullet List Char,numbered Char,FooterText Char,List Paragraph1 Char,Paragraphe de liste1 Char"/>
    <w:next w:val="1050"/>
    <w:link w:val="1051"/>
    <w:rPr>
      <w:rFonts w:ascii="Calibri" w:hAnsi="Calibri"/>
      <w:sz w:val="24"/>
      <w:szCs w:val="24"/>
      <w:lang w:eastAsia="en-US" w:bidi="en-US"/>
    </w:rPr>
  </w:style>
  <w:style w:type="paragraph" w:styleId="1051">
    <w:name w:val="列出段落1"/>
    <w:basedOn w:val="967"/>
    <w:next w:val="1051"/>
    <w:link w:val="1050"/>
    <w:qFormat/>
    <w:pPr>
      <w:contextualSpacing/>
      <w:ind w:left="720"/>
      <w:jc w:val="left"/>
      <w:widowControl/>
    </w:pPr>
    <w:rPr>
      <w:rFonts w:ascii="Calibri" w:hAnsi="Calibri"/>
      <w:sz w:val="24"/>
      <w:szCs w:val="24"/>
      <w:lang w:eastAsia="en-US" w:bidi="en-US"/>
    </w:rPr>
  </w:style>
  <w:style w:type="paragraph" w:styleId="1052">
    <w:name w:val="Body Text(ch)"/>
    <w:basedOn w:val="967"/>
    <w:next w:val="999"/>
    <w:link w:val="967"/>
    <w:pPr>
      <w:spacing w:after="120"/>
    </w:pPr>
    <w:rPr>
      <w:rFonts w:ascii="宋体" w:hAnsi="Arial"/>
      <w:bCs/>
      <w:iCs/>
      <w:szCs w:val="24"/>
    </w:rPr>
  </w:style>
  <w:style w:type="paragraph" w:styleId="1053">
    <w:name w:val="xl27"/>
    <w:basedOn w:val="967"/>
    <w:next w:val="1053"/>
    <w:link w:val="9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4">
    <w:name w:val="xl26"/>
    <w:basedOn w:val="967"/>
    <w:next w:val="1054"/>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5">
    <w:name w:val="Char"/>
    <w:basedOn w:val="967"/>
    <w:next w:val="1055"/>
    <w:link w:val="967"/>
    <w:pPr>
      <w:ind w:firstLine="200"/>
      <w:tabs>
        <w:tab w:val="left" w:pos="360" w:leader="none"/>
      </w:tabs>
    </w:pPr>
    <w:rPr>
      <w:sz w:val="28"/>
      <w:szCs w:val="30"/>
    </w:rPr>
  </w:style>
  <w:style w:type="paragraph" w:styleId="1056">
    <w:name w:val=" Char"/>
    <w:basedOn w:val="992"/>
    <w:next w:val="1056"/>
    <w:link w:val="967"/>
    <w:rPr>
      <w:rFonts w:ascii="Tahoma" w:hAnsi="Tahoma"/>
      <w:sz w:val="24"/>
      <w:szCs w:val="24"/>
    </w:rPr>
  </w:style>
  <w:style w:type="paragraph" w:styleId="1057">
    <w:name w:val="普通正文"/>
    <w:basedOn w:val="967"/>
    <w:next w:val="1057"/>
    <w:link w:val="967"/>
    <w:pPr>
      <w:ind w:firstLine="480"/>
      <w:jc w:val="left"/>
      <w:spacing w:before="120" w:after="120" w:line="360" w:lineRule="auto"/>
    </w:pPr>
    <w:rPr>
      <w:rFonts w:ascii="Arial" w:hAnsi="Arial"/>
      <w:sz w:val="24"/>
      <w:szCs w:val="24"/>
    </w:rPr>
  </w:style>
  <w:style w:type="paragraph" w:styleId="1058">
    <w:name w:val="table_lines"/>
    <w:basedOn w:val="967"/>
    <w:next w:val="1058"/>
    <w:link w:val="967"/>
    <w:pPr>
      <w:jc w:val="left"/>
      <w:widowControl/>
    </w:pPr>
    <w:rPr>
      <w:sz w:val="20"/>
      <w:szCs w:val="20"/>
      <w:lang w:val="de-DE" w:eastAsia="de-DE"/>
    </w:rPr>
  </w:style>
  <w:style w:type="paragraph" w:styleId="1059">
    <w:name w:val="附录1"/>
    <w:next w:val="1059"/>
    <w:link w:val="967"/>
    <w:pPr>
      <w:numPr>
        <w:ilvl w:val="0"/>
        <w:numId w:val="2"/>
      </w:numPr>
      <w:spacing w:before="240" w:line="600" w:lineRule="atLeast"/>
      <w:tabs>
        <w:tab w:val="left" w:pos="907" w:leader="none"/>
      </w:tabs>
    </w:pPr>
    <w:rPr>
      <w:b/>
      <w:i/>
      <w:sz w:val="28"/>
      <w:lang w:val="en-US" w:eastAsia="zh-CN" w:bidi="ar-SA"/>
    </w:rPr>
  </w:style>
  <w:style w:type="paragraph" w:styleId="1060">
    <w:name w:val="font7"/>
    <w:basedOn w:val="967"/>
    <w:next w:val="1060"/>
    <w:link w:val="967"/>
    <w:pPr>
      <w:jc w:val="left"/>
      <w:spacing w:before="100" w:beforeAutospacing="1" w:after="100" w:afterAutospacing="1"/>
      <w:widowControl/>
    </w:pPr>
    <w:rPr>
      <w:rFonts w:hint="eastAsia" w:ascii="宋体" w:hAnsi="宋体"/>
      <w:sz w:val="18"/>
      <w:szCs w:val="18"/>
    </w:rPr>
  </w:style>
  <w:style w:type="paragraph" w:styleId="1061">
    <w:name w:val=" Char Char Char Char"/>
    <w:basedOn w:val="992"/>
    <w:next w:val="1061"/>
    <w:link w:val="967"/>
    <w:pPr>
      <w:spacing w:line="360" w:lineRule="auto"/>
    </w:pPr>
    <w:rPr>
      <w:rFonts w:ascii="Tahoma" w:hAnsi="Tahoma"/>
      <w:sz w:val="24"/>
      <w:szCs w:val="24"/>
    </w:rPr>
  </w:style>
  <w:style w:type="paragraph" w:styleId="1062">
    <w:name w:val="列表段落"/>
    <w:basedOn w:val="967"/>
    <w:next w:val="1062"/>
    <w:link w:val="967"/>
    <w:qFormat/>
    <w:pPr>
      <w:contextualSpacing/>
      <w:ind w:left="720"/>
      <w:jc w:val="left"/>
      <w:widowControl/>
    </w:pPr>
    <w:rPr>
      <w:rFonts w:ascii="Calibri" w:hAnsi="Calibri"/>
      <w:sz w:val="24"/>
      <w:szCs w:val="24"/>
      <w:lang w:eastAsia="en-US" w:bidi="en-US"/>
    </w:rPr>
  </w:style>
  <w:style w:type="paragraph" w:styleId="1063">
    <w:name w:val="4"/>
    <w:basedOn w:val="967"/>
    <w:next w:val="1024"/>
    <w:link w:val="967"/>
    <w:pPr>
      <w:ind w:firstLine="420"/>
      <w:spacing w:line="360" w:lineRule="auto"/>
    </w:pPr>
    <w:rPr>
      <w:color w:val="ff0000"/>
      <w:sz w:val="24"/>
      <w:szCs w:val="24"/>
    </w:rPr>
  </w:style>
  <w:style w:type="paragraph" w:styleId="1064">
    <w:name w:val="普通 (Web)"/>
    <w:basedOn w:val="967"/>
    <w:next w:val="1064"/>
    <w:link w:val="967"/>
    <w:pPr>
      <w:jc w:val="left"/>
      <w:spacing w:before="100" w:beforeAutospacing="1" w:after="100" w:afterAutospacing="1"/>
      <w:widowControl/>
    </w:pPr>
    <w:rPr>
      <w:rFonts w:ascii="宋体" w:hAnsi="宋体"/>
      <w:sz w:val="24"/>
      <w:szCs w:val="24"/>
    </w:rPr>
  </w:style>
  <w:style w:type="paragraph" w:styleId="1065">
    <w:name w:val=" Char Char Char Char Char Char Char Char Char Char"/>
    <w:basedOn w:val="967"/>
    <w:next w:val="1065"/>
    <w:link w:val="967"/>
    <w:pPr>
      <w:spacing w:line="360" w:lineRule="auto"/>
    </w:pPr>
    <w:rPr>
      <w:sz w:val="24"/>
      <w:szCs w:val="20"/>
    </w:rPr>
  </w:style>
  <w:style w:type="paragraph" w:styleId="1066">
    <w:name w:val="样式1"/>
    <w:basedOn w:val="967"/>
    <w:next w:val="1066"/>
    <w:link w:val="967"/>
    <w:pPr>
      <w:numPr>
        <w:ilvl w:val="0"/>
        <w:numId w:val="3"/>
      </w:numPr>
      <w:tabs>
        <w:tab w:val="left" w:pos="709" w:leader="none"/>
      </w:tabs>
    </w:pPr>
    <w:rPr>
      <w:rFonts w:ascii="宋体" w:hAnsi="宋体"/>
    </w:rPr>
  </w:style>
  <w:style w:type="paragraph" w:styleId="1067">
    <w:name w:val="font6"/>
    <w:basedOn w:val="967"/>
    <w:next w:val="1067"/>
    <w:link w:val="967"/>
    <w:pPr>
      <w:jc w:val="left"/>
      <w:spacing w:before="100" w:beforeAutospacing="1" w:after="100" w:afterAutospacing="1"/>
      <w:widowControl/>
    </w:pPr>
    <w:rPr>
      <w:rFonts w:hint="eastAsia" w:ascii="宋体" w:hAnsi="宋体"/>
      <w:sz w:val="28"/>
      <w:szCs w:val="28"/>
      <w:u w:val="single"/>
    </w:rPr>
  </w:style>
  <w:style w:type="paragraph" w:styleId="1068">
    <w:name w:val="xl25"/>
    <w:basedOn w:val="967"/>
    <w:next w:val="1068"/>
    <w:link w:val="967"/>
    <w:pPr>
      <w:jc w:val="center"/>
      <w:spacing w:before="100" w:beforeAutospacing="1" w:after="100" w:afterAutospacing="1"/>
      <w:widowControl/>
    </w:pPr>
    <w:rPr>
      <w:rFonts w:ascii="Arial Black" w:hAnsi="Arial Black" w:eastAsia="Arial Black" w:cs="Arial Black"/>
      <w:sz w:val="24"/>
      <w:szCs w:val="24"/>
    </w:rPr>
  </w:style>
  <w:style w:type="paragraph" w:styleId="1069">
    <w:name w:val="图标"/>
    <w:basedOn w:val="967"/>
    <w:next w:val="967"/>
    <w:link w:val="967"/>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1070">
    <w:name w:val="标题3"/>
    <w:basedOn w:val="967"/>
    <w:next w:val="967"/>
    <w:link w:val="967"/>
    <w:pPr>
      <w:ind w:firstLine="624"/>
      <w:spacing w:line="590" w:lineRule="atLeast"/>
    </w:pPr>
    <w:rPr>
      <w:rFonts w:ascii="方正锐正黑_GBK 中" w:eastAsia="方正锐正黑_GBK 中"/>
      <w:sz w:val="32"/>
      <w:szCs w:val="32"/>
    </w:rPr>
  </w:style>
  <w:style w:type="paragraph" w:styleId="1071">
    <w:name w:val="xl24"/>
    <w:basedOn w:val="967"/>
    <w:next w:val="1071"/>
    <w:link w:val="9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2">
    <w:name w:val="xl29"/>
    <w:basedOn w:val="967"/>
    <w:next w:val="1072"/>
    <w:link w:val="96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3">
    <w:name w:val="Char Char Char Char Char Char Char Char"/>
    <w:basedOn w:val="967"/>
    <w:next w:val="1073"/>
    <w:link w:val="967"/>
    <w:pPr>
      <w:jc w:val="left"/>
      <w:spacing w:after="160" w:line="240" w:lineRule="exact"/>
      <w:widowControl/>
    </w:pPr>
    <w:rPr>
      <w:rFonts w:ascii="Verdana" w:hAnsi="Verdana"/>
      <w:sz w:val="20"/>
      <w:szCs w:val="20"/>
      <w:lang w:eastAsia="en-US"/>
    </w:rPr>
  </w:style>
  <w:style w:type="paragraph" w:styleId="1074">
    <w:name w:val="xl28"/>
    <w:basedOn w:val="967"/>
    <w:next w:val="1074"/>
    <w:link w:val="96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5">
    <w:name w:val=" Char Char Char Char Char Char Char Char"/>
    <w:basedOn w:val="967"/>
    <w:next w:val="1075"/>
    <w:link w:val="967"/>
    <w:pPr>
      <w:jc w:val="left"/>
      <w:spacing w:after="160" w:line="240" w:lineRule="exact"/>
      <w:widowControl/>
    </w:pPr>
    <w:rPr>
      <w:rFonts w:ascii="Verdana" w:hAnsi="Verdana"/>
      <w:sz w:val="20"/>
      <w:szCs w:val="20"/>
      <w:lang w:eastAsia="en-US"/>
    </w:rPr>
  </w:style>
  <w:style w:type="paragraph" w:styleId="1076">
    <w:name w:val="xl30"/>
    <w:basedOn w:val="967"/>
    <w:next w:val="1076"/>
    <w:link w:val="967"/>
    <w:pPr>
      <w:jc w:val="center"/>
      <w:spacing w:before="100" w:beforeAutospacing="1" w:after="100" w:afterAutospacing="1"/>
      <w:widowControl/>
    </w:pPr>
    <w:rPr>
      <w:rFonts w:ascii="宋体" w:hAnsi="宋体"/>
      <w:b/>
      <w:bCs/>
      <w:sz w:val="36"/>
      <w:szCs w:val="36"/>
    </w:rPr>
  </w:style>
  <w:style w:type="paragraph" w:styleId="1077">
    <w:name w:val="Char Char Char Char"/>
    <w:basedOn w:val="992"/>
    <w:next w:val="1077"/>
    <w:link w:val="967"/>
    <w:pPr>
      <w:spacing w:line="360" w:lineRule="auto"/>
    </w:pPr>
    <w:rPr>
      <w:rFonts w:ascii="Tahoma" w:hAnsi="Tahoma"/>
      <w:sz w:val="24"/>
      <w:szCs w:val="24"/>
    </w:rPr>
  </w:style>
  <w:style w:type="paragraph" w:styleId="1078">
    <w:name w:val="table_1stline"/>
    <w:basedOn w:val="967"/>
    <w:next w:val="1078"/>
    <w:link w:val="967"/>
    <w:pPr>
      <w:jc w:val="left"/>
      <w:spacing w:before="120"/>
      <w:widowControl/>
    </w:pPr>
    <w:rPr>
      <w:bCs/>
      <w:sz w:val="20"/>
      <w:szCs w:val="20"/>
      <w:lang w:val="de-DE" w:eastAsia="de-DE"/>
    </w:rPr>
  </w:style>
  <w:style w:type="paragraph" w:styleId="1079">
    <w:name w:val="font5"/>
    <w:basedOn w:val="967"/>
    <w:next w:val="1079"/>
    <w:link w:val="967"/>
    <w:pPr>
      <w:jc w:val="left"/>
      <w:spacing w:before="100" w:beforeAutospacing="1" w:after="100" w:afterAutospacing="1"/>
      <w:widowControl/>
    </w:pPr>
    <w:rPr>
      <w:rFonts w:hint="eastAsia" w:ascii="宋体" w:hAnsi="宋体"/>
      <w:sz w:val="28"/>
      <w:szCs w:val="28"/>
    </w:rPr>
  </w:style>
  <w:style w:type="paragraph" w:styleId="1080">
    <w:name w:val="标题1"/>
    <w:basedOn w:val="967"/>
    <w:next w:val="967"/>
    <w:link w:val="96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1">
    <w:name w:val="修订"/>
    <w:next w:val="1081"/>
    <w:link w:val="967"/>
    <w:uiPriority w:val="99"/>
    <w:semiHidden/>
    <w:rPr>
      <w:sz w:val="21"/>
      <w:szCs w:val="21"/>
      <w:lang w:val="en-US" w:eastAsia="zh-CN" w:bidi="ar-SA"/>
    </w:rPr>
  </w:style>
  <w:style w:type="paragraph" w:styleId="1082">
    <w:name w:val="无间隔"/>
    <w:next w:val="1082"/>
    <w:link w:val="967"/>
    <w:uiPriority w:val="99"/>
    <w:qFormat/>
    <w:pPr>
      <w:jc w:val="both"/>
      <w:widowControl w:val="off"/>
    </w:pPr>
    <w:rPr>
      <w:sz w:val="21"/>
      <w:szCs w:val="21"/>
      <w:lang w:val="en-US" w:eastAsia="zh-CN" w:bidi="ar-SA"/>
    </w:rPr>
  </w:style>
  <w:style w:type="table" w:styleId="1083">
    <w:name w:val="网格型1"/>
    <w:basedOn w:val="978"/>
    <w:next w:val="1083"/>
    <w:link w:val="967"/>
    <w:uiPriority w:val="99"/>
    <w:qFormat/>
    <w:rPr>
      <w:rFonts w:ascii="Calibri" w:hAnsi="Calibri" w:eastAsia="宋体" w:cs="Times New Roman"/>
    </w:rPr>
    <w:tblPr/>
  </w:style>
  <w:style w:type="table" w:styleId="1084">
    <w:name w:val="网格型2"/>
    <w:basedOn w:val="978"/>
    <w:next w:val="1084"/>
    <w:link w:val="967"/>
    <w:uiPriority w:val="99"/>
    <w:qFormat/>
    <w:rPr>
      <w:rFonts w:ascii="Calibri" w:hAnsi="Calibri" w:eastAsia="宋体" w:cs="Times New Roman"/>
    </w:rPr>
    <w:tblPr/>
  </w:style>
  <w:style w:type="table" w:styleId="1085">
    <w:name w:val="网格型3"/>
    <w:basedOn w:val="978"/>
    <w:next w:val="1085"/>
    <w:link w:val="967"/>
    <w:rPr>
      <w:rFonts w:ascii="Calibri" w:hAnsi="Calibri" w:eastAsia="宋体" w:cs="Times New Roman"/>
    </w:rPr>
    <w:tblPr/>
  </w:style>
  <w:style w:type="table" w:styleId="1086">
    <w:name w:val="网格型4"/>
    <w:basedOn w:val="978"/>
    <w:next w:val="1086"/>
    <w:link w:val="967"/>
    <w:rPr>
      <w:rFonts w:ascii="Calibri" w:hAnsi="Calibri" w:eastAsia="宋体" w:cs="Times New Roman"/>
    </w:rPr>
    <w:tblPr/>
  </w:style>
  <w:style w:type="character" w:styleId="1087">
    <w:name w:val="正文缩进2格 Char"/>
    <w:next w:val="1087"/>
    <w:link w:val="1088"/>
    <w:rPr>
      <w:rFonts w:ascii="方正仿宋_GB2312" w:hAnsi="宋体" w:eastAsia="方正仿宋_GB2312"/>
      <w:sz w:val="31"/>
      <w:szCs w:val="28"/>
    </w:rPr>
  </w:style>
  <w:style w:type="paragraph" w:styleId="1088">
    <w:name w:val="正文缩进2格"/>
    <w:basedOn w:val="967"/>
    <w:next w:val="1088"/>
    <w:link w:val="1087"/>
    <w:pPr>
      <w:ind w:firstLine="639"/>
      <w:spacing w:line="600" w:lineRule="exact"/>
    </w:pPr>
    <w:rPr>
      <w:rFonts w:ascii="方正仿宋_GB2312" w:hAnsi="宋体" w:eastAsia="方正仿宋_GB2312"/>
      <w:sz w:val="31"/>
      <w:szCs w:val="28"/>
    </w:rPr>
  </w:style>
  <w:style w:type="character" w:styleId="1089">
    <w:name w:val="标题 1 Char Char"/>
    <w:next w:val="1089"/>
    <w:link w:val="967"/>
    <w:qFormat/>
    <w:rPr>
      <w:rFonts w:hint="eastAsia" w:ascii="宋体" w:hAnsi="宋体" w:eastAsia="宋体"/>
      <w:b/>
      <w:spacing w:val="-2"/>
      <w:sz w:val="24"/>
      <w:lang w:val="en-US" w:eastAsia="zh-CN"/>
    </w:rPr>
  </w:style>
  <w:style w:type="character" w:styleId="1090">
    <w:name w:val="font21"/>
    <w:next w:val="1090"/>
    <w:link w:val="967"/>
    <w:rPr>
      <w:rFonts w:ascii="仿宋_GB2312" w:eastAsia="仿宋_GB2312" w:cs="仿宋_GB2312"/>
      <w:i w:val="0"/>
      <w:iCs w:val="0"/>
      <w:color w:val="000000"/>
      <w:sz w:val="24"/>
      <w:szCs w:val="24"/>
      <w:u w:val="none"/>
    </w:rPr>
  </w:style>
  <w:style w:type="paragraph" w:styleId="1091">
    <w:name w:val="Table Text"/>
    <w:basedOn w:val="967"/>
    <w:next w:val="1091"/>
    <w:link w:val="967"/>
    <w:semiHidden/>
    <w:qFormat/>
    <w:rPr>
      <w:rFonts w:ascii="宋体" w:hAnsi="宋体" w:eastAsia="宋体" w:cs="宋体"/>
      <w:sz w:val="20"/>
      <w:szCs w:val="20"/>
      <w:lang w:val="en-US" w:eastAsia="en-US" w:bidi="ar-SA"/>
    </w:rPr>
  </w:style>
  <w:style w:type="table" w:styleId="1092">
    <w:name w:val="Table Normal"/>
    <w:next w:val="1092"/>
    <w:link w:val="967"/>
    <w:unhideWhenUsed/>
    <w:qFormat/>
    <w:rPr>
      <w:lang w:val="en-US" w:eastAsia="zh-CN" w:bidi="ar-SA"/>
    </w:rPr>
    <w:tblPr/>
  </w:style>
  <w:style w:type="paragraph" w:styleId="1093">
    <w:name w:val="msonormalcxspmiddle"/>
    <w:basedOn w:val="967"/>
    <w:next w:val="1093"/>
    <w:link w:val="967"/>
    <w:qFormat/>
    <w:pPr>
      <w:jc w:val="left"/>
      <w:spacing w:before="100" w:beforeAutospacing="1" w:after="100" w:afterAutospacing="1"/>
      <w:widowControl/>
    </w:pPr>
    <w:rPr>
      <w:rFonts w:ascii="宋体" w:hAnsi="宋体" w:eastAsia="宋体" w:cs="宋体"/>
      <w:sz w:val="24"/>
      <w:szCs w:val="22"/>
    </w:rPr>
  </w:style>
  <w:style w:type="paragraph" w:styleId="1094">
    <w:name w:val="正文首行缩进1"/>
    <w:basedOn w:val="1095"/>
    <w:next w:val="1094"/>
    <w:link w:val="967"/>
    <w:qFormat/>
    <w:pPr>
      <w:ind w:firstLine="200"/>
      <w:spacing w:line="360" w:lineRule="auto"/>
    </w:pPr>
    <w:rPr>
      <w:rFonts w:ascii="仿宋_GB2312" w:hAnsi="Times New Roman" w:eastAsia="仿宋_GB2312"/>
      <w:sz w:val="30"/>
      <w:szCs w:val="30"/>
    </w:rPr>
  </w:style>
  <w:style w:type="paragraph" w:styleId="1095">
    <w:name w:val="正文文本1"/>
    <w:basedOn w:val="967"/>
    <w:next w:val="1096"/>
    <w:link w:val="967"/>
    <w:qFormat/>
    <w:rPr>
      <w:rFonts w:ascii="楷体_GB2312" w:hAnsi="Arial" w:eastAsia="楷体_GB2312"/>
      <w:sz w:val="28"/>
      <w:szCs w:val="28"/>
    </w:rPr>
  </w:style>
  <w:style w:type="paragraph" w:styleId="1096">
    <w:name w:val="正文文本首行缩进1"/>
    <w:basedOn w:val="1095"/>
    <w:next w:val="1096"/>
    <w:link w:val="967"/>
    <w:qFormat/>
    <w:pPr>
      <w:ind w:firstLine="420"/>
      <w:spacing w:after="120"/>
      <w:tabs>
        <w:tab w:val="left" w:pos="2020" w:leader="none"/>
        <w:tab w:val="center" w:pos="4535" w:leader="none"/>
      </w:tabs>
    </w:pPr>
    <w:rPr>
      <w:sz w:val="21"/>
    </w:rPr>
  </w:style>
  <w:style w:type="paragraph" w:styleId="1097">
    <w:name w:val="页眉1"/>
    <w:basedOn w:val="967"/>
    <w:next w:val="1097"/>
    <w:link w:val="967"/>
    <w:qFormat/>
    <w:pPr>
      <w:jc w:val="center"/>
      <w:tabs>
        <w:tab w:val="center" w:pos="4153" w:leader="none"/>
        <w:tab w:val="right" w:pos="8306" w:leader="none"/>
      </w:tabs>
      <w:pBdr>
        <w:bottom w:val="single" w:color="000000" w:sz="6" w:space="1"/>
      </w:pBdr>
    </w:pPr>
    <w:rPr>
      <w:sz w:val="18"/>
      <w:szCs w:val="18"/>
    </w:rPr>
  </w:style>
  <w:style w:type="paragraph" w:styleId="1098">
    <w:name w:val="页脚1"/>
    <w:basedOn w:val="967"/>
    <w:next w:val="1098"/>
    <w:link w:val="967"/>
    <w:uiPriority w:val="99"/>
    <w:qFormat/>
    <w:pPr>
      <w:jc w:val="left"/>
      <w:tabs>
        <w:tab w:val="center" w:pos="4153" w:leader="none"/>
        <w:tab w:val="right" w:pos="8306" w:leader="none"/>
      </w:tabs>
    </w:pPr>
    <w:rPr>
      <w:sz w:val="18"/>
      <w:szCs w:val="18"/>
    </w:rPr>
  </w:style>
  <w:style w:type="paragraph" w:styleId="1099">
    <w:name w:val="Default"/>
    <w:next w:val="1099"/>
    <w:link w:val="967"/>
    <w:qFormat/>
    <w:pPr>
      <w:widowControl w:val="off"/>
    </w:pPr>
    <w:rPr>
      <w:rFonts w:ascii="宋体" w:cs="宋体"/>
      <w:color w:val="000000"/>
      <w:sz w:val="24"/>
      <w:szCs w:val="24"/>
      <w:lang w:val="en-US" w:eastAsia="zh-CN" w:bidi="ar-SA"/>
    </w:rPr>
  </w:style>
  <w:style w:type="paragraph" w:styleId="1100">
    <w:name w:val="BodyText1I21"/>
    <w:basedOn w:val="1101"/>
    <w:next w:val="1100"/>
    <w:link w:val="967"/>
    <w:uiPriority w:val="99"/>
    <w:qFormat/>
    <w:pPr>
      <w:ind w:firstLine="420"/>
    </w:pPr>
  </w:style>
  <w:style w:type="paragraph" w:styleId="1101">
    <w:name w:val="BodyTextIndent1"/>
    <w:basedOn w:val="967"/>
    <w:next w:val="1102"/>
    <w:link w:val="967"/>
    <w:uiPriority w:val="99"/>
    <w:qFormat/>
    <w:pPr>
      <w:ind w:left="420"/>
      <w:spacing w:after="120"/>
    </w:pPr>
  </w:style>
  <w:style w:type="paragraph" w:styleId="1102">
    <w:name w:val="EnvelopeReturn1"/>
    <w:basedOn w:val="967"/>
    <w:next w:val="1102"/>
    <w:link w:val="967"/>
    <w:uiPriority w:val="99"/>
    <w:qFormat/>
    <w:rPr>
      <w:rFonts w:ascii="Arial" w:hAnsi="Arial"/>
    </w:rPr>
  </w:style>
  <w:style w:type="character" w:styleId="1103">
    <w:name w:val="font01"/>
    <w:next w:val="1103"/>
    <w:link w:val="967"/>
    <w:rPr>
      <w:rFonts w:hint="eastAsia" w:ascii="等线" w:hAnsi="等线" w:eastAsia="等线" w:cs="等线"/>
      <w:color w:val="000000"/>
      <w:sz w:val="22"/>
      <w:szCs w:val="22"/>
      <w:u w:val="none"/>
    </w:rPr>
  </w:style>
  <w:style w:type="character" w:styleId="1104">
    <w:name w:val="font11"/>
    <w:next w:val="1104"/>
    <w:link w:val="967"/>
    <w:qFormat/>
    <w:rPr>
      <w:rFonts w:hint="eastAsia" w:ascii="等线" w:hAnsi="等线" w:eastAsia="等线" w:cs="等线"/>
      <w:color w:val="000000"/>
      <w:sz w:val="22"/>
      <w:szCs w:val="22"/>
      <w:u w:val="none"/>
    </w:rPr>
  </w:style>
  <w:style w:type="character" w:styleId="1105">
    <w:name w:val="font51"/>
    <w:next w:val="1105"/>
    <w:link w:val="967"/>
    <w:rPr>
      <w:rFonts w:hint="eastAsia" w:ascii="等线" w:hAnsi="等线" w:eastAsia="等线" w:cs="等线"/>
      <w:i w:val="0"/>
      <w:iCs w:val="0"/>
      <w:color w:val="000000"/>
      <w:sz w:val="22"/>
      <w:szCs w:val="22"/>
      <w:u w:val="none"/>
    </w:rPr>
  </w:style>
  <w:style w:type="character" w:styleId="1106">
    <w:name w:val="font61"/>
    <w:next w:val="1106"/>
    <w:link w:val="967"/>
    <w:rPr>
      <w:rFonts w:hint="eastAsia" w:ascii="等线" w:hAnsi="等线" w:eastAsia="等线" w:cs="等线"/>
      <w:b/>
      <w:bCs/>
      <w:i w:val="0"/>
      <w:iCs w:val="0"/>
      <w:color w:val="000000"/>
      <w:sz w:val="22"/>
      <w:szCs w:val="22"/>
      <w:u w:val="none"/>
    </w:rPr>
  </w:style>
  <w:style w:type="character" w:styleId="1107">
    <w:name w:val="font71"/>
    <w:next w:val="1107"/>
    <w:link w:val="967"/>
    <w:rPr>
      <w:rFonts w:hint="eastAsia" w:ascii="等线" w:hAnsi="等线" w:eastAsia="等线" w:cs="等线"/>
      <w:i w:val="0"/>
      <w:iCs w:val="0"/>
      <w:color w:val="ff0000"/>
      <w:sz w:val="22"/>
      <w:szCs w:val="22"/>
      <w:u w:val="none"/>
    </w:rPr>
  </w:style>
  <w:style w:type="paragraph" w:styleId="1108">
    <w:name w:val="正文文本111"/>
    <w:basedOn w:val="967"/>
    <w:next w:val="1099"/>
    <w:link w:val="967"/>
    <w:qFormat/>
    <w:pPr>
      <w:spacing w:after="120"/>
    </w:pPr>
    <w:rPr>
      <w:rFonts w:ascii="Times New Roman" w:hAnsi="Times New Roman"/>
    </w:rPr>
  </w:style>
  <w:style w:type="paragraph" w:styleId="1109">
    <w:name w:val="段"/>
    <w:next w:val="967"/>
    <w:link w:val="967"/>
    <w:qFormat/>
    <w:pPr>
      <w:ind w:firstLine="200"/>
      <w:jc w:val="both"/>
    </w:pPr>
    <w:rPr>
      <w:rFonts w:ascii="宋体" w:hAnsi="Calibri"/>
      <w:sz w:val="21"/>
      <w:lang w:val="en-US" w:eastAsia="zh-CN" w:bidi="ar-SA"/>
    </w:rPr>
  </w:style>
  <w:style w:type="character" w:styleId="1110" w:default="1">
    <w:name w:val="Default Paragraph Font"/>
    <w:uiPriority w:val="1"/>
    <w:semiHidden/>
    <w:unhideWhenUsed/>
  </w:style>
  <w:style w:type="numbering" w:styleId="1111" w:default="1">
    <w:name w:val="No List"/>
    <w:uiPriority w:val="99"/>
    <w:semiHidden/>
    <w:unhideWhenUsed/>
  </w:style>
  <w:style w:type="table" w:styleId="11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斌90</dc:creator>
  <cp:lastModifiedBy>张亚萍</cp:lastModifiedBy>
  <cp:revision>5</cp:revision>
  <dcterms:created xsi:type="dcterms:W3CDTF">2026-03-16T05:50:00Z</dcterms:created>
  <dcterms:modified xsi:type="dcterms:W3CDTF">2026-04-17T04:30:35Z</dcterms:modified>
</cp:coreProperties>
</file>