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72CFE9">
      <w:pPr>
        <w:spacing w:line="360" w:lineRule="auto"/>
        <w:jc w:val="center"/>
        <w:rPr>
          <w:rFonts w:hint="eastAsia" w:ascii="仿宋" w:hAnsi="仿宋" w:eastAsia="仿宋" w:cs="仿宋"/>
          <w:b/>
          <w:bCs/>
          <w:spacing w:val="-3"/>
          <w:sz w:val="72"/>
          <w:szCs w:val="72"/>
        </w:rPr>
      </w:pPr>
    </w:p>
    <w:p w14:paraId="26097B77">
      <w:pPr>
        <w:spacing w:line="360" w:lineRule="auto"/>
        <w:jc w:val="center"/>
        <w:rPr>
          <w:rFonts w:ascii="仿宋" w:hAnsi="仿宋" w:eastAsia="仿宋" w:cs="仿宋"/>
          <w:b/>
          <w:bCs/>
          <w:sz w:val="64"/>
        </w:rPr>
      </w:pPr>
      <w:r>
        <w:rPr>
          <w:rFonts w:hint="eastAsia" w:ascii="仿宋" w:hAnsi="仿宋" w:eastAsia="仿宋" w:cs="仿宋"/>
          <w:b/>
          <w:bCs/>
          <w:spacing w:val="-3"/>
          <w:sz w:val="72"/>
          <w:szCs w:val="72"/>
        </w:rPr>
        <w:t>竞争性磋商文件</w:t>
      </w:r>
    </w:p>
    <w:p w14:paraId="0B3A5769">
      <w:pPr>
        <w:spacing w:line="720" w:lineRule="auto"/>
        <w:rPr>
          <w:rFonts w:ascii="仿宋" w:hAnsi="仿宋" w:eastAsia="仿宋" w:cs="仿宋"/>
          <w:bCs/>
          <w:sz w:val="32"/>
          <w:szCs w:val="32"/>
        </w:rPr>
      </w:pPr>
    </w:p>
    <w:p w14:paraId="44D896EA">
      <w:pPr>
        <w:pStyle w:val="361"/>
        <w:ind w:firstLine="640"/>
        <w:rPr>
          <w:rFonts w:ascii="仿宋" w:hAnsi="仿宋" w:eastAsia="仿宋" w:cs="仿宋"/>
          <w:bCs/>
          <w:sz w:val="32"/>
          <w:szCs w:val="32"/>
        </w:rPr>
      </w:pPr>
    </w:p>
    <w:p w14:paraId="66EC9E9B">
      <w:pPr>
        <w:pStyle w:val="361"/>
        <w:ind w:firstLine="640"/>
        <w:rPr>
          <w:rFonts w:ascii="仿宋" w:hAnsi="仿宋" w:eastAsia="仿宋" w:cs="仿宋"/>
          <w:bCs/>
          <w:sz w:val="32"/>
          <w:szCs w:val="32"/>
        </w:rPr>
      </w:pPr>
    </w:p>
    <w:p w14:paraId="7A865047">
      <w:pPr>
        <w:pStyle w:val="361"/>
        <w:ind w:firstLine="400"/>
      </w:pPr>
    </w:p>
    <w:p w14:paraId="6291C49B">
      <w:pPr>
        <w:spacing w:line="720" w:lineRule="auto"/>
        <w:rPr>
          <w:rFonts w:ascii="仿宋" w:hAnsi="仿宋" w:eastAsia="仿宋" w:cs="仿宋"/>
          <w:bCs/>
          <w:sz w:val="36"/>
          <w:szCs w:val="36"/>
        </w:rPr>
      </w:pPr>
      <w:r>
        <w:rPr>
          <w:rFonts w:hint="eastAsia" w:ascii="仿宋" w:hAnsi="仿宋" w:eastAsia="仿宋" w:cs="仿宋"/>
          <w:bCs/>
          <w:sz w:val="32"/>
          <w:szCs w:val="32"/>
          <w:lang w:val="zh-CN"/>
        </w:rPr>
        <w:t>项目编号：</w:t>
      </w:r>
      <w:r>
        <w:rPr>
          <w:rFonts w:hint="eastAsia" w:ascii="仿宋" w:hAnsi="仿宋" w:eastAsia="仿宋" w:cs="仿宋"/>
          <w:bCs/>
          <w:sz w:val="32"/>
          <w:szCs w:val="32"/>
          <w:highlight w:val="none"/>
          <w:lang w:val="zh-CN"/>
        </w:rPr>
        <w:t>JSZC-320114-NJJH-C2026-0002</w:t>
      </w:r>
    </w:p>
    <w:p w14:paraId="34B27212">
      <w:pPr>
        <w:spacing w:line="720" w:lineRule="auto"/>
        <w:rPr>
          <w:rFonts w:hint="eastAsia" w:ascii="仿宋" w:hAnsi="仿宋" w:eastAsia="仿宋" w:cs="仿宋"/>
          <w:bCs/>
          <w:sz w:val="32"/>
          <w:szCs w:val="32"/>
          <w:lang w:val="zh-CN"/>
        </w:rPr>
      </w:pPr>
      <w:r>
        <w:rPr>
          <w:rFonts w:hint="eastAsia" w:ascii="仿宋" w:hAnsi="仿宋" w:eastAsia="仿宋" w:cs="仿宋"/>
          <w:bCs/>
          <w:sz w:val="32"/>
          <w:szCs w:val="32"/>
          <w:lang w:val="zh-CN"/>
        </w:rPr>
        <w:t>项目名称：2025年南京市小行小学校舍维修改造项目</w:t>
      </w:r>
    </w:p>
    <w:p w14:paraId="58E5D7C0">
      <w:pPr>
        <w:spacing w:line="720" w:lineRule="auto"/>
        <w:rPr>
          <w:rFonts w:hint="eastAsia" w:ascii="仿宋" w:hAnsi="仿宋" w:eastAsia="仿宋" w:cs="仿宋"/>
          <w:bCs/>
          <w:sz w:val="32"/>
          <w:szCs w:val="32"/>
          <w:lang w:val="zh-CN"/>
        </w:rPr>
      </w:pPr>
      <w:r>
        <w:rPr>
          <w:rFonts w:hint="eastAsia" w:ascii="仿宋" w:hAnsi="仿宋" w:eastAsia="仿宋" w:cs="仿宋"/>
          <w:bCs/>
          <w:sz w:val="32"/>
          <w:szCs w:val="32"/>
          <w:lang w:val="zh-CN"/>
        </w:rPr>
        <w:t>采 购 人：南京市小行小学</w:t>
      </w:r>
    </w:p>
    <w:p w14:paraId="5FE2696A">
      <w:pPr>
        <w:spacing w:line="720" w:lineRule="auto"/>
        <w:rPr>
          <w:rFonts w:ascii="仿宋" w:hAnsi="仿宋" w:eastAsia="仿宋" w:cs="仿宋"/>
          <w:bCs/>
          <w:sz w:val="32"/>
          <w:szCs w:val="32"/>
        </w:rPr>
      </w:pPr>
      <w:r>
        <w:rPr>
          <w:rFonts w:hint="eastAsia" w:ascii="仿宋" w:hAnsi="仿宋" w:eastAsia="仿宋" w:cs="仿宋"/>
          <w:bCs/>
          <w:sz w:val="32"/>
          <w:szCs w:val="32"/>
        </w:rPr>
        <w:t>采购类型：工程类</w:t>
      </w:r>
    </w:p>
    <w:p w14:paraId="32F2C72A">
      <w:bookmarkStart w:id="0" w:name="江苏省华厦工程项目管理有限公司"/>
      <w:bookmarkEnd w:id="0"/>
    </w:p>
    <w:p w14:paraId="1D60387D">
      <w:pPr>
        <w:pStyle w:val="32"/>
        <w:ind w:firstLine="210"/>
      </w:pPr>
    </w:p>
    <w:p w14:paraId="62DF6CE7"/>
    <w:p w14:paraId="4E7DE8FF"/>
    <w:p w14:paraId="24FF3FBB"/>
    <w:p w14:paraId="3621C4B1">
      <w:pPr>
        <w:spacing w:line="360" w:lineRule="auto"/>
        <w:jc w:val="center"/>
        <w:rPr>
          <w:rFonts w:ascii="仿宋" w:hAnsi="仿宋" w:eastAsia="仿宋" w:cs="仿宋"/>
          <w:sz w:val="44"/>
          <w:szCs w:val="44"/>
        </w:rPr>
      </w:pPr>
      <w:r>
        <w:rPr>
          <w:rFonts w:hint="eastAsia" w:ascii="仿宋" w:hAnsi="仿宋" w:eastAsia="仿宋" w:cs="仿宋"/>
          <w:sz w:val="44"/>
          <w:szCs w:val="44"/>
        </w:rPr>
        <w:t>南京佳涵工程咨询有限公司</w:t>
      </w:r>
    </w:p>
    <w:p w14:paraId="0042406A">
      <w:pPr>
        <w:spacing w:line="360" w:lineRule="auto"/>
        <w:jc w:val="center"/>
        <w:rPr>
          <w:rFonts w:ascii="仿宋" w:hAnsi="仿宋" w:eastAsia="仿宋" w:cs="仿宋"/>
          <w:sz w:val="44"/>
          <w:szCs w:val="44"/>
        </w:rPr>
      </w:pPr>
      <w:r>
        <w:rPr>
          <w:rFonts w:hint="eastAsia" w:ascii="仿宋" w:hAnsi="仿宋" w:eastAsia="仿宋" w:cs="仿宋"/>
          <w:sz w:val="44"/>
          <w:szCs w:val="44"/>
        </w:rPr>
        <w:t>二○二六年</w:t>
      </w:r>
      <w:r>
        <w:rPr>
          <w:rFonts w:hint="eastAsia" w:ascii="仿宋" w:hAnsi="仿宋" w:eastAsia="仿宋" w:cs="仿宋"/>
          <w:sz w:val="44"/>
          <w:szCs w:val="44"/>
          <w:lang w:val="en-US" w:eastAsia="zh-CN"/>
        </w:rPr>
        <w:t>五</w:t>
      </w:r>
      <w:r>
        <w:rPr>
          <w:rFonts w:hint="eastAsia" w:ascii="仿宋" w:hAnsi="仿宋" w:eastAsia="仿宋" w:cs="仿宋"/>
          <w:sz w:val="44"/>
          <w:szCs w:val="44"/>
        </w:rPr>
        <w:t>月</w:t>
      </w:r>
    </w:p>
    <w:p w14:paraId="0B6C33E4">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1C81B55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b/>
          <w:color w:val="auto"/>
          <w:sz w:val="32"/>
        </w:rPr>
        <w:t> </w:t>
      </w:r>
    </w:p>
    <w:p w14:paraId="091D389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sz w:val="24"/>
          <w:szCs w:val="28"/>
        </w:rPr>
      </w:pPr>
      <w:r>
        <w:rPr>
          <w:rFonts w:hint="eastAsia" w:ascii="仿宋" w:hAnsi="仿宋" w:eastAsia="仿宋" w:cs="仿宋"/>
          <w:b/>
          <w:color w:val="auto"/>
          <w:sz w:val="40"/>
          <w:szCs w:val="28"/>
        </w:rPr>
        <w:t>目 录</w:t>
      </w:r>
    </w:p>
    <w:p w14:paraId="36E99FD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sz w:val="24"/>
          <w:szCs w:val="28"/>
        </w:rPr>
      </w:pPr>
      <w:r>
        <w:rPr>
          <w:rFonts w:hint="eastAsia" w:ascii="仿宋" w:hAnsi="仿宋" w:eastAsia="仿宋" w:cs="仿宋"/>
          <w:b/>
          <w:color w:val="auto"/>
          <w:sz w:val="40"/>
          <w:szCs w:val="28"/>
        </w:rPr>
        <w:t> </w:t>
      </w:r>
    </w:p>
    <w:p w14:paraId="5235C6AC">
      <w:pPr>
        <w:pBdr>
          <w:top w:val="none" w:color="000000" w:sz="0" w:space="0"/>
          <w:left w:val="none" w:color="000000" w:sz="0" w:space="0"/>
          <w:bottom w:val="none" w:color="000000" w:sz="0" w:space="0"/>
          <w:right w:val="none" w:color="000000" w:sz="0" w:space="0"/>
        </w:pBdr>
        <w:tabs>
          <w:tab w:val="left" w:pos="8296"/>
        </w:tabs>
        <w:spacing w:before="240" w:after="240" w:line="85" w:lineRule="atLeast"/>
        <w:ind w:left="0" w:right="0" w:firstLine="0"/>
        <w:jc w:val="center"/>
        <w:rPr>
          <w:rFonts w:hint="eastAsia" w:ascii="仿宋" w:hAnsi="仿宋" w:eastAsia="仿宋" w:cs="仿宋"/>
          <w:color w:val="auto"/>
          <w:sz w:val="24"/>
          <w:szCs w:val="28"/>
        </w:rPr>
      </w:pPr>
      <w:r>
        <w:rPr>
          <w:rFonts w:hint="eastAsia" w:ascii="仿宋" w:hAnsi="仿宋" w:eastAsia="仿宋" w:cs="仿宋"/>
          <w:color w:val="auto"/>
          <w:sz w:val="24"/>
          <w:szCs w:val="28"/>
        </w:rPr>
        <w:t>第一章 竞争性磋商采购公告</w:t>
      </w:r>
      <w:r>
        <w:rPr>
          <w:rFonts w:hint="eastAsia" w:ascii="仿宋" w:hAnsi="仿宋" w:eastAsia="仿宋" w:cs="仿宋"/>
          <w:color w:val="auto"/>
          <w:sz w:val="24"/>
          <w:szCs w:val="28"/>
        </w:rPr>
        <w:tab/>
      </w:r>
    </w:p>
    <w:p w14:paraId="5F53D118">
      <w:pPr>
        <w:pBdr>
          <w:top w:val="none" w:color="000000" w:sz="0" w:space="0"/>
          <w:left w:val="none" w:color="000000" w:sz="0" w:space="0"/>
          <w:bottom w:val="none" w:color="000000" w:sz="0" w:space="0"/>
          <w:right w:val="none" w:color="000000" w:sz="0" w:space="0"/>
        </w:pBdr>
        <w:tabs>
          <w:tab w:val="left" w:pos="8296"/>
        </w:tabs>
        <w:spacing w:before="240" w:after="240" w:line="85" w:lineRule="atLeast"/>
        <w:ind w:left="0" w:right="0" w:firstLine="0"/>
        <w:jc w:val="center"/>
        <w:rPr>
          <w:rFonts w:hint="eastAsia" w:ascii="仿宋" w:hAnsi="仿宋" w:eastAsia="仿宋" w:cs="仿宋"/>
          <w:color w:val="auto"/>
          <w:sz w:val="24"/>
          <w:szCs w:val="28"/>
        </w:rPr>
      </w:pPr>
      <w:r>
        <w:rPr>
          <w:rFonts w:hint="eastAsia" w:ascii="仿宋" w:hAnsi="仿宋" w:eastAsia="仿宋" w:cs="仿宋"/>
          <w:color w:val="auto"/>
          <w:sz w:val="24"/>
          <w:szCs w:val="28"/>
        </w:rPr>
        <w:t>第二章 磋商须知</w:t>
      </w:r>
      <w:r>
        <w:rPr>
          <w:rFonts w:hint="eastAsia" w:ascii="仿宋" w:hAnsi="仿宋" w:eastAsia="仿宋" w:cs="仿宋"/>
          <w:color w:val="auto"/>
          <w:sz w:val="24"/>
          <w:szCs w:val="28"/>
        </w:rPr>
        <w:tab/>
      </w:r>
    </w:p>
    <w:p w14:paraId="667A8F75">
      <w:pPr>
        <w:pBdr>
          <w:top w:val="none" w:color="000000" w:sz="0" w:space="0"/>
          <w:left w:val="none" w:color="000000" w:sz="0" w:space="0"/>
          <w:bottom w:val="none" w:color="000000" w:sz="0" w:space="0"/>
          <w:right w:val="none" w:color="000000" w:sz="0" w:space="0"/>
        </w:pBdr>
        <w:tabs>
          <w:tab w:val="left" w:pos="8296"/>
        </w:tabs>
        <w:spacing w:before="240" w:after="240" w:line="85" w:lineRule="atLeast"/>
        <w:ind w:left="0" w:right="0" w:firstLine="0"/>
        <w:jc w:val="center"/>
        <w:rPr>
          <w:rFonts w:hint="eastAsia" w:ascii="仿宋" w:hAnsi="仿宋" w:eastAsia="仿宋" w:cs="仿宋"/>
          <w:color w:val="auto"/>
          <w:sz w:val="24"/>
          <w:szCs w:val="28"/>
        </w:rPr>
      </w:pPr>
      <w:r>
        <w:rPr>
          <w:rFonts w:hint="eastAsia" w:ascii="仿宋" w:hAnsi="仿宋" w:eastAsia="仿宋" w:cs="仿宋"/>
          <w:color w:val="auto"/>
          <w:sz w:val="24"/>
          <w:szCs w:val="28"/>
        </w:rPr>
        <w:t>第三章 合同条款及格式</w:t>
      </w:r>
      <w:r>
        <w:rPr>
          <w:rFonts w:hint="eastAsia" w:ascii="仿宋" w:hAnsi="仿宋" w:eastAsia="仿宋" w:cs="仿宋"/>
          <w:color w:val="auto"/>
          <w:sz w:val="24"/>
          <w:szCs w:val="28"/>
        </w:rPr>
        <w:tab/>
      </w:r>
    </w:p>
    <w:p w14:paraId="7ED1995D">
      <w:pPr>
        <w:pBdr>
          <w:top w:val="none" w:color="000000" w:sz="0" w:space="0"/>
          <w:left w:val="none" w:color="000000" w:sz="0" w:space="0"/>
          <w:bottom w:val="none" w:color="000000" w:sz="0" w:space="0"/>
          <w:right w:val="none" w:color="000000" w:sz="0" w:space="0"/>
        </w:pBdr>
        <w:tabs>
          <w:tab w:val="left" w:pos="8296"/>
        </w:tabs>
        <w:spacing w:before="240" w:after="240" w:line="85" w:lineRule="atLeast"/>
        <w:ind w:left="0" w:right="0" w:firstLine="0"/>
        <w:jc w:val="center"/>
        <w:rPr>
          <w:rFonts w:hint="eastAsia" w:ascii="仿宋" w:hAnsi="仿宋" w:eastAsia="仿宋" w:cs="仿宋"/>
          <w:color w:val="auto"/>
          <w:sz w:val="24"/>
          <w:szCs w:val="28"/>
        </w:rPr>
      </w:pPr>
      <w:r>
        <w:rPr>
          <w:rFonts w:hint="eastAsia" w:ascii="仿宋" w:hAnsi="仿宋" w:eastAsia="仿宋" w:cs="仿宋"/>
          <w:color w:val="auto"/>
          <w:sz w:val="24"/>
          <w:szCs w:val="28"/>
        </w:rPr>
        <w:t>第四章 项目需求</w:t>
      </w:r>
      <w:r>
        <w:rPr>
          <w:rFonts w:hint="eastAsia" w:ascii="仿宋" w:hAnsi="仿宋" w:eastAsia="仿宋" w:cs="仿宋"/>
          <w:color w:val="auto"/>
          <w:sz w:val="24"/>
          <w:szCs w:val="28"/>
        </w:rPr>
        <w:tab/>
      </w:r>
    </w:p>
    <w:p w14:paraId="6ACF24AD">
      <w:pPr>
        <w:pBdr>
          <w:top w:val="none" w:color="000000" w:sz="0" w:space="0"/>
          <w:left w:val="none" w:color="000000" w:sz="0" w:space="0"/>
          <w:bottom w:val="none" w:color="000000" w:sz="0" w:space="0"/>
          <w:right w:val="none" w:color="000000" w:sz="0" w:space="0"/>
        </w:pBdr>
        <w:tabs>
          <w:tab w:val="left" w:pos="8296"/>
        </w:tabs>
        <w:spacing w:before="240" w:after="240" w:line="85" w:lineRule="atLeast"/>
        <w:ind w:left="0" w:right="0" w:firstLine="0"/>
        <w:jc w:val="center"/>
        <w:rPr>
          <w:rFonts w:hint="eastAsia" w:ascii="仿宋" w:hAnsi="仿宋" w:eastAsia="仿宋" w:cs="仿宋"/>
          <w:color w:val="auto"/>
          <w:sz w:val="24"/>
          <w:szCs w:val="28"/>
        </w:rPr>
      </w:pPr>
      <w:r>
        <w:rPr>
          <w:rFonts w:hint="eastAsia" w:ascii="仿宋" w:hAnsi="仿宋" w:eastAsia="仿宋" w:cs="仿宋"/>
          <w:color w:val="auto"/>
          <w:sz w:val="24"/>
          <w:szCs w:val="28"/>
        </w:rPr>
        <w:t>第五章 评审方法及评审标准</w:t>
      </w:r>
      <w:r>
        <w:rPr>
          <w:rFonts w:hint="eastAsia" w:ascii="仿宋" w:hAnsi="仿宋" w:eastAsia="仿宋" w:cs="仿宋"/>
          <w:color w:val="auto"/>
          <w:sz w:val="24"/>
          <w:szCs w:val="28"/>
        </w:rPr>
        <w:tab/>
      </w:r>
    </w:p>
    <w:p w14:paraId="1EAAABC1">
      <w:pPr>
        <w:pBdr>
          <w:top w:val="none" w:color="000000" w:sz="0" w:space="0"/>
          <w:left w:val="none" w:color="000000" w:sz="0" w:space="0"/>
          <w:bottom w:val="none" w:color="000000" w:sz="0" w:space="0"/>
          <w:right w:val="none" w:color="000000" w:sz="0" w:space="0"/>
        </w:pBdr>
        <w:tabs>
          <w:tab w:val="left" w:pos="8296"/>
        </w:tabs>
        <w:spacing w:before="240" w:after="24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szCs w:val="28"/>
        </w:rPr>
        <w:t>第六章 竞争性磋商响应文件格式</w:t>
      </w:r>
      <w:r>
        <w:rPr>
          <w:rFonts w:hint="eastAsia" w:ascii="仿宋" w:hAnsi="仿宋" w:eastAsia="仿宋" w:cs="仿宋"/>
          <w:color w:val="auto"/>
          <w:sz w:val="21"/>
        </w:rPr>
        <w:tab/>
      </w:r>
    </w:p>
    <w:p w14:paraId="757CC9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8"/>
        </w:rPr>
        <w:t> </w:t>
      </w:r>
    </w:p>
    <w:p w14:paraId="51D5C6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18062050">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63B7D9B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outlineLvl w:val="0"/>
        <w:rPr>
          <w:rFonts w:hint="eastAsia" w:ascii="仿宋" w:hAnsi="仿宋" w:eastAsia="仿宋" w:cs="仿宋"/>
          <w:color w:val="auto"/>
        </w:rPr>
      </w:pPr>
      <w:r>
        <w:rPr>
          <w:rFonts w:hint="eastAsia" w:ascii="仿宋" w:hAnsi="仿宋" w:eastAsia="仿宋" w:cs="仿宋"/>
          <w:b/>
          <w:color w:val="auto"/>
          <w:sz w:val="44"/>
        </w:rPr>
        <w:t>第一章 竞争性磋商采购公告</w:t>
      </w:r>
    </w:p>
    <w:p w14:paraId="088494E5">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项目概况</w:t>
      </w:r>
    </w:p>
    <w:p w14:paraId="5601537D">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eastAsia="zh-CN"/>
        </w:rPr>
        <w:t>2025年南京市小行小学校舍维修改造项目</w:t>
      </w:r>
      <w:r>
        <w:rPr>
          <w:rFonts w:hint="eastAsia" w:ascii="仿宋" w:hAnsi="仿宋" w:eastAsia="仿宋" w:cs="仿宋"/>
          <w:color w:val="auto"/>
          <w:sz w:val="24"/>
          <w:szCs w:val="24"/>
        </w:rPr>
        <w:t>的潜在供应商可在江苏政府采购网苏采云系统下载采购文件，并于</w:t>
      </w:r>
      <w:r>
        <w:rPr>
          <w:rFonts w:hint="eastAsia" w:ascii="仿宋" w:hAnsi="仿宋" w:eastAsia="仿宋" w:cs="仿宋"/>
          <w:color w:val="auto"/>
          <w:sz w:val="24"/>
          <w:szCs w:val="24"/>
          <w:u w:val="single"/>
        </w:rPr>
        <w:t>2026</w:t>
      </w:r>
      <w:r>
        <w:rPr>
          <w:rFonts w:hint="eastAsia" w:ascii="仿宋" w:hAnsi="仿宋" w:eastAsia="仿宋" w:cs="仿宋"/>
          <w:color w:val="auto"/>
          <w:sz w:val="24"/>
          <w:szCs w:val="24"/>
          <w:highlight w:val="none"/>
          <w:u w:val="single"/>
        </w:rPr>
        <w:t>年0</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01</w:t>
      </w:r>
      <w:r>
        <w:rPr>
          <w:rFonts w:hint="eastAsia" w:ascii="仿宋" w:hAnsi="仿宋" w:eastAsia="仿宋" w:cs="仿宋"/>
          <w:color w:val="auto"/>
          <w:sz w:val="24"/>
          <w:szCs w:val="24"/>
          <w:u w:val="single"/>
        </w:rPr>
        <w:t>日14点00分</w:t>
      </w:r>
      <w:r>
        <w:rPr>
          <w:rFonts w:hint="eastAsia" w:ascii="仿宋" w:hAnsi="仿宋" w:eastAsia="仿宋" w:cs="仿宋"/>
          <w:color w:val="auto"/>
          <w:sz w:val="24"/>
          <w:szCs w:val="24"/>
        </w:rPr>
        <w:t>（北京时间）前提交响应文件。</w:t>
      </w:r>
    </w:p>
    <w:p w14:paraId="0D25FE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03D13B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u w:val="none"/>
          <w:lang w:eastAsia="zh-CN"/>
        </w:rPr>
        <w:t>JSZC-320114-NJJH-C2026-0002</w:t>
      </w:r>
    </w:p>
    <w:p w14:paraId="24B77F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lang w:eastAsia="zh-CN"/>
        </w:rPr>
        <w:t>2025年南京市小行小学校舍维修改造项目</w:t>
      </w:r>
    </w:p>
    <w:p w14:paraId="301B8C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采购方式：竞争性磋商</w:t>
      </w:r>
    </w:p>
    <w:p w14:paraId="0C8106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预算金额：</w:t>
      </w:r>
      <w:r>
        <w:rPr>
          <w:rFonts w:hint="eastAsia" w:ascii="仿宋" w:hAnsi="仿宋" w:eastAsia="仿宋" w:cs="仿宋"/>
          <w:color w:val="auto"/>
          <w:sz w:val="24"/>
          <w:szCs w:val="24"/>
          <w:lang w:eastAsia="zh-CN"/>
        </w:rPr>
        <w:t>276.770000</w:t>
      </w:r>
      <w:r>
        <w:rPr>
          <w:rFonts w:hint="eastAsia" w:ascii="仿宋" w:hAnsi="仿宋" w:eastAsia="仿宋" w:cs="仿宋"/>
          <w:color w:val="auto"/>
          <w:sz w:val="24"/>
          <w:szCs w:val="24"/>
        </w:rPr>
        <w:t>万元</w:t>
      </w:r>
    </w:p>
    <w:p w14:paraId="128FD1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最高限价：</w:t>
      </w:r>
      <w:r>
        <w:rPr>
          <w:rFonts w:hint="default" w:ascii="仿宋" w:hAnsi="仿宋" w:eastAsia="仿宋" w:cs="仿宋"/>
          <w:color w:val="auto"/>
          <w:sz w:val="24"/>
          <w:szCs w:val="24"/>
          <w:lang w:val="en-US" w:eastAsia="zh-CN"/>
        </w:rPr>
        <w:t>276.427582</w:t>
      </w:r>
      <w:r>
        <w:rPr>
          <w:rFonts w:hint="eastAsia" w:ascii="仿宋" w:hAnsi="仿宋" w:eastAsia="仿宋" w:cs="仿宋"/>
          <w:color w:val="auto"/>
          <w:sz w:val="24"/>
          <w:szCs w:val="24"/>
        </w:rPr>
        <w:t>万元</w:t>
      </w:r>
      <w:r>
        <w:rPr>
          <w:rFonts w:hint="eastAsia" w:ascii="仿宋" w:hAnsi="仿宋" w:eastAsia="仿宋" w:cs="仿宋"/>
          <w:b/>
          <w:color w:val="auto"/>
          <w:sz w:val="24"/>
          <w:szCs w:val="24"/>
        </w:rPr>
        <w:t>（超过最高限价的报价将会被作为无效响应文件处理）</w:t>
      </w:r>
    </w:p>
    <w:p w14:paraId="08AEA3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采购需求：2025年南京市小行小学校舍维修改造工程，包括对学校外立面墙体进行改造，改造面积约9800平方米、对地下室防水进行升级改造。具体要求详见竞争性磋商文件第四章。</w:t>
      </w:r>
    </w:p>
    <w:p w14:paraId="7BA30D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50日历天</w:t>
      </w:r>
      <w:r>
        <w:rPr>
          <w:rFonts w:hint="eastAsia" w:ascii="仿宋" w:hAnsi="仿宋" w:eastAsia="仿宋" w:cs="仿宋"/>
          <w:color w:val="auto"/>
          <w:sz w:val="24"/>
          <w:szCs w:val="24"/>
        </w:rPr>
        <w:t>。</w:t>
      </w:r>
    </w:p>
    <w:p w14:paraId="1A3911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本项目（是/否）接受联合体：否</w:t>
      </w:r>
    </w:p>
    <w:p w14:paraId="139FEA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二、申请人的资格要求：</w:t>
      </w:r>
    </w:p>
    <w:p w14:paraId="150922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（一）满足《中华人民共和国政府采购法》第二十二条规定：</w:t>
      </w:r>
    </w:p>
    <w:p w14:paraId="3309A724">
      <w:pPr>
        <w:keepNext w:val="0"/>
        <w:keepLines w:val="0"/>
        <w:pageBreakBefore w:val="0"/>
        <w:widowControl w:val="0"/>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具有独立承担民事责任的能力（提供法人或者其他组织的营业执照等证明文件加盖供应商公章）；</w:t>
      </w:r>
    </w:p>
    <w:p w14:paraId="739D010F">
      <w:pPr>
        <w:keepNext w:val="0"/>
        <w:keepLines w:val="0"/>
        <w:pageBreakBefore w:val="0"/>
        <w:widowControl w:val="0"/>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具有良好的商业信誉和健全的财务会计制度（提供2024年度或2025年度经审计的财务报告，或投标截止时间前六个月内银行出具的资信证明，成立不满一年的无须提供）；</w:t>
      </w:r>
    </w:p>
    <w:p w14:paraId="4D4F2877">
      <w:pPr>
        <w:keepNext w:val="0"/>
        <w:keepLines w:val="0"/>
        <w:pageBreakBefore w:val="0"/>
        <w:widowControl w:val="0"/>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具有履行合同所必需的设备和专业技术能力（供应商根据履行采购项目合同需要，提供履行合同所必需的设备和专业技术能力的声明函或证明材料）；</w:t>
      </w:r>
    </w:p>
    <w:p w14:paraId="46D1E21F">
      <w:pPr>
        <w:keepNext w:val="0"/>
        <w:keepLines w:val="0"/>
        <w:pageBreakBefore w:val="0"/>
        <w:widowControl w:val="0"/>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有依法缴纳税收和社会保障资金的良好记录（提供2025年10月至今）中任一月份的依法缴纳税收和社会保险费的相关材料（提供相关主管部门证明或银行代扣证明的复印件，根据国家相关政策免缴或迟缴的需提供相关证明材料）；</w:t>
      </w:r>
    </w:p>
    <w:p w14:paraId="630D5A6B">
      <w:pPr>
        <w:keepNext w:val="0"/>
        <w:keepLines w:val="0"/>
        <w:pageBreakBefore w:val="0"/>
        <w:widowControl w:val="0"/>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参加政府采购活动前三年内，在经营活动中没有重大违法记录（提供承诺书并加盖供应商公章）；</w:t>
      </w:r>
    </w:p>
    <w:p w14:paraId="14254721">
      <w:pPr>
        <w:keepNext w:val="0"/>
        <w:keepLines w:val="0"/>
        <w:pageBreakBefore w:val="0"/>
        <w:widowControl w:val="0"/>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法律、行政法规规定的其他条件；</w:t>
      </w:r>
    </w:p>
    <w:p w14:paraId="24B437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（二）落实政府采购政策需满足的资格要求：本项目为非预留份额的采购项目或采购包，执行价格扣除优惠政策，具体详见第五章评分标准。</w:t>
      </w:r>
    </w:p>
    <w:p w14:paraId="3B254A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（三）本项目的特定资格要求：</w:t>
      </w:r>
    </w:p>
    <w:p w14:paraId="219F2B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（1）供应商须具有：</w:t>
      </w:r>
      <w:r>
        <w:rPr>
          <w:rFonts w:hint="eastAsia" w:ascii="仿宋" w:hAnsi="仿宋" w:eastAsia="仿宋" w:cs="仿宋"/>
          <w:b/>
          <w:bCs/>
          <w:color w:val="auto"/>
          <w:sz w:val="24"/>
          <w:szCs w:val="24"/>
        </w:rPr>
        <w:t>施工总承包建筑工程三级(含)以上资质，同时具有国家行政主管部门核发的安全生产许可证 (提供有效的证书</w:t>
      </w:r>
      <w:r>
        <w:rPr>
          <w:rFonts w:hint="eastAsia" w:ascii="仿宋" w:hAnsi="仿宋" w:eastAsia="仿宋" w:cs="仿宋"/>
          <w:b/>
          <w:bCs/>
          <w:color w:val="auto"/>
          <w:sz w:val="24"/>
          <w:szCs w:val="24"/>
          <w:lang w:val="en-US" w:eastAsia="zh-CN"/>
        </w:rPr>
        <w:t>扫描件</w:t>
      </w:r>
      <w:r>
        <w:rPr>
          <w:rFonts w:hint="eastAsia" w:ascii="仿宋" w:hAnsi="仿宋" w:eastAsia="仿宋" w:cs="仿宋"/>
          <w:b/>
          <w:bCs/>
          <w:color w:val="auto"/>
          <w:sz w:val="24"/>
          <w:szCs w:val="24"/>
        </w:rPr>
        <w:t>加盖公章)</w:t>
      </w:r>
      <w:r>
        <w:rPr>
          <w:rFonts w:hint="eastAsia" w:ascii="仿宋" w:hAnsi="仿宋" w:eastAsia="仿宋" w:cs="仿宋"/>
          <w:color w:val="auto"/>
          <w:sz w:val="24"/>
          <w:szCs w:val="24"/>
        </w:rPr>
        <w:t>；</w:t>
      </w:r>
    </w:p>
    <w:p w14:paraId="6A505E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（2）供应商拟委派项目负责人须具有：</w:t>
      </w:r>
      <w:r>
        <w:rPr>
          <w:rFonts w:hint="eastAsia" w:ascii="仿宋" w:hAnsi="仿宋" w:eastAsia="仿宋" w:cs="仿宋"/>
          <w:b/>
          <w:bCs/>
          <w:color w:val="auto"/>
          <w:sz w:val="24"/>
          <w:szCs w:val="24"/>
        </w:rPr>
        <w:t>注册建造师证建筑工程二级(含)以上，且提供有效期内的安全生产考核B类证。供应商必须提供社保机构出具的近半年（2025年</w:t>
      </w:r>
      <w:r>
        <w:rPr>
          <w:rFonts w:hint="eastAsia" w:ascii="仿宋" w:hAnsi="仿宋" w:eastAsia="仿宋" w:cs="仿宋"/>
          <w:b/>
          <w:bCs/>
          <w:color w:val="auto"/>
          <w:sz w:val="24"/>
          <w:szCs w:val="24"/>
          <w:lang w:val="en-US" w:eastAsia="zh-CN"/>
        </w:rPr>
        <w:t>11</w:t>
      </w:r>
      <w:r>
        <w:rPr>
          <w:rFonts w:hint="eastAsia" w:ascii="仿宋" w:hAnsi="仿宋" w:eastAsia="仿宋" w:cs="仿宋"/>
          <w:b/>
          <w:bCs/>
          <w:color w:val="auto"/>
          <w:sz w:val="24"/>
          <w:szCs w:val="24"/>
        </w:rPr>
        <w:t>月-2026年</w:t>
      </w:r>
      <w:r>
        <w:rPr>
          <w:rFonts w:hint="eastAsia" w:ascii="仿宋" w:hAnsi="仿宋" w:eastAsia="仿宋" w:cs="仿宋"/>
          <w:b/>
          <w:bCs/>
          <w:color w:val="auto"/>
          <w:sz w:val="24"/>
          <w:szCs w:val="24"/>
          <w:lang w:val="en-US" w:eastAsia="zh-CN"/>
        </w:rPr>
        <w:t>04</w:t>
      </w:r>
      <w:r>
        <w:rPr>
          <w:rFonts w:hint="eastAsia" w:ascii="仿宋" w:hAnsi="仿宋" w:eastAsia="仿宋" w:cs="仿宋"/>
          <w:b/>
          <w:bCs/>
          <w:color w:val="auto"/>
          <w:sz w:val="24"/>
          <w:szCs w:val="24"/>
        </w:rPr>
        <w:t>月）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p>
    <w:p w14:paraId="088176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（3）项目负责人必须满足下列条件（</w:t>
      </w:r>
      <w:r>
        <w:rPr>
          <w:rFonts w:hint="eastAsia" w:ascii="仿宋" w:hAnsi="仿宋" w:eastAsia="仿宋" w:cs="仿宋"/>
          <w:b/>
          <w:bCs/>
          <w:color w:val="auto"/>
          <w:sz w:val="24"/>
          <w:szCs w:val="24"/>
        </w:rPr>
        <w:t>符合并提供加盖公章的承诺书</w:t>
      </w:r>
      <w:r>
        <w:rPr>
          <w:rFonts w:hint="eastAsia" w:ascii="仿宋" w:hAnsi="仿宋" w:eastAsia="仿宋" w:cs="仿宋"/>
          <w:color w:val="auto"/>
          <w:sz w:val="24"/>
          <w:szCs w:val="24"/>
        </w:rPr>
        <w:t>）： </w:t>
      </w:r>
    </w:p>
    <w:p w14:paraId="39A5F0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1）项目负责人不得同时在两个或者两个以上单位受聘或者执业；</w:t>
      </w:r>
    </w:p>
    <w:p w14:paraId="13539D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7B365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3）项目负责人无行贿犯罪行为记录；或者有行贿犯罪行为记录，但自记录之日起已超过5年的。</w:t>
      </w:r>
    </w:p>
    <w:p w14:paraId="1DB60E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（四）有下列情形之一的，不得参加本次采购活动：</w:t>
      </w:r>
    </w:p>
    <w:p w14:paraId="1933B8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p>
    <w:p w14:paraId="69B963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（2）为本采购项目提供整体设计、规范编制或者项目管理、监理、检测等服务的供应商，不得再参加该采购项目的其他采购活动；</w:t>
      </w:r>
    </w:p>
    <w:p w14:paraId="126D34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（3）参加本次采购活动不同供应商的法定代表人或委托代理人有夫妻、直系血亲关系的；</w:t>
      </w:r>
    </w:p>
    <w:p w14:paraId="6A8E73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（4）参加本次采购活动不同供应商的负责人为同一人，或不同供应商之间存在直接控股、管理关系的；</w:t>
      </w:r>
    </w:p>
    <w:p w14:paraId="644250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（5）如本项目接收联合体投标，联合体成员存在不良信用记录的，视同联合体存在不良信用记录。</w:t>
      </w:r>
    </w:p>
    <w:p w14:paraId="7F5932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三、获取采购文件</w:t>
      </w:r>
    </w:p>
    <w:p w14:paraId="2D7672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时间：自磋商公告发布之日5个工作日。</w:t>
      </w:r>
    </w:p>
    <w:p w14:paraId="45A779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地点：政府采购管理交易系统（苏采云）的网络</w:t>
      </w:r>
    </w:p>
    <w:p w14:paraId="3E558B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方式：</w:t>
      </w:r>
    </w:p>
    <w:p w14:paraId="57AB3F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bookmarkStart w:id="17" w:name="_GoBack"/>
      <w:bookmarkEnd w:id="17"/>
      <w:r>
        <w:rPr>
          <w:rFonts w:hint="eastAsia" w:ascii="仿宋" w:hAnsi="仿宋" w:eastAsia="仿宋" w:cs="仿宋"/>
          <w:b/>
          <w:color w:val="auto"/>
          <w:sz w:val="24"/>
          <w:szCs w:val="24"/>
        </w:rPr>
        <w:t>潜在供应商访问政府采购管理交易系统（苏采云）的网络地址和方法：</w:t>
      </w:r>
    </w:p>
    <w:p w14:paraId="37F603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竞争性磋商响应文件--导出加密的竞争性磋商响应文件（后缀名为zip）--通过“苏采云”系统上传竞争性磋商响应文件。</w:t>
      </w:r>
    </w:p>
    <w:p w14:paraId="3DC2B1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（2）“CA数字证书”的获取：供应商需办理CA锁，“苏采云”系统目前仅支持“苏采云”系统下的政务CA，省内各地区办理的“苏采云”系统下的政务CA全省通用。</w:t>
      </w:r>
    </w:p>
    <w:p w14:paraId="368CC4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（3）“CA数字证书”的办理材料以及供应商操作手册详见：http://jsxcmm.com/help/gys.html。</w:t>
      </w:r>
    </w:p>
    <w:p w14:paraId="175B41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（4）潜在供应商访问“苏采云”系统的网络地址和方法：“苏采云”系统的网址：http://jszfcg.jsczt.cn/jszc/login。</w:t>
      </w:r>
    </w:p>
    <w:p w14:paraId="6CCC86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（5）采购文件（后缀名为“.kedt”）、供应商操作手册及政府采购客户端工具也可通过“苏采云”系统--已报名项目--报名详情页面内相应链接进行下载。</w:t>
      </w:r>
    </w:p>
    <w:p w14:paraId="76C2DA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（6）招标代理机构（采购代理机构）将数据电文形式的采购文件加载至“苏采云”系统，供潜在供应商下载或者查阅。    </w:t>
      </w:r>
    </w:p>
    <w:p w14:paraId="717BE6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（7）苏采云系统使用谷歌浏览器参与不见面开标。</w:t>
      </w:r>
    </w:p>
    <w:p w14:paraId="6D9373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default"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售价;0.00元</w:t>
      </w:r>
    </w:p>
    <w:p w14:paraId="0FE74F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594CDB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1.截止时间：2026年</w:t>
      </w:r>
      <w:r>
        <w:rPr>
          <w:rFonts w:hint="eastAsia" w:ascii="仿宋" w:hAnsi="仿宋" w:eastAsia="仿宋" w:cs="仿宋"/>
          <w:color w:val="auto"/>
          <w:sz w:val="24"/>
          <w:szCs w:val="24"/>
          <w:highlight w:val="yellow"/>
        </w:rPr>
        <w:t>0</w:t>
      </w:r>
      <w:r>
        <w:rPr>
          <w:rFonts w:hint="eastAsia" w:ascii="仿宋" w:hAnsi="仿宋" w:eastAsia="仿宋" w:cs="仿宋"/>
          <w:color w:val="auto"/>
          <w:sz w:val="24"/>
          <w:szCs w:val="24"/>
          <w:highlight w:val="yellow"/>
          <w:lang w:val="en-US" w:eastAsia="zh-CN"/>
        </w:rPr>
        <w:t>6</w:t>
      </w:r>
      <w:r>
        <w:rPr>
          <w:rFonts w:hint="eastAsia" w:ascii="仿宋" w:hAnsi="仿宋" w:eastAsia="仿宋" w:cs="仿宋"/>
          <w:color w:val="auto"/>
          <w:sz w:val="24"/>
          <w:szCs w:val="24"/>
          <w:highlight w:val="yellow"/>
        </w:rPr>
        <w:t>月</w:t>
      </w:r>
      <w:r>
        <w:rPr>
          <w:rFonts w:hint="eastAsia" w:ascii="仿宋" w:hAnsi="仿宋" w:eastAsia="仿宋" w:cs="仿宋"/>
          <w:color w:val="auto"/>
          <w:sz w:val="24"/>
          <w:szCs w:val="24"/>
          <w:highlight w:val="yellow"/>
          <w:lang w:val="en-US" w:eastAsia="zh-CN"/>
        </w:rPr>
        <w:t>01</w:t>
      </w:r>
      <w:r>
        <w:rPr>
          <w:rFonts w:hint="eastAsia" w:ascii="仿宋" w:hAnsi="仿宋" w:eastAsia="仿宋" w:cs="仿宋"/>
          <w:color w:val="auto"/>
          <w:sz w:val="24"/>
          <w:szCs w:val="24"/>
          <w:highlight w:val="yellow"/>
        </w:rPr>
        <w:t>日</w:t>
      </w:r>
      <w:r>
        <w:rPr>
          <w:rFonts w:hint="eastAsia" w:ascii="仿宋" w:hAnsi="仿宋" w:eastAsia="仿宋" w:cs="仿宋"/>
          <w:color w:val="auto"/>
          <w:sz w:val="24"/>
          <w:szCs w:val="24"/>
        </w:rPr>
        <w:t>14:00（北京时间）</w:t>
      </w:r>
    </w:p>
    <w:p w14:paraId="34AB89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2.投标地点：“苏采云”系统（网址： http://jszfcg.jsczt.cn/）</w:t>
      </w:r>
    </w:p>
    <w:p w14:paraId="387D4F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659279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1.时间：2026年</w:t>
      </w:r>
      <w:r>
        <w:rPr>
          <w:rFonts w:hint="eastAsia" w:ascii="仿宋" w:hAnsi="仿宋" w:eastAsia="仿宋" w:cs="仿宋"/>
          <w:color w:val="auto"/>
          <w:sz w:val="24"/>
          <w:szCs w:val="24"/>
          <w:highlight w:val="yellow"/>
        </w:rPr>
        <w:t>0</w:t>
      </w:r>
      <w:r>
        <w:rPr>
          <w:rFonts w:hint="eastAsia" w:ascii="仿宋" w:hAnsi="仿宋" w:eastAsia="仿宋" w:cs="仿宋"/>
          <w:color w:val="auto"/>
          <w:sz w:val="24"/>
          <w:szCs w:val="24"/>
          <w:highlight w:val="yellow"/>
          <w:lang w:val="en-US" w:eastAsia="zh-CN"/>
        </w:rPr>
        <w:t>6</w:t>
      </w:r>
      <w:r>
        <w:rPr>
          <w:rFonts w:hint="eastAsia" w:ascii="仿宋" w:hAnsi="仿宋" w:eastAsia="仿宋" w:cs="仿宋"/>
          <w:color w:val="auto"/>
          <w:sz w:val="24"/>
          <w:szCs w:val="24"/>
          <w:highlight w:val="yellow"/>
        </w:rPr>
        <w:t>月</w:t>
      </w:r>
      <w:r>
        <w:rPr>
          <w:rFonts w:hint="eastAsia" w:ascii="仿宋" w:hAnsi="仿宋" w:eastAsia="仿宋" w:cs="仿宋"/>
          <w:color w:val="auto"/>
          <w:sz w:val="24"/>
          <w:szCs w:val="24"/>
          <w:highlight w:val="yellow"/>
          <w:lang w:val="en-US" w:eastAsia="zh-CN"/>
        </w:rPr>
        <w:t>01</w:t>
      </w:r>
      <w:r>
        <w:rPr>
          <w:rFonts w:hint="eastAsia" w:ascii="仿宋" w:hAnsi="仿宋" w:eastAsia="仿宋" w:cs="仿宋"/>
          <w:color w:val="auto"/>
          <w:sz w:val="24"/>
          <w:szCs w:val="24"/>
          <w:highlight w:val="yellow"/>
        </w:rPr>
        <w:t>日</w:t>
      </w:r>
      <w:r>
        <w:rPr>
          <w:rFonts w:hint="eastAsia" w:ascii="仿宋" w:hAnsi="仿宋" w:eastAsia="仿宋" w:cs="仿宋"/>
          <w:color w:val="auto"/>
          <w:sz w:val="24"/>
          <w:szCs w:val="24"/>
        </w:rPr>
        <w:t>14:00（北京时间）</w:t>
      </w:r>
    </w:p>
    <w:p w14:paraId="44CDA5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2.开标地点：“苏采云”系统（网址： http://jszfcg.jsczt.cn/）</w:t>
      </w:r>
    </w:p>
    <w:p w14:paraId="0AC822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6F4D6C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自本公告发布之日起3个工作日。</w:t>
      </w:r>
    </w:p>
    <w:p w14:paraId="014921F8">
      <w:pPr>
        <w:keepNext w:val="0"/>
        <w:keepLines w:val="0"/>
        <w:pageBreakBefore w:val="0"/>
        <w:widowControl w:val="0"/>
        <w:numPr>
          <w:ilvl w:val="-1"/>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lang w:val="en-US" w:eastAsia="zh-CN"/>
        </w:rPr>
        <w:t>七、</w:t>
      </w:r>
      <w:r>
        <w:rPr>
          <w:rFonts w:hint="eastAsia" w:ascii="仿宋" w:hAnsi="仿宋" w:eastAsia="仿宋" w:cs="仿宋"/>
          <w:b/>
          <w:color w:val="auto"/>
          <w:sz w:val="24"/>
          <w:szCs w:val="24"/>
        </w:rPr>
        <w:t>其他补充事宜</w:t>
      </w:r>
    </w:p>
    <w:p w14:paraId="28F540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A7EA8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2、根据苏建函建管〔2019〕393号文及建办市〔2019〕50号文规定，已取消一级、二级临时建造师执业证书，因此本项目不接受持临时建造师执业资格的项目负责人投标。</w:t>
      </w:r>
    </w:p>
    <w:p w14:paraId="1C9790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3、建设工程企业资质证书有效期延期执行国家及省、市相关文件规定。</w:t>
      </w:r>
    </w:p>
    <w:p w14:paraId="0D0E43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4、根据住房和城乡建设部办公厅关于全面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若提供的电子件无法识别有效信息的，视为无效。供应商将自行承担资格审查不通过等相应后果。</w:t>
      </w:r>
    </w:p>
    <w:p w14:paraId="16947E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5、根据江苏《省住房和城乡建设厅关于我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投标人须将二级建造师证书电子注册证书编入竞争性磋商响应文件，电子注册证书应当符合相关文件规定，证书应当在使用有效期限内。若上传的电子件无法识别有效信息的，视为无效，投标人将自行承担资格审查不通过等相应后果。</w:t>
      </w:r>
    </w:p>
    <w:p w14:paraId="56C55A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227FD8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7.供应商如确定参加磋商，可自行下载采购文件及有关资料，按照《操作手册》进行注册，领取CA和办理电子签章，并按《操作手册》要求制作、上传电子</w:t>
      </w:r>
      <w:r>
        <w:rPr>
          <w:rFonts w:hint="eastAsia" w:ascii="仿宋" w:hAnsi="仿宋" w:eastAsia="仿宋" w:cs="仿宋"/>
          <w:b/>
          <w:color w:val="auto"/>
          <w:sz w:val="24"/>
          <w:szCs w:val="24"/>
        </w:rPr>
        <w:t>竞争性磋商响应文件</w:t>
      </w:r>
      <w:r>
        <w:rPr>
          <w:rFonts w:hint="eastAsia" w:ascii="仿宋" w:hAnsi="仿宋" w:eastAsia="仿宋" w:cs="仿宋"/>
          <w:color w:val="auto"/>
          <w:sz w:val="24"/>
          <w:szCs w:val="24"/>
        </w:rPr>
        <w:t>。</w:t>
      </w:r>
    </w:p>
    <w:p w14:paraId="46C4C6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未及时关注磋商（谈判）程序等自身原因，导致磋商（谈判）失败，供应商自行承担其后果。</w:t>
      </w:r>
    </w:p>
    <w:p w14:paraId="24F6F5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CD3C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.落实政府采购《绿色建筑和绿色建材政府采购需求标准》（财库〔2022〕35号文）和《政府采购支持绿色建材促进建筑品质提升政策项目实施指南》（财办库〔2023〕52号）文件标准。</w:t>
      </w:r>
    </w:p>
    <w:p w14:paraId="360C5D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.潜在供应商对采购文件项目需求部分的询问、质疑请向采购人提出，由采购人负责答复。</w:t>
      </w:r>
    </w:p>
    <w:p w14:paraId="51867F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w:t>
      </w:r>
      <w:r>
        <w:rPr>
          <w:rFonts w:hint="eastAsia" w:ascii="仿宋" w:hAnsi="仿宋" w:eastAsia="仿宋" w:cs="仿宋"/>
          <w:b/>
          <w:color w:val="auto"/>
          <w:sz w:val="24"/>
          <w:szCs w:val="24"/>
        </w:rPr>
        <w:t>本次采购不收取投标保证金。</w:t>
      </w:r>
    </w:p>
    <w:p w14:paraId="611B41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.拒绝下述供应商参加本次采购活动：</w:t>
      </w:r>
    </w:p>
    <w:p w14:paraId="7A195E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（1）供应商单位负责人为同一人或者存在直接控股、管理关系的不同供应商，不得参加同一合同项下的政府采购活动；</w:t>
      </w:r>
    </w:p>
    <w:p w14:paraId="46A4E9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（2）为采购项目提供整体设计、规范编制或者项目管理、监理、检测等服务的供应商，不得参加本项目的采购活动；</w:t>
      </w:r>
    </w:p>
    <w:p w14:paraId="028413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.现场考察、答疑时间：采购人统一组织，具体内容详见第四章项目需求；</w:t>
      </w:r>
    </w:p>
    <w:p w14:paraId="0C7F52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.根据《关于在政府采购活动中推行信用承诺制的通知》（宁财购通[2021]5号）的规定，本项目磋商公告“二、申请人的资格要求 第（一）条”中涉及的证明材料，供应商可以在响应文件中一次性提交，也可以在响应文件中提供满足相应条件的书面承诺书（详见磋商文件第六章），不再需要提供上述涉及的证明材料。</w:t>
      </w:r>
    </w:p>
    <w:p w14:paraId="6E502E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供应商仅提供信用承诺书而未提供“二、申请人的资格要求 第（一）条”中涉及的证明材料的，须在成交后，另行提供上述由信用承诺书替代的证明材料（一式三份），材料须加盖公章并按磋商文件要求胶装提交采购人或采购代理机构核验。经核验无误后，由采购人或采购代理机构发出成交通知书。</w:t>
      </w:r>
    </w:p>
    <w:p w14:paraId="1C2AB3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供应商涉及以下情形的，不适用信用承诺，仍须提供上述证明材料：</w:t>
      </w:r>
    </w:p>
    <w:p w14:paraId="2DC149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（1）供应商被列入严重失信主体名单；</w:t>
      </w:r>
    </w:p>
    <w:p w14:paraId="5D5213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（2）被相关监管部门作出行政处罚且尚在处罚有效期内；</w:t>
      </w:r>
    </w:p>
    <w:p w14:paraId="687E78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（3）其他法律、行政法规规定的不适用信用承诺的情形。</w:t>
      </w:r>
    </w:p>
    <w:p w14:paraId="3608A4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供应商对信用承诺内容的真实性、合法性、有效性负责。如作出虚假信用承诺，视同为“提供虚假材料谋取中标、成交”的违法行为。</w:t>
      </w:r>
    </w:p>
    <w:p w14:paraId="1E49B3D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20" w:firstLineChars="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16.</w:t>
      </w:r>
      <w:r>
        <w:rPr>
          <w:rFonts w:hint="eastAsia" w:ascii="仿宋" w:hAnsi="仿宋" w:eastAsia="仿宋" w:cs="仿宋"/>
          <w:color w:val="auto"/>
          <w:sz w:val="24"/>
          <w:szCs w:val="24"/>
        </w:rPr>
        <w:t>有关本次采购的事项若存在变动或修改，敬请及时关注“江苏政府采购网”发布的信息。</w:t>
      </w:r>
    </w:p>
    <w:p w14:paraId="08D974AA">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20" w:firstLineChars="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17.</w:t>
      </w:r>
      <w:r>
        <w:rPr>
          <w:rFonts w:hint="eastAsia" w:ascii="仿宋" w:hAnsi="仿宋" w:eastAsia="仿宋" w:cs="仿宋"/>
          <w:color w:val="auto"/>
          <w:sz w:val="24"/>
          <w:szCs w:val="24"/>
          <w:lang w:val="zh-CN"/>
        </w:rPr>
        <w:t>本项目采购标的对应的中小企业划分标准所属行业：</w:t>
      </w:r>
      <w:r>
        <w:rPr>
          <w:rFonts w:hint="eastAsia" w:ascii="仿宋" w:hAnsi="仿宋" w:eastAsia="仿宋" w:cs="仿宋"/>
          <w:color w:val="auto"/>
          <w:sz w:val="24"/>
          <w:szCs w:val="24"/>
        </w:rPr>
        <w:t>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b/>
          <w:bCs/>
          <w:color w:val="auto"/>
          <w:sz w:val="24"/>
          <w:szCs w:val="24"/>
        </w:rPr>
        <w:t>建筑业</w:t>
      </w:r>
      <w:r>
        <w:rPr>
          <w:rFonts w:hint="eastAsia" w:ascii="仿宋" w:hAnsi="仿宋" w:eastAsia="仿宋" w:cs="仿宋"/>
          <w:color w:val="auto"/>
          <w:sz w:val="24"/>
          <w:szCs w:val="24"/>
        </w:rPr>
        <w:t>。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06F62B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leftChars="0" w:right="0" w:rightChars="0"/>
        <w:jc w:val="both"/>
        <w:textAlignment w:val="auto"/>
        <w:rPr>
          <w:rFonts w:hint="eastAsia" w:ascii="仿宋" w:hAnsi="仿宋" w:eastAsia="仿宋" w:cs="仿宋"/>
          <w:color w:val="auto"/>
          <w:sz w:val="24"/>
          <w:szCs w:val="24"/>
        </w:rPr>
      </w:pPr>
    </w:p>
    <w:p w14:paraId="2BE65E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八、对本次采购项目提出询问，请按以下方式联系</w:t>
      </w:r>
    </w:p>
    <w:p w14:paraId="79F9B3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none"/>
        </w:rPr>
        <w:t>1</w:t>
      </w:r>
      <w:r>
        <w:rPr>
          <w:rFonts w:hint="eastAsia" w:ascii="仿宋" w:hAnsi="仿宋" w:eastAsia="仿宋" w:cs="仿宋"/>
          <w:color w:val="auto"/>
          <w:sz w:val="24"/>
          <w:szCs w:val="24"/>
        </w:rPr>
        <w:t>.采购人信息</w:t>
      </w:r>
    </w:p>
    <w:p w14:paraId="4B4C54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南京市小行小学</w:t>
      </w:r>
    </w:p>
    <w:p w14:paraId="42E9DE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南京市雨花台区赛虹桥街道小行路54号</w:t>
      </w:r>
    </w:p>
    <w:p w14:paraId="777810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 系 人：郑工</w:t>
      </w:r>
    </w:p>
    <w:p w14:paraId="7A3BB0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联系方式：025-52887991</w:t>
      </w:r>
    </w:p>
    <w:p w14:paraId="0B29DE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2.采购代理机构信息</w:t>
      </w:r>
    </w:p>
    <w:p w14:paraId="534E0D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南京佳涵工程咨询有限公司</w:t>
      </w:r>
    </w:p>
    <w:p w14:paraId="5E5CF0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址：</w:t>
      </w:r>
      <w:r>
        <w:rPr>
          <w:rFonts w:hint="eastAsia" w:ascii="仿宋" w:hAnsi="仿宋" w:eastAsia="仿宋" w:cs="仿宋"/>
          <w:color w:val="auto"/>
          <w:sz w:val="24"/>
          <w:szCs w:val="24"/>
          <w:lang w:eastAsia="zh-CN"/>
        </w:rPr>
        <w:t>南京市建邺区庐山路158号嘉业国际3号楼1008</w:t>
      </w:r>
    </w:p>
    <w:p w14:paraId="1B7B76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025-57625627</w:t>
      </w:r>
    </w:p>
    <w:p w14:paraId="6A2116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3.项目联系方式</w:t>
      </w:r>
    </w:p>
    <w:p w14:paraId="0C3D57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项目联系人：</w:t>
      </w:r>
      <w:r>
        <w:rPr>
          <w:rFonts w:hint="eastAsia" w:ascii="仿宋" w:hAnsi="仿宋" w:eastAsia="仿宋" w:cs="仿宋"/>
          <w:color w:val="auto"/>
          <w:sz w:val="24"/>
          <w:szCs w:val="24"/>
          <w:lang w:eastAsia="zh-CN"/>
        </w:rPr>
        <w:t>翟晓琴</w:t>
      </w:r>
    </w:p>
    <w:p w14:paraId="538D99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电　　 话：</w:t>
      </w:r>
      <w:r>
        <w:rPr>
          <w:rFonts w:hint="eastAsia" w:ascii="仿宋" w:hAnsi="仿宋" w:eastAsia="仿宋" w:cs="仿宋"/>
          <w:color w:val="auto"/>
          <w:sz w:val="24"/>
          <w:szCs w:val="24"/>
          <w:lang w:eastAsia="zh-CN"/>
        </w:rPr>
        <w:t>025-57625627</w:t>
      </w:r>
    </w:p>
    <w:p w14:paraId="3176398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 </w:t>
      </w:r>
    </w:p>
    <w:p w14:paraId="2695208A">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2D520CD0">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outlineLvl w:val="0"/>
        <w:rPr>
          <w:rFonts w:hint="eastAsia" w:ascii="仿宋" w:hAnsi="仿宋" w:eastAsia="仿宋" w:cs="仿宋"/>
          <w:color w:val="auto"/>
        </w:rPr>
      </w:pPr>
      <w:r>
        <w:rPr>
          <w:rFonts w:hint="eastAsia" w:ascii="仿宋" w:hAnsi="仿宋" w:eastAsia="仿宋" w:cs="仿宋"/>
          <w:b/>
          <w:color w:val="auto"/>
          <w:sz w:val="44"/>
        </w:rPr>
        <w:t>第二章 磋商须知</w:t>
      </w:r>
    </w:p>
    <w:p w14:paraId="0BE199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1、采购方式</w:t>
      </w:r>
    </w:p>
    <w:p w14:paraId="68544E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 本次采购采取竞争性磋商方式，本采购文件仅适用于本采购项目。</w:t>
      </w:r>
    </w:p>
    <w:p w14:paraId="7BDFBD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2、供应商</w:t>
      </w:r>
    </w:p>
    <w:p w14:paraId="6E00E3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 参加竞争性磋商的供应商以下简称“供应商”，是指参加磋商并符合采购文件规定资格条件的法人、其他组织或者自然人。</w:t>
      </w:r>
    </w:p>
    <w:p w14:paraId="3A659C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2.2合格的供应商</w:t>
      </w:r>
    </w:p>
    <w:p w14:paraId="25BC34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2.2.1 满足采购公告中供应商的资格条件要求的规定。</w:t>
      </w:r>
    </w:p>
    <w:p w14:paraId="0C6FE0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2.2.2 满足本文件实质性条款的规定。</w:t>
      </w:r>
    </w:p>
    <w:p w14:paraId="5B339C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3、适用法律</w:t>
      </w:r>
    </w:p>
    <w:p w14:paraId="3DD938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 本次采购及由此产生的合同受中华人民共和国有关的法律法规制约和保护。</w:t>
      </w:r>
    </w:p>
    <w:p w14:paraId="679617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4、磋商费用：</w:t>
      </w:r>
    </w:p>
    <w:p w14:paraId="266D9A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4.1</w:t>
      </w:r>
      <w:r>
        <w:rPr>
          <w:rFonts w:hint="eastAsia" w:ascii="仿宋" w:hAnsi="仿宋" w:eastAsia="仿宋" w:cs="仿宋"/>
          <w:color w:val="auto"/>
          <w:sz w:val="24"/>
          <w:szCs w:val="24"/>
        </w:rPr>
        <w:t>供应商应自行承担所有参加磋商有关的费用。</w:t>
      </w:r>
    </w:p>
    <w:p w14:paraId="11477D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4.2 本项目采购代理服务费收费标准：本项目代理费及评审费由采购人承担。</w:t>
      </w:r>
    </w:p>
    <w:p w14:paraId="7CA77C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5、采购文件的约束力</w:t>
      </w:r>
    </w:p>
    <w:p w14:paraId="4C126B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5.1 供应商一旦参加本项目采购活动，即被认为接受了本采购文件的规定和约束。</w:t>
      </w:r>
    </w:p>
    <w:p w14:paraId="637576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6、采购文件构成</w:t>
      </w:r>
    </w:p>
    <w:p w14:paraId="6C380D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6.1 采购文件有以下部分组成：</w:t>
      </w:r>
    </w:p>
    <w:p w14:paraId="5757DB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（1）采购公告</w:t>
      </w:r>
    </w:p>
    <w:p w14:paraId="445D02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（2）磋商须知</w:t>
      </w:r>
      <w:r>
        <w:rPr>
          <w:rFonts w:hint="eastAsia" w:ascii="仿宋" w:hAnsi="仿宋" w:eastAsia="仿宋" w:cs="仿宋"/>
          <w:color w:val="auto"/>
          <w:sz w:val="24"/>
          <w:szCs w:val="24"/>
        </w:rPr>
        <w:tab/>
      </w:r>
    </w:p>
    <w:p w14:paraId="7CA891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（3）合同条款及格式</w:t>
      </w:r>
    </w:p>
    <w:p w14:paraId="67DE05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（4）项目需求</w:t>
      </w:r>
    </w:p>
    <w:p w14:paraId="2159D4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（5）评审方法与评审标准</w:t>
      </w:r>
    </w:p>
    <w:p w14:paraId="397BF9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（6）竞争性磋商响应文件格式</w:t>
      </w:r>
    </w:p>
    <w:p w14:paraId="45A614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请仔细检查采购文件是否齐全，如有缺漏请立即与代理机构联系解决。</w:t>
      </w:r>
    </w:p>
    <w:p w14:paraId="60BC01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6.2 采购的最小单位是包。采购服务数量及技术要求中未分包的，供应商对要求提供的服务不得部分响应；采购服务数量及技术要求中已经分包的，应当以包为单位响应。</w:t>
      </w:r>
    </w:p>
    <w:p w14:paraId="04A4C9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6.3 采购文件如果要求供应商提交备选响应方案的，供应商可以提交备选方案；否则，备选方案将被拒绝。</w:t>
      </w:r>
    </w:p>
    <w:p w14:paraId="242368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62CBE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7、采购文件的澄清</w:t>
      </w:r>
    </w:p>
    <w:p w14:paraId="77529B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7.1 任何要求对采购文件进行澄清的供应商，应在提交首次响应文件截止时间至少5日前按采购公告中的通讯地址，以书面形式通知代理机构。</w:t>
      </w:r>
    </w:p>
    <w:p w14:paraId="3FAD5A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8、采购文件的修改</w:t>
      </w:r>
    </w:p>
    <w:p w14:paraId="2F9BD3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74176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8.2采购文件的修改将在“江苏政府采购网”公布，补充文件将作为采购文件的组成部分，并对供应商具有约束力。</w:t>
      </w:r>
    </w:p>
    <w:p w14:paraId="7DC922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9、采购文件的语言、度量衡单位、货币</w:t>
      </w:r>
    </w:p>
    <w:p w14:paraId="3DA92A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9.1供应商提交的响应文件以及供应商与代理机构就有关磋商的所有来往通知、函件和文件均应使用简体中文。</w:t>
      </w:r>
    </w:p>
    <w:p w14:paraId="214E44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9.2 除技术性能另有规定外，采购文件所使用的度量衡单位，均须采用国家法定计量单位。</w:t>
      </w:r>
    </w:p>
    <w:p w14:paraId="515FCC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9.3采购文件中的服务单价和总价无特殊规定的采用人民币报价，以元为单位标注。采购文件中另有规定的按规定执行。</w:t>
      </w:r>
    </w:p>
    <w:p w14:paraId="40665B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10、响应文件构成</w:t>
      </w:r>
    </w:p>
    <w:p w14:paraId="416FD1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10.1磋商文件由以下部分组成</w:t>
      </w:r>
    </w:p>
    <w:p w14:paraId="31DEA1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（1）资格审查响应对照表</w:t>
      </w:r>
    </w:p>
    <w:p w14:paraId="68B3CF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（2）符合性审查响应对照表</w:t>
      </w:r>
    </w:p>
    <w:p w14:paraId="25EB96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（3）磋商响应报价表 </w:t>
      </w:r>
    </w:p>
    <w:p w14:paraId="24A1F7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（4）技术参数响应及偏离表 </w:t>
      </w:r>
    </w:p>
    <w:p w14:paraId="10B5CA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（5）商务条款响应及偏离表 </w:t>
      </w:r>
    </w:p>
    <w:p w14:paraId="6ECA9E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（6）其他 （供应商认为有必要提供的声明和文件，如有自拟并自行添加）</w:t>
      </w:r>
    </w:p>
    <w:p w14:paraId="5358AD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10.2 供应商应当根据采购文件要求编制响应文件，响应文件应对采购文件提出的要求和条件作出响应，并在相应的响应文件中逐条标明满足与否。</w:t>
      </w:r>
    </w:p>
    <w:p w14:paraId="1B3DB5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11、证明供应商资格及符合采购文件规定的文件</w:t>
      </w:r>
    </w:p>
    <w:p w14:paraId="0007BA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11.1供应商应按要求提交资格证明文件及符合采购文件规定的文件。</w:t>
      </w:r>
    </w:p>
    <w:p w14:paraId="6237E7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11.2供应商应提交证明其有资格参加磋商和成交后有能力独立履行合同的文件。</w:t>
      </w:r>
    </w:p>
    <w:p w14:paraId="3806A5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11.3供应商除必须具有履行合同所需提供的产品或服务的能力外，还必须具备相应的财务、技术方面的能力。</w:t>
      </w:r>
    </w:p>
    <w:p w14:paraId="6EB068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11.4供应商应提交根据合同要求提供的证明服务质量合格以及符合采购文件规定的证明文件。</w:t>
      </w:r>
    </w:p>
    <w:p w14:paraId="2E194C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11.5证明供应商所提供服务与采购文件的要求相一致的文件可以是手册、图纸、文字资料和数据。</w:t>
      </w:r>
    </w:p>
    <w:p w14:paraId="463D64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12、磋商响应报价表</w:t>
      </w:r>
    </w:p>
    <w:p w14:paraId="3348ED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12.1 供应商应按照采购文件规定格式填报磋商响应报价表，每项服务只允许有一个报价，任何有选择的报价将不予接受。</w:t>
      </w:r>
    </w:p>
    <w:p w14:paraId="4E1055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12.2 标的物</w:t>
      </w:r>
    </w:p>
    <w:p w14:paraId="726291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采购人需求的服务供应、安装，调试及有关技术服务等。</w:t>
      </w:r>
    </w:p>
    <w:p w14:paraId="22912C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12.3其它费用处理</w:t>
      </w:r>
    </w:p>
    <w:p w14:paraId="75A338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采购文件未列明，而供应商认为必需的费用也需列入报价。</w:t>
      </w:r>
    </w:p>
    <w:p w14:paraId="70DEC9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13、技术参数响应及偏离表、商务条款响应及偏离表及磋商服务说明</w:t>
      </w:r>
    </w:p>
    <w:p w14:paraId="0492CF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13.1 对采购文件中的技术与商务条款要求逐项作出响应或偏离，并说明原因；</w:t>
      </w:r>
    </w:p>
    <w:p w14:paraId="767FE4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13.2 提供参加本项目类似案例简介；</w:t>
      </w:r>
    </w:p>
    <w:p w14:paraId="337D43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13.3 详细阐述所投服务的主要组成部分、功能设计、实现思路及关键技术；</w:t>
      </w:r>
    </w:p>
    <w:p w14:paraId="6436C0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13.4 供应商认为需要的其他技术文件或说明。</w:t>
      </w:r>
    </w:p>
    <w:p w14:paraId="57499B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14、服务承诺及售后服务机构、人员的情况介绍</w:t>
      </w:r>
    </w:p>
    <w:p w14:paraId="212397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14.1供应商的服务承诺应按不低于采购文件中商务要求的标准。</w:t>
      </w:r>
    </w:p>
    <w:p w14:paraId="48DC9A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14.2提供供应商有关售后服务的管理制度、售后服务机构的分布情况、售后服务人员的数量、素质、技术水平及售后服务的反应能力。</w:t>
      </w:r>
    </w:p>
    <w:p w14:paraId="03B0C6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15、磋商响应函</w:t>
      </w:r>
    </w:p>
    <w:p w14:paraId="0F814C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15.1 供应商应按照政府采购交易管理系统提供的格式完整、正确填写磋商响应函。</w:t>
      </w:r>
    </w:p>
    <w:p w14:paraId="0A56F9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16、磋商响应有效期</w:t>
      </w:r>
    </w:p>
    <w:p w14:paraId="4858D5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16.1 </w:t>
      </w:r>
      <w:r>
        <w:rPr>
          <w:rFonts w:hint="eastAsia" w:ascii="仿宋" w:hAnsi="仿宋" w:eastAsia="仿宋" w:cs="仿宋"/>
          <w:b/>
          <w:color w:val="auto"/>
          <w:sz w:val="24"/>
          <w:szCs w:val="24"/>
        </w:rPr>
        <w:t>磋商响应有效期为代理机构规定的响应文件接收截止时间后</w:t>
      </w:r>
      <w:r>
        <w:rPr>
          <w:rFonts w:hint="eastAsia" w:ascii="仿宋" w:hAnsi="仿宋" w:eastAsia="仿宋" w:cs="仿宋"/>
          <w:b/>
          <w:color w:val="auto"/>
          <w:sz w:val="24"/>
          <w:szCs w:val="24"/>
          <w:u w:val="single"/>
        </w:rPr>
        <w:t>六十（60）天</w:t>
      </w:r>
      <w:r>
        <w:rPr>
          <w:rFonts w:hint="eastAsia" w:ascii="仿宋" w:hAnsi="仿宋" w:eastAsia="仿宋" w:cs="仿宋"/>
          <w:b/>
          <w:color w:val="auto"/>
          <w:sz w:val="24"/>
          <w:szCs w:val="24"/>
        </w:rPr>
        <w:t>。</w:t>
      </w:r>
      <w:r>
        <w:rPr>
          <w:rFonts w:hint="eastAsia" w:ascii="仿宋" w:hAnsi="仿宋" w:eastAsia="仿宋" w:cs="仿宋"/>
          <w:color w:val="auto"/>
          <w:sz w:val="24"/>
          <w:szCs w:val="24"/>
        </w:rPr>
        <w:t>磋商响应有效期比规定短的将被视为非实质性响应性而予以拒绝。</w:t>
      </w:r>
    </w:p>
    <w:p w14:paraId="572C4D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0900F8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none"/>
        </w:rPr>
        <w:t>17、响应文件</w:t>
      </w:r>
      <w:r>
        <w:rPr>
          <w:rFonts w:hint="eastAsia" w:ascii="仿宋" w:hAnsi="仿宋" w:eastAsia="仿宋" w:cs="仿宋"/>
          <w:color w:val="auto"/>
          <w:sz w:val="24"/>
          <w:szCs w:val="24"/>
        </w:rPr>
        <w:t>的递交</w:t>
      </w:r>
    </w:p>
    <w:p w14:paraId="09AD6D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17.1 电子响应文件的递交供应商应当按照《操作手册》规定，在磋商响应截止时间前制作并上传电子响应文件。</w:t>
      </w:r>
    </w:p>
    <w:p w14:paraId="2DDABC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17.2政府采购管理交易系统（苏采云）相关要求是本采购文件的组成部分。</w:t>
      </w:r>
    </w:p>
    <w:p w14:paraId="049529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17.3供应商应对 CA 证书妥善保管，如被他人盗用投标，因此带来的结果均由供应商自行承担。</w:t>
      </w:r>
    </w:p>
    <w:p w14:paraId="52DE5B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17.4供应商应当对采购文件提出的要求和条件作出实质性响应，并在电子投标系统逐条应答。</w:t>
      </w:r>
    </w:p>
    <w:p w14:paraId="034436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17.5供应商应对要求提供的资格证明文件（如资质证书、资格证书）、技术资料（如白皮书、彩页、手册、检测报告等）扫描上传至投标系统。</w:t>
      </w:r>
    </w:p>
    <w:p w14:paraId="6944FB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17.6各供应商应在规定时间内凭CA证书进行网上解密。</w:t>
      </w:r>
    </w:p>
    <w:p w14:paraId="61F9D4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18、磋商响应截止日期</w:t>
      </w:r>
    </w:p>
    <w:p w14:paraId="36CE3C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 xml:space="preserve">18.1 </w:t>
      </w:r>
      <w:r>
        <w:rPr>
          <w:rFonts w:hint="eastAsia" w:ascii="仿宋" w:hAnsi="仿宋" w:eastAsia="仿宋" w:cs="仿宋"/>
          <w:b/>
          <w:i/>
          <w:color w:val="auto"/>
          <w:sz w:val="24"/>
          <w:szCs w:val="24"/>
          <w:u w:val="single"/>
        </w:rPr>
        <w:t>供应商上传电子响应文件的时间不得迟于采购公告中规定的磋商响应截止时间。</w:t>
      </w:r>
    </w:p>
    <w:p w14:paraId="619640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供应商应充分考虑到网络环境、网络带宽等风险因素，如因供应商自身原因造成的电子响应文件上传不成功由供应商自行承担全部责任。</w:t>
      </w:r>
    </w:p>
    <w:p w14:paraId="7F38BF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18.2 代理机构可以按照规定，通过修改采购文件延长磋商截止日期，在此情况下，供应商的所有权利和义务以及供应商受制的截止日期均应以延长后新的截止日期为准。</w:t>
      </w:r>
    </w:p>
    <w:p w14:paraId="72F77A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none"/>
        </w:rPr>
        <w:t>19、响应文件</w:t>
      </w:r>
      <w:r>
        <w:rPr>
          <w:rFonts w:hint="eastAsia" w:ascii="仿宋" w:hAnsi="仿宋" w:eastAsia="仿宋" w:cs="仿宋"/>
          <w:color w:val="auto"/>
          <w:sz w:val="24"/>
          <w:szCs w:val="24"/>
        </w:rPr>
        <w:t>的拒收</w:t>
      </w:r>
    </w:p>
    <w:p w14:paraId="4387AE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19.1代理机构拒绝接收在其规定的磋商截止时间后上传的任何响应文件。</w:t>
      </w:r>
    </w:p>
    <w:p w14:paraId="5C3783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none"/>
        </w:rPr>
        <w:t>20、响应文件的撤回和修改</w:t>
      </w:r>
    </w:p>
    <w:p w14:paraId="585E00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20.1 响应文件的撤回</w:t>
      </w:r>
    </w:p>
    <w:p w14:paraId="757512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20.1.1 电子响应文件的撤回</w:t>
      </w:r>
    </w:p>
    <w:p w14:paraId="377C58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供应商可在磋商截止时间前，撤回其电子响应文件，具体操作方法见《操作手册》。</w:t>
      </w:r>
    </w:p>
    <w:p w14:paraId="5362E3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20.1.2 供应商撤回电子响应文件，则认为其不再参与本项目磋商谈判。</w:t>
      </w:r>
    </w:p>
    <w:p w14:paraId="6AD7BB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20.2 响应文件的修改</w:t>
      </w:r>
    </w:p>
    <w:p w14:paraId="45D9ED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供应商可在磋商截止时间前，对其电子响应文件进行修改，具体操作方法见《操作手册》。</w:t>
      </w:r>
    </w:p>
    <w:p w14:paraId="75F0D0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20.3 在磋商截止时间之后，供应商不得对其电子响应文件作任何修改。</w:t>
      </w:r>
    </w:p>
    <w:p w14:paraId="78C0B8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20.4 在磋商截止时间至采购文件中规定的磋商有效期满之间的这段时间内，供应商不得撤回其响应文件。</w:t>
      </w:r>
    </w:p>
    <w:p w14:paraId="7F1655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21、磋商</w:t>
      </w:r>
    </w:p>
    <w:p w14:paraId="50DDA8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21.1 代理机构将在采购公告中规定的时间和地点组织磋商开始仪式。供应商应当按照《操作手册》规定，参加磋商活动。</w:t>
      </w:r>
    </w:p>
    <w:p w14:paraId="0491F9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21.2供应商在磋商过程中涉及到的响应文件解密等工作，应按照《操作手册》规定执行。</w:t>
      </w:r>
    </w:p>
    <w:p w14:paraId="239412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22、磋商小组</w:t>
      </w:r>
    </w:p>
    <w:p w14:paraId="5043E5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22.1 磋商开始后，代理机构将立即组织磋商小组进行评审。</w:t>
      </w:r>
    </w:p>
    <w:p w14:paraId="039A26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22.2磋商小组由采购人代表和有关技术、经济等方面的专家组成，且人员构成符合政府采购有关规定。</w:t>
      </w:r>
    </w:p>
    <w:p w14:paraId="14AF56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22.3磋商小组独立工作，负责评审有效响应文件并确定成交候选供应商。</w:t>
      </w:r>
    </w:p>
    <w:p w14:paraId="55FEBE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23、评审过程的保密与公正</w:t>
      </w:r>
    </w:p>
    <w:p w14:paraId="482B2D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23.1评审专家应当遵守评审工作纪律，不得泄露评审情况和评审中获悉的商业秘密。</w:t>
      </w:r>
    </w:p>
    <w:p w14:paraId="166B9C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23.2在评审过程中，供应商不得以任何行为影响评审过程，否则其响应文件将被作为无效响应文件。</w:t>
      </w:r>
    </w:p>
    <w:p w14:paraId="7968CE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23.3 在评审期间，代理机构将设专门工作人员与供应商联系。</w:t>
      </w:r>
    </w:p>
    <w:p w14:paraId="74834F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23.4 代理机构和磋商小组不向未成交的供应商解释未成交原因，也不公布评审过程中的相关细节。</w:t>
      </w:r>
    </w:p>
    <w:p w14:paraId="6B4F05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24、磋商的澄清</w:t>
      </w:r>
    </w:p>
    <w:p w14:paraId="7B992E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24.1评审期间，磋商小组要求供应商澄清、说明或者更正响应文件以书面形式提交但并非对每个供应商都作澄清要求。</w:t>
      </w:r>
    </w:p>
    <w:p w14:paraId="1B8A07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24.2接到磋商小组澄清要求的供应商应按磋商小组规定的时间和格式在”政府采购管理交易系统（苏采云）”中做出澄清，澄清的内容作为响应文件的补充部分。具体操作方式见《操作手册》。</w:t>
      </w:r>
    </w:p>
    <w:p w14:paraId="56DFB0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24.3 接到磋商小组澄清要求的供应商如未按规定做出澄清，其风险由供应商自行承担。</w:t>
      </w:r>
    </w:p>
    <w:p w14:paraId="2A8C1C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25、对响应文件的初审</w:t>
      </w:r>
    </w:p>
    <w:p w14:paraId="2215A3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25.1响应文件初审分为资格审查和符合性审查。</w:t>
      </w:r>
    </w:p>
    <w:p w14:paraId="6D894E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25.1.1资格审查：依据法律法规和采购文件的规定，对响应文件中的资格证明文件进行审查。以确定供应商是否具备参加磋商的资格。</w:t>
      </w:r>
    </w:p>
    <w:p w14:paraId="7F2C5C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25.1.2符合性检查：依据采购文件的规定，由磋商小组从响应文件的有效性、完整性和对采购文件的响应程度进行审查，以确定是否对采购文件的实质性要求作出响应。</w:t>
      </w:r>
    </w:p>
    <w:p w14:paraId="5ED61C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6BEE99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25.2在详细评审之前，磋商小组将首先审查每份响应文件是否实质性响应了采购文件的要求。实质性响应的响应文件应该是与采购文件要求的全部条款、条件和规格相符，没有重大偏离或保留。</w:t>
      </w:r>
    </w:p>
    <w:p w14:paraId="105FE4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1A000C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25.3如果响应文件实质上没有响应采购文件的要求，磋商小组将予以拒绝，供应商不得通过修改或撤销不合要求的偏离或保留而使其响应文件成为实质性响应的文件。</w:t>
      </w:r>
    </w:p>
    <w:p w14:paraId="1B6816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25.4 供应商在开、评标全过程中应保持通讯畅通，并安排专人与代理机构及磋商小组联系。</w:t>
      </w:r>
    </w:p>
    <w:p w14:paraId="3B71A2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26、磋商程序及评审方法和标准</w:t>
      </w:r>
    </w:p>
    <w:p w14:paraId="3B6273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26.1磋商程序</w:t>
      </w:r>
    </w:p>
    <w:p w14:paraId="7D57E7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26.1.1 对于通过资格性和符合性审查的供应商，磋商小组所有成员将集中与单一供应商在”政府采购管理交易系统（苏采云）”中分别进行磋商。</w:t>
      </w:r>
    </w:p>
    <w:p w14:paraId="1D6D61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加盖电子签章。</w:t>
      </w:r>
    </w:p>
    <w:p w14:paraId="35C15E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26.1.2 采购文件能够详细列明采购标的的技术、服务要求的，磋商结束后，磋商小组将要求所有实质性响应的供应商在规定时间内提交最后报价。</w:t>
      </w:r>
    </w:p>
    <w:p w14:paraId="725586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6A97F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0B7112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26.1.3 供应商未在磋商小组规定的时间内完成最后报价的视为放弃磋商，其响应按无效响应处理。最后报价不得高于第一次报价且须加盖电子签章，否则其响应按无效响应处理。已提交响应文件的供应商，在提交最后报价之前，可以根据磋商情况退出磋商。最后报价形式按总价提交，其中成交供应商应在项目成交后3个工作日内向采购人提供最后报价的报价明细表（除不可竞争费用外，明细报价表应按照总价报价表同比例下浮）</w:t>
      </w:r>
    </w:p>
    <w:p w14:paraId="621817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26.1.4根据财库〔2026〕2号文件，评审委员会启动异常低价投标审查的情形和具体要求，包括：</w:t>
      </w:r>
    </w:p>
    <w:p w14:paraId="490579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（一）1.投标（响应）报价低于全部通过符合性审查供应商投标（响应）报价平均值50%的，即投标（响应）报价&lt;全部通过符合性审查供应商投标（响应）报价平均值×50%；</w:t>
      </w:r>
    </w:p>
    <w:p w14:paraId="67A6EB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2.投标（响应）报价低于通过符合性审查的次低报价供应商投标（响应）报价50%的，即投标（响应）报价&lt;通过符合性审查的次低报价供应商投标（响应）报价×50%；</w:t>
      </w:r>
    </w:p>
    <w:p w14:paraId="7B7105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3.投标（响应）报价低于采购项目最高限价45%的，即投标（响应）报价&lt;采购项目最高限价×45%；</w:t>
      </w:r>
    </w:p>
    <w:p w14:paraId="7D1E4D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4.评审委员会基于专业判断，认为供应商报价过低，有可能影响产品质量或者不能诚信履约的其他情形。</w:t>
      </w:r>
    </w:p>
    <w:p w14:paraId="60AC59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04332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i/>
          <w:color w:val="auto"/>
          <w:sz w:val="24"/>
          <w:szCs w:val="24"/>
          <w:lang w:val="en-US" w:eastAsia="zh-CN"/>
        </w:rPr>
        <w:t>或</w:t>
      </w:r>
      <w:r>
        <w:rPr>
          <w:rFonts w:hint="eastAsia" w:ascii="仿宋" w:hAnsi="仿宋" w:eastAsia="仿宋" w:cs="仿宋"/>
          <w:b/>
          <w:i/>
          <w:color w:val="auto"/>
          <w:sz w:val="24"/>
          <w:szCs w:val="24"/>
        </w:rPr>
        <w:t>者</w:t>
      </w:r>
      <w:r>
        <w:rPr>
          <w:rFonts w:hint="eastAsia" w:ascii="仿宋" w:hAnsi="仿宋" w:eastAsia="仿宋" w:cs="仿宋"/>
          <w:b/>
          <w:i/>
          <w:color w:val="auto"/>
          <w:sz w:val="24"/>
          <w:szCs w:val="24"/>
          <w:lang w:val="en-US" w:eastAsia="zh-CN"/>
        </w:rPr>
        <w:t>仅仅提供承诺书的</w:t>
      </w:r>
      <w:r>
        <w:rPr>
          <w:rFonts w:hint="eastAsia"/>
          <w:lang w:eastAsia="zh-CN"/>
        </w:rPr>
        <w:t>，</w:t>
      </w:r>
      <w:r>
        <w:rPr>
          <w:rFonts w:hint="eastAsia" w:ascii="仿宋" w:hAnsi="仿宋" w:eastAsia="仿宋" w:cs="仿宋"/>
          <w:b/>
          <w:i/>
          <w:color w:val="auto"/>
          <w:sz w:val="24"/>
          <w:szCs w:val="24"/>
        </w:rPr>
        <w:t>评审委员会应当将其作为无效投标（响应）处理。</w:t>
      </w:r>
    </w:p>
    <w:p w14:paraId="0E0A1C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4EE67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rPr>
          <w:rFonts w:hint="eastAsia" w:ascii="仿宋" w:hAnsi="仿宋" w:eastAsia="仿宋" w:cs="仿宋"/>
          <w:color w:val="auto"/>
          <w:sz w:val="24"/>
          <w:szCs w:val="24"/>
        </w:rPr>
      </w:pPr>
      <w:r>
        <w:rPr>
          <w:rFonts w:hint="eastAsia" w:ascii="仿宋" w:hAnsi="仿宋" w:eastAsia="仿宋" w:cs="仿宋"/>
          <w:b/>
          <w:i/>
          <w:color w:val="auto"/>
          <w:sz w:val="24"/>
          <w:szCs w:val="24"/>
        </w:rPr>
        <w:t>异常低价投标（响应）审查的启动原因、审查意见和审查结果应当在评审报告中记录，并随供应商提供的相关书面说明及证明材料，以及评审委员会有关互联网浏览、查询历史一并归档。</w:t>
      </w:r>
    </w:p>
    <w:p w14:paraId="0BDEBE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26.2 评审方法和标准</w:t>
      </w:r>
    </w:p>
    <w:p w14:paraId="4EEC2E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26.2.1评审方法。经磋商确定最终采购需求和提交最后报价的供应商后，由磋商小组采用综合评分法对提交最后报价的供应商的响应文件和最后报价进行综合评分。</w:t>
      </w:r>
    </w:p>
    <w:p w14:paraId="172081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2AF6C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26.2.2评审标准</w:t>
      </w:r>
    </w:p>
    <w:p w14:paraId="59A8D6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见本采购文件第五章规定。</w:t>
      </w:r>
    </w:p>
    <w:p w14:paraId="6FD75A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27、无效响应及采购活动终止的情况</w:t>
      </w:r>
    </w:p>
    <w:p w14:paraId="6F9847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27.1无效响应条款</w:t>
      </w:r>
    </w:p>
    <w:p w14:paraId="1B4241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27.1.1 供应商未按照采购文件要求上传电子磋商响应文件的。</w:t>
      </w:r>
    </w:p>
    <w:p w14:paraId="3CA5CF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27.1.2 供应商未成功解密电子磋商响应文件的。</w:t>
      </w:r>
    </w:p>
    <w:p w14:paraId="4AEF20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27.1.3 供应商不具备采购文件中规定资格要求的。</w:t>
      </w:r>
    </w:p>
    <w:p w14:paraId="0D5164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27.1.4 未通过符合性审查的。</w:t>
      </w:r>
    </w:p>
    <w:p w14:paraId="2E349F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27.1.5 不符合采购文件中规定的其他实质性要求和条件的</w:t>
      </w:r>
      <w:r>
        <w:rPr>
          <w:rFonts w:hint="eastAsia" w:ascii="仿宋" w:hAnsi="仿宋" w:eastAsia="仿宋" w:cs="仿宋"/>
          <w:b/>
          <w:color w:val="auto"/>
          <w:sz w:val="24"/>
          <w:szCs w:val="24"/>
        </w:rPr>
        <w:t>（</w:t>
      </w:r>
      <w:r>
        <w:rPr>
          <w:rFonts w:hint="eastAsia" w:ascii="仿宋" w:hAnsi="仿宋" w:eastAsia="仿宋" w:cs="仿宋"/>
          <w:b/>
          <w:i/>
          <w:color w:val="auto"/>
          <w:sz w:val="24"/>
          <w:szCs w:val="24"/>
          <w:u w:val="single"/>
        </w:rPr>
        <w:t>本采购文件中斜体且有下划线部分为实质性要求和条件）。</w:t>
      </w:r>
    </w:p>
    <w:p w14:paraId="1FC969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0805F2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27.1.7 本项目采购产品被财政部、国家发改委、生态环境部等列入“节能产品品目清单”强制采购范围，而供应商所磋商产品不在强制采购范围内的。</w:t>
      </w:r>
    </w:p>
    <w:p w14:paraId="6E3580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27.1.8 响应文件载明的项目完成期限超过竞争性磋商文件规定的期限。</w:t>
      </w:r>
    </w:p>
    <w:p w14:paraId="0BD76C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27.1.9 明显不符合技术规范，技术标准的要求。</w:t>
      </w:r>
    </w:p>
    <w:p w14:paraId="400139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27.1.10 不同供应商的响应文件出现了磋商小组认为不应当雷同的情况。</w:t>
      </w:r>
    </w:p>
    <w:p w14:paraId="382D06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27.1.11 改变竞争性磋商文件提供的工程量清单中的计量单位、工程数量、项目特征描述。</w:t>
      </w:r>
    </w:p>
    <w:p w14:paraId="6BEC7E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27.1.12 改变竞争性磋商文件规定的暂定价格或不可竞争费用的。</w:t>
      </w:r>
    </w:p>
    <w:p w14:paraId="3C8CD0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27.1.13 响应文件提出了不能满足竞争性磋商文件要求或采购人不能接受的工程验收，计量.价款结算支付方法。</w:t>
      </w:r>
    </w:p>
    <w:p w14:paraId="2E9301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27.1.14 响应文件未按照采购文件要求加盖电子签章。</w:t>
      </w:r>
    </w:p>
    <w:p w14:paraId="71B34D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27.1.15其他法律、法规及本采购文件规定的属无效响应的情形。</w:t>
      </w:r>
    </w:p>
    <w:p w14:paraId="5EF1BC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27.2 采购活动终止的情况：</w:t>
      </w:r>
    </w:p>
    <w:p w14:paraId="324AAD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27.2.1 因情况变化，不再符合规定的竞争性磋商采购方式适用情形的；</w:t>
      </w:r>
    </w:p>
    <w:p w14:paraId="5925E2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27.2.2 出现影响采购公正的违法、违规行为的；</w:t>
      </w:r>
    </w:p>
    <w:p w14:paraId="68C808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27.2.3 除本磋商文件第26.1.2条第三款规定的情形外，在采购过程中符合要求的供应商或者报价未超过采购预算的供应商不足3家的。</w:t>
      </w:r>
    </w:p>
    <w:p w14:paraId="76547F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27.2.4 因重大变故，采购任务取消的。</w:t>
      </w:r>
    </w:p>
    <w:p w14:paraId="5AEBF0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28、确定成交单位</w:t>
      </w:r>
    </w:p>
    <w:p w14:paraId="03A3C7AD">
      <w:pPr>
        <w:autoSpaceDE w:val="0"/>
        <w:autoSpaceDN w:val="0"/>
        <w:adjustRightInd w:val="0"/>
        <w:spacing w:line="360" w:lineRule="auto"/>
        <w:ind w:firstLine="480" w:firstLineChars="200"/>
        <w:jc w:val="left"/>
        <w:rPr>
          <w:rFonts w:ascii="仿宋" w:hAnsi="仿宋" w:eastAsia="仿宋" w:cs="仿宋"/>
          <w:sz w:val="24"/>
          <w:szCs w:val="24"/>
        </w:rPr>
      </w:pPr>
      <w:r>
        <w:rPr>
          <w:rFonts w:hint="eastAsia" w:ascii="仿宋" w:hAnsi="仿宋" w:eastAsia="仿宋" w:cs="仿宋"/>
          <w:color w:val="auto"/>
          <w:sz w:val="24"/>
          <w:szCs w:val="24"/>
        </w:rPr>
        <w:t>28.1 磋商小组根据综合评分情况，按照评审得分由高到低顺序推荐3名以上成交候选供应商，并编写评审报告。符合本文件第26.1.2条情形的，可以推荐2家成交候选供应商。</w:t>
      </w:r>
      <w:r>
        <w:rPr>
          <w:rFonts w:hint="eastAsia" w:ascii="仿宋" w:hAnsi="仿宋" w:eastAsia="仿宋" w:cs="仿宋"/>
          <w:sz w:val="24"/>
          <w:szCs w:val="24"/>
          <w:highlight w:val="none"/>
        </w:rPr>
        <w:t>评审得分相同的，按最后磋商报价由低到高顺序排列，评审得分且磋商报价相同的，由</w:t>
      </w:r>
      <w:r>
        <w:rPr>
          <w:rFonts w:hint="eastAsia" w:ascii="仿宋" w:hAnsi="仿宋" w:eastAsia="仿宋" w:cs="仿宋"/>
          <w:sz w:val="24"/>
          <w:szCs w:val="24"/>
          <w:highlight w:val="none"/>
          <w:lang w:val="en-US" w:eastAsia="zh-CN"/>
        </w:rPr>
        <w:t>磋商小组抽签</w:t>
      </w:r>
      <w:r>
        <w:rPr>
          <w:rFonts w:hint="eastAsia" w:ascii="仿宋" w:hAnsi="仿宋" w:eastAsia="仿宋" w:cs="仿宋"/>
          <w:sz w:val="24"/>
          <w:szCs w:val="24"/>
          <w:highlight w:val="none"/>
        </w:rPr>
        <w:t>确定中标供应商排序。</w:t>
      </w:r>
    </w:p>
    <w:p w14:paraId="6D396F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28.2 采购人应根据磋商推荐的成交候选人，按照排序由高到低的</w:t>
      </w:r>
      <w:r>
        <w:rPr>
          <w:rFonts w:hint="eastAsia" w:ascii="仿宋" w:hAnsi="仿宋" w:eastAsia="仿宋" w:cs="仿宋"/>
          <w:color w:val="auto"/>
          <w:sz w:val="24"/>
          <w:szCs w:val="24"/>
          <w:highlight w:val="none"/>
          <w:lang w:val="en-US" w:eastAsia="zh-CN"/>
        </w:rPr>
        <w:t>原则</w:t>
      </w:r>
      <w:r>
        <w:rPr>
          <w:rFonts w:hint="eastAsia" w:ascii="仿宋" w:hAnsi="仿宋" w:eastAsia="仿宋" w:cs="仿宋"/>
          <w:color w:val="auto"/>
          <w:sz w:val="24"/>
          <w:szCs w:val="24"/>
        </w:rPr>
        <w:t>确定成交供应商。</w:t>
      </w:r>
    </w:p>
    <w:p w14:paraId="4D8CCE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28.3 代理机构将在”江苏政府采购网”发布成交公告，公告期限为1个工作日。</w:t>
      </w:r>
    </w:p>
    <w:p w14:paraId="75AC59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 若有充分证据证明，成交供应商出现下列情况之一的，一经查实，将被取消成交资格：</w:t>
      </w:r>
    </w:p>
    <w:p w14:paraId="1FF13F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28.4.1 提供虚假材料谋取成交的；</w:t>
      </w:r>
    </w:p>
    <w:p w14:paraId="48D4DC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28.4.2 向采购人、代理机构行贿或者提供其他不正当利益的；</w:t>
      </w:r>
    </w:p>
    <w:p w14:paraId="231B97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28.4.3 恶意竞争，最终总报价明显低于其自身合理成本且又无法提供证明的；</w:t>
      </w:r>
    </w:p>
    <w:p w14:paraId="5A84A6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28.4.4 属于本文件规定的无效条件，但在评审过程中又未被磋商小组发现的；</w:t>
      </w:r>
    </w:p>
    <w:p w14:paraId="5C4C85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28.4.5 与采购人或者其他供应商恶意串通的；</w:t>
      </w:r>
    </w:p>
    <w:p w14:paraId="633A45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28.4.6 采取不正当手段诋毁、排挤其他供应商的；</w:t>
      </w:r>
    </w:p>
    <w:p w14:paraId="5980B4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28.4.7 不符合法律、法规的规定的。</w:t>
      </w:r>
    </w:p>
    <w:p w14:paraId="2FF129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29、质疑处理</w:t>
      </w:r>
    </w:p>
    <w:p w14:paraId="76EBD8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29.1提出质疑的供应商应当是参与所质疑项目采购活动的供应商。潜在供应商依法获取其可质疑的采购文件的，可以对采购文件提出质疑。</w:t>
      </w:r>
    </w:p>
    <w:p w14:paraId="1B6650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对项目需求部分的质疑，潜在供应商应向采购人提出，由采购人负责答复。</w:t>
      </w:r>
    </w:p>
    <w:p w14:paraId="172782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29.2供应商认为采购文件、采购过程和中标或成交结果使自己的权益受到损害的，可以在知道或应知其权益受到损害之日起7个工作日内，以书面形式向采购人或代理机构提出质疑。</w:t>
      </w:r>
    </w:p>
    <w:p w14:paraId="61A6BF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29.2.1对采购文件提出质疑的，应当在获取采购文件之日或者采购文件公告期限届满之日起7个工作日内提出。</w:t>
      </w:r>
    </w:p>
    <w:p w14:paraId="7CD845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29.2.2对采购过程提出质疑的，为各采购程序环节结束之日起7个工作日内提出。</w:t>
      </w:r>
    </w:p>
    <w:p w14:paraId="08FEEF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29.2.3对成交结果提出质疑的，为成交结果公告期限届满之日起7个工作日内提出。</w:t>
      </w:r>
    </w:p>
    <w:p w14:paraId="068EDD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29.3供应商应在法定质疑期内一次性提出针对同一采购程序环节的质疑。供应商如在法定期限内对同一采购程序环节提出多次质疑的，代理机构、采购人将只对供应商第一次质疑作出答复。</w:t>
      </w:r>
    </w:p>
    <w:p w14:paraId="10F8AF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29.4质疑函必须按照《质疑函范本》及《授权委托书》要求的格式和内容进行填写。供应商如组成联合体参加磋商，则《质疑函范本》及《授权委托书》中要求签字、盖章、加盖公章之处，联合体各方均须按要求签字、盖章、加盖公章。</w:t>
      </w:r>
    </w:p>
    <w:p w14:paraId="76884C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29.5 代理机构及采购人只接收以纸质原件形式送达的质疑。</w:t>
      </w:r>
    </w:p>
    <w:p w14:paraId="6A1434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采购人质疑接收人及联系方式见采购文件第一章。</w:t>
      </w:r>
    </w:p>
    <w:p w14:paraId="287FE6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29.6代理机构收到质疑申请后，将对质疑的形式和内容进行审查，如质疑内容、格式不符合规定，代理机构将告知质疑人进行补正。</w:t>
      </w:r>
    </w:p>
    <w:p w14:paraId="33AF76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29.7质疑人应当在法定质疑期限内进行补正并重新提交质疑函。</w:t>
      </w:r>
    </w:p>
    <w:p w14:paraId="19ADE7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29.8 以下情形的质疑不予受理</w:t>
      </w:r>
    </w:p>
    <w:p w14:paraId="04DF75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29.8.1 内容不符合《政府采购质疑和投诉办法》第十二条规定的质疑。</w:t>
      </w:r>
    </w:p>
    <w:p w14:paraId="6F74FE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29.8.2 超出政府采购法定期限的质疑。</w:t>
      </w:r>
    </w:p>
    <w:p w14:paraId="3BFB97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29.8.3 以传真、电子邮件等方式递交的非原件形式的质疑。</w:t>
      </w:r>
    </w:p>
    <w:p w14:paraId="19E7DD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29.8.4 未参加磋商活动的供应商或在磋商活动中自身权益未受到损害的供应商所提出的质疑。</w:t>
      </w:r>
    </w:p>
    <w:p w14:paraId="3E6EDF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29.8.5供应商组成联合体参加磋商，联合体中任何一方或多方未按要求签字、盖章、加盖公章的质疑。</w:t>
      </w:r>
    </w:p>
    <w:p w14:paraId="1389F8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15BF31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29.10代理机构应当在收到供应商的书面质疑后7个工作日内作出答复，并以书面形式通知质疑供应商和其他有关供应商，但答复的内容不得涉及商业秘密。</w:t>
      </w:r>
    </w:p>
    <w:p w14:paraId="57B370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30、成交通知书</w:t>
      </w:r>
    </w:p>
    <w:p w14:paraId="11A7FA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30.l 成交结果确定后，代理机构将向成交供应商发出成通知书。</w:t>
      </w:r>
    </w:p>
    <w:p w14:paraId="6334A7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30.2 成交供应商可在”政府采购交易管理系统（苏采云）”成交通知书下载模块中自行下载成交通知书。</w:t>
      </w:r>
    </w:p>
    <w:p w14:paraId="228E85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30.3</w:t>
      </w:r>
      <w:r>
        <w:rPr>
          <w:rFonts w:hint="eastAsia" w:ascii="仿宋" w:hAnsi="仿宋" w:eastAsia="仿宋" w:cs="仿宋"/>
          <w:b/>
          <w:color w:val="auto"/>
          <w:sz w:val="24"/>
          <w:szCs w:val="24"/>
        </w:rPr>
        <w:t>成交通知书将是合同的一个组成部分。对采购人和成交供应商均具有法律效力。成交通知书发出后，采购人改变成交结果的，或者成交供应商放弃成交项目的，应当依法承担法律责任。</w:t>
      </w:r>
    </w:p>
    <w:p w14:paraId="553176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 签订合同</w:t>
      </w:r>
    </w:p>
    <w:p w14:paraId="24987E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31.l成交供应商应在成交通知书发出之日起三十日内，按照采购文件确定的事项与采购人签订政府采购合同。</w:t>
      </w:r>
    </w:p>
    <w:p w14:paraId="1BC38B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31.2 采购文件、成交供应商的响应文件及磋商过程中有关澄清、承诺文件均应作为合同附件。</w:t>
      </w:r>
    </w:p>
    <w:p w14:paraId="0EA9F0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31.3 合同签订后，</w:t>
      </w:r>
      <w:r>
        <w:rPr>
          <w:rFonts w:hint="eastAsia" w:ascii="仿宋" w:hAnsi="仿宋" w:eastAsia="仿宋" w:cs="仿宋"/>
          <w:i/>
          <w:color w:val="auto"/>
          <w:sz w:val="24"/>
          <w:szCs w:val="24"/>
          <w:u w:val="single"/>
        </w:rPr>
        <w:t>成交供应商不得将工程进行转包</w:t>
      </w:r>
      <w:r>
        <w:rPr>
          <w:rFonts w:hint="eastAsia" w:ascii="仿宋" w:hAnsi="仿宋" w:eastAsia="仿宋" w:cs="仿宋"/>
          <w:color w:val="auto"/>
          <w:sz w:val="24"/>
          <w:szCs w:val="24"/>
        </w:rPr>
        <w:t>。未经采购人同意，成交供应商也不得采用分包的形式履行合同，否则采购人有权终止合同。转包或分包造成采购人损失的，成交供应商应承担赔偿责任。</w:t>
      </w:r>
    </w:p>
    <w:p w14:paraId="03AEBB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106624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32、其他</w:t>
      </w:r>
    </w:p>
    <w:p w14:paraId="2CDBE4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32.1 依据《政府采购促进中小企业发展管理办法》享受享受扶持政策获得政府采购合同的，小微企业不得将合同分包给大中型企业，中型企业不得将合同分包给大型企业。</w:t>
      </w:r>
    </w:p>
    <w:p w14:paraId="06F9083B">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p>
    <w:p w14:paraId="64107F8A">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outlineLvl w:val="0"/>
        <w:rPr>
          <w:rFonts w:hint="eastAsia" w:ascii="仿宋" w:hAnsi="仿宋" w:eastAsia="仿宋" w:cs="仿宋"/>
          <w:color w:val="auto"/>
        </w:rPr>
      </w:pPr>
      <w:r>
        <w:rPr>
          <w:rFonts w:hint="eastAsia" w:ascii="仿宋" w:hAnsi="仿宋" w:eastAsia="仿宋" w:cs="仿宋"/>
          <w:b/>
          <w:color w:val="auto"/>
          <w:sz w:val="44"/>
        </w:rPr>
        <w:t>第三章 合同条款及格式</w:t>
      </w:r>
    </w:p>
    <w:p w14:paraId="5F74B1C6">
      <w:pPr>
        <w:pBdr>
          <w:top w:val="none" w:color="000000" w:sz="0" w:space="0"/>
          <w:left w:val="none" w:color="000000" w:sz="0" w:space="0"/>
          <w:bottom w:val="none" w:color="000000" w:sz="0" w:space="0"/>
          <w:right w:val="none" w:color="000000" w:sz="0" w:space="0"/>
        </w:pBdr>
        <w:spacing w:before="240" w:after="240"/>
        <w:ind w:left="0" w:right="0" w:firstLine="0"/>
        <w:rPr>
          <w:rFonts w:hint="eastAsia" w:ascii="仿宋" w:hAnsi="仿宋" w:eastAsia="仿宋" w:cs="仿宋"/>
          <w:color w:val="auto"/>
        </w:rPr>
      </w:pPr>
      <w:r>
        <w:rPr>
          <w:rFonts w:hint="eastAsia" w:ascii="仿宋" w:hAnsi="仿宋" w:eastAsia="仿宋" w:cs="仿宋"/>
          <w:b/>
          <w:color w:val="auto"/>
          <w:sz w:val="24"/>
        </w:rPr>
        <w:t> </w:t>
      </w:r>
    </w:p>
    <w:p w14:paraId="6BBD7859">
      <w:pPr>
        <w:spacing w:line="360" w:lineRule="auto"/>
        <w:rPr>
          <w:rFonts w:hint="eastAsia" w:ascii="仿宋" w:hAnsi="仿宋" w:eastAsia="仿宋" w:cs="仿宋"/>
          <w:bCs/>
          <w:sz w:val="24"/>
          <w:szCs w:val="30"/>
        </w:rPr>
      </w:pPr>
      <w:r>
        <w:rPr>
          <w:rFonts w:hint="eastAsia" w:ascii="仿宋" w:hAnsi="仿宋" w:eastAsia="仿宋" w:cs="仿宋"/>
          <w:color w:val="auto"/>
          <w:sz w:val="21"/>
        </w:rPr>
        <w:t> </w:t>
      </w:r>
      <w:r>
        <w:rPr>
          <w:rFonts w:hint="eastAsia" w:ascii="仿宋" w:hAnsi="仿宋" w:eastAsia="仿宋" w:cs="仿宋"/>
          <w:bCs/>
          <w:sz w:val="24"/>
          <w:szCs w:val="30"/>
        </w:rPr>
        <w:t>合同编号：</w:t>
      </w:r>
      <w:r>
        <w:rPr>
          <w:rFonts w:hint="eastAsia" w:ascii="仿宋" w:hAnsi="仿宋" w:eastAsia="仿宋" w:cs="仿宋"/>
          <w:bCs/>
          <w:sz w:val="24"/>
          <w:szCs w:val="30"/>
        </w:rPr>
        <w:tab/>
      </w:r>
      <w:r>
        <w:rPr>
          <w:rFonts w:hint="eastAsia" w:ascii="仿宋" w:hAnsi="仿宋" w:eastAsia="仿宋" w:cs="仿宋"/>
          <w:bCs/>
          <w:sz w:val="24"/>
          <w:szCs w:val="30"/>
        </w:rPr>
        <w:t xml:space="preserve"> </w:t>
      </w:r>
    </w:p>
    <w:p w14:paraId="7097655E">
      <w:pPr>
        <w:pStyle w:val="5"/>
        <w:rPr>
          <w:rFonts w:hint="eastAsia" w:ascii="仿宋" w:hAnsi="仿宋" w:eastAsia="仿宋" w:cs="仿宋"/>
          <w:sz w:val="24"/>
          <w:szCs w:val="30"/>
        </w:rPr>
      </w:pPr>
    </w:p>
    <w:p w14:paraId="34C7CB0F">
      <w:pPr>
        <w:pStyle w:val="6"/>
        <w:rPr>
          <w:rFonts w:hint="eastAsia" w:ascii="仿宋" w:hAnsi="仿宋" w:eastAsia="仿宋" w:cs="仿宋"/>
        </w:rPr>
      </w:pPr>
    </w:p>
    <w:p w14:paraId="1A931E96">
      <w:pPr>
        <w:jc w:val="center"/>
        <w:rPr>
          <w:rFonts w:hint="eastAsia" w:ascii="仿宋" w:hAnsi="仿宋" w:eastAsia="仿宋" w:cs="仿宋"/>
          <w:b/>
          <w:sz w:val="84"/>
          <w:szCs w:val="84"/>
        </w:rPr>
      </w:pPr>
      <w:r>
        <w:rPr>
          <w:rFonts w:hint="eastAsia" w:ascii="仿宋" w:hAnsi="仿宋" w:eastAsia="仿宋" w:cs="仿宋"/>
          <w:b/>
          <w:sz w:val="84"/>
          <w:szCs w:val="84"/>
        </w:rPr>
        <w:t>建设工程施工合同</w:t>
      </w:r>
    </w:p>
    <w:p w14:paraId="7D8D689B">
      <w:pPr>
        <w:jc w:val="center"/>
        <w:rPr>
          <w:rFonts w:hint="eastAsia" w:ascii="仿宋" w:hAnsi="仿宋" w:eastAsia="仿宋" w:cs="仿宋"/>
          <w:b/>
          <w:sz w:val="84"/>
          <w:szCs w:val="84"/>
        </w:rPr>
      </w:pPr>
    </w:p>
    <w:p w14:paraId="1CDC2D1F">
      <w:pPr>
        <w:jc w:val="center"/>
        <w:rPr>
          <w:rFonts w:hint="eastAsia" w:ascii="仿宋" w:hAnsi="仿宋" w:eastAsia="仿宋" w:cs="仿宋"/>
          <w:b/>
          <w:sz w:val="28"/>
          <w:szCs w:val="28"/>
        </w:rPr>
      </w:pPr>
    </w:p>
    <w:p w14:paraId="7822C0A2">
      <w:pPr>
        <w:jc w:val="center"/>
        <w:rPr>
          <w:rFonts w:hint="eastAsia" w:ascii="仿宋" w:hAnsi="仿宋" w:eastAsia="仿宋" w:cs="仿宋"/>
          <w:b/>
          <w:sz w:val="28"/>
          <w:szCs w:val="28"/>
        </w:rPr>
      </w:pPr>
    </w:p>
    <w:p w14:paraId="4632866A">
      <w:pPr>
        <w:jc w:val="center"/>
        <w:rPr>
          <w:rFonts w:hint="eastAsia" w:ascii="仿宋" w:hAnsi="仿宋" w:eastAsia="仿宋" w:cs="仿宋"/>
          <w:b/>
          <w:sz w:val="28"/>
          <w:szCs w:val="28"/>
        </w:rPr>
      </w:pPr>
    </w:p>
    <w:p w14:paraId="50897BEF">
      <w:pPr>
        <w:jc w:val="center"/>
        <w:rPr>
          <w:rFonts w:hint="eastAsia" w:ascii="仿宋" w:hAnsi="仿宋" w:eastAsia="仿宋" w:cs="仿宋"/>
          <w:b/>
          <w:sz w:val="28"/>
          <w:szCs w:val="28"/>
        </w:rPr>
      </w:pPr>
    </w:p>
    <w:p w14:paraId="0DF6C1FA">
      <w:pPr>
        <w:jc w:val="center"/>
        <w:rPr>
          <w:rFonts w:hint="eastAsia" w:ascii="仿宋" w:hAnsi="仿宋" w:eastAsia="仿宋" w:cs="仿宋"/>
          <w:b/>
          <w:sz w:val="28"/>
          <w:szCs w:val="28"/>
        </w:rPr>
      </w:pPr>
    </w:p>
    <w:p w14:paraId="04901C6A">
      <w:pPr>
        <w:jc w:val="center"/>
        <w:rPr>
          <w:rFonts w:hint="eastAsia" w:ascii="仿宋" w:hAnsi="仿宋" w:eastAsia="仿宋" w:cs="仿宋"/>
          <w:b/>
          <w:sz w:val="28"/>
          <w:szCs w:val="28"/>
        </w:rPr>
      </w:pPr>
    </w:p>
    <w:p w14:paraId="09CDE67F">
      <w:pPr>
        <w:jc w:val="center"/>
        <w:rPr>
          <w:rFonts w:hint="eastAsia" w:ascii="仿宋" w:hAnsi="仿宋" w:eastAsia="仿宋" w:cs="仿宋"/>
          <w:b/>
          <w:sz w:val="28"/>
          <w:szCs w:val="28"/>
        </w:rPr>
      </w:pPr>
    </w:p>
    <w:p w14:paraId="27C0BDEA">
      <w:pPr>
        <w:jc w:val="center"/>
        <w:rPr>
          <w:rFonts w:hint="eastAsia" w:ascii="仿宋" w:hAnsi="仿宋" w:eastAsia="仿宋" w:cs="仿宋"/>
          <w:b/>
          <w:sz w:val="28"/>
          <w:szCs w:val="28"/>
        </w:rPr>
      </w:pPr>
    </w:p>
    <w:p w14:paraId="43E4A6F5">
      <w:pPr>
        <w:jc w:val="center"/>
        <w:rPr>
          <w:rFonts w:hint="eastAsia" w:ascii="仿宋" w:hAnsi="仿宋" w:eastAsia="仿宋" w:cs="仿宋"/>
          <w:b/>
          <w:sz w:val="28"/>
          <w:szCs w:val="28"/>
        </w:rPr>
      </w:pPr>
    </w:p>
    <w:p w14:paraId="1889D55E">
      <w:pPr>
        <w:jc w:val="center"/>
        <w:rPr>
          <w:rFonts w:hint="eastAsia" w:ascii="仿宋" w:hAnsi="仿宋" w:eastAsia="仿宋" w:cs="仿宋"/>
          <w:b/>
          <w:sz w:val="28"/>
          <w:szCs w:val="28"/>
        </w:rPr>
      </w:pPr>
    </w:p>
    <w:p w14:paraId="0335869F">
      <w:pPr>
        <w:jc w:val="center"/>
        <w:rPr>
          <w:rFonts w:hint="eastAsia" w:ascii="仿宋" w:hAnsi="仿宋" w:eastAsia="仿宋" w:cs="仿宋"/>
          <w:b/>
          <w:sz w:val="28"/>
          <w:szCs w:val="28"/>
        </w:rPr>
      </w:pPr>
    </w:p>
    <w:p w14:paraId="73573477">
      <w:pPr>
        <w:jc w:val="center"/>
        <w:rPr>
          <w:rFonts w:hint="eastAsia" w:ascii="仿宋" w:hAnsi="仿宋" w:eastAsia="仿宋" w:cs="仿宋"/>
          <w:b/>
          <w:sz w:val="28"/>
          <w:szCs w:val="28"/>
        </w:rPr>
      </w:pPr>
    </w:p>
    <w:p w14:paraId="023804F3">
      <w:pPr>
        <w:jc w:val="center"/>
        <w:rPr>
          <w:rFonts w:hint="eastAsia" w:ascii="仿宋" w:hAnsi="仿宋" w:eastAsia="仿宋" w:cs="仿宋"/>
          <w:b/>
          <w:sz w:val="28"/>
          <w:szCs w:val="28"/>
        </w:rPr>
      </w:pPr>
    </w:p>
    <w:p w14:paraId="58ECDE70">
      <w:pPr>
        <w:jc w:val="center"/>
        <w:rPr>
          <w:rFonts w:hint="eastAsia" w:ascii="仿宋" w:hAnsi="仿宋" w:eastAsia="仿宋" w:cs="仿宋"/>
          <w:b/>
          <w:sz w:val="28"/>
          <w:szCs w:val="28"/>
        </w:rPr>
      </w:pPr>
    </w:p>
    <w:p w14:paraId="77899869">
      <w:pPr>
        <w:jc w:val="center"/>
        <w:rPr>
          <w:rFonts w:hint="eastAsia" w:ascii="仿宋" w:hAnsi="仿宋" w:eastAsia="仿宋" w:cs="仿宋"/>
          <w:b/>
          <w:sz w:val="28"/>
          <w:szCs w:val="28"/>
        </w:rPr>
      </w:pPr>
    </w:p>
    <w:p w14:paraId="60D93B01">
      <w:pPr>
        <w:jc w:val="center"/>
        <w:rPr>
          <w:rFonts w:hint="eastAsia" w:ascii="仿宋" w:hAnsi="仿宋" w:eastAsia="仿宋" w:cs="仿宋"/>
          <w:b/>
          <w:sz w:val="28"/>
          <w:szCs w:val="28"/>
        </w:rPr>
      </w:pPr>
    </w:p>
    <w:p w14:paraId="2D92C7AB">
      <w:pPr>
        <w:jc w:val="center"/>
        <w:rPr>
          <w:rFonts w:hint="eastAsia" w:ascii="仿宋" w:hAnsi="仿宋" w:eastAsia="仿宋" w:cs="仿宋"/>
          <w:b/>
          <w:sz w:val="28"/>
          <w:szCs w:val="28"/>
        </w:rPr>
      </w:pPr>
    </w:p>
    <w:p w14:paraId="43BA838C">
      <w:pPr>
        <w:jc w:val="center"/>
        <w:rPr>
          <w:rFonts w:hint="eastAsia" w:ascii="仿宋" w:hAnsi="仿宋" w:eastAsia="仿宋" w:cs="仿宋"/>
          <w:b/>
          <w:sz w:val="28"/>
          <w:szCs w:val="28"/>
        </w:rPr>
      </w:pPr>
    </w:p>
    <w:p w14:paraId="29F76B33">
      <w:pPr>
        <w:jc w:val="center"/>
        <w:rPr>
          <w:rFonts w:hint="eastAsia" w:ascii="仿宋" w:hAnsi="仿宋" w:eastAsia="仿宋" w:cs="仿宋"/>
          <w:b/>
          <w:sz w:val="28"/>
          <w:szCs w:val="28"/>
        </w:rPr>
      </w:pPr>
    </w:p>
    <w:p w14:paraId="16651D75">
      <w:pPr>
        <w:jc w:val="center"/>
        <w:rPr>
          <w:rFonts w:hint="eastAsia" w:ascii="仿宋" w:hAnsi="仿宋" w:eastAsia="仿宋" w:cs="仿宋"/>
          <w:b/>
          <w:sz w:val="28"/>
          <w:szCs w:val="28"/>
        </w:rPr>
      </w:pPr>
    </w:p>
    <w:p w14:paraId="32D3C19D">
      <w:pPr>
        <w:pStyle w:val="363"/>
        <w:rPr>
          <w:rFonts w:hint="eastAsia" w:ascii="仿宋" w:hAnsi="仿宋" w:eastAsia="仿宋" w:cs="仿宋"/>
          <w:b/>
          <w:sz w:val="28"/>
          <w:szCs w:val="28"/>
        </w:rPr>
      </w:pPr>
    </w:p>
    <w:p w14:paraId="7F917DD0">
      <w:pPr>
        <w:ind w:right="2719" w:rightChars="1295"/>
        <w:jc w:val="center"/>
        <w:rPr>
          <w:rFonts w:hint="eastAsia" w:ascii="仿宋" w:hAnsi="仿宋" w:eastAsia="仿宋" w:cs="仿宋"/>
          <w:b/>
          <w:bCs/>
          <w:sz w:val="28"/>
          <w:szCs w:val="28"/>
        </w:rPr>
      </w:pPr>
      <w:r>
        <w:rPr>
          <w:rFonts w:hint="eastAsia" w:ascii="仿宋" w:hAnsi="仿宋" w:eastAsia="仿宋" w:cs="仿宋"/>
          <w:b/>
          <w:bCs/>
          <w:sz w:val="28"/>
          <w:szCs w:val="28"/>
        </w:rPr>
        <mc:AlternateContent>
          <mc:Choice Requires="wps">
            <w:drawing>
              <wp:anchor distT="0" distB="0" distL="114300" distR="114300" simplePos="0" relativeHeight="251660288" behindDoc="0" locked="0" layoutInCell="1" allowOverlap="1">
                <wp:simplePos x="0" y="0"/>
                <wp:positionH relativeFrom="column">
                  <wp:posOffset>3157220</wp:posOffset>
                </wp:positionH>
                <wp:positionV relativeFrom="paragraph">
                  <wp:posOffset>158115</wp:posOffset>
                </wp:positionV>
                <wp:extent cx="755650" cy="457200"/>
                <wp:effectExtent l="4445" t="4445" r="20955" b="14605"/>
                <wp:wrapNone/>
                <wp:docPr id="2" name="文本框 2"/>
                <wp:cNvGraphicFramePr/>
                <a:graphic xmlns:a="http://schemas.openxmlformats.org/drawingml/2006/main">
                  <a:graphicData uri="http://schemas.microsoft.com/office/word/2010/wordprocessingShape">
                    <wps:wsp>
                      <wps:cNvSpPr txBox="1"/>
                      <wps:spPr>
                        <a:xfrm>
                          <a:off x="0" y="0"/>
                          <a:ext cx="755650" cy="457200"/>
                        </a:xfrm>
                        <a:prstGeom prst="rect">
                          <a:avLst/>
                        </a:prstGeom>
                        <a:noFill/>
                        <a:ln w="9525" cap="flat" cmpd="sng">
                          <a:solidFill>
                            <a:srgbClr val="FFFFFF"/>
                          </a:solidFill>
                          <a:prstDash val="solid"/>
                          <a:miter/>
                          <a:headEnd type="none" w="med" len="med"/>
                          <a:tailEnd type="none" w="med" len="med"/>
                        </a:ln>
                        <a:effectLst/>
                      </wps:spPr>
                      <wps:txbx>
                        <w:txbxContent>
                          <w:p w14:paraId="3429495A">
                            <w:pPr>
                              <w:rPr>
                                <w:b/>
                                <w:bCs/>
                                <w:sz w:val="28"/>
                                <w:szCs w:val="28"/>
                              </w:rPr>
                            </w:pPr>
                            <w:r>
                              <w:rPr>
                                <w:b/>
                                <w:bCs/>
                                <w:sz w:val="28"/>
                                <w:szCs w:val="28"/>
                              </w:rPr>
                              <w:t>制定</w:t>
                            </w:r>
                          </w:p>
                        </w:txbxContent>
                      </wps:txbx>
                      <wps:bodyPr upright="1"/>
                    </wps:wsp>
                  </a:graphicData>
                </a:graphic>
              </wp:anchor>
            </w:drawing>
          </mc:Choice>
          <mc:Fallback>
            <w:pict>
              <v:shape id="_x0000_s1026" o:spid="_x0000_s1026" o:spt="202" type="#_x0000_t202" style="position:absolute;left:0pt;margin-left:248.6pt;margin-top:12.45pt;height:36pt;width:59.5pt;z-index:251660288;mso-width-relative:page;mso-height-relative:page;" filled="f" stroked="t" coordsize="21600,21600" o:gfxdata="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d2Bf9kAAAAJAQAADwAAAAAAAAABACAAAAAi&#10;AAAAZHJzL2Rvd25yZXYueG1sUEsBAhQAFAAAAAgAh07iQH37Ro4JAgAAGgQAAA4AAAAAAAAAAQAg&#10;AAAAKAEAAGRycy9lMm9Eb2MueG1sUEsFBgAAAAAGAAYAWQEAAKMFAAAAAA==&#10;">
                <v:fill on="f" focussize="0,0"/>
                <v:stroke color="#FFFFFF" joinstyle="miter"/>
                <v:imagedata o:title=""/>
                <o:lock v:ext="edit" aspectratio="f"/>
                <v:textbox>
                  <w:txbxContent>
                    <w:p w14:paraId="3429495A">
                      <w:pPr>
                        <w:rPr>
                          <w:b/>
                          <w:bCs/>
                          <w:sz w:val="28"/>
                          <w:szCs w:val="28"/>
                        </w:rPr>
                      </w:pPr>
                      <w:r>
                        <w:rPr>
                          <w:b/>
                          <w:bCs/>
                          <w:sz w:val="28"/>
                          <w:szCs w:val="28"/>
                        </w:rPr>
                        <w:t>制定</w:t>
                      </w:r>
                    </w:p>
                  </w:txbxContent>
                </v:textbox>
              </v:shape>
            </w:pict>
          </mc:Fallback>
        </mc:AlternateContent>
      </w:r>
      <w:r>
        <w:rPr>
          <w:rFonts w:hint="eastAsia" w:ascii="仿宋" w:hAnsi="仿宋" w:eastAsia="仿宋" w:cs="仿宋"/>
          <w:b/>
          <w:bCs/>
          <w:sz w:val="28"/>
          <w:szCs w:val="28"/>
        </w:rPr>
        <w:t xml:space="preserve">         住房城乡建设部</w:t>
      </w:r>
    </w:p>
    <w:p w14:paraId="39352C82">
      <w:pPr>
        <w:ind w:right="2719" w:rightChars="1295"/>
        <w:jc w:val="center"/>
        <w:rPr>
          <w:rFonts w:hint="eastAsia" w:ascii="仿宋" w:hAnsi="仿宋" w:eastAsia="仿宋" w:cs="仿宋"/>
          <w:szCs w:val="24"/>
        </w:rPr>
      </w:pPr>
      <w:r>
        <w:rPr>
          <w:rFonts w:hint="eastAsia" w:ascii="仿宋" w:hAnsi="仿宋" w:eastAsia="仿宋" w:cs="仿宋"/>
          <w:b/>
          <w:bCs/>
          <w:sz w:val="28"/>
          <w:szCs w:val="28"/>
        </w:rPr>
        <w:t xml:space="preserve">         国家工商行政管总局</w:t>
      </w:r>
      <w:bookmarkStart w:id="1" w:name="_Toc106183108"/>
      <w:bookmarkStart w:id="2" w:name="_Toc131156015"/>
      <w:bookmarkStart w:id="3" w:name="_Toc155872595"/>
      <w:bookmarkStart w:id="4" w:name="_Toc137631165"/>
      <w:bookmarkStart w:id="5" w:name="_Toc39121216"/>
    </w:p>
    <w:bookmarkEnd w:id="1"/>
    <w:bookmarkEnd w:id="2"/>
    <w:bookmarkEnd w:id="3"/>
    <w:bookmarkEnd w:id="4"/>
    <w:bookmarkEnd w:id="5"/>
    <w:p w14:paraId="1E5D401F">
      <w:pPr>
        <w:pBdr>
          <w:top w:val="none" w:color="000000" w:sz="0" w:space="0"/>
          <w:left w:val="none" w:color="000000" w:sz="0" w:space="0"/>
          <w:bottom w:val="none" w:color="000000" w:sz="0" w:space="0"/>
          <w:right w:val="none" w:color="000000" w:sz="0" w:space="0"/>
        </w:pBdr>
        <w:jc w:val="center"/>
        <w:rPr>
          <w:rFonts w:hint="eastAsia" w:ascii="仿宋" w:hAnsi="仿宋" w:eastAsia="宋体" w:cs="仿宋"/>
          <w:b/>
          <w:sz w:val="32"/>
        </w:rPr>
      </w:pPr>
      <w:bookmarkStart w:id="6" w:name="OLE_LINK26"/>
      <w:bookmarkStart w:id="7" w:name="OLE_LINK25"/>
    </w:p>
    <w:p w14:paraId="5C92A989">
      <w:pPr>
        <w:pBdr>
          <w:top w:val="none" w:color="000000" w:sz="0" w:space="0"/>
          <w:left w:val="none" w:color="000000" w:sz="0" w:space="0"/>
          <w:bottom w:val="none" w:color="000000" w:sz="0" w:space="0"/>
          <w:right w:val="none" w:color="000000" w:sz="0" w:space="0"/>
        </w:pBdr>
        <w:jc w:val="center"/>
        <w:rPr>
          <w:rFonts w:hint="eastAsia" w:ascii="仿宋" w:hAnsi="仿宋" w:eastAsia="宋体" w:cs="仿宋"/>
          <w:b/>
          <w:sz w:val="32"/>
        </w:rPr>
      </w:pPr>
    </w:p>
    <w:p w14:paraId="549D9DE7">
      <w:pPr>
        <w:pBdr>
          <w:top w:val="none" w:color="000000" w:sz="0" w:space="0"/>
          <w:left w:val="none" w:color="000000" w:sz="0" w:space="0"/>
          <w:bottom w:val="none" w:color="000000" w:sz="0" w:space="0"/>
          <w:right w:val="none" w:color="000000" w:sz="0" w:space="0"/>
        </w:pBdr>
        <w:jc w:val="center"/>
        <w:rPr>
          <w:rFonts w:hint="eastAsia" w:ascii="仿宋" w:hAnsi="仿宋" w:eastAsia="宋体" w:cs="仿宋"/>
          <w:b/>
          <w:sz w:val="32"/>
        </w:rPr>
      </w:pPr>
    </w:p>
    <w:p w14:paraId="444A1896">
      <w:pPr>
        <w:pBdr>
          <w:top w:val="none" w:color="000000" w:sz="0" w:space="0"/>
          <w:left w:val="none" w:color="000000" w:sz="0" w:space="0"/>
          <w:bottom w:val="none" w:color="000000" w:sz="0" w:space="0"/>
          <w:right w:val="none" w:color="000000" w:sz="0" w:space="0"/>
        </w:pBdr>
        <w:jc w:val="center"/>
        <w:outlineLvl w:val="1"/>
      </w:pPr>
      <w:r>
        <w:rPr>
          <w:rFonts w:ascii="仿宋" w:hAnsi="仿宋" w:eastAsia="仿宋" w:cs="仿宋"/>
          <w:b/>
          <w:sz w:val="32"/>
        </w:rPr>
        <w:t>第一部分</w:t>
      </w:r>
      <w:bookmarkEnd w:id="6"/>
      <w:bookmarkEnd w:id="7"/>
      <w:r>
        <w:rPr>
          <w:rFonts w:ascii="仿宋" w:hAnsi="仿宋" w:eastAsia="仿宋" w:cs="仿宋"/>
          <w:b/>
          <w:sz w:val="32"/>
        </w:rPr>
        <w:t xml:space="preserve"> 合同协议书</w:t>
      </w:r>
    </w:p>
    <w:p w14:paraId="1D52C11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b/>
          <w:sz w:val="24"/>
        </w:rPr>
        <w:t> </w:t>
      </w:r>
    </w:p>
    <w:p w14:paraId="4C88367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b/>
        </w:rPr>
        <w:t>发包人（全称）：</w:t>
      </w:r>
      <w:r>
        <w:rPr>
          <w:rFonts w:ascii="仿宋" w:hAnsi="仿宋" w:eastAsia="仿宋" w:cs="仿宋"/>
          <w:b/>
          <w:u w:val="single"/>
        </w:rPr>
        <w:t>南京市小行小学</w:t>
      </w:r>
    </w:p>
    <w:p w14:paraId="5423277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b/>
        </w:rPr>
        <w:t>承包人（全称）：</w:t>
      </w:r>
      <w:r>
        <w:rPr>
          <w:rFonts w:ascii="仿宋" w:hAnsi="仿宋" w:eastAsia="仿宋" w:cs="仿宋"/>
          <w:b/>
          <w:u w:val="single"/>
        </w:rPr>
        <w:t> </w:t>
      </w:r>
      <w:r>
        <w:rPr>
          <w:rFonts w:ascii="仿宋" w:hAnsi="仿宋" w:eastAsia="仿宋" w:cs="仿宋"/>
          <w:u w:val="single"/>
        </w:rPr>
        <w:t>                    </w:t>
      </w:r>
    </w:p>
    <w:p w14:paraId="1144650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b/>
        </w:rPr>
        <w:t>代建人（全称）：</w:t>
      </w:r>
      <w:r>
        <w:rPr>
          <w:rFonts w:ascii="仿宋" w:hAnsi="仿宋" w:eastAsia="仿宋" w:cs="仿宋"/>
          <w:b/>
          <w:u w:val="single"/>
        </w:rPr>
        <w:t>南京宁南房地产开发有限公司</w:t>
      </w:r>
    </w:p>
    <w:p w14:paraId="46BFCF1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根据《中华人民共和国民法典》、《中华人民共和国建筑法》及有关法律规定，遵循平等、自愿、公平和诚实信用的原则，各方就</w:t>
      </w:r>
      <w:r>
        <w:rPr>
          <w:rFonts w:ascii="仿宋" w:hAnsi="仿宋" w:eastAsia="仿宋" w:cs="仿宋"/>
          <w:u w:val="single"/>
        </w:rPr>
        <w:t>2025年南京市小行小学校舍</w:t>
      </w:r>
      <w:r>
        <w:rPr>
          <w:rFonts w:hint="eastAsia" w:ascii="仿宋" w:hAnsi="仿宋" w:eastAsia="仿宋" w:cs="仿宋"/>
          <w:u w:val="single"/>
        </w:rPr>
        <w:t>维修改造项目工程</w:t>
      </w:r>
      <w:r>
        <w:rPr>
          <w:rFonts w:ascii="仿宋" w:hAnsi="仿宋" w:eastAsia="仿宋" w:cs="仿宋"/>
        </w:rPr>
        <w:t>施工及有关事项协商一致，共同达成如下协议：</w:t>
      </w:r>
    </w:p>
    <w:p w14:paraId="384A27B0">
      <w:pPr>
        <w:pBdr>
          <w:top w:val="none" w:color="000000" w:sz="0" w:space="0"/>
          <w:left w:val="none" w:color="000000" w:sz="0" w:space="0"/>
          <w:bottom w:val="none" w:color="000000" w:sz="0" w:space="0"/>
          <w:right w:val="none" w:color="000000" w:sz="0" w:space="0"/>
        </w:pBdr>
        <w:ind w:firstLine="480"/>
      </w:pPr>
      <w:r>
        <w:rPr>
          <w:rFonts w:ascii="仿宋" w:hAnsi="仿宋" w:eastAsia="仿宋" w:cs="仿宋"/>
        </w:rPr>
        <w:t>本项目由发包人委托代建人（南京宁南房地产开发有限公司）按照发包人与代建人签订的代建合同行使管理职责，承包人认可代建人的管理职权，并服从代建人对本项目的管理。</w:t>
      </w:r>
    </w:p>
    <w:p w14:paraId="1D86139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一、工程概况</w:t>
      </w:r>
    </w:p>
    <w:p w14:paraId="4A04B2F6">
      <w:pPr>
        <w:pBdr>
          <w:top w:val="none" w:color="000000" w:sz="0" w:space="0"/>
          <w:left w:val="none" w:color="000000" w:sz="0" w:space="0"/>
          <w:bottom w:val="none" w:color="000000" w:sz="0" w:space="0"/>
          <w:right w:val="none" w:color="000000" w:sz="0" w:space="0"/>
        </w:pBdr>
        <w:spacing w:line="85" w:lineRule="atLeast"/>
        <w:rPr>
          <w:rFonts w:ascii="仿宋" w:hAnsi="仿宋" w:eastAsia="仿宋" w:cs="仿宋"/>
          <w:u w:val="single"/>
        </w:rPr>
      </w:pPr>
      <w:r>
        <w:rPr>
          <w:rFonts w:ascii="仿宋" w:hAnsi="仿宋" w:eastAsia="仿宋" w:cs="仿宋"/>
        </w:rPr>
        <w:t>1.工程名称：</w:t>
      </w:r>
      <w:r>
        <w:rPr>
          <w:rFonts w:ascii="仿宋" w:hAnsi="仿宋" w:eastAsia="仿宋" w:cs="仿宋"/>
          <w:u w:val="single"/>
        </w:rPr>
        <w:t>2025年南京市小行小学校舍</w:t>
      </w:r>
      <w:r>
        <w:rPr>
          <w:rFonts w:hint="eastAsia" w:ascii="仿宋" w:hAnsi="仿宋" w:eastAsia="仿宋" w:cs="仿宋"/>
          <w:u w:val="single"/>
        </w:rPr>
        <w:t>维修改造项目工程</w:t>
      </w:r>
    </w:p>
    <w:p w14:paraId="25881DE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2.工程地点：</w:t>
      </w:r>
      <w:r>
        <w:rPr>
          <w:rFonts w:hint="eastAsia" w:ascii="仿宋" w:hAnsi="仿宋" w:eastAsia="仿宋" w:cs="仿宋"/>
          <w:u w:val="single"/>
        </w:rPr>
        <w:t>南京市雨花台区赛虹桥街道小行路54号</w:t>
      </w:r>
    </w:p>
    <w:p w14:paraId="1FD4846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3.工程立项批准文号：</w:t>
      </w:r>
      <w:r>
        <w:rPr>
          <w:rFonts w:ascii="仿宋" w:hAnsi="仿宋" w:eastAsia="仿宋" w:cs="仿宋"/>
          <w:u w:val="single"/>
        </w:rPr>
        <w:t>雨政务项发[2025]</w:t>
      </w:r>
      <w:r>
        <w:rPr>
          <w:rFonts w:hint="eastAsia" w:ascii="仿宋" w:hAnsi="仿宋" w:eastAsia="宋体" w:cs="仿宋"/>
          <w:u w:val="single"/>
        </w:rPr>
        <w:t>10</w:t>
      </w:r>
      <w:r>
        <w:rPr>
          <w:rFonts w:ascii="仿宋" w:hAnsi="仿宋" w:eastAsia="仿宋" w:cs="仿宋"/>
          <w:u w:val="single"/>
        </w:rPr>
        <w:t>号</w:t>
      </w:r>
    </w:p>
    <w:p w14:paraId="1C11C3C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4.资金来源：</w:t>
      </w:r>
      <w:r>
        <w:rPr>
          <w:rFonts w:ascii="仿宋" w:hAnsi="仿宋" w:eastAsia="仿宋" w:cs="仿宋"/>
          <w:u w:val="single"/>
        </w:rPr>
        <w:t>财政</w:t>
      </w:r>
      <w:r>
        <w:rPr>
          <w:rFonts w:ascii="仿宋" w:hAnsi="仿宋" w:eastAsia="仿宋" w:cs="仿宋"/>
        </w:rPr>
        <w:t>。</w:t>
      </w:r>
    </w:p>
    <w:p w14:paraId="15A9E0A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5.工程概况：</w:t>
      </w:r>
      <w:r>
        <w:rPr>
          <w:rFonts w:hint="eastAsia" w:ascii="仿宋" w:hAnsi="仿宋" w:eastAsia="仿宋" w:cs="仿宋"/>
          <w:u w:val="single"/>
        </w:rPr>
        <w:t>本项目对学校外立面墙面进行改造，改造面积约9800平方米，对地下室防水进行升级改造等，详见招标文件和招标工程量清单。</w:t>
      </w:r>
    </w:p>
    <w:p w14:paraId="374D1B2C">
      <w:pPr>
        <w:pBdr>
          <w:top w:val="none" w:color="000000" w:sz="0" w:space="0"/>
          <w:left w:val="none" w:color="000000" w:sz="0" w:space="0"/>
          <w:bottom w:val="none" w:color="000000" w:sz="0" w:space="0"/>
          <w:right w:val="none" w:color="000000" w:sz="0" w:space="0"/>
        </w:pBdr>
        <w:spacing w:line="85" w:lineRule="atLeast"/>
        <w:rPr>
          <w:rFonts w:ascii="仿宋" w:hAnsi="仿宋" w:eastAsia="仿宋" w:cs="仿宋"/>
          <w:u w:val="single"/>
        </w:rPr>
      </w:pPr>
      <w:r>
        <w:rPr>
          <w:rFonts w:ascii="仿宋" w:hAnsi="仿宋" w:eastAsia="仿宋" w:cs="仿宋"/>
        </w:rPr>
        <w:t>6.工程内容：</w:t>
      </w:r>
      <w:r>
        <w:rPr>
          <w:rFonts w:hint="eastAsia" w:ascii="仿宋" w:hAnsi="仿宋" w:eastAsia="仿宋" w:cs="仿宋"/>
          <w:u w:val="single"/>
        </w:rPr>
        <w:t>学校外立面墙面进行改造，改造面积约9800平方米，对地下室防水进行升级改造等。</w:t>
      </w:r>
    </w:p>
    <w:p w14:paraId="12C4679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7.工程承包范围：</w:t>
      </w:r>
      <w:r>
        <w:rPr>
          <w:rFonts w:hint="eastAsia" w:ascii="仿宋" w:hAnsi="仿宋" w:eastAsia="仿宋" w:cs="仿宋"/>
          <w:u w:val="single"/>
        </w:rPr>
        <w:t>学校外立面墙面进行改造，改造面积约9800平方米，对地下室防水进行升级改造等，详见招标文件和招标工程量清单。</w:t>
      </w:r>
    </w:p>
    <w:p w14:paraId="39E8109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二、合同工期</w:t>
      </w:r>
    </w:p>
    <w:p w14:paraId="7FE7E68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计划开工日期：</w:t>
      </w:r>
      <w:r>
        <w:rPr>
          <w:rFonts w:hint="eastAsia" w:ascii="仿宋" w:hAnsi="仿宋" w:eastAsia="宋体" w:cs="仿宋"/>
          <w:u w:val="single"/>
        </w:rPr>
        <w:t>2026</w:t>
      </w:r>
      <w:r>
        <w:rPr>
          <w:rFonts w:ascii="仿宋" w:hAnsi="仿宋" w:eastAsia="仿宋" w:cs="仿宋"/>
          <w:u w:val="single"/>
        </w:rPr>
        <w:t>年</w:t>
      </w:r>
      <w:r>
        <w:rPr>
          <w:rFonts w:hint="eastAsia" w:ascii="仿宋" w:hAnsi="仿宋" w:eastAsia="仿宋" w:cs="仿宋"/>
          <w:u w:val="single"/>
          <w:lang w:val="en-US" w:eastAsia="zh-CN"/>
        </w:rPr>
        <w:t xml:space="preserve">  </w:t>
      </w:r>
      <w:r>
        <w:rPr>
          <w:rFonts w:ascii="仿宋" w:hAnsi="仿宋" w:eastAsia="仿宋" w:cs="仿宋"/>
          <w:u w:val="single"/>
        </w:rPr>
        <w:t>月</w:t>
      </w:r>
      <w:r>
        <w:rPr>
          <w:rFonts w:hint="eastAsia" w:ascii="仿宋" w:hAnsi="仿宋" w:eastAsia="仿宋" w:cs="仿宋"/>
          <w:u w:val="single"/>
          <w:lang w:val="en-US" w:eastAsia="zh-CN"/>
        </w:rPr>
        <w:t xml:space="preserve">  </w:t>
      </w:r>
      <w:r>
        <w:rPr>
          <w:rFonts w:ascii="仿宋" w:hAnsi="仿宋" w:eastAsia="仿宋" w:cs="仿宋"/>
          <w:u w:val="single"/>
        </w:rPr>
        <w:t>日（实际开工日期以监理人发出的开工通知确定的开工日期为准）</w:t>
      </w:r>
      <w:r>
        <w:rPr>
          <w:rFonts w:ascii="仿宋" w:hAnsi="仿宋" w:eastAsia="仿宋" w:cs="仿宋"/>
        </w:rPr>
        <w:t>。</w:t>
      </w:r>
    </w:p>
    <w:p w14:paraId="236212E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计划完工日期：</w:t>
      </w:r>
      <w:r>
        <w:rPr>
          <w:rFonts w:hint="eastAsia" w:ascii="仿宋" w:hAnsi="仿宋" w:eastAsia="宋体" w:cs="仿宋"/>
          <w:u w:val="single"/>
        </w:rPr>
        <w:t>2026</w:t>
      </w:r>
      <w:r>
        <w:rPr>
          <w:rFonts w:ascii="仿宋" w:hAnsi="仿宋" w:eastAsia="仿宋" w:cs="仿宋"/>
          <w:u w:val="single"/>
        </w:rPr>
        <w:t>年</w:t>
      </w:r>
      <w:r>
        <w:rPr>
          <w:rFonts w:hint="eastAsia" w:ascii="仿宋" w:hAnsi="仿宋" w:eastAsia="仿宋" w:cs="仿宋"/>
          <w:u w:val="single"/>
          <w:lang w:val="en-US" w:eastAsia="zh-CN"/>
        </w:rPr>
        <w:t xml:space="preserve">  </w:t>
      </w:r>
      <w:r>
        <w:rPr>
          <w:rFonts w:ascii="仿宋" w:hAnsi="仿宋" w:eastAsia="仿宋" w:cs="仿宋"/>
          <w:u w:val="single"/>
        </w:rPr>
        <w:t>月</w:t>
      </w:r>
      <w:r>
        <w:rPr>
          <w:rFonts w:hint="eastAsia" w:ascii="仿宋" w:hAnsi="仿宋" w:eastAsia="仿宋" w:cs="仿宋"/>
          <w:u w:val="single"/>
          <w:lang w:val="en-US" w:eastAsia="zh-CN"/>
        </w:rPr>
        <w:t xml:space="preserve">  </w:t>
      </w:r>
      <w:r>
        <w:rPr>
          <w:rFonts w:ascii="仿宋" w:hAnsi="仿宋" w:eastAsia="仿宋" w:cs="仿宋"/>
          <w:u w:val="single"/>
        </w:rPr>
        <w:t>日（实际完工日期以竣工验收证明书标注的完工日期为准）</w:t>
      </w:r>
      <w:r>
        <w:rPr>
          <w:rFonts w:ascii="仿宋" w:hAnsi="仿宋" w:eastAsia="仿宋" w:cs="仿宋"/>
        </w:rPr>
        <w:t>。</w:t>
      </w:r>
    </w:p>
    <w:p w14:paraId="325932A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工期总日历天数：</w:t>
      </w:r>
      <w:r>
        <w:rPr>
          <w:rFonts w:hint="eastAsia" w:ascii="仿宋" w:hAnsi="仿宋" w:eastAsia="仿宋" w:cs="仿宋"/>
          <w:u w:val="single"/>
          <w:lang w:val="en-US" w:eastAsia="zh-CN"/>
        </w:rPr>
        <w:t>50</w:t>
      </w:r>
      <w:r>
        <w:rPr>
          <w:rFonts w:ascii="仿宋" w:hAnsi="仿宋" w:eastAsia="仿宋" w:cs="仿宋"/>
          <w:u w:val="single"/>
        </w:rPr>
        <w:t xml:space="preserve"> </w:t>
      </w:r>
      <w:r>
        <w:rPr>
          <w:rFonts w:ascii="仿宋" w:hAnsi="仿宋" w:eastAsia="仿宋" w:cs="仿宋"/>
        </w:rPr>
        <w:t>日历天。工期总日历天数与根据前述计划开完工日期计算的工期天数不一致的，以工期总日历天数为准。</w:t>
      </w:r>
    </w:p>
    <w:p w14:paraId="68170A3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三、质量标准</w:t>
      </w:r>
    </w:p>
    <w:p w14:paraId="34BF5FB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工程质量符合国家工程质量验收标准及相关规范并达到合格（工程施工质量标准：施工质量符合设计图纸、国家及行业有关标准规范以及宁教建【2018】33号文要求，工程质量达到国家及行业现行施工验收规范合格标准。物资采购质量标准：工程所有物资（设备、材料等）采购质量需符合现行国家标准及行业标准要求，合格率达到 100%。）标准。</w:t>
      </w:r>
    </w:p>
    <w:p w14:paraId="6EEDDCD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四、签约合同价与合同价格形式</w:t>
      </w:r>
      <w:r>
        <w:rPr>
          <w:rFonts w:ascii="仿宋" w:hAnsi="仿宋" w:eastAsia="仿宋" w:cs="仿宋"/>
        </w:rPr>
        <w:tab/>
      </w:r>
    </w:p>
    <w:p w14:paraId="66B7187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1.签约合同价为：</w:t>
      </w:r>
    </w:p>
    <w:p w14:paraId="7CD6456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人民币（大写）(¥   元)；</w:t>
      </w:r>
    </w:p>
    <w:p w14:paraId="7E957CA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其中：</w:t>
      </w:r>
    </w:p>
    <w:p w14:paraId="3A8D3F3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（1）不含税总价为：</w:t>
      </w:r>
    </w:p>
    <w:p w14:paraId="5D48DA1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人民币（大写 ） (¥       元)；</w:t>
      </w:r>
    </w:p>
    <w:p w14:paraId="4EDEB3F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（2）税金为（税率9%，按开票时法定税率）：</w:t>
      </w:r>
    </w:p>
    <w:p w14:paraId="0F11DB8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人民币（大写） (¥      元) ；</w:t>
      </w:r>
    </w:p>
    <w:p w14:paraId="776B921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（3）安全文明施工费：</w:t>
      </w:r>
    </w:p>
    <w:p w14:paraId="0EDC652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人民币（大写） (¥       元)；</w:t>
      </w:r>
    </w:p>
    <w:p w14:paraId="6A084CB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（4）材料和工程设备暂估价金额：</w:t>
      </w:r>
    </w:p>
    <w:p w14:paraId="5B4EF4F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人民币（大写/） (¥/元)；</w:t>
      </w:r>
    </w:p>
    <w:p w14:paraId="74A2994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（5）专业工程暂估价金额：</w:t>
      </w:r>
    </w:p>
    <w:p w14:paraId="2F30F86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人民币（大写/） (¥/元)；</w:t>
      </w:r>
    </w:p>
    <w:p w14:paraId="27B44F4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（6）暂列金额：</w:t>
      </w:r>
    </w:p>
    <w:p w14:paraId="5EC6D27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人民币（大写肆拾万元） (¥      元)。</w:t>
      </w:r>
    </w:p>
    <w:p w14:paraId="15037EA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2.合同价格形式：</w:t>
      </w:r>
      <w:r>
        <w:rPr>
          <w:rFonts w:ascii="仿宋" w:hAnsi="仿宋" w:eastAsia="仿宋" w:cs="仿宋"/>
          <w:b/>
          <w:u w:val="single"/>
        </w:rPr>
        <w:t>固定单价合同</w:t>
      </w:r>
      <w:r>
        <w:rPr>
          <w:rFonts w:ascii="仿宋" w:hAnsi="仿宋" w:eastAsia="仿宋" w:cs="仿宋"/>
        </w:rPr>
        <w:t>。</w:t>
      </w:r>
    </w:p>
    <w:p w14:paraId="37A875C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五、项目经理</w:t>
      </w:r>
    </w:p>
    <w:p w14:paraId="24BA10A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承包人项目经理：</w:t>
      </w:r>
      <w:r>
        <w:rPr>
          <w:rFonts w:ascii="仿宋" w:hAnsi="仿宋" w:eastAsia="仿宋" w:cs="仿宋"/>
          <w:u w:val="single"/>
        </w:rPr>
        <w:t>           ；身份证号：</w:t>
      </w:r>
      <w:r>
        <w:rPr>
          <w:rFonts w:ascii="仿宋" w:hAnsi="仿宋" w:eastAsia="仿宋" w:cs="仿宋"/>
        </w:rPr>
        <w:t>。</w:t>
      </w:r>
    </w:p>
    <w:p w14:paraId="34FC0C5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六、合同文件构成</w:t>
      </w:r>
    </w:p>
    <w:p w14:paraId="14F0A21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本协议书与下列文件一起构成合同文件：</w:t>
      </w:r>
    </w:p>
    <w:p w14:paraId="158403F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（1）成交通知书；</w:t>
      </w:r>
    </w:p>
    <w:p w14:paraId="53A94A3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（2）磋商响应函及报价表； </w:t>
      </w:r>
    </w:p>
    <w:p w14:paraId="13A63A3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（3）专用合同条款及其附件；</w:t>
      </w:r>
    </w:p>
    <w:p w14:paraId="3548D37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（4）通用合同条款；</w:t>
      </w:r>
    </w:p>
    <w:p w14:paraId="5D56012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（5）技术标准和要求；</w:t>
      </w:r>
    </w:p>
    <w:p w14:paraId="030DFCE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（6）图纸；</w:t>
      </w:r>
    </w:p>
    <w:p w14:paraId="32FAD53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（7）已标价工程量清单或预算书；</w:t>
      </w:r>
    </w:p>
    <w:p w14:paraId="5444C7E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（8）其他合同文件。</w:t>
      </w:r>
    </w:p>
    <w:p w14:paraId="16A080D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在合同订立及履行过程中形成的与合同有关的文件均构成合同文件组成部分。</w:t>
      </w:r>
    </w:p>
    <w:p w14:paraId="2D91F9C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上述各项合同文件包括合同当事人就该项合同文件所作出的补充和修改，属于同一类内容的文件，应以最新签署的为准。专用合同条款及其附件须经合同当事人签字或盖章。</w:t>
      </w:r>
    </w:p>
    <w:p w14:paraId="015820DF">
      <w:pPr>
        <w:pBdr>
          <w:top w:val="none" w:color="000000" w:sz="0" w:space="0"/>
          <w:left w:val="none" w:color="000000" w:sz="0" w:space="0"/>
          <w:bottom w:val="none" w:color="000000" w:sz="0" w:space="0"/>
          <w:right w:val="none" w:color="000000" w:sz="0" w:space="0"/>
        </w:pBdr>
      </w:pPr>
      <w:r>
        <w:rPr>
          <w:rFonts w:ascii="仿宋" w:hAnsi="仿宋" w:eastAsia="仿宋" w:cs="仿宋"/>
        </w:rPr>
        <w:t>七、承诺</w:t>
      </w:r>
    </w:p>
    <w:p w14:paraId="604BA45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1.发包人承诺按照法律规定履行项目审批手续、筹集工程建设资金并按照合同约定的期限和方式支付合同价款，及时足额支付人工费用至农民工工资专用账户，并加强对承包人按时足额支付农民工工资的监督。</w:t>
      </w:r>
    </w:p>
    <w:p w14:paraId="40FD7A5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p>
    <w:p w14:paraId="2250A48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3.发包人和承包人通过招投标形式签订合同的，双方理解并承诺不再就同一工程另行签订与合同实质性内容相背离的协议。</w:t>
      </w:r>
    </w:p>
    <w:p w14:paraId="597353F7">
      <w:pPr>
        <w:pBdr>
          <w:top w:val="none" w:color="000000" w:sz="0" w:space="0"/>
          <w:left w:val="none" w:color="000000" w:sz="0" w:space="0"/>
          <w:bottom w:val="none" w:color="000000" w:sz="0" w:space="0"/>
          <w:right w:val="none" w:color="000000" w:sz="0" w:space="0"/>
        </w:pBdr>
      </w:pPr>
      <w:r>
        <w:rPr>
          <w:rFonts w:ascii="仿宋" w:hAnsi="仿宋" w:eastAsia="仿宋" w:cs="仿宋"/>
        </w:rPr>
        <w:t>八、词语含义</w:t>
      </w:r>
    </w:p>
    <w:p w14:paraId="5A75895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本协议书中词语含义与第二部分通用合同条款中赋予的含义相同。</w:t>
      </w:r>
    </w:p>
    <w:p w14:paraId="683C6769">
      <w:pPr>
        <w:pBdr>
          <w:top w:val="none" w:color="000000" w:sz="0" w:space="0"/>
          <w:left w:val="none" w:color="000000" w:sz="0" w:space="0"/>
          <w:bottom w:val="none" w:color="000000" w:sz="0" w:space="0"/>
          <w:right w:val="none" w:color="000000" w:sz="0" w:space="0"/>
        </w:pBdr>
      </w:pPr>
      <w:r>
        <w:rPr>
          <w:rFonts w:ascii="仿宋" w:hAnsi="仿宋" w:eastAsia="仿宋" w:cs="仿宋"/>
        </w:rPr>
        <w:t>九、签订时间</w:t>
      </w:r>
    </w:p>
    <w:p w14:paraId="0D2AD71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本合同于年月日签订。</w:t>
      </w:r>
    </w:p>
    <w:p w14:paraId="0BA4AEBE">
      <w:pPr>
        <w:pBdr>
          <w:top w:val="none" w:color="000000" w:sz="0" w:space="0"/>
          <w:left w:val="none" w:color="000000" w:sz="0" w:space="0"/>
          <w:bottom w:val="none" w:color="000000" w:sz="0" w:space="0"/>
          <w:right w:val="none" w:color="000000" w:sz="0" w:space="0"/>
        </w:pBdr>
      </w:pPr>
      <w:r>
        <w:rPr>
          <w:rFonts w:ascii="仿宋" w:hAnsi="仿宋" w:eastAsia="仿宋" w:cs="仿宋"/>
        </w:rPr>
        <w:t>十、签订地点</w:t>
      </w:r>
    </w:p>
    <w:p w14:paraId="5193363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本合同在南京市雨花台区签订。</w:t>
      </w:r>
    </w:p>
    <w:p w14:paraId="7323CE8E">
      <w:pPr>
        <w:pBdr>
          <w:top w:val="none" w:color="000000" w:sz="0" w:space="0"/>
          <w:left w:val="none" w:color="000000" w:sz="0" w:space="0"/>
          <w:bottom w:val="none" w:color="000000" w:sz="0" w:space="0"/>
          <w:right w:val="none" w:color="000000" w:sz="0" w:space="0"/>
        </w:pBdr>
      </w:pPr>
      <w:r>
        <w:rPr>
          <w:rFonts w:ascii="仿宋" w:hAnsi="仿宋" w:eastAsia="仿宋" w:cs="仿宋"/>
        </w:rPr>
        <w:t>十一、补充协议</w:t>
      </w:r>
    </w:p>
    <w:p w14:paraId="096F54B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合同未尽事宜，合同当事人另行签订补充协议，补充协议是合同的组成部分。</w:t>
      </w:r>
    </w:p>
    <w:p w14:paraId="1853B26A">
      <w:pPr>
        <w:pBdr>
          <w:top w:val="none" w:color="000000" w:sz="0" w:space="0"/>
          <w:left w:val="none" w:color="000000" w:sz="0" w:space="0"/>
          <w:bottom w:val="none" w:color="000000" w:sz="0" w:space="0"/>
          <w:right w:val="none" w:color="000000" w:sz="0" w:space="0"/>
        </w:pBdr>
      </w:pPr>
      <w:r>
        <w:rPr>
          <w:rFonts w:ascii="仿宋" w:hAnsi="仿宋" w:eastAsia="仿宋" w:cs="仿宋"/>
        </w:rPr>
        <w:t>十二、合同生效</w:t>
      </w:r>
    </w:p>
    <w:p w14:paraId="0122059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本合同自各方签字盖章后生效。</w:t>
      </w:r>
    </w:p>
    <w:p w14:paraId="42E3AEF0">
      <w:pPr>
        <w:pBdr>
          <w:top w:val="none" w:color="000000" w:sz="0" w:space="0"/>
          <w:left w:val="none" w:color="000000" w:sz="0" w:space="0"/>
          <w:bottom w:val="none" w:color="000000" w:sz="0" w:space="0"/>
          <w:right w:val="none" w:color="000000" w:sz="0" w:space="0"/>
        </w:pBdr>
      </w:pPr>
      <w:r>
        <w:rPr>
          <w:rFonts w:ascii="仿宋" w:hAnsi="仿宋" w:eastAsia="仿宋" w:cs="仿宋"/>
        </w:rPr>
        <w:t>十三、合同份数</w:t>
      </w:r>
    </w:p>
    <w:p w14:paraId="0CBC68D5">
      <w:pPr>
        <w:pBdr>
          <w:top w:val="none" w:color="000000" w:sz="0" w:space="0"/>
          <w:left w:val="none" w:color="000000" w:sz="0" w:space="0"/>
          <w:bottom w:val="none" w:color="000000" w:sz="0" w:space="0"/>
          <w:right w:val="none" w:color="000000" w:sz="0" w:space="0"/>
        </w:pBdr>
        <w:spacing w:line="85" w:lineRule="atLeast"/>
        <w:ind w:firstLine="480"/>
      </w:pPr>
      <w:r>
        <w:rPr>
          <w:rFonts w:ascii="仿宋" w:hAnsi="仿宋" w:eastAsia="仿宋" w:cs="仿宋"/>
        </w:rPr>
        <w:t>本合同一式玖份，均具有同等法律效力，发包人执叁份，承包人执叁份，代建人执叁份。</w:t>
      </w:r>
    </w:p>
    <w:p w14:paraId="7E00A05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p w14:paraId="3089E9A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p w14:paraId="581071A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br w:type="page"/>
      </w:r>
      <w:r>
        <w:rPr>
          <w:rFonts w:ascii="仿宋" w:hAnsi="仿宋" w:eastAsia="仿宋" w:cs="仿宋"/>
        </w:rPr>
        <w:t> （此页为2025年南京市小行小学校舍</w:t>
      </w:r>
      <w:r>
        <w:rPr>
          <w:rFonts w:hint="eastAsia" w:ascii="仿宋" w:hAnsi="仿宋" w:eastAsia="仿宋" w:cs="仿宋"/>
        </w:rPr>
        <w:t>维修改造项目工程</w:t>
      </w:r>
      <w:r>
        <w:rPr>
          <w:rFonts w:ascii="仿宋" w:hAnsi="仿宋" w:eastAsia="仿宋" w:cs="仿宋"/>
        </w:rPr>
        <w:t>施工合同的签章页，此页无正文）</w:t>
      </w:r>
    </w:p>
    <w:p w14:paraId="01BF2BA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42"/>
        <w:gridCol w:w="3865"/>
      </w:tblGrid>
      <w:tr w14:paraId="08E915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4642" w:type="dxa"/>
            <w:noWrap w:val="0"/>
            <w:tcMar>
              <w:top w:w="0" w:type="dxa"/>
              <w:left w:w="108" w:type="dxa"/>
              <w:bottom w:w="0" w:type="dxa"/>
              <w:right w:w="108" w:type="dxa"/>
            </w:tcMar>
            <w:vAlign w:val="top"/>
          </w:tcPr>
          <w:p w14:paraId="2567D6A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发包人：南京市小行小学</w:t>
            </w:r>
          </w:p>
          <w:p w14:paraId="0FD5F0A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(合同专用章或公章)</w:t>
            </w:r>
          </w:p>
        </w:tc>
        <w:tc>
          <w:tcPr>
            <w:tcW w:w="3865" w:type="dxa"/>
            <w:noWrap w:val="0"/>
            <w:tcMar>
              <w:top w:w="0" w:type="dxa"/>
              <w:left w:w="108" w:type="dxa"/>
              <w:bottom w:w="0" w:type="dxa"/>
              <w:right w:w="108" w:type="dxa"/>
            </w:tcMar>
            <w:vAlign w:val="top"/>
          </w:tcPr>
          <w:p w14:paraId="5D42E38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承包人： </w:t>
            </w:r>
          </w:p>
          <w:p w14:paraId="7EBA25B0">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(合同专用章或公章)</w:t>
            </w:r>
          </w:p>
        </w:tc>
      </w:tr>
      <w:tr w14:paraId="68AE2B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4642" w:type="dxa"/>
            <w:noWrap w:val="0"/>
            <w:tcMar>
              <w:top w:w="0" w:type="dxa"/>
              <w:left w:w="108" w:type="dxa"/>
              <w:bottom w:w="0" w:type="dxa"/>
              <w:right w:w="108" w:type="dxa"/>
            </w:tcMar>
            <w:vAlign w:val="top"/>
          </w:tcPr>
          <w:p w14:paraId="66351A5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法定代表人或其委托代理人：</w:t>
            </w:r>
          </w:p>
          <w:p w14:paraId="2DD00A1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（签字）</w:t>
            </w:r>
          </w:p>
        </w:tc>
        <w:tc>
          <w:tcPr>
            <w:tcW w:w="3865" w:type="dxa"/>
            <w:noWrap w:val="0"/>
            <w:tcMar>
              <w:top w:w="0" w:type="dxa"/>
              <w:left w:w="108" w:type="dxa"/>
              <w:bottom w:w="0" w:type="dxa"/>
              <w:right w:w="108" w:type="dxa"/>
            </w:tcMar>
            <w:vAlign w:val="top"/>
          </w:tcPr>
          <w:p w14:paraId="78578FC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法定代表人或其委托代理人：</w:t>
            </w:r>
          </w:p>
          <w:p w14:paraId="5431595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（签字）</w:t>
            </w:r>
          </w:p>
        </w:tc>
      </w:tr>
      <w:tr w14:paraId="51CD73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7F5A6AB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统一社会信用代码：</w:t>
            </w:r>
            <w:r>
              <w:rPr>
                <w:rFonts w:ascii="仿宋" w:hAnsi="仿宋" w:eastAsia="仿宋" w:cs="仿宋"/>
                <w:u w:val="single"/>
              </w:rPr>
              <w:t> </w:t>
            </w:r>
            <w:r>
              <w:rPr>
                <w:rFonts w:hint="eastAsia" w:ascii="仿宋" w:hAnsi="仿宋" w:eastAsia="仿宋" w:cs="仿宋"/>
                <w:kern w:val="0"/>
                <w:sz w:val="20"/>
                <w:szCs w:val="20"/>
                <w:u w:val="single"/>
              </w:rPr>
              <w:t>12320114E93621755A</w:t>
            </w:r>
            <w:r>
              <w:rPr>
                <w:rFonts w:ascii="仿宋" w:hAnsi="仿宋" w:eastAsia="仿宋" w:cs="仿宋"/>
                <w:u w:val="single"/>
              </w:rPr>
              <w:t xml:space="preserve"> </w:t>
            </w:r>
            <w:r>
              <w:rPr>
                <w:rFonts w:ascii="仿宋" w:hAnsi="仿宋" w:eastAsia="仿宋" w:cs="仿宋"/>
              </w:rPr>
              <w:t> </w:t>
            </w:r>
          </w:p>
        </w:tc>
        <w:tc>
          <w:tcPr>
            <w:tcW w:w="3865" w:type="dxa"/>
            <w:noWrap w:val="0"/>
            <w:tcMar>
              <w:top w:w="0" w:type="dxa"/>
              <w:left w:w="108" w:type="dxa"/>
              <w:bottom w:w="0" w:type="dxa"/>
              <w:right w:w="108" w:type="dxa"/>
            </w:tcMar>
            <w:vAlign w:val="top"/>
          </w:tcPr>
          <w:p w14:paraId="1E20174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统一社会信用代码 </w:t>
            </w:r>
          </w:p>
        </w:tc>
      </w:tr>
      <w:tr w14:paraId="7C2EF2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71D89D9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地  址：</w:t>
            </w:r>
            <w:r>
              <w:rPr>
                <w:rFonts w:hint="eastAsia" w:ascii="仿宋" w:hAnsi="仿宋" w:eastAsia="仿宋" w:cs="仿宋"/>
                <w:kern w:val="0"/>
                <w:sz w:val="20"/>
                <w:szCs w:val="20"/>
                <w:u w:val="single"/>
              </w:rPr>
              <w:t>南京市雨花台区小行路54号</w:t>
            </w:r>
            <w:r>
              <w:rPr>
                <w:rFonts w:ascii="仿宋" w:hAnsi="仿宋" w:eastAsia="仿宋" w:cs="仿宋"/>
              </w:rPr>
              <w:t> </w:t>
            </w:r>
          </w:p>
        </w:tc>
        <w:tc>
          <w:tcPr>
            <w:tcW w:w="3865" w:type="dxa"/>
            <w:noWrap w:val="0"/>
            <w:tcMar>
              <w:top w:w="0" w:type="dxa"/>
              <w:left w:w="108" w:type="dxa"/>
              <w:bottom w:w="0" w:type="dxa"/>
              <w:right w:w="108" w:type="dxa"/>
            </w:tcMar>
            <w:vAlign w:val="top"/>
          </w:tcPr>
          <w:p w14:paraId="60E586B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地  址： </w:t>
            </w:r>
          </w:p>
        </w:tc>
      </w:tr>
      <w:tr w14:paraId="3BEB83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45514A0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邮政编码： 210000</w:t>
            </w:r>
          </w:p>
        </w:tc>
        <w:tc>
          <w:tcPr>
            <w:tcW w:w="3865" w:type="dxa"/>
            <w:noWrap w:val="0"/>
            <w:tcMar>
              <w:top w:w="0" w:type="dxa"/>
              <w:left w:w="108" w:type="dxa"/>
              <w:bottom w:w="0" w:type="dxa"/>
              <w:right w:w="108" w:type="dxa"/>
            </w:tcMar>
            <w:vAlign w:val="top"/>
          </w:tcPr>
          <w:p w14:paraId="07F9311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邮政编码：  </w:t>
            </w:r>
          </w:p>
        </w:tc>
      </w:tr>
      <w:tr w14:paraId="7F88A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5" w:hRule="atLeast"/>
        </w:trPr>
        <w:tc>
          <w:tcPr>
            <w:tcW w:w="4642" w:type="dxa"/>
            <w:noWrap w:val="0"/>
            <w:tcMar>
              <w:top w:w="0" w:type="dxa"/>
              <w:left w:w="108" w:type="dxa"/>
              <w:bottom w:w="0" w:type="dxa"/>
              <w:right w:w="108" w:type="dxa"/>
            </w:tcMar>
            <w:vAlign w:val="top"/>
          </w:tcPr>
          <w:p w14:paraId="6FCA87D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法定代表人：赵辉</w:t>
            </w:r>
          </w:p>
        </w:tc>
        <w:tc>
          <w:tcPr>
            <w:tcW w:w="3865" w:type="dxa"/>
            <w:noWrap w:val="0"/>
            <w:tcMar>
              <w:top w:w="0" w:type="dxa"/>
              <w:left w:w="108" w:type="dxa"/>
              <w:bottom w:w="0" w:type="dxa"/>
              <w:right w:w="108" w:type="dxa"/>
            </w:tcMar>
            <w:vAlign w:val="top"/>
          </w:tcPr>
          <w:p w14:paraId="2229EC8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w:t>
            </w:r>
          </w:p>
        </w:tc>
      </w:tr>
      <w:tr w14:paraId="116D51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1B35E31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委托代理人：</w:t>
            </w:r>
          </w:p>
        </w:tc>
        <w:tc>
          <w:tcPr>
            <w:tcW w:w="3865" w:type="dxa"/>
            <w:noWrap w:val="0"/>
            <w:tcMar>
              <w:top w:w="0" w:type="dxa"/>
              <w:left w:w="108" w:type="dxa"/>
              <w:bottom w:w="0" w:type="dxa"/>
              <w:right w:w="108" w:type="dxa"/>
            </w:tcMar>
            <w:vAlign w:val="top"/>
          </w:tcPr>
          <w:p w14:paraId="19647FC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委托代理人：</w:t>
            </w:r>
          </w:p>
        </w:tc>
      </w:tr>
      <w:tr w14:paraId="11876B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48DC862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经办人：</w:t>
            </w:r>
            <w:r>
              <w:rPr>
                <w:rFonts w:ascii="仿宋" w:hAnsi="仿宋" w:eastAsia="仿宋" w:cs="仿宋"/>
                <w:u w:val="single"/>
              </w:rPr>
              <w:t>  （签字）        </w:t>
            </w:r>
          </w:p>
        </w:tc>
        <w:tc>
          <w:tcPr>
            <w:tcW w:w="3865" w:type="dxa"/>
            <w:noWrap w:val="0"/>
            <w:tcMar>
              <w:top w:w="0" w:type="dxa"/>
              <w:left w:w="108" w:type="dxa"/>
              <w:bottom w:w="0" w:type="dxa"/>
              <w:right w:w="108" w:type="dxa"/>
            </w:tcMar>
            <w:vAlign w:val="top"/>
          </w:tcPr>
          <w:p w14:paraId="5EA0529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经办人：</w:t>
            </w:r>
            <w:r>
              <w:rPr>
                <w:rFonts w:ascii="仿宋" w:hAnsi="仿宋" w:eastAsia="仿宋" w:cs="仿宋"/>
                <w:u w:val="single"/>
              </w:rPr>
              <w:t>  （签字）        </w:t>
            </w:r>
          </w:p>
        </w:tc>
      </w:tr>
      <w:tr w14:paraId="137AF5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5141893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  话：</w:t>
            </w:r>
          </w:p>
        </w:tc>
        <w:tc>
          <w:tcPr>
            <w:tcW w:w="3865" w:type="dxa"/>
            <w:noWrap w:val="0"/>
            <w:tcMar>
              <w:top w:w="0" w:type="dxa"/>
              <w:left w:w="108" w:type="dxa"/>
              <w:bottom w:w="0" w:type="dxa"/>
              <w:right w:w="108" w:type="dxa"/>
            </w:tcMar>
            <w:vAlign w:val="top"/>
          </w:tcPr>
          <w:p w14:paraId="42D8B05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电  话： </w:t>
            </w:r>
          </w:p>
        </w:tc>
      </w:tr>
      <w:tr w14:paraId="3F004B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05999F3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传  真：</w:t>
            </w:r>
          </w:p>
        </w:tc>
        <w:tc>
          <w:tcPr>
            <w:tcW w:w="3865" w:type="dxa"/>
            <w:noWrap w:val="0"/>
            <w:tcMar>
              <w:top w:w="0" w:type="dxa"/>
              <w:left w:w="108" w:type="dxa"/>
              <w:bottom w:w="0" w:type="dxa"/>
              <w:right w:w="108" w:type="dxa"/>
            </w:tcMar>
            <w:vAlign w:val="top"/>
          </w:tcPr>
          <w:p w14:paraId="0F1703D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传  真：/</w:t>
            </w:r>
          </w:p>
        </w:tc>
      </w:tr>
      <w:tr w14:paraId="21E00E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07B6885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电子信箱：    </w:t>
            </w:r>
          </w:p>
        </w:tc>
        <w:tc>
          <w:tcPr>
            <w:tcW w:w="3865" w:type="dxa"/>
            <w:noWrap w:val="0"/>
            <w:tcMar>
              <w:top w:w="0" w:type="dxa"/>
              <w:left w:w="108" w:type="dxa"/>
              <w:bottom w:w="0" w:type="dxa"/>
              <w:right w:w="108" w:type="dxa"/>
            </w:tcMar>
            <w:vAlign w:val="top"/>
          </w:tcPr>
          <w:p w14:paraId="138CB1C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电子信箱： </w:t>
            </w:r>
          </w:p>
        </w:tc>
      </w:tr>
      <w:tr w14:paraId="62E35A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5813694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开户银行： </w:t>
            </w:r>
          </w:p>
        </w:tc>
        <w:tc>
          <w:tcPr>
            <w:tcW w:w="3865" w:type="dxa"/>
            <w:noWrap w:val="0"/>
            <w:tcMar>
              <w:top w:w="0" w:type="dxa"/>
              <w:left w:w="108" w:type="dxa"/>
              <w:bottom w:w="0" w:type="dxa"/>
              <w:right w:w="108" w:type="dxa"/>
            </w:tcMar>
            <w:vAlign w:val="top"/>
          </w:tcPr>
          <w:p w14:paraId="0AA2829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开户银行： </w:t>
            </w:r>
          </w:p>
        </w:tc>
      </w:tr>
      <w:tr w14:paraId="4D8444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1BDE8CF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账  号：                   </w:t>
            </w:r>
          </w:p>
        </w:tc>
        <w:tc>
          <w:tcPr>
            <w:tcW w:w="3865" w:type="dxa"/>
            <w:noWrap w:val="0"/>
            <w:tcMar>
              <w:top w:w="0" w:type="dxa"/>
              <w:left w:w="108" w:type="dxa"/>
              <w:bottom w:w="0" w:type="dxa"/>
              <w:right w:w="108" w:type="dxa"/>
            </w:tcMar>
            <w:vAlign w:val="top"/>
          </w:tcPr>
          <w:p w14:paraId="015CA31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账  号：                  </w:t>
            </w:r>
          </w:p>
        </w:tc>
      </w:tr>
    </w:tbl>
    <w:p w14:paraId="55276A5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p w14:paraId="33087014">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3C7522B2">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4230EDC4">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1D72EC99">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64853F4A">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30703EE7">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1EBB00C4">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4AA89522">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5BEE9B34">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45164717">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6DC81D5B">
      <w:pPr>
        <w:pBdr>
          <w:top w:val="none" w:color="000000" w:sz="0" w:space="0"/>
          <w:left w:val="none" w:color="000000" w:sz="0" w:space="0"/>
          <w:bottom w:val="none" w:color="000000" w:sz="0" w:space="0"/>
          <w:right w:val="none" w:color="000000" w:sz="0" w:space="0"/>
        </w:pBdr>
      </w:pPr>
      <w:r>
        <w:rPr>
          <w:rFonts w:ascii="仿宋" w:hAnsi="仿宋" w:eastAsia="仿宋" w:cs="仿宋"/>
          <w:b/>
        </w:rPr>
        <w:t> </w:t>
      </w:r>
    </w:p>
    <w:p w14:paraId="21A55EF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br w:type="page"/>
      </w:r>
      <w:r>
        <w:rPr>
          <w:rFonts w:ascii="仿宋" w:hAnsi="仿宋" w:eastAsia="仿宋" w:cs="仿宋"/>
        </w:rPr>
        <w:t>（此页为2025年南京市小行小学校舍</w:t>
      </w:r>
      <w:r>
        <w:rPr>
          <w:rFonts w:hint="eastAsia" w:ascii="仿宋" w:hAnsi="仿宋" w:eastAsia="仿宋" w:cs="仿宋"/>
        </w:rPr>
        <w:t>维修改造项目工程</w:t>
      </w:r>
      <w:r>
        <w:rPr>
          <w:rFonts w:ascii="仿宋" w:hAnsi="仿宋" w:eastAsia="仿宋" w:cs="仿宋"/>
        </w:rPr>
        <w:t>施工合同的签章页，此页无正文）</w:t>
      </w:r>
    </w:p>
    <w:p w14:paraId="5F1C679B">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rPr>
        <w:t>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42"/>
        <w:gridCol w:w="3647"/>
      </w:tblGrid>
      <w:tr w14:paraId="671570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4642" w:type="dxa"/>
            <w:noWrap w:val="0"/>
            <w:tcMar>
              <w:top w:w="0" w:type="dxa"/>
              <w:left w:w="108" w:type="dxa"/>
              <w:bottom w:w="0" w:type="dxa"/>
              <w:right w:w="108" w:type="dxa"/>
            </w:tcMar>
            <w:vAlign w:val="top"/>
          </w:tcPr>
          <w:p w14:paraId="16F9E8D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代建人：南京宁南房地产开发有限公司 </w:t>
            </w:r>
          </w:p>
          <w:p w14:paraId="7A6F3AB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(合同专用章或公章)</w:t>
            </w:r>
          </w:p>
        </w:tc>
        <w:tc>
          <w:tcPr>
            <w:tcW w:w="3647" w:type="dxa"/>
            <w:noWrap w:val="0"/>
            <w:tcMar>
              <w:top w:w="0" w:type="dxa"/>
              <w:left w:w="108" w:type="dxa"/>
              <w:bottom w:w="0" w:type="dxa"/>
              <w:right w:w="108" w:type="dxa"/>
            </w:tcMar>
            <w:vAlign w:val="top"/>
          </w:tcPr>
          <w:p w14:paraId="756E9F7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0C6FD2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4642" w:type="dxa"/>
            <w:noWrap w:val="0"/>
            <w:tcMar>
              <w:top w:w="0" w:type="dxa"/>
              <w:left w:w="108" w:type="dxa"/>
              <w:bottom w:w="0" w:type="dxa"/>
              <w:right w:w="108" w:type="dxa"/>
            </w:tcMar>
            <w:vAlign w:val="top"/>
          </w:tcPr>
          <w:p w14:paraId="4DC6878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法定代表人或其委托代理人：</w:t>
            </w:r>
          </w:p>
          <w:p w14:paraId="2E99163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（签字）</w:t>
            </w:r>
          </w:p>
        </w:tc>
        <w:tc>
          <w:tcPr>
            <w:tcW w:w="3647" w:type="dxa"/>
            <w:noWrap w:val="0"/>
            <w:tcMar>
              <w:top w:w="0" w:type="dxa"/>
              <w:left w:w="108" w:type="dxa"/>
              <w:bottom w:w="0" w:type="dxa"/>
              <w:right w:w="108" w:type="dxa"/>
            </w:tcMar>
            <w:vAlign w:val="top"/>
          </w:tcPr>
          <w:p w14:paraId="7473DAB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1F9811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0857811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统一社会信用代码：</w:t>
            </w:r>
            <w:r>
              <w:rPr>
                <w:rFonts w:ascii="仿宋" w:hAnsi="仿宋" w:eastAsia="仿宋" w:cs="仿宋"/>
                <w:u w:val="single"/>
              </w:rPr>
              <w:t>91320114249703377T</w:t>
            </w:r>
            <w:r>
              <w:rPr>
                <w:rFonts w:ascii="仿宋" w:hAnsi="仿宋" w:eastAsia="仿宋" w:cs="仿宋"/>
              </w:rPr>
              <w:t> </w:t>
            </w:r>
          </w:p>
        </w:tc>
        <w:tc>
          <w:tcPr>
            <w:tcW w:w="3647" w:type="dxa"/>
            <w:noWrap w:val="0"/>
            <w:tcMar>
              <w:top w:w="0" w:type="dxa"/>
              <w:left w:w="108" w:type="dxa"/>
              <w:bottom w:w="0" w:type="dxa"/>
              <w:right w:w="108" w:type="dxa"/>
            </w:tcMar>
            <w:vAlign w:val="top"/>
          </w:tcPr>
          <w:p w14:paraId="5FDE5D1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5B6A06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0A13204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地  址：</w:t>
            </w:r>
            <w:r>
              <w:rPr>
                <w:rFonts w:ascii="仿宋" w:hAnsi="仿宋" w:eastAsia="仿宋" w:cs="仿宋"/>
                <w:u w:val="single"/>
              </w:rPr>
              <w:t>南京市雨花台区宁双路19号</w:t>
            </w:r>
            <w:r>
              <w:rPr>
                <w:rFonts w:ascii="仿宋" w:hAnsi="仿宋" w:eastAsia="仿宋" w:cs="仿宋"/>
              </w:rPr>
              <w:t> </w:t>
            </w:r>
          </w:p>
        </w:tc>
        <w:tc>
          <w:tcPr>
            <w:tcW w:w="3647" w:type="dxa"/>
            <w:noWrap w:val="0"/>
            <w:tcMar>
              <w:top w:w="0" w:type="dxa"/>
              <w:left w:w="108" w:type="dxa"/>
              <w:bottom w:w="0" w:type="dxa"/>
              <w:right w:w="108" w:type="dxa"/>
            </w:tcMar>
            <w:vAlign w:val="top"/>
          </w:tcPr>
          <w:p w14:paraId="456F9E9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6EE27E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2433EE9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邮政编码： 210000</w:t>
            </w:r>
          </w:p>
        </w:tc>
        <w:tc>
          <w:tcPr>
            <w:tcW w:w="3647" w:type="dxa"/>
            <w:noWrap w:val="0"/>
            <w:tcMar>
              <w:top w:w="0" w:type="dxa"/>
              <w:left w:w="108" w:type="dxa"/>
              <w:bottom w:w="0" w:type="dxa"/>
              <w:right w:w="108" w:type="dxa"/>
            </w:tcMar>
            <w:vAlign w:val="top"/>
          </w:tcPr>
          <w:p w14:paraId="71F3A1E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5FA0BA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06297B7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w:t>
            </w:r>
            <w:r>
              <w:rPr>
                <w:rFonts w:ascii="仿宋" w:hAnsi="仿宋" w:eastAsia="仿宋" w:cs="仿宋"/>
                <w:u w:val="single"/>
              </w:rPr>
              <w:t>彭博</w:t>
            </w:r>
          </w:p>
        </w:tc>
        <w:tc>
          <w:tcPr>
            <w:tcW w:w="3647" w:type="dxa"/>
            <w:noWrap w:val="0"/>
            <w:tcMar>
              <w:top w:w="0" w:type="dxa"/>
              <w:left w:w="108" w:type="dxa"/>
              <w:bottom w:w="0" w:type="dxa"/>
              <w:right w:w="108" w:type="dxa"/>
            </w:tcMar>
            <w:vAlign w:val="top"/>
          </w:tcPr>
          <w:p w14:paraId="0042396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742B76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21E2D7F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委托代理人：</w:t>
            </w:r>
          </w:p>
        </w:tc>
        <w:tc>
          <w:tcPr>
            <w:tcW w:w="3647" w:type="dxa"/>
            <w:noWrap w:val="0"/>
            <w:tcMar>
              <w:top w:w="0" w:type="dxa"/>
              <w:left w:w="108" w:type="dxa"/>
              <w:bottom w:w="0" w:type="dxa"/>
              <w:right w:w="108" w:type="dxa"/>
            </w:tcMar>
            <w:vAlign w:val="top"/>
          </w:tcPr>
          <w:p w14:paraId="75EC910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73D316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5E28EEB0">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经办人：</w:t>
            </w:r>
            <w:r>
              <w:rPr>
                <w:rFonts w:ascii="仿宋" w:hAnsi="仿宋" w:eastAsia="仿宋" w:cs="仿宋"/>
                <w:u w:val="single"/>
              </w:rPr>
              <w:t>  （签字）        </w:t>
            </w:r>
          </w:p>
        </w:tc>
        <w:tc>
          <w:tcPr>
            <w:tcW w:w="3647" w:type="dxa"/>
            <w:noWrap w:val="0"/>
            <w:tcMar>
              <w:top w:w="0" w:type="dxa"/>
              <w:left w:w="108" w:type="dxa"/>
              <w:bottom w:w="0" w:type="dxa"/>
              <w:right w:w="108" w:type="dxa"/>
            </w:tcMar>
            <w:vAlign w:val="top"/>
          </w:tcPr>
          <w:p w14:paraId="7413E70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53DB77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63D3F8B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  话：</w:t>
            </w:r>
            <w:r>
              <w:rPr>
                <w:rFonts w:ascii="仿宋" w:hAnsi="仿宋" w:eastAsia="仿宋" w:cs="仿宋"/>
                <w:u w:val="single"/>
              </w:rPr>
              <w:t xml:space="preserve"> 025-52887991 </w:t>
            </w:r>
          </w:p>
        </w:tc>
        <w:tc>
          <w:tcPr>
            <w:tcW w:w="3647" w:type="dxa"/>
            <w:noWrap w:val="0"/>
            <w:tcMar>
              <w:top w:w="0" w:type="dxa"/>
              <w:left w:w="108" w:type="dxa"/>
              <w:bottom w:w="0" w:type="dxa"/>
              <w:right w:w="108" w:type="dxa"/>
            </w:tcMar>
            <w:vAlign w:val="top"/>
          </w:tcPr>
          <w:p w14:paraId="4E994E9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325EA0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4EBC05B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传  真：</w:t>
            </w:r>
          </w:p>
        </w:tc>
        <w:tc>
          <w:tcPr>
            <w:tcW w:w="3647" w:type="dxa"/>
            <w:noWrap w:val="0"/>
            <w:tcMar>
              <w:top w:w="0" w:type="dxa"/>
              <w:left w:w="108" w:type="dxa"/>
              <w:bottom w:w="0" w:type="dxa"/>
              <w:right w:w="108" w:type="dxa"/>
            </w:tcMar>
            <w:vAlign w:val="top"/>
          </w:tcPr>
          <w:p w14:paraId="77C1160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54C45D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7E4BE98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电子信箱：    </w:t>
            </w:r>
          </w:p>
        </w:tc>
        <w:tc>
          <w:tcPr>
            <w:tcW w:w="3647" w:type="dxa"/>
            <w:noWrap w:val="0"/>
            <w:tcMar>
              <w:top w:w="0" w:type="dxa"/>
              <w:left w:w="108" w:type="dxa"/>
              <w:bottom w:w="0" w:type="dxa"/>
              <w:right w:w="108" w:type="dxa"/>
            </w:tcMar>
            <w:vAlign w:val="top"/>
          </w:tcPr>
          <w:p w14:paraId="3F299BB0">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5E94DE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7EF93AB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开户银行：</w:t>
            </w:r>
            <w:r>
              <w:rPr>
                <w:rFonts w:ascii="仿宋" w:hAnsi="仿宋" w:eastAsia="仿宋" w:cs="仿宋"/>
                <w:u w:val="single"/>
              </w:rPr>
              <w:t>农行南京宁南支行</w:t>
            </w:r>
            <w:r>
              <w:rPr>
                <w:rFonts w:ascii="仿宋" w:hAnsi="仿宋" w:eastAsia="仿宋" w:cs="仿宋"/>
              </w:rPr>
              <w:t> </w:t>
            </w:r>
          </w:p>
        </w:tc>
        <w:tc>
          <w:tcPr>
            <w:tcW w:w="3647" w:type="dxa"/>
            <w:noWrap w:val="0"/>
            <w:tcMar>
              <w:top w:w="0" w:type="dxa"/>
              <w:left w:w="108" w:type="dxa"/>
              <w:bottom w:w="0" w:type="dxa"/>
              <w:right w:w="108" w:type="dxa"/>
            </w:tcMar>
            <w:vAlign w:val="top"/>
          </w:tcPr>
          <w:p w14:paraId="68004E4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624A21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42" w:type="dxa"/>
            <w:noWrap w:val="0"/>
            <w:tcMar>
              <w:top w:w="0" w:type="dxa"/>
              <w:left w:w="108" w:type="dxa"/>
              <w:bottom w:w="0" w:type="dxa"/>
              <w:right w:w="108" w:type="dxa"/>
            </w:tcMar>
            <w:vAlign w:val="top"/>
          </w:tcPr>
          <w:p w14:paraId="1E13CE90">
            <w:pPr>
              <w:pBdr>
                <w:top w:val="none" w:color="000000" w:sz="0" w:space="0"/>
                <w:left w:val="none" w:color="000000" w:sz="0" w:space="0"/>
                <w:bottom w:val="none" w:color="000000" w:sz="0" w:space="0"/>
                <w:right w:val="none" w:color="000000" w:sz="0" w:space="0"/>
              </w:pBdr>
              <w:spacing w:line="85" w:lineRule="atLeast"/>
            </w:pPr>
            <w:r>
              <w:rPr>
                <w:rFonts w:hint="eastAsia" w:ascii="宋体" w:hAnsi="宋体" w:eastAsia="宋体" w:cs="宋体"/>
              </w:rPr>
              <w:t>账</w:t>
            </w:r>
            <w:r>
              <w:rPr>
                <w:rFonts w:hint="eastAsia" w:ascii="宋体" w:hAnsi="宋体" w:cs="宋体"/>
              </w:rPr>
              <w:t xml:space="preserve">    </w:t>
            </w:r>
            <w:r>
              <w:rPr>
                <w:rFonts w:ascii="仿宋" w:hAnsi="仿宋" w:eastAsia="仿宋" w:cs="仿宋"/>
              </w:rPr>
              <w:t>号：</w:t>
            </w:r>
            <w:r>
              <w:rPr>
                <w:rFonts w:ascii="仿宋" w:hAnsi="仿宋" w:eastAsia="仿宋" w:cs="仿宋"/>
                <w:u w:val="single"/>
              </w:rPr>
              <w:t>03232107401040013437</w:t>
            </w:r>
            <w:r>
              <w:rPr>
                <w:rFonts w:ascii="仿宋" w:hAnsi="仿宋" w:eastAsia="仿宋" w:cs="仿宋"/>
              </w:rPr>
              <w:t>     </w:t>
            </w:r>
          </w:p>
        </w:tc>
        <w:tc>
          <w:tcPr>
            <w:tcW w:w="3647" w:type="dxa"/>
            <w:noWrap w:val="0"/>
            <w:tcMar>
              <w:top w:w="0" w:type="dxa"/>
              <w:left w:w="108" w:type="dxa"/>
              <w:bottom w:w="0" w:type="dxa"/>
              <w:right w:w="108" w:type="dxa"/>
            </w:tcMar>
            <w:vAlign w:val="top"/>
          </w:tcPr>
          <w:p w14:paraId="58C80F0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bl>
    <w:p w14:paraId="3B8A2173">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rPr>
        <w:t> </w:t>
      </w:r>
    </w:p>
    <w:p w14:paraId="0A64FF92">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rPr>
        <w:t> </w:t>
      </w:r>
    </w:p>
    <w:p w14:paraId="5D2DB9B0">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rPr>
        <w:t> </w:t>
      </w:r>
    </w:p>
    <w:p w14:paraId="4EE708C7">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rPr>
        <w:t> </w:t>
      </w:r>
    </w:p>
    <w:p w14:paraId="280D037A">
      <w:pPr>
        <w:pBdr>
          <w:top w:val="none" w:color="000000" w:sz="0" w:space="0"/>
          <w:left w:val="none" w:color="000000" w:sz="0" w:space="0"/>
          <w:bottom w:val="none" w:color="000000" w:sz="0" w:space="0"/>
          <w:right w:val="none" w:color="000000" w:sz="0" w:space="0"/>
        </w:pBdr>
        <w:spacing w:before="240" w:after="240"/>
      </w:pPr>
      <w:r>
        <w:rPr/>
        <w:br w:type="page" w:clear="all"/>
      </w:r>
    </w:p>
    <w:p w14:paraId="5F8D96D9">
      <w:pPr>
        <w:pBdr>
          <w:top w:val="none" w:color="000000" w:sz="0" w:space="0"/>
          <w:left w:val="none" w:color="000000" w:sz="0" w:space="0"/>
          <w:bottom w:val="none" w:color="000000" w:sz="0" w:space="0"/>
          <w:right w:val="none" w:color="000000" w:sz="0" w:space="0"/>
        </w:pBdr>
        <w:jc w:val="center"/>
        <w:outlineLvl w:val="1"/>
      </w:pPr>
      <w:r>
        <w:rPr>
          <w:rFonts w:ascii="仿宋" w:hAnsi="仿宋" w:eastAsia="仿宋" w:cs="仿宋"/>
          <w:b/>
          <w:sz w:val="32"/>
        </w:rPr>
        <w:t>第</w:t>
      </w:r>
      <w:r>
        <w:rPr>
          <w:rFonts w:hint="eastAsia" w:ascii="宋体" w:hAnsi="宋体" w:eastAsia="宋体" w:cs="仿宋"/>
          <w:b/>
          <w:sz w:val="32"/>
        </w:rPr>
        <w:t>二</w:t>
      </w:r>
      <w:r>
        <w:rPr>
          <w:rFonts w:ascii="仿宋" w:hAnsi="仿宋" w:eastAsia="仿宋" w:cs="仿宋"/>
          <w:b/>
          <w:sz w:val="32"/>
        </w:rPr>
        <w:t>部分</w:t>
      </w:r>
      <w:r>
        <w:rPr>
          <w:rFonts w:hint="eastAsia" w:ascii="仿宋" w:hAnsi="仿宋" w:eastAsia="宋体" w:cs="仿宋"/>
          <w:b/>
          <w:sz w:val="32"/>
        </w:rPr>
        <w:t xml:space="preserve"> </w:t>
      </w:r>
      <w:r>
        <w:rPr>
          <w:rFonts w:ascii="仿宋" w:hAnsi="仿宋" w:eastAsia="仿宋" w:cs="仿宋"/>
          <w:b/>
          <w:sz w:val="32"/>
        </w:rPr>
        <w:t>通用合同条款</w:t>
      </w:r>
    </w:p>
    <w:p w14:paraId="342F00F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1.一般约定</w:t>
      </w:r>
    </w:p>
    <w:p w14:paraId="791DEC0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1.1词语定义与解释</w:t>
      </w:r>
    </w:p>
    <w:p w14:paraId="4359568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合同协议书、通用合同条款、专用合同条款中的下列词语具有本款所赋予的含义：</w:t>
      </w:r>
    </w:p>
    <w:p w14:paraId="658075C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   1.1.1 合同</w:t>
      </w:r>
    </w:p>
    <w:p w14:paraId="1FEBB66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3E14ED0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1.1.1.2 合同协议书：是指构成合同的由发包人和承包人共同签署的称为“合同协议书”的书面文件。</w:t>
      </w:r>
    </w:p>
    <w:p w14:paraId="359FA66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1.1.1.3 中标通知书：是指构成合同的由发包人通知承包人中标的书面文件。</w:t>
      </w:r>
    </w:p>
    <w:p w14:paraId="12D3FF6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1.1.1.4 投标函：是指构成合同的由承包人填写并签署的用于投标的称为“投标函”的文件。</w:t>
      </w:r>
    </w:p>
    <w:p w14:paraId="2EDC8B4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1.1.1.5 投标函附录：是指构成合同的附在投标函后的称为“投标函附录”的文件。</w:t>
      </w:r>
    </w:p>
    <w:p w14:paraId="76D493A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1.1.1.6 技术标准和要求：是指构成合同的施工应当遵守的或指导施工的国家、行业或地方的技术标准和要求，以及合同约定的技术标准和要求。</w:t>
      </w:r>
    </w:p>
    <w:p w14:paraId="45ECFBD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1.1.1.7 图纸：是指构成合同的图纸，包括由发包人按照合同约定提供或经发包人批准的设计文件、施工图、鸟瞰图及模型等，以及在合同履行过程中形成的图纸文件。图纸应当按照法律规定审查合格。</w:t>
      </w:r>
    </w:p>
    <w:p w14:paraId="7BEEBC8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1.1.1.8 已标价工程量清单：是指构成合同的由承包人按照规定的格式和要求填写并标明价格的工程量清单，包括说明和表格。</w:t>
      </w:r>
    </w:p>
    <w:p w14:paraId="17AFA4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1.1.1.9 预算书：是指构成合同的由承包人按照发包人规定的格式和要求编制的工程预算文件。</w:t>
      </w:r>
    </w:p>
    <w:p w14:paraId="7E4A6D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1.1.1.10 其他合同文件：是指经合同当事人约定的与工程施工有关的具有合同约束力的文件或书面协议。合同当事人可以在专用合同条款中进行约定。</w:t>
      </w:r>
    </w:p>
    <w:p w14:paraId="678D69A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   1.1.2 合同当事人及其他相关方</w:t>
      </w:r>
    </w:p>
    <w:p w14:paraId="027A96A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1.1.2.1 合同当事人：是指发包人和（或）承包人。</w:t>
      </w:r>
    </w:p>
    <w:p w14:paraId="21F2631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1.1.2.2 发包人：是指与承包人签订合同协议书的当事人及取得该当事人资格的合法继承人。</w:t>
      </w:r>
    </w:p>
    <w:p w14:paraId="0B9BC38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1.1.2.3 承包人：是指与发包人签订合同协议书的，具有相应工程施工承包资质的当事人及取得该当事人资格的合法继承人。</w:t>
      </w:r>
    </w:p>
    <w:p w14:paraId="41A0FA2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1.1.2.4 监理人：是指在专用合同条款中指明的，受发包人委托按照法律规定进行工程监督管理的法人或其他组织。</w:t>
      </w:r>
    </w:p>
    <w:p w14:paraId="182078A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1.1.2.5 设计人：是指在专用合同条款中指明的，受发包人委托负责工程设计并具备相应工程设计资质的法人或其他组织。</w:t>
      </w:r>
    </w:p>
    <w:p w14:paraId="4FF17D6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1.1.2.6 分包人：是指按照法律规定和合同约定，分包部分工程或工作，并与承包人签订分包合同的具有相应资质的法人。</w:t>
      </w:r>
    </w:p>
    <w:p w14:paraId="6BCCB21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1.1.2.7 发包人代表：是指由发包人任命并派驻施工现场在发包人授权范围内行使发包人权利的人。</w:t>
      </w:r>
    </w:p>
    <w:p w14:paraId="2F028C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1.1.2.8 项目经理：是指由承包人任命并派驻施工现场，在承包人授权范围内负责合同履行，且按照法律规定具有相应资格的项目负责人。</w:t>
      </w:r>
    </w:p>
    <w:p w14:paraId="3A8584C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1.1.2.9 总监理工程师：是指由监理人任命并派驻施工现场进行工程监理的总负责人。</w:t>
      </w:r>
    </w:p>
    <w:p w14:paraId="7F64ADE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 工程和设备</w:t>
      </w:r>
    </w:p>
    <w:p w14:paraId="7F6B54F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1.1.3.1 工程：是指与合同协议书中工程承包范围对应的永久工程和（或）临时工程。</w:t>
      </w:r>
    </w:p>
    <w:p w14:paraId="6AB3FFA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1.1.3.2 永久工程：是指按合同约定建造并移交给发包人的工程，包括工程设备。</w:t>
      </w:r>
    </w:p>
    <w:p w14:paraId="61C38B0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1.1.3.3 临时工程：是指为完成合同约定的永久工程所修建的各类临时性工程，不包括施工设备。</w:t>
      </w:r>
    </w:p>
    <w:p w14:paraId="6820DAB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1.1.3.4 单位工程：是指在合同协议书中指明的，具备独立施工条件并能形成独立使用功能的永久工程。</w:t>
      </w:r>
    </w:p>
    <w:p w14:paraId="0468FAC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1.1.3.5 工程设备：是指构成永久工程的机电设备、金属结构设备、仪器及其他类似的设备和装置。</w:t>
      </w:r>
    </w:p>
    <w:p w14:paraId="7256795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1.1.3.6 施工设备：是指为完成合同约定的各项工作所需的设备、器具和其他物品，但不包括工程设备、临时工程和材料。</w:t>
      </w:r>
    </w:p>
    <w:p w14:paraId="3DCF214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1.1.3.7 施工现场：是指用于工程施工的场所，以及在专用合同条款中指明作为施工场所组成部分的其他场所，包括永久占地和临时占地。</w:t>
      </w:r>
    </w:p>
    <w:p w14:paraId="5E2087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1.1.3.8临时设施：是指为完成合同约定的各项工作所服务的临时性生产和生活设施。</w:t>
      </w:r>
    </w:p>
    <w:p w14:paraId="2F4C10B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1.1.3.9 永久占地：是指专用合同条款中指明为实施工程需永久占用的土地。</w:t>
      </w:r>
    </w:p>
    <w:p w14:paraId="3E3FB00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1.1.3.10 临时占地：是指专用合同条款中指明为实施工程需要临时占用的土地。</w:t>
      </w:r>
    </w:p>
    <w:p w14:paraId="4B4075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 日期和期限</w:t>
      </w:r>
    </w:p>
    <w:p w14:paraId="1A09D1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7520446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1.1.4.2 竣工日期：包括计划竣工日期和实际竣工日期。计划竣工日期是指合同协议书约定的竣工日期；实际竣工日期按照第13.2.3项〔竣工日期〕的约定确定。</w:t>
      </w:r>
    </w:p>
    <w:p w14:paraId="75F6226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1.1.4.3 工期：是指在合同协议书约定的承包人完成工程所需的期限，包括按照合同约定所作的期限变更。</w:t>
      </w:r>
    </w:p>
    <w:p w14:paraId="714E9C4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1.1.4.4 缺陷责任期：是指承包人按照合同约定承担缺陷修复义务，且发包人预留质量保证金（已缴纳履约保证金的除外）的期限，自工程实际竣工日期起计算。</w:t>
      </w:r>
    </w:p>
    <w:p w14:paraId="5CEC305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1.1.4.5 保修期：是指承包人按照合同约定对工程承担保修责任的期限，从工程竣工验收合格之日起计算。</w:t>
      </w:r>
    </w:p>
    <w:p w14:paraId="6C463E1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1.1.4.6 基准日期：招标发包的工程以投标截止日前28天的日期为基准日期，直接发包的工程以合同签订日前28天的日期为基准日期。</w:t>
      </w:r>
    </w:p>
    <w:p w14:paraId="6AD3651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1.1.4.7 天：除特别指明外，均指日历天。合同中按天计算时间的，开始当天不计入，从次日开始计算，期限最后一天的截止时间为当天24:00时。</w:t>
      </w:r>
    </w:p>
    <w:p w14:paraId="224155E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 合同价格和费用</w:t>
      </w:r>
    </w:p>
    <w:p w14:paraId="049F019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1.1.5.1 签约合同价：是指发包人和承包人在合同协议书中确定的总金额，包括安全文明施工费、暂估价及暂列金额等。</w:t>
      </w:r>
    </w:p>
    <w:p w14:paraId="52ED252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1.1.5.2 合同价格：是指发包人用于支付承包人按照合同约定完成承包范围内全部工作的金额，包括合同履行过程中按合同约定发生的价格变化。</w:t>
      </w:r>
    </w:p>
    <w:p w14:paraId="7528D5E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1.1.5.3 费用：是指为履行合同所发生的或将要发生的所有必需的开支，包括管理费和应分摊的其他费用，但不包括利润。</w:t>
      </w:r>
    </w:p>
    <w:p w14:paraId="3F7717D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1.1.5.4 暂估价：是指发包人在工程量清单或预算书中提供的用于支付必然发生但暂时不能确定价格的材料、工程设备的单价、专业工程以及服务工作的金额。</w:t>
      </w:r>
    </w:p>
    <w:p w14:paraId="026B76C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1412781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1.1.5.6 计日工：是指合同履行过程中，承包人完成发包人提出的零星工作或需要采用计日工计价的变更工作时，按合同中约定的单价计价的一种方式。</w:t>
      </w:r>
    </w:p>
    <w:p w14:paraId="350A88D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1.1.5.7 质量保证金：是指按照第15.3款〔质量保证金〕约定承包人用于保证其在缺陷责任期内履行缺陷修补义务的担保。</w:t>
      </w:r>
    </w:p>
    <w:p w14:paraId="26BBFFA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1.1.5.8 总价项目：是指在现行国家、行业以及地方的计量规则中无工程量计算规则，在已标价工程量清单或预算书中以总价或以费率形式计算的项目。</w:t>
      </w:r>
    </w:p>
    <w:p w14:paraId="5E1AD17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1.1.6 其他</w:t>
      </w:r>
    </w:p>
    <w:p w14:paraId="15F8A4F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1.1.6.1 书面形式：是指合同文件、信函、电报、传真等可以有形地表现所载内容的形式。</w:t>
      </w:r>
    </w:p>
    <w:p w14:paraId="7742726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  1.2语言文字</w:t>
      </w:r>
    </w:p>
    <w:p w14:paraId="742A897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合同以中国的汉语简体文字编写、解释和说明。合同当事人在专用合同条款中约定使用两种以上语言时，汉语为优先解释和说明合同的语言。</w:t>
      </w:r>
    </w:p>
    <w:p w14:paraId="3DD6402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1.3法律</w:t>
      </w:r>
    </w:p>
    <w:p w14:paraId="02195AA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合同所称法律是指中华人民共和国法律、行政法规、部门规章，以及工程所在地的地方性法规、自治条例、单行条例和地方政府规章等。</w:t>
      </w:r>
    </w:p>
    <w:p w14:paraId="46219C2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合同当事人可以在专用合同条款中约定合同适用的其他规范性文件。</w:t>
      </w:r>
    </w:p>
    <w:p w14:paraId="7C7989D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 标准和规范</w:t>
      </w:r>
    </w:p>
    <w:p w14:paraId="6545713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1.4.1 适用于工程的国家标准、行业标准、工程所在地的地方性标准，以及相应的规范、规程等，合同当事人有特别要求的，应在专用合同条款中约定。</w:t>
      </w:r>
    </w:p>
    <w:p w14:paraId="6290212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1.4.2 发包人要求使用国外标准、规范的，发包人负责提供原文版本和中文译本，并在专用合同条款中约定提供标准规范的名称、份数和时间。</w:t>
      </w:r>
    </w:p>
    <w:p w14:paraId="7C791B5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A356D2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 合同文件的优先顺序</w:t>
      </w:r>
    </w:p>
    <w:p w14:paraId="7952AAB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组成合同的各项文件应互相解释，互为说明。除专用合同条款另有约定外，解释合同文件的优先顺序如下：</w:t>
      </w:r>
    </w:p>
    <w:p w14:paraId="14E6CD7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（1）合同协议书；</w:t>
      </w:r>
    </w:p>
    <w:p w14:paraId="529FD63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（2）中标通知书（如果有）；</w:t>
      </w:r>
    </w:p>
    <w:p w14:paraId="5A89EF2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（3）投标函及其附录（如果有）；</w:t>
      </w:r>
    </w:p>
    <w:p w14:paraId="259B110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（4）专用合同条款及其附件；</w:t>
      </w:r>
    </w:p>
    <w:p w14:paraId="0043F3B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（5）通用合同条款；</w:t>
      </w:r>
    </w:p>
    <w:p w14:paraId="7226DA9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（6）技术标准和要求；</w:t>
      </w:r>
    </w:p>
    <w:p w14:paraId="650E885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（7）图纸；</w:t>
      </w:r>
    </w:p>
    <w:p w14:paraId="02EDDCB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（8）已标价工程量清单或预算书；</w:t>
      </w:r>
    </w:p>
    <w:p w14:paraId="4712D78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（9）其他合同文件。</w:t>
      </w:r>
    </w:p>
    <w:p w14:paraId="0B81474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上述各项合同文件包括合同当事人就该项合同文件所作出的补充和修改，属于同一类内容的文件，应以最新签署的为准。</w:t>
      </w:r>
    </w:p>
    <w:p w14:paraId="1729F19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在合同订立及履行过程中形成的与合同有关的文件均构成合同文件组成部分，并根据其性质确定优先解释顺序。</w:t>
      </w:r>
    </w:p>
    <w:p w14:paraId="04C0EDD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1.6图纸和承包人文件</w:t>
      </w:r>
    </w:p>
    <w:p w14:paraId="757D10B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1.6.1 图纸的提供和交底</w:t>
      </w:r>
    </w:p>
    <w:p w14:paraId="5333A94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74F6D51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因发包人未按合同约定提供图纸导致承包人费用增加和（或）工期延误的，按照第7.5.1项〔因发包人原因导致工期延误〕约定办理。</w:t>
      </w:r>
    </w:p>
    <w:p w14:paraId="4EECB4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1.6.2 图纸的错误</w:t>
      </w:r>
    </w:p>
    <w:p w14:paraId="6B51D6B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1BF7B1E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1.6.3 图纸的修改和补充</w:t>
      </w:r>
    </w:p>
    <w:p w14:paraId="733C93F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图纸需要修改和补充的，应经图纸原设计人及审批部门同意，并由监理人在工程或工程相应部位施工前将修改后的图纸或补充图纸提交给承包人，承包人应按修改或补充后的图纸施工。</w:t>
      </w:r>
    </w:p>
    <w:p w14:paraId="047A445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1.6.4 承包人文件</w:t>
      </w:r>
    </w:p>
    <w:p w14:paraId="76A7DC0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承包人应按照专用合同条款的约定提供应当由其编制的与工程施工有关的文件，并按照专用合同条款约定的期限、数量和形式提交监理人，并由监理人报送发包人。</w:t>
      </w:r>
    </w:p>
    <w:p w14:paraId="1858465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3A5B138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1.6.5 图纸和承包人文件的保管</w:t>
      </w:r>
    </w:p>
    <w:p w14:paraId="49E576C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除专用合同条款另有约定外，承包人应在施工现场另外保存一套完整的图纸和承包人文件，供发包人、监理人及有关人员进行工程检查时使用。</w:t>
      </w:r>
    </w:p>
    <w:p w14:paraId="6C11E1C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1.7联络</w:t>
      </w:r>
    </w:p>
    <w:p w14:paraId="0F96E5C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1.7.1 与合同有关的通知、批准、证明、证书、指示、指令、要求、请求、同意、意见、确定和决定等，均应采用书面形式，并应在合同约定的期限内送达接收人和送达地点。</w:t>
      </w:r>
    </w:p>
    <w:p w14:paraId="20F397E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1.7.2 发包人和承包人应在专用合同条款中约定各自的送达接收人和送达地点。任何一方合同当事人指定的接收人或送达地点发生变动的，应提前3天以书面形式通知对方。</w:t>
      </w:r>
    </w:p>
    <w:p w14:paraId="7058714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1.7.3 发包人和承包人应当及时签收另一方送达至送达地点和指定接收人的来往信函。拒不签收的，由此增加的费用和（或）延误的工期由拒绝接收一方承担。</w:t>
      </w:r>
    </w:p>
    <w:p w14:paraId="0A8D586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1.8严禁贿赂</w:t>
      </w:r>
    </w:p>
    <w:p w14:paraId="0388EF3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合同当事人不得以贿赂或变相贿赂的方式，谋取非法利益或损害对方权益。因一方合同当事人的贿赂造成对方损失的，应赔偿损失，并承担相应的法律责任。</w:t>
      </w:r>
    </w:p>
    <w:p w14:paraId="3EB9881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承包人不得与监理人或发包人聘请的第三方串通损害发包人利益。未经发包人书面同意，承包人不得为监理人提供合同约定以外的通讯设备、交通工具及其他任何形式的利益，不得向监理人支付报酬。</w:t>
      </w:r>
    </w:p>
    <w:p w14:paraId="5C9F7E9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1.9化石、文物</w:t>
      </w:r>
    </w:p>
    <w:p w14:paraId="1B83610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7B4F51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发包人、监理人和承包人应按有关政府行政管理部门要求采取妥善的保护措施，由此增加的费用和（或）延误的工期由发包人承担。</w:t>
      </w:r>
    </w:p>
    <w:p w14:paraId="7D37B3E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承包人发现文物后不及时报告或隐瞒不报，致使文物丢失或损坏的，应赔偿损失，并承担相应的法律责任。</w:t>
      </w:r>
    </w:p>
    <w:p w14:paraId="291A84C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1.10交通运输</w:t>
      </w:r>
    </w:p>
    <w:p w14:paraId="034A4EE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1.10.1 出入现场的权利</w:t>
      </w:r>
    </w:p>
    <w:p w14:paraId="0243799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6B41B2F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承包人应在订立合同前查勘施工现场，并根据工程规模及技术参数合理预见工程施工所需的进出施工现场的方式、手段、路径等。因承包人未合理预见所增加的费用和（或）延误的工期由承包人承担。</w:t>
      </w:r>
    </w:p>
    <w:p w14:paraId="1E37EF6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1.10.2 场外交通</w:t>
      </w:r>
    </w:p>
    <w:p w14:paraId="26E9D82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F168B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1.10.3场内交通</w:t>
      </w:r>
    </w:p>
    <w:p w14:paraId="33A9F2F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7307BBB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09050EA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场外交通和场内交通的边界由合同当事人在专用合同条款中约定。</w:t>
      </w:r>
    </w:p>
    <w:p w14:paraId="4FBE2D0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1.10.4 超大件和超重件的运输</w:t>
      </w:r>
    </w:p>
    <w:p w14:paraId="7D0D2CA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5E6914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1.10.5 道路和桥梁的损坏责任</w:t>
      </w:r>
    </w:p>
    <w:p w14:paraId="6687426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因承包人运输造成施工场地内外公共道路和桥梁损坏的，由承包人承担修复损坏的全部费用和可能引起的赔偿。</w:t>
      </w:r>
    </w:p>
    <w:p w14:paraId="4ADA97D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1.10.6 水路和航空运输</w:t>
      </w:r>
    </w:p>
    <w:p w14:paraId="004626C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本款前述各项的内容适用于水路运输和航空运输，其中“道路”一词的涵义包括河道、航线、船闸、机场、码头、堤防以及水路或航空运输中其他相似结构物；“车辆”一词的涵义包括船舶和飞机等。</w:t>
      </w:r>
    </w:p>
    <w:p w14:paraId="7CF2DED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1.11知识产权</w:t>
      </w:r>
    </w:p>
    <w:p w14:paraId="78F30A5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26A3066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0246B90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7DFB1F5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 1.11.4 除专用合同条款另有约定外，承包人在合同签订前和签订时已确定采用的专利、专有技术、技术秘密的使用费已包含在签约合同价中。</w:t>
      </w:r>
    </w:p>
    <w:p w14:paraId="268BD12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1.12保密</w:t>
      </w:r>
    </w:p>
    <w:p w14:paraId="16158ED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除法律规定或合同另有约定外，未经发包人同意，承包人不得将发包人提供的图纸、文件以及声明需要保密的资料信息等商业秘密泄露给第三方。</w:t>
      </w:r>
    </w:p>
    <w:p w14:paraId="1D0BBB0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除法律规定或合同另有约定外，未经承包人同意，发包人不得将承包人提供的技术秘密及声明需要保密的资料信息等商业秘密泄露给第三方。</w:t>
      </w:r>
    </w:p>
    <w:p w14:paraId="338963A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1.13工程量清单错误的修正</w:t>
      </w:r>
    </w:p>
    <w:p w14:paraId="0F55FD9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除专用合同条款另有约定外，发包人提供的工程量清单，应被认为是准确的和完整的。出现下列情形之一时，发包人应予以修正，并相应调整合同价格：</w:t>
      </w:r>
    </w:p>
    <w:p w14:paraId="3D59B83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（1）工程量清单存在缺项、漏项的；</w:t>
      </w:r>
    </w:p>
    <w:p w14:paraId="51330F7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（2）工程量清单偏差超出专用合同条款约定的工程量偏差范围的；</w:t>
      </w:r>
    </w:p>
    <w:p w14:paraId="6D1F64D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（3）未按照国家现行计量规范强制性规定计量的。</w:t>
      </w:r>
    </w:p>
    <w:p w14:paraId="5A3A7F4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2. 发包人</w:t>
      </w:r>
    </w:p>
    <w:p w14:paraId="63055F4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2.1 许可或批准</w:t>
      </w:r>
    </w:p>
    <w:p w14:paraId="4A2DF28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436E01A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因发包人原因未能及时办理完毕前述许可、批准或备案，由发包人承担由此增加的费用和（或）延误的工期，并支付承包人合理的利润。</w:t>
      </w:r>
    </w:p>
    <w:p w14:paraId="5A7BB69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2.2 发包人代表</w:t>
      </w:r>
    </w:p>
    <w:p w14:paraId="02F7814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032AFBD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发包人代表不能按照合同约定履行其职责及义务，并导致合同无法继续正常履行的，承包人可以要求发包人撤换发包人代表。</w:t>
      </w:r>
    </w:p>
    <w:p w14:paraId="4C5661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不属于法定必须监理的工程，监理人的职权可以由发包人代表或发包人指定的其他人员行使。</w:t>
      </w:r>
    </w:p>
    <w:p w14:paraId="7A0BD73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2.3 发包人人员</w:t>
      </w:r>
    </w:p>
    <w:p w14:paraId="3600163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发包人应要求在施工现场的发包人人员遵守法律及有关安全、质量、环境保护、文明施工等规定，并保障承包人免于承受因发包人人员未遵守上述要求给承包人造成的损失和责任。</w:t>
      </w:r>
    </w:p>
    <w:p w14:paraId="4B15841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发包人人员包括发包人代表及其他由发包人派驻施工现场的人员。</w:t>
      </w:r>
    </w:p>
    <w:p w14:paraId="79AD4D2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2.4 施工现场、施工条件和基础资料的提供  </w:t>
      </w:r>
    </w:p>
    <w:p w14:paraId="40A3FFE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2.4.1 提供施工现场</w:t>
      </w:r>
    </w:p>
    <w:p w14:paraId="2A61887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除专用合同条款另有约定外，发包人应最迟于开工日期7天前向承包人移交施工现场。</w:t>
      </w:r>
    </w:p>
    <w:p w14:paraId="5D63BC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2.4.2 提供施工条件</w:t>
      </w:r>
    </w:p>
    <w:p w14:paraId="3D7F0E5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除专用合同条款另有约定外，发包人应负责提供施工所需要的条件，包括：</w:t>
      </w:r>
    </w:p>
    <w:p w14:paraId="16F759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（1）将施工用水、电力、通讯线路等施工所必需的条件接至施工现场内；</w:t>
      </w:r>
    </w:p>
    <w:p w14:paraId="701E8F4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（2）保证向承包人提供正常施工所需要的进入施工现场的交通条件；</w:t>
      </w:r>
    </w:p>
    <w:p w14:paraId="2E60645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（3）协调处理施工现场周围地下管线和邻近建筑物、构筑物、古树名木的保护工作，并承担相关费用；</w:t>
      </w:r>
    </w:p>
    <w:p w14:paraId="6379DD7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（4）按照专用合同条款约定应提供的其他设施和条件。</w:t>
      </w:r>
    </w:p>
    <w:p w14:paraId="5D32FE5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2.4.3 提供基础资料</w:t>
      </w:r>
    </w:p>
    <w:p w14:paraId="35CDE71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2A5A17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按照法律规定确需在开工后方能提供的基础资料，发包人应尽其努力及时地在相应工程施工前的合理期限内提供，合理期限应以不影响承包人的正常施工为限。</w:t>
      </w:r>
    </w:p>
    <w:p w14:paraId="0B0184A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2.4.4 逾期提供的责任</w:t>
      </w:r>
    </w:p>
    <w:p w14:paraId="3F153B7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因发包人原因未能按合同约定及时向承包人提供施工现场、施工条件、基础资料的，由发包人承担由此增加的费用和（或）延误的工期。</w:t>
      </w:r>
    </w:p>
    <w:p w14:paraId="101B00D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2.5 资金来源证明及支付担保</w:t>
      </w:r>
    </w:p>
    <w:p w14:paraId="65A15B0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除专用合同条款另有约定外，发包人应在收到承包人要求提供资金来源证明的书面通知后28天内，向承包人提供能够按照合同约定支付合同价款的相应资金来源证明。</w:t>
      </w:r>
    </w:p>
    <w:p w14:paraId="4F0EF18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除专用合同条款另有约定外，发包人要求承包人提供履约担保的，发包人应当向承包人提供支付担保。支付担保可以采用银行保函或担保公司担保等形式，具体由合同当事人在专用合同条款中约定。</w:t>
      </w:r>
    </w:p>
    <w:p w14:paraId="1CD00E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2.6 支付合同价款</w:t>
      </w:r>
    </w:p>
    <w:p w14:paraId="575BBE2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发包人应按合同约定向承包人及时支付合同价款。</w:t>
      </w:r>
    </w:p>
    <w:p w14:paraId="4AD828B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2.7 组织竣工验收</w:t>
      </w:r>
    </w:p>
    <w:p w14:paraId="4D05743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发包人应按合同约定及时组织竣工验收。</w:t>
      </w:r>
    </w:p>
    <w:p w14:paraId="091123E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2.8 现场统一管理协议</w:t>
      </w:r>
    </w:p>
    <w:p w14:paraId="1CBE9F1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发包人应与承包人、由发包人直接发包的专业工程的承包人签订施工现场统一管理协议，明确各方的权利义务。施工现场统一管理协议作为专用合同条款的附件。</w:t>
      </w:r>
    </w:p>
    <w:p w14:paraId="1B9EC95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3. 承包人</w:t>
      </w:r>
    </w:p>
    <w:p w14:paraId="077799B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3.1 承包人的一般义务</w:t>
      </w:r>
    </w:p>
    <w:p w14:paraId="776197F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承包人在履行合同过程中应遵守法律和工程建设标准规范，并履行以下义务：</w:t>
      </w:r>
    </w:p>
    <w:p w14:paraId="1527C32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办理法律规定应由承包人办理的许可和批准，并将办理结果书面报送发包人留存；</w:t>
      </w:r>
    </w:p>
    <w:p w14:paraId="684D66A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（2）按法律规定和合同约定完成工程，并在保修期内承担保修义务；</w:t>
      </w:r>
    </w:p>
    <w:p w14:paraId="67CF3BC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（3）按法律规定和合同约定采取施工安全和环境保护措施，办理工伤保险，确保工程及人员、材料、设备和设施的安全；</w:t>
      </w:r>
    </w:p>
    <w:p w14:paraId="716D81F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（4）按合同约定的工作内容和施工进度要求，编制施工组织设计和施工措施计划，并对所有施工作业和施工方法的完备性和安全可靠性负责；</w:t>
      </w:r>
    </w:p>
    <w:p w14:paraId="0A8DA65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DC1C83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（6）按照第6.3款〔环境保护〕约定负责施工场地及其周边环境与生态的保护工作；</w:t>
      </w:r>
    </w:p>
    <w:p w14:paraId="2093E3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（7）按第6.1款〔安全文明施工〕约定采取施工安全措施，确保工程及其人员、材料、设备和设施的安全，防止因工程施工造成的人身伤害和财产损失；</w:t>
      </w:r>
    </w:p>
    <w:p w14:paraId="2A52AA1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（8）将发包人按合同约定支付的各项价款专用于合同工程，且应及时支付其雇用人员工资，并及时向分包人支付合同价款；</w:t>
      </w:r>
    </w:p>
    <w:p w14:paraId="015E2DA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（9）按照法律规定和合同约定编制竣工资料，完成竣工资料立卷及归档，并按专用合同条款约定的竣工资料的套数、内容、时间等要求移交发包人；</w:t>
      </w:r>
    </w:p>
    <w:p w14:paraId="7891EE3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（10）应履行的其他义务。</w:t>
      </w:r>
    </w:p>
    <w:p w14:paraId="05685C7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3.2 项目经理</w:t>
      </w:r>
    </w:p>
    <w:p w14:paraId="385DF0B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E729D2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516AEE1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承包人违反上述约定的，应按照专用合同条款的约定，承担违约责任。</w:t>
      </w:r>
    </w:p>
    <w:p w14:paraId="370E63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59756CE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4ECCFD3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19663A8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3.2.5 项目经理因特殊情况授权其下属人员履行其某项工作职责的，该下属人员应具备履行相应职责的能力，并应提前7天将上述人员的姓名和授权范围书面通知监理人，并征得发包人书面同意。</w:t>
      </w:r>
    </w:p>
    <w:p w14:paraId="2ED9763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3.3 承包人人员</w:t>
      </w:r>
    </w:p>
    <w:p w14:paraId="0B27669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5264759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122DC81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特殊工种作业人员均应持有相应的资格证明，监理人可以随时检查。</w:t>
      </w:r>
    </w:p>
    <w:p w14:paraId="5635543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2AB9389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31997A2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3.3.5 承包人擅自更换主要施工管理人员，或前述人员未经监理人或发包人同意擅自离开施工现场的，应按照专用合同条款约定承担违约责任。</w:t>
      </w:r>
    </w:p>
    <w:p w14:paraId="3526E88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3.4 承包人现场查勘</w:t>
      </w:r>
    </w:p>
    <w:p w14:paraId="74A7F18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承包人应对基于发包人按照第2.4.3项〔提供基础资料〕提交的基础资料所做出的解释和推断负责，但因基础资料存在错误、遗漏导致承包人解释或推断失实的，由发包人承担责任。</w:t>
      </w:r>
    </w:p>
    <w:p w14:paraId="14389FB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3EBE6D9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3.5 分包</w:t>
      </w:r>
    </w:p>
    <w:p w14:paraId="19DC816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3.5.1 分包的一般约定</w:t>
      </w:r>
    </w:p>
    <w:p w14:paraId="06595A3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238D658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承包人不得以劳务分包的名义转包或违法分包工程。</w:t>
      </w:r>
    </w:p>
    <w:p w14:paraId="3CF2E84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3.5.2 分包的确定</w:t>
      </w:r>
    </w:p>
    <w:p w14:paraId="063E489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7391A1F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3.5.3 分包管理</w:t>
      </w:r>
    </w:p>
    <w:p w14:paraId="4EAE725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承包人应向监理人提交分包人的主要施工管理人员表，并对分包人的施工人员进行实名制管理，包括但不限于进出场管理、登记造册以及各种证照的办理。</w:t>
      </w:r>
    </w:p>
    <w:p w14:paraId="0ABAC8F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3.5.4 分包合同价款</w:t>
      </w:r>
    </w:p>
    <w:p w14:paraId="04C235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（1）除本项第（2）目约定的情况或专用合同条款另有约定外，分包合同价款由承包人与分包人结算，未经承包人同意，发包人不得向分包人支付分包工程价款；</w:t>
      </w:r>
    </w:p>
    <w:p w14:paraId="68DB8B6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（2）生效法律文书要求发包人向分包人支付分包合同价款的，发包人有权从应付承包人工程款中扣除该部分款项。</w:t>
      </w:r>
    </w:p>
    <w:p w14:paraId="0DD1806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3.5.5 分包合同权益的转让</w:t>
      </w:r>
    </w:p>
    <w:p w14:paraId="633B768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0A7964E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3.6 工程照管与成品、半成品保护</w:t>
      </w:r>
    </w:p>
    <w:p w14:paraId="2C8AFB4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（1）除专用合同条款另有约定外，自发包人向承包人移交施工现场之日起，承包人应负责照管工程及工程相关的材料、工程设备，直到颁发工程接收证书之日止。</w:t>
      </w:r>
    </w:p>
    <w:p w14:paraId="53C9C51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（2）在承包人负责照管期间，因承包人原因造成工程、材料、工程设备损坏的，由承包人负责修复或更换，并承担由此增加的费用和（或）延误的工期。</w:t>
      </w:r>
    </w:p>
    <w:p w14:paraId="666B7BF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（3）对合同内分期完成的成品和半成品，在工程接收证书颁发前，由承包人承担保护责任。因承包人原因造成成品或半成品损坏的，由承包人负责修复或更换，并承担由此增加的费用和（或）延误的工期。</w:t>
      </w:r>
    </w:p>
    <w:p w14:paraId="110D14E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3.7 履约担保</w:t>
      </w:r>
    </w:p>
    <w:p w14:paraId="655054A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3424E23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因承包人原因导致工期延长的，继续提供履约担保所增加的费用由承包人承担；非因承包人原因导致工期延长的，继续提供履约担保所增加的费用由发包人承担。</w:t>
      </w:r>
    </w:p>
    <w:p w14:paraId="6FD42D2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4. 监理人</w:t>
      </w:r>
    </w:p>
    <w:p w14:paraId="3AA95A4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4.1监理人的一般规定</w:t>
      </w:r>
    </w:p>
    <w:p w14:paraId="00B708E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7D9E627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除专用合同条款另有约定外，监理人在施工现场的办公场所、生活场所由承包人提供，所发生的费用由发包人承担。</w:t>
      </w:r>
    </w:p>
    <w:p w14:paraId="2093674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4.2监理人员</w:t>
      </w:r>
    </w:p>
    <w:p w14:paraId="39A20EE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34E9F28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4.3监理人的指示</w:t>
      </w:r>
    </w:p>
    <w:p w14:paraId="0BCC62E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7387DB2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利授权或委托给其他监理人员。</w:t>
      </w:r>
    </w:p>
    <w:p w14:paraId="21F23BC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承包人对监理人发出的指示有疑问的，应向监理人提出书面异议，监理人应在48小时内对该指示予以确认、更改或撤销，监理人逾期未回复的，承包人有权拒绝执行上述指示。</w:t>
      </w:r>
    </w:p>
    <w:p w14:paraId="2EAAA42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监理人对承包人的任何工作、工程或其采用的材料和工程设备未在约定的或合理期限内提出意见的，视为批准，但不免除或减轻承包人对该工作、工程、材料、工程设备等应承担的责任和义务。</w:t>
      </w:r>
    </w:p>
    <w:p w14:paraId="4805C74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4.4 商定或确定</w:t>
      </w:r>
    </w:p>
    <w:p w14:paraId="0465AAB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合同当事人进行商定或确定时，总监理工程师应当会同合同当事人尽量通过协商达成一致，不能达成一致的，由总监理工程师按照合同约定审慎做出公正的确定。</w:t>
      </w:r>
    </w:p>
    <w:p w14:paraId="3A979AB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2C2D4C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5. 工程质量</w:t>
      </w:r>
    </w:p>
    <w:p w14:paraId="318ABD0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5.1质量要求</w:t>
      </w:r>
    </w:p>
    <w:p w14:paraId="3F5A2C0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5.1.1 工程质量标准必须符合现行国家有关工程施工质量验收规范和标准的要求。有关工程质量的特殊标准或要求由合同当事人在专用合同条款中约定。</w:t>
      </w:r>
    </w:p>
    <w:p w14:paraId="18D3028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5.1.2 因发包人原因造成工程质量未达到合同约定标准的，由发包人承担由此增加的费用和（或）延误的工期，并支付承包人合理的利润。</w:t>
      </w:r>
    </w:p>
    <w:p w14:paraId="190AC49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5.1.3 因承包人原因造成工程质量未达到合同约定标准的，发包人有权要求承包人返工直至工程质量达到合同约定的标准为止，并由承包人承担由此增加的费用和（或）延误的工期。</w:t>
      </w:r>
    </w:p>
    <w:p w14:paraId="02F290A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5.2质量保证措施</w:t>
      </w:r>
    </w:p>
    <w:p w14:paraId="48A88AB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5.2.1 发包人的质量管理</w:t>
      </w:r>
    </w:p>
    <w:p w14:paraId="7174E04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发包人应按照法律规定及合同约定完成与工程质量有关的各项工作。</w:t>
      </w:r>
    </w:p>
    <w:p w14:paraId="7D083DA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5.2.2 承包人的质量管理</w:t>
      </w:r>
    </w:p>
    <w:p w14:paraId="23F302D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9951EA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承包人应对施工人员进行质量教育和技术培训，定期考核施工人员的劳动技能，严格执行施工规范和操作规程。</w:t>
      </w:r>
    </w:p>
    <w:p w14:paraId="0F1E9AA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661B602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5.2.3 监理人的质量检查和检验</w:t>
      </w:r>
    </w:p>
    <w:p w14:paraId="2CADD0B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1A77278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66BE03A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5.3 隐蔽工程检查</w:t>
      </w:r>
    </w:p>
    <w:p w14:paraId="270055D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5.3.1承包人自检</w:t>
      </w:r>
    </w:p>
    <w:p w14:paraId="3EBFF94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承包人应当对工程隐蔽部位进行自检，并经自检确认是否具备覆盖条件。</w:t>
      </w:r>
    </w:p>
    <w:p w14:paraId="7A4EE1F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5.3.2检查程序</w:t>
      </w:r>
    </w:p>
    <w:p w14:paraId="7B62C6C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6AB38D5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0EB830E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0550EE5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5.3.3 重新检查</w:t>
      </w:r>
    </w:p>
    <w:p w14:paraId="478D904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485E58B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5.3.4 承包人私自覆盖</w:t>
      </w:r>
    </w:p>
    <w:p w14:paraId="42F98F4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承包人未通知监理人到场检查，私自将工程隐蔽部位覆盖的，监理人有权指示承包人钻孔探测或揭开检查，无论工程隐蔽部位质量是否合格，由此增加的费用和（或）延误的工期均由承包人承担。</w:t>
      </w:r>
    </w:p>
    <w:p w14:paraId="445E562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5.4不合格工程的处理</w:t>
      </w:r>
    </w:p>
    <w:p w14:paraId="73CFCA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p>
    <w:p w14:paraId="431B471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5.4.2 因发包人原因造成工程不合格的，由此增加的费用和（或）延误的工期由发包人承担，并支付承包人合理的利润。</w:t>
      </w:r>
    </w:p>
    <w:p w14:paraId="6D8AB6E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5.5 质量争议检测</w:t>
      </w:r>
    </w:p>
    <w:p w14:paraId="3F031C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合同当事人对工程质量有争议的，由双方协商确定的工程质量检测机构鉴定，由此产生的费用及因此造成的损失，由责任方承担。</w:t>
      </w:r>
    </w:p>
    <w:p w14:paraId="1B23F2E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合同当事人均有责任的，由双方根据其责任分别承担。合同当事人无法达成一致的，按照第4.4款〔商定或确定〕执行。</w:t>
      </w:r>
    </w:p>
    <w:p w14:paraId="09D4638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6. 安全文明施工与环境保护</w:t>
      </w:r>
    </w:p>
    <w:p w14:paraId="29B230F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6.1安全文明施工</w:t>
      </w:r>
    </w:p>
    <w:p w14:paraId="4C72A8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6.1.1安全生产要求</w:t>
      </w:r>
    </w:p>
    <w:p w14:paraId="76EAB0D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3B457D8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在施工过程中，如遇到突发的地质变动、事先未知的地下施工障碍等影响施工安全的紧急情况，承包人应及时报告监理人和发包人，发包人应当及时下令停工并报政府有关行政管理部门采取应急措施。</w:t>
      </w:r>
    </w:p>
    <w:p w14:paraId="6BC879F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因安全生产需要暂停施工的，按照第7.8款〔暂停施工〕的约定执行。</w:t>
      </w:r>
    </w:p>
    <w:p w14:paraId="7D0852C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6.1.2 安全生产保证措施</w:t>
      </w:r>
    </w:p>
    <w:p w14:paraId="49B3183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68096FF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6.1.3特别安全生产事项</w:t>
      </w:r>
    </w:p>
    <w:p w14:paraId="377087B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6C1DFBE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承包人在动力设备、输电线路、地下管道、密封防震车间、易燃易爆地段以及临街交通要道附近施工时，施工开始前应向发包人和监理人提出安全防护措施，经发包人认可后实施。</w:t>
      </w:r>
    </w:p>
    <w:p w14:paraId="0130E3C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实施爆破作业，在放射、毒害性环境中施工（含储存、运输、使用）及使用毒害性、腐蚀性物品施工时，承包人应在施工前7天以书面通知发包人和监理人，并报送相应的安全防护措施，经发包人认可后实施。</w:t>
      </w:r>
    </w:p>
    <w:p w14:paraId="36DC973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需单独编制危险性较大分部分项专项工程施工方案的，及要求进行专家论证的超过一定规模的危险性较大的分部分项工程，承包人应及时编制和组织论证。</w:t>
      </w:r>
    </w:p>
    <w:p w14:paraId="10574DC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6.1.4 治安保卫</w:t>
      </w:r>
    </w:p>
    <w:p w14:paraId="290F2BE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除专用合同条款另有约定外，发包人应与当地公安部门协商，在现场建立治安管理机构或联防组织，统一管理施工场地的治安保卫事项，履行合同工程的治安保卫职责。</w:t>
      </w:r>
    </w:p>
    <w:p w14:paraId="504721D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发包人和承包人除应协助现场治安管理机构或联防组织维护施工场地的社会治安外，还应做好包括生活区在内的各自管辖区的治安保卫工作。</w:t>
      </w:r>
    </w:p>
    <w:p w14:paraId="370F933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02F91D6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6.1.5 文明施工</w:t>
      </w:r>
    </w:p>
    <w:p w14:paraId="20E1440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7DD530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1687F8E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6.1.6 安全文明施工费</w:t>
      </w:r>
    </w:p>
    <w:p w14:paraId="4DD257C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安全文明施工费由发包人承担，发包人不得以任何形式扣减该部分费用。因基准日期后合同所适用的法律或政府有关规定发生变化，增加的安全文明施工费由发包人承担。</w:t>
      </w:r>
    </w:p>
    <w:p w14:paraId="205E7DC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22EA256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762F9C7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320952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6.1.7 紧急情况处理</w:t>
      </w:r>
    </w:p>
    <w:p w14:paraId="41A2C5E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2A63DA8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6.1.8 事故处理</w:t>
      </w:r>
    </w:p>
    <w:p w14:paraId="30CCB35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7D04566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6.1.9 安全生产责任</w:t>
      </w:r>
    </w:p>
    <w:p w14:paraId="452A59F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6.1.9.1 发包人的安全责任</w:t>
      </w:r>
    </w:p>
    <w:p w14:paraId="3D6DE6D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发包人应负责赔偿以下各种情况造成的损失：</w:t>
      </w:r>
    </w:p>
    <w:p w14:paraId="447C2A3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（1）工程或工程的任何部分对土地的占用所造成的第三者财产损失；</w:t>
      </w:r>
    </w:p>
    <w:p w14:paraId="32395E2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（2）由于发包人原因在施工场地及其毗邻地带造成的第三者人身伤亡和财产损失；</w:t>
      </w:r>
    </w:p>
    <w:p w14:paraId="05D1CE8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（3）由于发包人原因对承包人、监理人造成的人员人身伤亡和财产损失；</w:t>
      </w:r>
    </w:p>
    <w:p w14:paraId="5C86D45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（4）由于发包人原因造成的发包人自身人员的人身伤害以及财产损失。</w:t>
      </w:r>
    </w:p>
    <w:p w14:paraId="6DCEFAF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6.1.9.2 承包人的安全责任</w:t>
      </w:r>
    </w:p>
    <w:p w14:paraId="4FC5E05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由于承包人原因在施工场地内及其毗邻地带造成的发包人、监理人以及第三者人员伤亡和财产损失，由承包人负责赔偿。</w:t>
      </w:r>
    </w:p>
    <w:p w14:paraId="1A6D391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6.2 职业健康</w:t>
      </w:r>
    </w:p>
    <w:p w14:paraId="2AFE647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6.2.1 劳动保护</w:t>
      </w:r>
    </w:p>
    <w:p w14:paraId="06B610A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1E92E95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760D31D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承包人应按法律规定安排工作时间，保证其雇佣人员享有休息和休假的权利。因工程施工的特殊需要占用休假日或延长工作时间的，应不超过法律规定的限度，并按法律规定给予补休或付酬。</w:t>
      </w:r>
    </w:p>
    <w:p w14:paraId="0E51CE7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6.2.2 生活条件</w:t>
      </w:r>
    </w:p>
    <w:p w14:paraId="426B368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29AC39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6.3 环境保护</w:t>
      </w:r>
    </w:p>
    <w:p w14:paraId="0A6B477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AEAA22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承包人应当承担因其原因引起的环境污染侵权损害赔偿责任，因上述环境污染引起纠纷而导致暂停施工的，由此增加的费用和（或）延误的工期由承包人承担。</w:t>
      </w:r>
    </w:p>
    <w:p w14:paraId="2CE6389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7. 工期和进度</w:t>
      </w:r>
    </w:p>
    <w:p w14:paraId="69C5C60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7.1施工组织设计</w:t>
      </w:r>
    </w:p>
    <w:p w14:paraId="210663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7.1.1施工组织设计的内容</w:t>
      </w:r>
    </w:p>
    <w:p w14:paraId="42ACEA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施工组织设计应包含以下内容：</w:t>
      </w:r>
    </w:p>
    <w:p w14:paraId="70DD64E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（1）施工方案；</w:t>
      </w:r>
    </w:p>
    <w:p w14:paraId="0028F5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（2）施工现场平面布置图；</w:t>
      </w:r>
    </w:p>
    <w:p w14:paraId="575260C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（3）施工进度计划和保证措施；</w:t>
      </w:r>
    </w:p>
    <w:p w14:paraId="11B4E6E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（4）劳动力及材料供应计划；</w:t>
      </w:r>
    </w:p>
    <w:p w14:paraId="7509C3A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（5）施工机械设备的选用；</w:t>
      </w:r>
    </w:p>
    <w:p w14:paraId="5540C4C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（6）质量保证体系及措施；</w:t>
      </w:r>
    </w:p>
    <w:p w14:paraId="70A3CCF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（7）安全生产、文明施工措施；</w:t>
      </w:r>
    </w:p>
    <w:p w14:paraId="072ACE5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（8）环境保护、成本控制措施；</w:t>
      </w:r>
    </w:p>
    <w:p w14:paraId="63E6D82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（9）合同当事人约定的其他内容。</w:t>
      </w:r>
    </w:p>
    <w:p w14:paraId="69C1A3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7.1.2施工组织设计的提交和修改</w:t>
      </w:r>
    </w:p>
    <w:p w14:paraId="47D340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66B99DF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施工进度计划的编制和修改按照第7.2款〔施工进度计划〕执行。</w:t>
      </w:r>
    </w:p>
    <w:p w14:paraId="43EC74D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7.2 施工进度计划</w:t>
      </w:r>
    </w:p>
    <w:p w14:paraId="61CEE71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7.2.1 施工进度计划的编制</w:t>
      </w:r>
    </w:p>
    <w:p w14:paraId="2A23F1A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1EDE154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7.2.2 施工进度计划的修订</w:t>
      </w:r>
    </w:p>
    <w:p w14:paraId="4C7D364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5956FA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7.3 开工</w:t>
      </w:r>
    </w:p>
    <w:p w14:paraId="611FEFE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7.3.1 开工准备</w:t>
      </w:r>
    </w:p>
    <w:p w14:paraId="540B7AE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F60196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除专用合同条款另有约定外，合同当事人应按约定完成开工准备工作。</w:t>
      </w:r>
    </w:p>
    <w:p w14:paraId="1C237F3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7.3.2 开工通知</w:t>
      </w:r>
    </w:p>
    <w:p w14:paraId="17ADD5A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9C4FF9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32ABEBD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7.4测量放线</w:t>
      </w:r>
    </w:p>
    <w:p w14:paraId="5DF2BF1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1008F8B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48D91D0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1252A78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施工过程中对施工现场内水准点等测量标志物的保护工作由承包人负责。</w:t>
      </w:r>
    </w:p>
    <w:p w14:paraId="05F47B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7.5 工期延误</w:t>
      </w:r>
    </w:p>
    <w:p w14:paraId="09B37F3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7.5.1 因发包人原因导致工期延误</w:t>
      </w:r>
    </w:p>
    <w:p w14:paraId="6B18C3A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在合同履行过程中，因下列情况导致工期延误和（或）费用增加的，由发包人承担由此延误的工期和（或）增加的费用，且发包人应支付承包人合理的利润：</w:t>
      </w:r>
    </w:p>
    <w:p w14:paraId="0B5C4E9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（1）发包人未能按合同约定提供图纸或所提供图纸不符合合同约定的；</w:t>
      </w:r>
    </w:p>
    <w:p w14:paraId="0938BBE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（2）发包人未能按合同约定提供施工现场、施工条件、基础资料、许可、批准等开工条件的；</w:t>
      </w:r>
    </w:p>
    <w:p w14:paraId="5E1393B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（3）发包人提供的测量基准点、基准线和水准点及其书面资料存在错误或疏漏的；</w:t>
      </w:r>
    </w:p>
    <w:p w14:paraId="7DC76D9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（4）发包人未能在计划开工日期之日起7天内同意下达开工通知的；</w:t>
      </w:r>
    </w:p>
    <w:p w14:paraId="791EBF7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（5）发包人未能按合同约定日期支付工程预付款、进度款或竣工结算款的；</w:t>
      </w:r>
    </w:p>
    <w:p w14:paraId="0825A45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（6）监理人未按合同约定发出指示、批准等文件的；</w:t>
      </w:r>
    </w:p>
    <w:p w14:paraId="560FFE6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（7）专用合同条款中约定的其他情形。</w:t>
      </w:r>
    </w:p>
    <w:p w14:paraId="244EC8F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3ED8942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7.5.2 因承包人原因导致工期延误</w:t>
      </w:r>
    </w:p>
    <w:p w14:paraId="712E70F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因承包人原因造成工期延误的，可以在专用合同条款中约定逾期竣工违约金的计算方法和逾期竣工违约金的上限。承包人支付逾期竣工违约金后，不免除承包人继续完成工程及修补缺陷的义务。</w:t>
      </w:r>
    </w:p>
    <w:p w14:paraId="3BBFB5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7.6 不利物质条件</w:t>
      </w:r>
    </w:p>
    <w:p w14:paraId="6B0DFFB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092D7EA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3B7D230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7.7 异常恶劣的气候条件</w:t>
      </w:r>
    </w:p>
    <w:p w14:paraId="41A2000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0217094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3435680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 暂停施工</w:t>
      </w:r>
    </w:p>
    <w:p w14:paraId="35DF571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7.8.1发包人原因引起的暂停施工</w:t>
      </w:r>
    </w:p>
    <w:p w14:paraId="63BB825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因发包人原因引起暂停施工的，监理人经发包人同意后，应及时下达暂停施工指示。情况紧急且监理人未及时下达暂停施工指示的，按照第7.8.4项〔紧急情况下的暂停施工〕执行。</w:t>
      </w:r>
    </w:p>
    <w:p w14:paraId="3DDD865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因发包人原因引起的暂停施工，发包人应承担由此增加的费用和（或）延误的工期，并支付承包人合理的利润。</w:t>
      </w:r>
    </w:p>
    <w:p w14:paraId="7976F2D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7.8.2 承包人原因引起的暂停施工</w:t>
      </w:r>
    </w:p>
    <w:p w14:paraId="4A1B8EC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25BE69C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7.8.3 指示暂停施工</w:t>
      </w:r>
    </w:p>
    <w:p w14:paraId="5D847C7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监理人认为有必要时，并经发包人批准后，可向承包人作出暂停施工的指示，承包人应按监理人指示暂停施工。</w:t>
      </w:r>
    </w:p>
    <w:p w14:paraId="07A1802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7.8.4 紧急情况下的暂停施工</w:t>
      </w:r>
    </w:p>
    <w:p w14:paraId="00AC163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7756ABF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7.8.5 暂停施工后的复工</w:t>
      </w:r>
    </w:p>
    <w:p w14:paraId="5556430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35F621C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承包人无故拖延和拒绝复工的，承包人承担由此增加的费用和（或）延误的工期；因发包人原因无法按时复工的，按照第7.5.1项〔因发包人原因导致工期延误〕约定办理。</w:t>
      </w:r>
    </w:p>
    <w:p w14:paraId="6922D6B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7.8.6 暂停施工持续56天以上</w:t>
      </w:r>
    </w:p>
    <w:p w14:paraId="30B9E92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3DFE61B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4E6026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7.8.7 暂停施工期间的工程照管</w:t>
      </w:r>
    </w:p>
    <w:p w14:paraId="0DF97EC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暂停施工期间，承包人应负责妥善照管工程并提供安全保障，由此增加的费用由责任方承担。</w:t>
      </w:r>
    </w:p>
    <w:p w14:paraId="4E0B352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7.8.8 暂停施工的措施</w:t>
      </w:r>
    </w:p>
    <w:p w14:paraId="5686226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暂停施工期间，发包人和承包人均应采取必要的措施确保工程质量及安全，防止因暂停施工扩大损失。</w:t>
      </w:r>
    </w:p>
    <w:p w14:paraId="151369E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7.9提前竣工</w:t>
      </w:r>
    </w:p>
    <w:p w14:paraId="476A233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557A18B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7.9.2 发包人要求承包人提前竣工，或承包人提出提前竣工的建议能够给发包人带来效益的，合同当事人可以在专用合同条款中约定提前竣工的奖励。</w:t>
      </w:r>
    </w:p>
    <w:p w14:paraId="357396A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8. 材料与设备</w:t>
      </w:r>
    </w:p>
    <w:p w14:paraId="50B45A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8.1发包人供应材料与工程设备</w:t>
      </w:r>
    </w:p>
    <w:p w14:paraId="0008C0F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发包人自行供应材料、工程设备的，应在签订合同时在专用合同条款的附件《发包人供应材料设备一览表》中明确材料、工程设备的品种、规格、型号、数量、单价、质量等级和送达地点。</w:t>
      </w:r>
    </w:p>
    <w:p w14:paraId="684E466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0651C0F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8.2承包人采购材料与工程设备</w:t>
      </w:r>
    </w:p>
    <w:p w14:paraId="4D98FCB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3F0B780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8.3材料与工程设备的接收与拒收</w:t>
      </w:r>
    </w:p>
    <w:p w14:paraId="331E982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07C6E0C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发包人提供的材料和工程设备的规格、数量或质量不符合合同约定的，或因发包人原因导致交货日期延误或交货地点变更等情况的，按照第16.1款〔发包人违约〕约定办理。</w:t>
      </w:r>
    </w:p>
    <w:p w14:paraId="6207C9C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67742A8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71F5C4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8.4材料与工程设备的保管与使用</w:t>
      </w:r>
    </w:p>
    <w:p w14:paraId="39E5CF5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8.4.1 发包人供应材料与工程设备的保管与使用</w:t>
      </w:r>
    </w:p>
    <w:p w14:paraId="678D37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36162B0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发包人供应的材料和工程设备使用前，由承包人负责检验，检验费用由发包人承担，不合格的不得使用。</w:t>
      </w:r>
    </w:p>
    <w:p w14:paraId="2463E1C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8.4.2 承包人采购材料与工程设备的保管与使用</w:t>
      </w:r>
    </w:p>
    <w:p w14:paraId="2B9494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730F4E4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发包人或监理人发现承包人使用不符合设计或有关标准要求的材料和工程设备时，有权要求承包人进行修复、拆除或重新采购，由此增加的费用和（或）延误的工期，由承包人承担。</w:t>
      </w:r>
    </w:p>
    <w:p w14:paraId="3CDE43F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8.5禁止使用不合格的材料和工程设备</w:t>
      </w:r>
    </w:p>
    <w:p w14:paraId="00BF09C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8.5.1 监理人有权拒绝承包人提供的不合格材料或工程设备，并要求承包人立即进行更换。监理人应在更换后再次进行检查和检验，由此增加的费用和（或）延误的工期由承包人承担。</w:t>
      </w:r>
    </w:p>
    <w:p w14:paraId="590A63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8.5.2 监理人发现承包人使用了不合格的材料和工程设备，承包人应按照监理人的指示立即改正，并禁止在工程中继续使用不合格的材料和工程设备。</w:t>
      </w:r>
    </w:p>
    <w:p w14:paraId="2A5099B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8.5.3 发包人提供的材料或工程设备不符合合同要求的，承包人有权拒绝，并可要求发包人更换，由此增加的费用和（或）延误的工期由发包人承担，并支付承包人合理的利润。</w:t>
      </w:r>
    </w:p>
    <w:p w14:paraId="1095F27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8.6 样品</w:t>
      </w:r>
    </w:p>
    <w:p w14:paraId="11F589C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8.6.1 样品的报送与封存</w:t>
      </w:r>
    </w:p>
    <w:p w14:paraId="51EAF3C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需要承包人报送样品的材料或工程设备，样品的种类、名称、规格、数量等要求均应在专用合同条款中约定。样品的报送程序如下：</w:t>
      </w:r>
    </w:p>
    <w:p w14:paraId="61F5696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61B389D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11B278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（3）经发包人和监理人审批确认的样品应按约定的方法封样，封存的样品作为检验工程相关部分的标准之一。承包人在施工过程中不得使用与样品不符的材料或工程设备。</w:t>
      </w:r>
    </w:p>
    <w:p w14:paraId="7746E28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6ABF9CA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8.6.2 样品的保管</w:t>
      </w:r>
    </w:p>
    <w:p w14:paraId="79BD140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经批准的样品应由监理人负责封存于现场，承包人应在现场为保存样品提供适当和固定的场所并保持适当和良好的存储环境条件。</w:t>
      </w:r>
    </w:p>
    <w:p w14:paraId="09B217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8.7材料与工程设备的替代</w:t>
      </w:r>
    </w:p>
    <w:p w14:paraId="3A8F53E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8.7.1 出现下列情况需要使用替代材料和工程设备的，承包人应按照第8.7.2项约定的程序执行：</w:t>
      </w:r>
    </w:p>
    <w:p w14:paraId="051838F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（1）基准日期后生效的法律规定禁止使用的；</w:t>
      </w:r>
    </w:p>
    <w:p w14:paraId="56F87C7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（2）发包人要求使用替代品的；</w:t>
      </w:r>
    </w:p>
    <w:p w14:paraId="6C89670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（3）因其他原因必须使用替代品的。</w:t>
      </w:r>
    </w:p>
    <w:p w14:paraId="6D925A1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8.7.2 承包人应在使用替代材料和工程设备28天前书面通知监理人，并附下列文件：</w:t>
      </w:r>
    </w:p>
    <w:p w14:paraId="48411AE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（1）被替代的材料和工程设备的名称、数量、规格、型号、品牌、性能、价格及其他相关资料；</w:t>
      </w:r>
    </w:p>
    <w:p w14:paraId="4FB6F24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（2）替代品的名称、数量、规格、型号、品牌、性能、价格及其他相关资料；</w:t>
      </w:r>
    </w:p>
    <w:p w14:paraId="01054A2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（3）替代品与被替代产品之间的差异以及使用替代品可能对工程产生的影响；</w:t>
      </w:r>
    </w:p>
    <w:p w14:paraId="0A88660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（4）替代品与被替代产品的价格差异；</w:t>
      </w:r>
    </w:p>
    <w:p w14:paraId="499C50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（5）使用替代品的理由和原因说明；</w:t>
      </w:r>
    </w:p>
    <w:p w14:paraId="06CA678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（6）监理人要求的其他文件。</w:t>
      </w:r>
    </w:p>
    <w:p w14:paraId="4FDF9F3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监理人应在收到通知后14天内向承包人发出经发包人签认的书面指示；监理人逾期发出书面指示的，视为发包人和监理人同意使用替代品。</w:t>
      </w:r>
    </w:p>
    <w:p w14:paraId="15DF0F5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703C32E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8.8施工设备和临时设施</w:t>
      </w:r>
    </w:p>
    <w:p w14:paraId="1D17B38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8.8.1 承包人提供的施工设备和临时设施</w:t>
      </w:r>
    </w:p>
    <w:p w14:paraId="3EDD8C5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承包人应按合同进度计划的要求，及时配置施工设备和修建临时设施。进入施工场地的承包人设备需经监理人核查后才能投入使用。承包人更换合同约定的承包人设备的，应报监理人批准。</w:t>
      </w:r>
    </w:p>
    <w:p w14:paraId="190BAD0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除专用合同条款另有约定外，承包人应自行承担修建临时设施的费用，需要临时占地的，应由发包人办理申请手续并承担相应费用。</w:t>
      </w:r>
    </w:p>
    <w:p w14:paraId="3CD414D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8.8.2发包人提供的施工设备和临时设施</w:t>
      </w:r>
    </w:p>
    <w:p w14:paraId="2FDFCDB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发包人提供的施工设备或临时设施在专用合同条款中约定。</w:t>
      </w:r>
    </w:p>
    <w:p w14:paraId="55757C4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8.8.3要求承包人增加或更换施工设备</w:t>
      </w:r>
    </w:p>
    <w:p w14:paraId="2C1DCDD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承包人使用的施工设备不能满足合同进度计划和（或）质量要求时，监理人有权要求承包人增加或更换施工设备，承包人应及时增加或更换，由此增加的费用和（或）延误的工期由承包人承担。</w:t>
      </w:r>
    </w:p>
    <w:p w14:paraId="3EA5787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8.9材料与设备专用要求</w:t>
      </w:r>
    </w:p>
    <w:p w14:paraId="78A0E3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123373D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9. 试验与检验</w:t>
      </w:r>
    </w:p>
    <w:p w14:paraId="24778CA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9.1试验设备与试验人员</w:t>
      </w:r>
    </w:p>
    <w:p w14:paraId="24A7B5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35D2659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9.1.2 承包人应按专用合同条款的约定提供试验设备、取样装置、试验场所和试验条件，并向监理人提交相应进场计划表。</w:t>
      </w:r>
    </w:p>
    <w:p w14:paraId="3F9FC34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承包人配置的试验设备要符合相应试验规程的要求并经过具有资质的检测单位检测，且在正式使用该试验设备前，需要经过监理人与承包人共同校定。</w:t>
      </w:r>
    </w:p>
    <w:p w14:paraId="45C47A2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9.1.3 承包人应向监理人提交试验人员的名单及其岗位、资格等证明资料，试验人员必须能够熟练进行相应的检测试验，承包人对试验人员的试验程序和试验结果的正确性负责。</w:t>
      </w:r>
    </w:p>
    <w:p w14:paraId="658955F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9.2取样</w:t>
      </w:r>
    </w:p>
    <w:p w14:paraId="3C064A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试验属于自检性质的，承包人可以单独取样。试验属于监理人抽检性质的，可由监理人取样，也可由承包人的试验人员在监理人的监督下取样。</w:t>
      </w:r>
    </w:p>
    <w:p w14:paraId="6FAA1EF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9.3材料、工程设备和工程的试验和检验</w:t>
      </w:r>
    </w:p>
    <w:p w14:paraId="7D951CE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CCD911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4C151C2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B5D8E4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9.4现场工艺试验</w:t>
      </w:r>
    </w:p>
    <w:p w14:paraId="1493333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承包人应按合同约定或监理人指示进行现场工艺试验。对大型的现场工艺试验，监理人认为必要时，承包人应根据监理人提出的工艺试验要求，编制工艺试验措施计划，报送监理人审查。</w:t>
      </w:r>
    </w:p>
    <w:p w14:paraId="0B039E5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10. 变更</w:t>
      </w:r>
    </w:p>
    <w:p w14:paraId="22716A6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10.1变更的范围</w:t>
      </w:r>
    </w:p>
    <w:p w14:paraId="6A10CF0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除专用合同条款另有约定外，合同履行过程中发生以下情形的，应按照本条约定进行变更：</w:t>
      </w:r>
    </w:p>
    <w:p w14:paraId="662D4C0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（1）增加或减少合同中任何工作，或追加额外的工作；</w:t>
      </w:r>
    </w:p>
    <w:p w14:paraId="01B318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（2）取消合同中任何工作，但转由他人实施的工作除外；</w:t>
      </w:r>
    </w:p>
    <w:p w14:paraId="56BC794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（3）改变合同中任何工作的质量标准或其他特性；</w:t>
      </w:r>
    </w:p>
    <w:p w14:paraId="6855E2B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（4）改变工程的基线、标高、位置和尺寸；</w:t>
      </w:r>
    </w:p>
    <w:p w14:paraId="4A0EBFF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（5）改变工程的时间安排或实施顺序。</w:t>
      </w:r>
    </w:p>
    <w:p w14:paraId="35975AD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10.2变更权</w:t>
      </w:r>
    </w:p>
    <w:p w14:paraId="7E4F5BD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69E8D69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涉及设计变更的，应由设计人提供变更后的图纸和说明。如变更超过原设计标准或批准的建设规模时，发包人应及时办理规划、设计变更等审批手续。</w:t>
      </w:r>
    </w:p>
    <w:p w14:paraId="6900D68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10.3变更程序</w:t>
      </w:r>
    </w:p>
    <w:p w14:paraId="3999BA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10.3.1 发包人提出变更</w:t>
      </w:r>
    </w:p>
    <w:p w14:paraId="2391D25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发包人提出变更的，应通过监理人向承包人发出变更指示，变更指示应说明计划变更的工程范围和变更的内容。</w:t>
      </w:r>
    </w:p>
    <w:p w14:paraId="1464028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10.3.2 监理人提出变更建议</w:t>
      </w:r>
    </w:p>
    <w:p w14:paraId="7E61108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3809D33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10.3.3 变更执行</w:t>
      </w:r>
    </w:p>
    <w:p w14:paraId="4F74B0B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1270D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10.4变更估价</w:t>
      </w:r>
    </w:p>
    <w:p w14:paraId="0DD94A3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10.4.1 变更估价原则</w:t>
      </w:r>
    </w:p>
    <w:p w14:paraId="59E9A3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除专用合同条款另有约定外，变更估价按照本款约定处理：</w:t>
      </w:r>
    </w:p>
    <w:p w14:paraId="7834922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（1）已标价工程量清单或预算书有相同项目的，按照相同项目单价认定；</w:t>
      </w:r>
    </w:p>
    <w:p w14:paraId="7D6941F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（2）已标价工程量清单或预算书中无相同项目，但有类似项目的，参照类似项目的单价认定；</w:t>
      </w:r>
    </w:p>
    <w:p w14:paraId="5446913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7D39089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10.4.2 变更估价程序</w:t>
      </w:r>
    </w:p>
    <w:p w14:paraId="56E9740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4D34E92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因变更引起的价格调整应计入最近一期的进度款中支付。</w:t>
      </w:r>
    </w:p>
    <w:p w14:paraId="2B29108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10.5承包人的合理化建议</w:t>
      </w:r>
    </w:p>
    <w:p w14:paraId="28CD3C2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承包人提出合理化建议的，应向监理人提交合理化建议说明，说明建议的内容和理由，以及实施该建议对合同价格和工期的影响。</w:t>
      </w:r>
    </w:p>
    <w:p w14:paraId="651A3E8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1C62C1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合理化建议降低了合同价格或者提高了工程经济效益的，发包人可对承包人给予奖励，奖励的方法和金额在专用合同条款中约定。</w:t>
      </w:r>
    </w:p>
    <w:p w14:paraId="39CC72E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10.6变更引起的工期调整  </w:t>
      </w:r>
    </w:p>
    <w:p w14:paraId="28C0EA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因变更引起工期变化的，合同当事人均可要求调整合同工期，由合同当事人按照第4.4款〔商定或确定〕并参考工程所在地的工期定额标准确定增减工期天数。</w:t>
      </w:r>
    </w:p>
    <w:p w14:paraId="2F3ED1D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10.7暂估价</w:t>
      </w:r>
    </w:p>
    <w:p w14:paraId="398D1C1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暂估价专业分包工程、服务、材料和工程设备的明细由合同当事人在专用合同条款中约定。</w:t>
      </w:r>
    </w:p>
    <w:p w14:paraId="7A07A3D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10.7.1 依法必须招标的暂估价项目</w:t>
      </w:r>
    </w:p>
    <w:p w14:paraId="27E8271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对于依法必须招标的暂估价项目，采取以下第1种方式确定。合同当事人也可以在专用合同条款中选择其他招标方式。</w:t>
      </w:r>
    </w:p>
    <w:p w14:paraId="792E55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第1种方式：对于依法必须招标的暂估价项目，由承包人招标，对该暂估价项目的确认和批准按照以下约定执行：</w:t>
      </w:r>
    </w:p>
    <w:p w14:paraId="4B32E91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5A500C8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675B3D5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1EE70A3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5377D95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10.7.2不属于依法必须招标的暂估价项目</w:t>
      </w:r>
    </w:p>
    <w:p w14:paraId="152E0B1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除专用合同条款另有约定外，对于不属于依法必须招标的暂估价项目，采取以下第1种方式确定：</w:t>
      </w:r>
    </w:p>
    <w:p w14:paraId="6A7DDA7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第1种方式：对于不属于依法必须招标的暂估价项目，按本项约定确认和批准：</w:t>
      </w:r>
    </w:p>
    <w:p w14:paraId="3CC74BB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6FD8BCD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（2）发包人认为承包人确定的供应商、分包人无法满足工程质量或合同要求的，发包人可以要求承包人重新确定暂估价项目的供应商、分包人;</w:t>
      </w:r>
    </w:p>
    <w:p w14:paraId="698F022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（3）承包人应当在签订暂估价合同后7天内，将暂估价合同副本报送发包人留存。</w:t>
      </w:r>
    </w:p>
    <w:p w14:paraId="444DF29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第2种方式：承包人按照第10.7.1项〔依法必须招标的暂估价项目〕约定的第1种方式确定暂估价项目。</w:t>
      </w:r>
    </w:p>
    <w:p w14:paraId="48FFFFC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第3种方式：承包人直接实施的暂估价项目</w:t>
      </w:r>
    </w:p>
    <w:p w14:paraId="28B41BA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承包人具备实施暂估价项目的资格和条件的，经发包人和承包人协商一致后，可由承包人自行实施暂估价项目，合同当事人可以在专用合同条款约定具体事项。</w:t>
      </w:r>
    </w:p>
    <w:p w14:paraId="04275F8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09EF214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10.8暂列金额</w:t>
      </w:r>
    </w:p>
    <w:p w14:paraId="673C770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暂列金额应按照发包人的要求使用，发包人的要求应通过监理人发出。合同当事人可以在专用合同条款中协商确定有关事项。</w:t>
      </w:r>
    </w:p>
    <w:p w14:paraId="34A121C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10.9计日工</w:t>
      </w:r>
    </w:p>
    <w:p w14:paraId="4C1BDA0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6D16C10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采用计日工计价的任何一项工作，承包人应在该项工作实施过程中，每天提交以下报表和有关凭证报送监理人审查：</w:t>
      </w:r>
    </w:p>
    <w:p w14:paraId="573AF1D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（1）工作名称、内容和数量；</w:t>
      </w:r>
    </w:p>
    <w:p w14:paraId="5393F71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（2）投入该工作的所有人员的姓名、专业、工种、级别和耗用工时；</w:t>
      </w:r>
    </w:p>
    <w:p w14:paraId="5674E5C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（3）投入该工作的材料类别和数量；</w:t>
      </w:r>
    </w:p>
    <w:p w14:paraId="5C0F3FF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（4）投入该工作的施工设备型号、台数和耗用台时；</w:t>
      </w:r>
    </w:p>
    <w:p w14:paraId="2199071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（5）其他有关资料和凭证。</w:t>
      </w:r>
    </w:p>
    <w:p w14:paraId="620A536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计日工由承包人汇总后，列入最近一期进度付款申请单，由监理人审查并经发包人批准后列入进度付款。</w:t>
      </w:r>
    </w:p>
    <w:p w14:paraId="3948BAC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11. 价格调整</w:t>
      </w:r>
    </w:p>
    <w:p w14:paraId="1808647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11.1市场价格波动引起的调整</w:t>
      </w:r>
    </w:p>
    <w:p w14:paraId="7EF5536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除专用合同条款另有约定外，市场价格波动超过合同当事人约定的范围，合同价格应当调整。合同当事人可以在专用合同条款中约定选择以下一种方式对合同价格进行调整：</w:t>
      </w:r>
    </w:p>
    <w:p w14:paraId="719FB6B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第1种方式：采用价格指数进行价格调整。</w:t>
      </w:r>
    </w:p>
    <w:p w14:paraId="12AC059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（1）价格调整公式</w:t>
      </w:r>
    </w:p>
    <w:p w14:paraId="3FE53A4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因人工、材料和设备等价格波动影响合同价格时，根据专用合同条款中约定的数据，按以下公式计算差额并调整合同价格：</w:t>
      </w:r>
    </w:p>
    <w:p w14:paraId="3FEACC60">
      <w:pPr>
        <w:pBdr>
          <w:top w:val="none" w:color="000000" w:sz="0" w:space="0"/>
          <w:left w:val="none" w:color="000000" w:sz="0" w:space="0"/>
          <w:bottom w:val="none" w:color="000000" w:sz="0" w:space="0"/>
          <w:right w:val="none" w:color="000000" w:sz="0" w:space="0"/>
        </w:pBdr>
        <w:spacing w:before="240" w:after="240" w:line="85" w:lineRule="atLeast"/>
      </w:pPr>
      <w:r>
        <mc:AlternateContent>
          <mc:Choice Requires="wps">
            <w:drawing>
              <wp:anchor distT="0" distB="0" distL="114300" distR="114300" simplePos="0" relativeHeight="251661312"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14" name="矩形 14" hidden="1"/>
                <wp:cNvGraphicFramePr/>
                <a:graphic xmlns:a="http://schemas.openxmlformats.org/drawingml/2006/main">
                  <a:graphicData uri="http://schemas.microsoft.com/office/word/2010/wordprocessingShape">
                    <wps:wsp>
                      <wps:cNvSpPr/>
                      <wps:spPr>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upright="1"/>
                    </wps:wsp>
                  </a:graphicData>
                </a:graphic>
              </wp:anchor>
            </w:drawing>
          </mc:Choice>
          <mc:Fallback>
            <w:pict>
              <v:rect id="_x0000_s1026" o:spid="_x0000_s1026" o:spt="1" style="position:absolute;left:0pt;margin-left:0pt;margin-top:0pt;height:50pt;width:50pt;visibility:hidden;z-index:251661312;mso-width-relative:page;mso-height-relative:page;" fillcolor="#FFFFFF" filled="t" stroked="t"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pbpes0gAAAAUBAAAPAAAAAAAAAAEAIAAAACIAAABkcnMvZG93bnJldi54bWxQ&#10;SwECFAAUAAAACACHTuJAIN8OH/0BAAAqBAAADgAAAAAAAAABACAAAAAhAQAAZHJzL2Uyb0RvYy54&#10;bWxQSwUGAAAAAAYABgBZAQAAkAUAAAAA&#10;">
                <v:fill on="t" focussize="0,0"/>
                <v:stroke color="#000000" joinstyle="round"/>
                <v:imagedata o:title=""/>
                <o:lock v:ext="edit" aspectratio="f"/>
              </v:rect>
            </w:pict>
          </mc:Fallback>
        </mc:AlternateContent>
      </w:r>
      <w:r>
        <mc:AlternateContent>
          <mc:Choice Requires="wps">
            <w:drawing>
              <wp:inline distT="0" distB="0" distL="114300" distR="114300">
                <wp:extent cx="4572635" cy="551180"/>
                <wp:effectExtent l="0" t="0" r="0" b="0"/>
                <wp:docPr id="10"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572635" cy="551180"/>
                        </a:xfrm>
                        <a:prstGeom prst="rect">
                          <a:avLst/>
                        </a:prstGeom>
                        <a:noFill/>
                        <a:ln>
                          <a:noFill/>
                        </a:ln>
                      </wps:spPr>
                      <wps:bodyPr upright="1"/>
                    </wps:wsp>
                  </a:graphicData>
                </a:graphic>
              </wp:inline>
            </w:drawing>
          </mc:Choice>
          <mc:Fallback>
            <w:pict>
              <v:rect id="_x0000_s1026" o:spid="_x0000_s1026" o:spt="1" style="height:43.4pt;width:360.05pt;" filled="f" stroked="f" coordsize="21600,21600" o:gfxdata="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VpCI&#10;4tYAAAAEAQAADwAAAAAAAAABACAAAAAiAAAAZHJzL2Rvd25yZXYueG1sUEsBAhQAFAAAAAgAh07i&#10;QNaefoWyAQAAZAMAAA4AAAAAAAAAAQAgAAAAJQEAAGRycy9lMm9Eb2MueG1sUEsFBgAAAAAGAAYA&#10;WQEAAEkFAAAAAA==&#10;">
                <v:fill on="f" focussize="0,0"/>
                <v:stroke on="f"/>
                <v:imagedata o:title=""/>
                <o:lock v:ext="edit" aspectratio="t"/>
                <w10:wrap type="none"/>
                <w10:anchorlock/>
              </v:rect>
            </w:pict>
          </mc:Fallback>
        </mc:AlternateContent>
      </w:r>
    </w:p>
    <w:p w14:paraId="580B955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公式中：ΔP——需调整的价格差额；</w:t>
      </w:r>
    </w:p>
    <w:p w14:paraId="7EF1F1BF">
      <w:pPr>
        <w:pBdr>
          <w:top w:val="none" w:color="000000" w:sz="0" w:space="0"/>
          <w:left w:val="none" w:color="000000" w:sz="0" w:space="0"/>
          <w:bottom w:val="none" w:color="000000" w:sz="0" w:space="0"/>
          <w:right w:val="none" w:color="000000" w:sz="0" w:space="0"/>
        </w:pBdr>
        <w:spacing w:before="240" w:after="240" w:line="85" w:lineRule="atLeast"/>
      </w:pPr>
      <w:r>
        <mc:AlternateContent>
          <mc:Choice Requires="wps">
            <w:drawing>
              <wp:anchor distT="0" distB="0" distL="114300" distR="114300" simplePos="0" relativeHeight="251662336"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13" name="矩形 13" hidden="1"/>
                <wp:cNvGraphicFramePr/>
                <a:graphic xmlns:a="http://schemas.openxmlformats.org/drawingml/2006/main">
                  <a:graphicData uri="http://schemas.microsoft.com/office/word/2010/wordprocessingShape">
                    <wps:wsp>
                      <wps:cNvSpPr/>
                      <wps:spPr>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upright="1"/>
                    </wps:wsp>
                  </a:graphicData>
                </a:graphic>
              </wp:anchor>
            </w:drawing>
          </mc:Choice>
          <mc:Fallback>
            <w:pict>
              <v:rect id="_x0000_s1026" o:spid="_x0000_s1026" o:spt="1" style="position:absolute;left:0pt;margin-left:0pt;margin-top:0pt;height:50pt;width:50pt;visibility:hidden;z-index:251662336;mso-width-relative:page;mso-height-relative:page;" fillcolor="#FFFFFF" filled="t" stroked="t"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pbpes0gAAAAUBAAAPAAAAAAAAAAEAIAAAACIAAABkcnMvZG93bnJldi54bWxQ&#10;SwECFAAUAAAACACHTuJA4hBaxv0BAAAqBAAADgAAAAAAAAABACAAAAAhAQAAZHJzL2Uyb0RvYy54&#10;bWxQSwUGAAAAAAYABgBZAQAAkAUAAAAA&#10;">
                <v:fill on="t" focussize="0,0"/>
                <v:stroke color="#000000" joinstyle="round"/>
                <v:imagedata o:title=""/>
                <o:lock v:ext="edit" aspectratio="f"/>
              </v:rect>
            </w:pict>
          </mc:Fallback>
        </mc:AlternateContent>
      </w:r>
      <w:r>
        <mc:AlternateContent>
          <mc:Choice Requires="wps">
            <w:drawing>
              <wp:inline distT="0" distB="0" distL="114300" distR="114300">
                <wp:extent cx="227965" cy="227965"/>
                <wp:effectExtent l="0" t="0" r="0" b="0"/>
                <wp:docPr id="15" name="矩形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7965" cy="227965"/>
                        </a:xfrm>
                        <a:prstGeom prst="rect">
                          <a:avLst/>
                        </a:prstGeom>
                        <a:noFill/>
                        <a:ln>
                          <a:noFill/>
                        </a:ln>
                      </wps:spPr>
                      <wps:bodyPr upright="1"/>
                    </wps:wsp>
                  </a:graphicData>
                </a:graphic>
              </wp:inline>
            </w:drawing>
          </mc:Choice>
          <mc:Fallback>
            <w:pict>
              <v:rect id="_x0000_s1026" o:spid="_x0000_s1026" o:spt="1" style="height:17.95pt;width:17.95pt;" filled="f" stroked="f" coordsize="21600,21600" o:gfxdata="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Nj0xiHTAAAAAwEA&#10;AA8AAAAAAAAAAQAgAAAAIgAAAGRycy9kb3ducmV2LnhtbFBLAQIUABQAAAAIAIdO4kADqiJwrQEA&#10;AGMDAAAOAAAAAAAAAAEAIAAAACIBAABkcnMvZTJvRG9jLnhtbFBLBQYAAAAABgAGAFkBAABBBQAA&#10;AAA=&#10;">
                <v:fill on="f" focussize="0,0"/>
                <v:stroke on="f"/>
                <v:imagedata o:title=""/>
                <o:lock v:ext="edit" aspectratio="t"/>
                <w10:wrap type="none"/>
                <w10:anchorlock/>
              </v:rect>
            </w:pict>
          </mc:Fallback>
        </mc:AlternateContent>
      </w:r>
      <w:r>
        <w:rPr>
          <w:rFonts w:ascii="仿宋" w:hAnsi="仿宋" w:eastAsia="仿宋" w:cs="仿宋"/>
        </w:rPr>
        <w:t>——约定的付款证书中承包人应得到的已完成工程量的金额。此项金额应不包括价格调整、不计质量保证金的扣留和支付、预付款的支付和扣回。约定的变更及其他金额已按现行价格计价的，也不计在内；</w:t>
      </w:r>
    </w:p>
    <w:p w14:paraId="66C6B10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A——定值权重（即不调部分的权重）；</w:t>
      </w:r>
    </w:p>
    <w:p w14:paraId="1670BE61">
      <w:pPr>
        <w:pBdr>
          <w:top w:val="none" w:color="000000" w:sz="0" w:space="0"/>
          <w:left w:val="none" w:color="000000" w:sz="0" w:space="0"/>
          <w:bottom w:val="none" w:color="000000" w:sz="0" w:space="0"/>
          <w:right w:val="none" w:color="000000" w:sz="0" w:space="0"/>
        </w:pBdr>
        <w:spacing w:before="240" w:after="240" w:line="85" w:lineRule="atLeast"/>
      </w:pPr>
      <w:r>
        <mc:AlternateContent>
          <mc:Choice Requires="wps">
            <w:drawing>
              <wp:anchor distT="0" distB="0" distL="114300" distR="114300" simplePos="0" relativeHeight="251663360"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6" name="矩形 6" hidden="1"/>
                <wp:cNvGraphicFramePr/>
                <a:graphic xmlns:a="http://schemas.openxmlformats.org/drawingml/2006/main">
                  <a:graphicData uri="http://schemas.microsoft.com/office/word/2010/wordprocessingShape">
                    <wps:wsp>
                      <wps:cNvSpPr/>
                      <wps:spPr>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upright="1"/>
                    </wps:wsp>
                  </a:graphicData>
                </a:graphic>
              </wp:anchor>
            </w:drawing>
          </mc:Choice>
          <mc:Fallback>
            <w:pict>
              <v:rect id="_x0000_s1026" o:spid="_x0000_s1026" o:spt="1" style="position:absolute;left:0pt;margin-left:0pt;margin-top:0pt;height:50pt;width:50pt;visibility:hidden;z-index:251663360;mso-width-relative:page;mso-height-relative:page;" fillcolor="#FFFFFF" filled="t" stroked="t"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lul6zSAAAABQEAAA8AAAAAAAAAAQAgAAAAIgAAAGRycy9kb3ducmV2LnhtbFBL&#10;AQIUABQAAAAIAIdO4kCyMdPG/AEAACgEAAAOAAAAAAAAAAEAIAAAACEBAABkcnMvZTJvRG9jLnht&#10;bFBLBQYAAAAABgAGAFkBAACPBQAAAAA=&#10;">
                <v:fill on="t" focussize="0,0"/>
                <v:stroke color="#000000" joinstyle="round"/>
                <v:imagedata o:title=""/>
                <o:lock v:ext="edit" aspectratio="f"/>
              </v:rect>
            </w:pict>
          </mc:Fallback>
        </mc:AlternateContent>
      </w:r>
      <w:r>
        <mc:AlternateContent>
          <mc:Choice Requires="wps">
            <w:drawing>
              <wp:inline distT="0" distB="0" distL="114300" distR="114300">
                <wp:extent cx="1294765" cy="288290"/>
                <wp:effectExtent l="0" t="0" r="0" b="0"/>
                <wp:docPr id="12"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94765" cy="288290"/>
                        </a:xfrm>
                        <a:prstGeom prst="rect">
                          <a:avLst/>
                        </a:prstGeom>
                        <a:noFill/>
                        <a:ln>
                          <a:noFill/>
                        </a:ln>
                      </wps:spPr>
                      <wps:bodyPr upright="1"/>
                    </wps:wsp>
                  </a:graphicData>
                </a:graphic>
              </wp:inline>
            </w:drawing>
          </mc:Choice>
          <mc:Fallback>
            <w:pict>
              <v:rect id="_x0000_s1026" o:spid="_x0000_s1026" o:spt="1" style="height:22.7pt;width:101.95pt;" filled="f" stroked="f" coordsize="21600,21600" o:gfxdata="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7&#10;zFNR1wAAAAQBAAAPAAAAAAAAAAEAIAAAACIAAABkcnMvZG93bnJldi54bWxQSwECFAAUAAAACACH&#10;TuJA01z4JbMBAABkAwAADgAAAAAAAAABACAAAAAmAQAAZHJzL2Uyb0RvYy54bWxQSwUGAAAAAAYA&#10;BgBZAQAASwUAAAAA&#10;">
                <v:fill on="f" focussize="0,0"/>
                <v:stroke on="f"/>
                <v:imagedata o:title=""/>
                <o:lock v:ext="edit" aspectratio="t"/>
                <w10:wrap type="none"/>
                <w10:anchorlock/>
              </v:rect>
            </w:pict>
          </mc:Fallback>
        </mc:AlternateContent>
      </w:r>
      <w:r>
        <w:rPr>
          <w:rFonts w:ascii="仿宋" w:hAnsi="仿宋" w:eastAsia="仿宋" w:cs="仿宋"/>
        </w:rPr>
        <w:t>——各可调因子的变值权重（即可调部分的权重），为各可调因子在签约合同价中所占的比例；</w:t>
      </w:r>
    </w:p>
    <w:p w14:paraId="7E353FFE">
      <w:pPr>
        <w:pBdr>
          <w:top w:val="none" w:color="000000" w:sz="0" w:space="0"/>
          <w:left w:val="none" w:color="000000" w:sz="0" w:space="0"/>
          <w:bottom w:val="none" w:color="000000" w:sz="0" w:space="0"/>
          <w:right w:val="none" w:color="000000" w:sz="0" w:space="0"/>
        </w:pBdr>
        <w:spacing w:before="240" w:after="240" w:line="85" w:lineRule="atLeast"/>
      </w:pPr>
      <w:r>
        <mc:AlternateContent>
          <mc:Choice Requires="wps">
            <w:drawing>
              <wp:anchor distT="0" distB="0" distL="114300" distR="114300" simplePos="0" relativeHeight="25166438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7" name="矩形 7" hidden="1"/>
                <wp:cNvGraphicFramePr/>
                <a:graphic xmlns:a="http://schemas.openxmlformats.org/drawingml/2006/main">
                  <a:graphicData uri="http://schemas.microsoft.com/office/word/2010/wordprocessingShape">
                    <wps:wsp>
                      <wps:cNvSpPr/>
                      <wps:spPr>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upright="1"/>
                    </wps:wsp>
                  </a:graphicData>
                </a:graphic>
              </wp:anchor>
            </w:drawing>
          </mc:Choice>
          <mc:Fallback>
            <w:pict>
              <v:rect id="_x0000_s1026" o:spid="_x0000_s1026" o:spt="1" style="position:absolute;left:0pt;margin-left:0pt;margin-top:0pt;height:50pt;width:50pt;visibility:hidden;z-index:251664384;mso-width-relative:page;mso-height-relative:page;" fillcolor="#FFFFFF" filled="t" stroked="t"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lul6zSAAAABQEAAA8AAAAAAAAAAQAgAAAAIgAAAGRycy9kb3ducmV2LnhtbFBL&#10;AQIUABQAAAAIAIdO4kCQis4U/AEAACgEAAAOAAAAAAAAAAEAIAAAACEBAABkcnMvZTJvRG9jLnht&#10;bFBLBQYAAAAABgAGAFkBAACPBQAAAAA=&#10;">
                <v:fill on="t" focussize="0,0"/>
                <v:stroke color="#000000" joinstyle="round"/>
                <v:imagedata o:title=""/>
                <o:lock v:ext="edit" aspectratio="f"/>
              </v:rect>
            </w:pict>
          </mc:Fallback>
        </mc:AlternateContent>
      </w:r>
      <w:r>
        <mc:AlternateContent>
          <mc:Choice Requires="wps">
            <w:drawing>
              <wp:inline distT="0" distB="0" distL="114300" distR="114300">
                <wp:extent cx="1294765" cy="288290"/>
                <wp:effectExtent l="0" t="0" r="0" b="0"/>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94765" cy="288290"/>
                        </a:xfrm>
                        <a:prstGeom prst="rect">
                          <a:avLst/>
                        </a:prstGeom>
                        <a:noFill/>
                        <a:ln>
                          <a:noFill/>
                        </a:ln>
                      </wps:spPr>
                      <wps:bodyPr upright="1"/>
                    </wps:wsp>
                  </a:graphicData>
                </a:graphic>
              </wp:inline>
            </w:drawing>
          </mc:Choice>
          <mc:Fallback>
            <w:pict>
              <v:rect id="_x0000_s1026" o:spid="_x0000_s1026" o:spt="1" style="height:22.7pt;width:101.95pt;" filled="f" stroked="f" coordsize="21600,21600" o:gfxdata="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7&#10;zFNR1wAAAAQBAAAPAAAAAAAAAAEAIAAAACIAAABkcnMvZG93bnJldi54bWxQSwECFAAUAAAACACH&#10;TuJAAzBWM7MBAABiAwAADgAAAAAAAAABACAAAAAmAQAAZHJzL2Uyb0RvYy54bWxQSwUGAAAAAAYA&#10;BgBZAQAASwUAAAAA&#10;">
                <v:fill on="f" focussize="0,0"/>
                <v:stroke on="f"/>
                <v:imagedata o:title=""/>
                <o:lock v:ext="edit" aspectratio="t"/>
                <w10:wrap type="none"/>
                <w10:anchorlock/>
              </v:rect>
            </w:pict>
          </mc:Fallback>
        </mc:AlternateContent>
      </w:r>
      <w:r>
        <w:rPr>
          <w:rFonts w:ascii="仿宋" w:hAnsi="仿宋" w:eastAsia="仿宋" w:cs="仿宋"/>
        </w:rPr>
        <w:t>——各可调因子的现行价格指数，指约定的付款证书相关周期最后一天的前42天的各可调因子的价格指数；</w:t>
      </w:r>
    </w:p>
    <w:p w14:paraId="39A22F71">
      <w:pPr>
        <w:pBdr>
          <w:top w:val="none" w:color="000000" w:sz="0" w:space="0"/>
          <w:left w:val="none" w:color="000000" w:sz="0" w:space="0"/>
          <w:bottom w:val="none" w:color="000000" w:sz="0" w:space="0"/>
          <w:right w:val="none" w:color="000000" w:sz="0" w:space="0"/>
        </w:pBdr>
        <w:spacing w:before="240" w:after="240" w:line="85" w:lineRule="atLeast"/>
      </w:pPr>
      <w:r>
        <mc:AlternateContent>
          <mc:Choice Requires="wps">
            <w:drawing>
              <wp:anchor distT="0" distB="0" distL="114300" distR="114300" simplePos="0" relativeHeight="251665408"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9" name="矩形 9" hidden="1"/>
                <wp:cNvGraphicFramePr/>
                <a:graphic xmlns:a="http://schemas.openxmlformats.org/drawingml/2006/main">
                  <a:graphicData uri="http://schemas.microsoft.com/office/word/2010/wordprocessingShape">
                    <wps:wsp>
                      <wps:cNvSpPr/>
                      <wps:spPr>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upright="1"/>
                    </wps:wsp>
                  </a:graphicData>
                </a:graphic>
              </wp:anchor>
            </w:drawing>
          </mc:Choice>
          <mc:Fallback>
            <w:pict>
              <v:rect id="_x0000_s1026" o:spid="_x0000_s1026" o:spt="1" style="position:absolute;left:0pt;margin-left:0pt;margin-top:0pt;height:50pt;width:50pt;visibility:hidden;z-index:251665408;mso-width-relative:page;mso-height-relative:page;" fillcolor="#FFFFFF" filled="t" stroked="t"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KW6XrNIAAAAFAQAADwAAAAAAAAABACAAAAAiAAAAZHJzL2Rvd25yZXYueG1sUEsB&#10;AhQAFAAAAAgAh07iQMrcSLP7AQAAKAQAAA4AAAAAAAAAAQAgAAAAIQEAAGRycy9lMm9Eb2MueG1s&#10;UEsFBgAAAAAGAAYAWQEAAI4FAAAAAA==&#10;">
                <v:fill on="t" focussize="0,0"/>
                <v:stroke color="#000000" joinstyle="round"/>
                <v:imagedata o:title=""/>
                <o:lock v:ext="edit" aspectratio="f"/>
              </v:rect>
            </w:pict>
          </mc:Fallback>
        </mc:AlternateContent>
      </w:r>
      <w:r>
        <mc:AlternateContent>
          <mc:Choice Requires="wps">
            <w:drawing>
              <wp:inline distT="0" distB="0" distL="114300" distR="114300">
                <wp:extent cx="1388110" cy="288290"/>
                <wp:effectExtent l="0" t="0" r="0" b="0"/>
                <wp:docPr id="11"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88110" cy="288290"/>
                        </a:xfrm>
                        <a:prstGeom prst="rect">
                          <a:avLst/>
                        </a:prstGeom>
                        <a:noFill/>
                        <a:ln>
                          <a:noFill/>
                        </a:ln>
                      </wps:spPr>
                      <wps:bodyPr upright="1"/>
                    </wps:wsp>
                  </a:graphicData>
                </a:graphic>
              </wp:inline>
            </w:drawing>
          </mc:Choice>
          <mc:Fallback>
            <w:pict>
              <v:rect id="_x0000_s1026" o:spid="_x0000_s1026" o:spt="1" style="height:22.7pt;width:109.3pt;" filled="f" stroked="f" coordsize="21600,21600" o:gfxdata="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HGpy&#10;LdYAAAAEAQAADwAAAAAAAAABACAAAAAiAAAAZHJzL2Rvd25yZXYueG1sUEsBAhQAFAAAAAgAh07i&#10;QHUGu1GyAQAAZAMAAA4AAAAAAAAAAQAgAAAAJQEAAGRycy9lMm9Eb2MueG1sUEsFBgAAAAAGAAYA&#10;WQEAAEkFAAAAAA==&#10;">
                <v:fill on="f" focussize="0,0"/>
                <v:stroke on="f"/>
                <v:imagedata o:title=""/>
                <o:lock v:ext="edit" aspectratio="t"/>
                <w10:wrap type="none"/>
                <w10:anchorlock/>
              </v:rect>
            </w:pict>
          </mc:Fallback>
        </mc:AlternateContent>
      </w:r>
      <w:r>
        <w:rPr>
          <w:rFonts w:ascii="仿宋" w:hAnsi="仿宋" w:eastAsia="仿宋" w:cs="仿宋"/>
        </w:rPr>
        <w:t>——各可调因子的基本价格指数，指基准日期的各可调因子的价格指数。</w:t>
      </w:r>
    </w:p>
    <w:p w14:paraId="77C283A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38803E4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（2）暂时确定调整差额</w:t>
      </w:r>
    </w:p>
    <w:p w14:paraId="65F7BCA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在计算调整差额时无现行价格指数的，合同当事人同意暂用前次价格指数计算。实际价格指数有调整的，合同当事人进行相应调整。</w:t>
      </w:r>
    </w:p>
    <w:p w14:paraId="4E76E62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（3）权重的调整</w:t>
      </w:r>
    </w:p>
    <w:p w14:paraId="6F02CC1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因变更导致合同约定的权重不合理时，按照第4.4款〔商定或确定〕执行。</w:t>
      </w:r>
    </w:p>
    <w:p w14:paraId="0F8A607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（4）因承包人原因工期延误后的价格调整</w:t>
      </w:r>
    </w:p>
    <w:p w14:paraId="7A82E5E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因承包人原因未按期竣工的，对合同约定的竣工日期后继续施工的工程，在使用价格调整公式时，应采用计划竣工日期与实际竣工日期的两个价格指数中较低的一个作为现行价格指数。</w:t>
      </w:r>
    </w:p>
    <w:p w14:paraId="1EED736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第2种方式：采用造价信息进行价格调整。</w:t>
      </w:r>
    </w:p>
    <w:p w14:paraId="0CC745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129A162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689750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（2）材料、工程设备价格变化的价款调整按照发包人提供的基准价格，按以下风险范围规定执行:</w:t>
      </w:r>
    </w:p>
    <w:p w14:paraId="53C70D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06AAE2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3265AFA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③承包人在已标价工程量清单或预算书中载明材料单价等于基准价格的：除专用合同条款另有约定外，合同履行期间材料单价涨跌幅以基准价格为基础超过±5%时，其超过部分据实调整。</w:t>
      </w:r>
    </w:p>
    <w:p w14:paraId="6550B2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6DAFDD2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前述基准价格是指由发包人在招标文件或专用合同条款中给定的材料、工程设备的价格，该价格原则上应当按照省级或行业建设主管部门或其授权的工程造价管理机构发布的信息价编制。</w:t>
      </w:r>
    </w:p>
    <w:p w14:paraId="0A671CD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（3）施工机械台班单价或施工机械使用费发生变化超过省级或行业建设主管部门或其授权的工程造价管理机构规定的范围时，按规定调整合同价格。</w:t>
      </w:r>
    </w:p>
    <w:p w14:paraId="01EA814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第3种方式：专用合同条款约定的其他方式。</w:t>
      </w:r>
    </w:p>
    <w:p w14:paraId="2C2DA1F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11.2法律变化引起的调整</w:t>
      </w:r>
    </w:p>
    <w:p w14:paraId="65826F4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6D34E45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因法律变化引起的合同价格和工期调整，合同当事人无法达成一致的，由总监理工程师按第4.4款〔商定或确定〕的约定处理。</w:t>
      </w:r>
    </w:p>
    <w:p w14:paraId="23A0316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因承包人原因造成工期延误，在工期延误期间出现法律变化的，由此增加的费用和（或）延误的工期由承包人承担。</w:t>
      </w:r>
    </w:p>
    <w:p w14:paraId="1483181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12. 合同价格、计量与支付</w:t>
      </w:r>
    </w:p>
    <w:p w14:paraId="14C9F38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12.1 合同价格形式</w:t>
      </w:r>
    </w:p>
    <w:p w14:paraId="10D5A0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发包人和承包人应在合同协议书中选择下列一种合同价格形式：</w:t>
      </w:r>
    </w:p>
    <w:p w14:paraId="5F746A7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1.单价合同</w:t>
      </w:r>
    </w:p>
    <w:p w14:paraId="309E99E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4651A8F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2.总价合同</w:t>
      </w:r>
    </w:p>
    <w:p w14:paraId="44FB2EA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2C5F65B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3.其它价格形式</w:t>
      </w:r>
    </w:p>
    <w:p w14:paraId="406F52D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合同当事人可在专用合同条款中约定其他合同价格形式。</w:t>
      </w:r>
    </w:p>
    <w:p w14:paraId="68CC060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12.2预付款</w:t>
      </w:r>
    </w:p>
    <w:p w14:paraId="3D973AB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12.2.1预付款的支付</w:t>
      </w:r>
    </w:p>
    <w:p w14:paraId="640B988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预付款的支付按照专用合同条款约定执行，但至迟应在开工通知载明的开工日期7天前支付。预付款应当用于材料、工程设备、施工设备的采购及修建临时工程、组织施工队伍进场等。</w:t>
      </w:r>
    </w:p>
    <w:p w14:paraId="5B924F8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除专用合同条款另有约定外，预付款在进度付款中同比例扣回。在颁发工程接收证书前，提前解除合同的，尚未扣完的预付款应与合同价款一并结算。</w:t>
      </w:r>
    </w:p>
    <w:p w14:paraId="0EDAA4C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发包人逾期支付预付款超过7天的，承包人有权向发包人发出要求预付的催告通知，发包人收到通知后7天内仍未支付的，承包人有权暂停施工，并按第16.1.1项〔发包人违约的情形〕执行。</w:t>
      </w:r>
    </w:p>
    <w:p w14:paraId="502ED25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12.2.2 预付款担保</w:t>
      </w:r>
    </w:p>
    <w:p w14:paraId="2932FE8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6A25E8C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发包人在工程款中逐期扣回预付款后，预付款担保额度应相应减少，但剩余的预付款担保金额不得低于未被扣回的预付款金额。</w:t>
      </w:r>
    </w:p>
    <w:p w14:paraId="1F8F067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12.3计量</w:t>
      </w:r>
    </w:p>
    <w:p w14:paraId="3C84343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12.3.1 计量原则</w:t>
      </w:r>
    </w:p>
    <w:p w14:paraId="0F83A6D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工程量计量按照合同约定的工程量计算规则、图纸及变更指示等进行计量。工程量计算规则应以相关的国家标准、行业标准等为依据，由合同当事人在专用合同条款中约定。</w:t>
      </w:r>
    </w:p>
    <w:p w14:paraId="58B4414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12.3.2 计量周期</w:t>
      </w:r>
    </w:p>
    <w:p w14:paraId="0C57D7D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除专用合同条款另有约定外，工程量的计量按月进行。</w:t>
      </w:r>
    </w:p>
    <w:p w14:paraId="227EBF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12.3.3 单价合同的计量</w:t>
      </w:r>
    </w:p>
    <w:p w14:paraId="7B382DC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除专用合同条款另有约定外，单价合同的计量按照本项约定执行：</w:t>
      </w:r>
    </w:p>
    <w:p w14:paraId="024D4B6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（1）承包人应于每月25日向监理人报送上月20日至当月19日已完成的工程量报告，并附具进度付款申请单、已完成工程量报表和有关资料。</w:t>
      </w:r>
    </w:p>
    <w:p w14:paraId="19058E4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5114DAA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（3）监理人未在收到承包人提交的工程量报表后的7天内完成审核的，承包人报送的工程量报告中的工程量视为承包人实际完成的工程量，据此计算工程价款。</w:t>
      </w:r>
    </w:p>
    <w:p w14:paraId="6C31F32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12.3.4 总价合同的计量</w:t>
      </w:r>
    </w:p>
    <w:p w14:paraId="31CF36F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除专用合同条款另有约定外，按月计量支付的总价合同，按照本项约定执行：</w:t>
      </w:r>
    </w:p>
    <w:p w14:paraId="5556C7C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（1）承包人应于每月25日向监理人报送上月20日至当月19日已完成的工程量报告，并附具进度付款申请单、已完成工程量报表和有关资料。</w:t>
      </w:r>
    </w:p>
    <w:p w14:paraId="02977FE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843B81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（3）监理人未在收到承包人提交的工程量报表后的7天内完成复核的，承包人提交的工程量报告中的工程量视为承包人实际完成的工程量。</w:t>
      </w:r>
    </w:p>
    <w:p w14:paraId="021FBF2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12.3.5 总价合同采用支付分解表计量支付的，可以按照第12.3.4项〔总价合同的计量〕约定进行计量，但合同价款按照支付分解表进行支付。</w:t>
      </w:r>
    </w:p>
    <w:p w14:paraId="528431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12.3.6 其他价格形式合同的计量</w:t>
      </w:r>
    </w:p>
    <w:p w14:paraId="2BCE41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合同当事人可在专用合同条款中约定其他价格形式合同的计量方式和程序。</w:t>
      </w:r>
    </w:p>
    <w:p w14:paraId="3A9C665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12.4工程进度款支付</w:t>
      </w:r>
    </w:p>
    <w:p w14:paraId="3822225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12.4.1 付款周期</w:t>
      </w:r>
    </w:p>
    <w:p w14:paraId="67EE614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除专用合同条款另有约定外，付款周期应按照第12.3.2项〔计量周期〕的约定与计量周期保持一致。</w:t>
      </w:r>
    </w:p>
    <w:p w14:paraId="328A6F9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12.4.2 进度付款申请单的编制</w:t>
      </w:r>
    </w:p>
    <w:p w14:paraId="2CF4E6F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除专用合同条款另有约定外，进度付款申请单应包括下列内容：</w:t>
      </w:r>
    </w:p>
    <w:p w14:paraId="000AAF7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（1）截至本次付款周期已完成工作对应的金额；</w:t>
      </w:r>
    </w:p>
    <w:p w14:paraId="3E02921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（2）根据第10条〔变更〕应增加和扣减的变更金额；</w:t>
      </w:r>
    </w:p>
    <w:p w14:paraId="4F43D3C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（3）根据第12.2款〔预付款〕约定应支付的预付款和扣减的返还预付款；</w:t>
      </w:r>
    </w:p>
    <w:p w14:paraId="3396A9D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（4）根据第15.3款〔质量保证金〕约定应扣减的质量保证金；</w:t>
      </w:r>
    </w:p>
    <w:p w14:paraId="1DD1983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（5）根据第19条〔索赔〕应增加和扣减的索赔金额；</w:t>
      </w:r>
    </w:p>
    <w:p w14:paraId="4C52D68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（6）对已签发的进度款支付证书中出现错误的修正，应在本次进度付款中支付或扣除的金额；</w:t>
      </w:r>
    </w:p>
    <w:p w14:paraId="62E0444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（7）根据合同约定应增加和扣减的其他金额。</w:t>
      </w:r>
    </w:p>
    <w:p w14:paraId="3E4E02E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12.4.3 进度付款申请单的提交</w:t>
      </w:r>
    </w:p>
    <w:p w14:paraId="1B4F660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（1）单价合同进度付款申请单的提交</w:t>
      </w:r>
    </w:p>
    <w:p w14:paraId="0B28DEF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5A62010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（2）总价合同进度付款申请单的提交</w:t>
      </w:r>
    </w:p>
    <w:p w14:paraId="24F44C2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总价合同按月计量支付的，承包人按照第12.3.4项〔总价合同的计量〕约定的时间按月向监理人提交进度付款申请单，并附上已完成工程量报表和有关资料。</w:t>
      </w:r>
    </w:p>
    <w:p w14:paraId="23B5B47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总价合同按支付分解表支付的，承包人应按照第12.4.6项〔支付分解表〕及第12.4.2项〔进度付款申请单的编制〕的约定向监理人提交进度付款申请单。</w:t>
      </w:r>
    </w:p>
    <w:p w14:paraId="774A71A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（3）其他价格形式合同的进度付款申请单的提交</w:t>
      </w:r>
    </w:p>
    <w:p w14:paraId="6BD3266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合同当事人可在专用合同条款中约定其他价格形式合同的进度付款申请单的编制和提交程序。</w:t>
      </w:r>
    </w:p>
    <w:p w14:paraId="560B867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12.4.4 进度款审核和支付</w:t>
      </w:r>
    </w:p>
    <w:p w14:paraId="362959B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7318D8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4199397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（2）除专用合同条款另有约定外，发包人应在进度款支付证书或临时进度款支付证书签发后14天内完成支付，发包人逾期支付进度款的，应按照中国人民银行发布的同期同类贷款基准利率支付违约金。</w:t>
      </w:r>
    </w:p>
    <w:p w14:paraId="5354EE5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（3）发包人签发进度款支付证书或临时进度款支付证书，不表明发包人已同意、批准或接受了承包人完成的相应部分的工作。</w:t>
      </w:r>
    </w:p>
    <w:p w14:paraId="5C0E37D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12.4.5 进度付款的修正</w:t>
      </w:r>
    </w:p>
    <w:p w14:paraId="1B5E074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在对已签发的进度款支付证书进行阶段汇总和复核中发现错误、遗漏或重复的，发包人和承包人均有权提出修正申请。经发包人和承包人同意的修正，应在下期进度付款中支付或扣除。</w:t>
      </w:r>
    </w:p>
    <w:p w14:paraId="171AB96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12.4.6 支付分解表</w:t>
      </w:r>
    </w:p>
    <w:p w14:paraId="72A0887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1.支付分解表的编制要求</w:t>
      </w:r>
    </w:p>
    <w:p w14:paraId="749896E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（1）支付分解表中所列的每期付款金额，应为第12.4.2项〔进度付款申请单的编制〕第（1）目的估算金额；</w:t>
      </w:r>
    </w:p>
    <w:p w14:paraId="74FD5A0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（2）实际进度与施工进度计划不一致的，合同当事人可按照第4.4款〔商定或确定〕修改支付分解表；</w:t>
      </w:r>
    </w:p>
    <w:p w14:paraId="55F3CA0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（3）不采用支付分解表的，承包人应向发包人和监理人提交按季度编制的支付估算分解表，用于支付参考。</w:t>
      </w:r>
    </w:p>
    <w:p w14:paraId="524346F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2.总价合同支付分解表的编制与审批</w:t>
      </w:r>
    </w:p>
    <w:p w14:paraId="588CD99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6813497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（2）监理人应在收到支付分解表后7天内完成审核并报送发包人。发包人应在收到经监理人审核的支付分解表后7天内完成审批，经发包人批准的支付分解表为有约束力的支付分解表。</w:t>
      </w:r>
    </w:p>
    <w:p w14:paraId="61034E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   （3）发包人逾期未完成支付分解表审批的，也未及时要求承包人进行修正和提供补充资料的，则承包人提交的支付分解表视为已经获得发包人批准。</w:t>
      </w:r>
    </w:p>
    <w:p w14:paraId="13969F1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3.单价合同的总价项目支付分解表的编制与审批</w:t>
      </w:r>
    </w:p>
    <w:p w14:paraId="46DA76E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6A9057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12.5支付账户</w:t>
      </w:r>
    </w:p>
    <w:p w14:paraId="3CFF2B4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发包人应将合同价款支付至合同协议书中约定的承包人账户。</w:t>
      </w:r>
    </w:p>
    <w:p w14:paraId="6898498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13. 验收和工程试车</w:t>
      </w:r>
    </w:p>
    <w:p w14:paraId="54F45B5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13.1分部分项工程验收</w:t>
      </w:r>
    </w:p>
    <w:p w14:paraId="290CE3F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13.1.1 分部分项工程质量应符合国家有关工程施工验收规范、标准及合同约定，承包人应按照施工组织设计的要求完成分部分项工程施工。</w:t>
      </w:r>
    </w:p>
    <w:p w14:paraId="5F09D42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2BFDA66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分部分项工程的验收资料应当作为竣工资料的组成部分。</w:t>
      </w:r>
    </w:p>
    <w:p w14:paraId="4A20823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13.2竣工验收</w:t>
      </w:r>
    </w:p>
    <w:p w14:paraId="65840A1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13.2.1竣工验收条件</w:t>
      </w:r>
    </w:p>
    <w:p w14:paraId="1268F22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工程具备以下条件的，承包人可以申请竣工验收：</w:t>
      </w:r>
    </w:p>
    <w:p w14:paraId="187D7AA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（1）除发包人同意的甩项工作和缺陷修补工作外，合同范围内的全部工程以及有关工作，包括合同要求的试验、试运行以及检验均已完成，并符合合同要求；</w:t>
      </w:r>
    </w:p>
    <w:p w14:paraId="77C3DF9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（2）已按合同约定编制了甩项工作和缺陷修补工作清单以及相应的施工计划；</w:t>
      </w:r>
    </w:p>
    <w:p w14:paraId="569647C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（3）已按合同约定的内容和份数备齐竣工资料。</w:t>
      </w:r>
    </w:p>
    <w:p w14:paraId="4FBB65E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13.2.2竣工验收程序</w:t>
      </w:r>
    </w:p>
    <w:p w14:paraId="05EAE9D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除专用合同条款另有约定外，承包人申请竣工验收的，应当按照以下程序进行：</w:t>
      </w:r>
    </w:p>
    <w:p w14:paraId="4536514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EEA287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（2）监理人审查后认为已具备竣工验收条件的，应将竣工验收申请报告提交发包人，发包人应在收到经监理人审核的竣工验收申请报告后30天内审批完毕并组织监理人、承包人、设计人等相关单位完成竣工验收。</w:t>
      </w:r>
    </w:p>
    <w:p w14:paraId="57E95CE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（3）竣工验收合格的，发包人应在验收合格后14天内向承包人签发工程接收证书。发包人无正当理由逾期不颁发工程接收证书的，自验收合格后第15天起视为已颁发工程接收证书。</w:t>
      </w:r>
    </w:p>
    <w:p w14:paraId="38F7210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71D970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0D2846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除专用合同条款另有约定外，发包人不按照本项约定组织竣工验收、颁发工程接收证书的，每逾期一天，应以签约合同价为基数，按照中国人民银行发布的同期同类贷款基准利率支付违约金。</w:t>
      </w:r>
    </w:p>
    <w:p w14:paraId="6F18E80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13.2.3竣工日期</w:t>
      </w:r>
    </w:p>
    <w:p w14:paraId="5D78BC9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工程经竣工验收合格的，以承包人提交竣工验收申请报告之日为实际竣工日期，并在工程接收证书中载明；因发包人原因，未在监理人收到承包人提交的竣工验收申请报告45天内完成竣工验收，或完成竣工验收不予签发工程接收证书的，以提交竣工验收申请报告的日期为实际竣工日期；工程未经竣工验收，发包人擅自使用的，以转移占有工程之日为实际竣工日期。</w:t>
      </w:r>
    </w:p>
    <w:p w14:paraId="33C153E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13.2.4 拒绝接收全部或部分工程</w:t>
      </w:r>
    </w:p>
    <w:p w14:paraId="4FAEA66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157B9B9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13.2.5 移交、接收全部与部分工程</w:t>
      </w:r>
    </w:p>
    <w:p w14:paraId="0B362D7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除专用合同条款另有约定外，合同当事人应当在颁发工程接收证书后7天内完成工程的移交。</w:t>
      </w:r>
    </w:p>
    <w:p w14:paraId="4A0F7AD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发包人无正当理由不接收工程的，发包人自应当接收工程之日起，承担工程照管、成品保护、保管等与工程有关的各项费用，合同当事人可以在专用合同条款中另行约定发包人逾期接收工程的违约责任。</w:t>
      </w:r>
    </w:p>
    <w:p w14:paraId="1ACC086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承包人无正当理由不移交工程的，承包人应承担工程照管、成品保护、保管等与工程有关的各项费用，合同当事人可以在专用合同条款中另行约定承包人无正当理由不移交工程的违约责任。</w:t>
      </w:r>
    </w:p>
    <w:p w14:paraId="51DD49F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13.3工程试车</w:t>
      </w:r>
    </w:p>
    <w:p w14:paraId="3525B62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13.3.1试车程序</w:t>
      </w:r>
    </w:p>
    <w:p w14:paraId="75B103D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工程需要试车的，除专用合同条款另有约定外，试车内容应与承包人承包范围相一致，试车费用由承包人承担。工程试车应按如下程序进行：</w:t>
      </w:r>
    </w:p>
    <w:p w14:paraId="7C1AF6C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11C3DAB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4D0B31F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0B8482F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13.3.2 试车中的责任</w:t>
      </w:r>
    </w:p>
    <w:p w14:paraId="115E377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534C66F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33AE1A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13.3.3 投料试车</w:t>
      </w:r>
    </w:p>
    <w:p w14:paraId="33245FD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如需进行投料试车的，发包人应在工程竣工验收后组织投料试车。发包人要求在工程竣工验收前进行或需要承包人配合时，应征得承包人同意，并在专用合同条款中约定有关事项。</w:t>
      </w:r>
    </w:p>
    <w:p w14:paraId="4B82751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1D5DA92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13.4提前交付单位工程的验收</w:t>
      </w:r>
    </w:p>
    <w:p w14:paraId="7753378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13.4.1 发包人需要在工程竣工前使用单位工程的，或承包人提出提前交付已经竣工的单位工程且经发包人同意的，可进行单位工程验收，验收的程序按照第13.2款〔竣工验收〕的约定进行。</w:t>
      </w:r>
    </w:p>
    <w:p w14:paraId="60D6826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验收合格后，由监理人向承包人出具经发包人签认的单位工程接收证书。已签发单位工程接收证书的单位工程由发包人负责照管。单位工程的验收成果和结论作为整体工程竣工验收申请报告的附件。</w:t>
      </w:r>
    </w:p>
    <w:p w14:paraId="6102557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13.4.2 发包人要求在工程竣工前交付单位工程，由此导致承包人费用增加和（或）工期延误的，由发包人承担由此增加的费用和（或）延误的工期，并支付承包人合理的利润。</w:t>
      </w:r>
    </w:p>
    <w:p w14:paraId="3555228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13.5 施工期运行</w:t>
      </w:r>
    </w:p>
    <w:p w14:paraId="5B10624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52F2D58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13.5.2 在施工期运行中发现工程或工程设备损坏或存在缺陷的，由承包人按第15.2款〔缺陷责任期〕约定进行修复。</w:t>
      </w:r>
    </w:p>
    <w:p w14:paraId="798CCDE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13.6 竣工退场</w:t>
      </w:r>
    </w:p>
    <w:p w14:paraId="49C56E6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13.6.1 竣工退场</w:t>
      </w:r>
    </w:p>
    <w:p w14:paraId="138D877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颁发工程接收证书后，承包人应按以下要求对施工现场进行清理：</w:t>
      </w:r>
    </w:p>
    <w:p w14:paraId="4C8BAEB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（1）施工现场内残留的垃圾已全部清除出场；</w:t>
      </w:r>
    </w:p>
    <w:p w14:paraId="08ECBD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（2）临时工程已拆除，场地已进行清理、平整或复原；</w:t>
      </w:r>
    </w:p>
    <w:p w14:paraId="6E7556B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（3）按合同约定应撤离的人员、承包人施工设备和剩余的材料，包括废弃的施工设备和材料，已按计划撤离施工现场；</w:t>
      </w:r>
    </w:p>
    <w:p w14:paraId="5C5731F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（4）施工现场周边及其附近道路、河道的施工堆积物，已全部清理；</w:t>
      </w:r>
    </w:p>
    <w:p w14:paraId="5D09389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（5）施工现场其他场地清理工作已全部完成。</w:t>
      </w:r>
    </w:p>
    <w:p w14:paraId="24873B4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51CC76F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13.6.2 地表还原</w:t>
      </w:r>
    </w:p>
    <w:p w14:paraId="06B7900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承包人应按发包人要求恢复临时占地及清理场地，承包人未按发包人的要求恢复临时占地，或者场地清理未达到合同约定要求的，发包人有权委托其他人恢复或清理，所发生的费用由承包人承担。</w:t>
      </w:r>
    </w:p>
    <w:p w14:paraId="75555FA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14. 竣工结算</w:t>
      </w:r>
    </w:p>
    <w:p w14:paraId="7F00E2E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14.1 竣工结算申请</w:t>
      </w:r>
    </w:p>
    <w:p w14:paraId="0686FE3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p>
    <w:p w14:paraId="41E25F6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除专用合同条款另有约定外，竣工结算申请单应包括以下内容：</w:t>
      </w:r>
    </w:p>
    <w:p w14:paraId="1BA2793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（1）竣工结算合同价格；</w:t>
      </w:r>
    </w:p>
    <w:p w14:paraId="139A677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（2）发包人已支付承包人的款项；</w:t>
      </w:r>
    </w:p>
    <w:p w14:paraId="310B2F0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（3）应扣留的质量保证金。已缴纳履约保证金的或提供其他工程质量担保方式的除外；</w:t>
      </w:r>
    </w:p>
    <w:p w14:paraId="5CFB7FF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（4）发包人应支付承包人的合同价款。</w:t>
      </w:r>
    </w:p>
    <w:p w14:paraId="0E697E6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14.2 竣工结算审核</w:t>
      </w:r>
    </w:p>
    <w:p w14:paraId="206612A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572014D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6BFD164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506DB46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7F2310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14.3 甩项竣工协议</w:t>
      </w:r>
    </w:p>
    <w:p w14:paraId="7F8DEDB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要求甩项竣工的，合同当事人应签订甩项竣工协议。在甩项竣工协议中应明确，合同当事人按照第14.1款〔竣工结算申请〕及14.2款〔竣工结算审核〕的约定，对已完合格工程进行结算，并支付相应合同价款。</w:t>
      </w:r>
    </w:p>
    <w:p w14:paraId="4AD055F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14.4 最终结清</w:t>
      </w:r>
    </w:p>
    <w:p w14:paraId="4CD917C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14.4.1 最终结清申请单</w:t>
      </w:r>
    </w:p>
    <w:p w14:paraId="375F735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（1）除专用合同条款另有约定外，承包人应在缺陷责任期终止证书颁发后7天内，按专用合同条款约定的份数向发包人提交最终结清申请单，并提供相关证明材料。</w:t>
      </w:r>
    </w:p>
    <w:p w14:paraId="116A69C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除专用合同条款另有约定外，最终结清申请单应列明质量保证金、应扣除的质量保证金、缺陷责任期内发生的增减费用。</w:t>
      </w:r>
    </w:p>
    <w:p w14:paraId="0F8CB34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（2）发包人对最终结清申请单内容有异议的，有权要求承包人进行修正和提供补充资料，承包人应向发包人提交修正后的最终结清申请单。</w:t>
      </w:r>
    </w:p>
    <w:p w14:paraId="0ED2C1A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14.4.2 最终结清证书和支付</w:t>
      </w:r>
    </w:p>
    <w:p w14:paraId="7121F8F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3D8B14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7AF7F62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（3）承包人对发包人颁发的最终结清证书有异议的，按第20条〔争议解决〕的约定办理。</w:t>
      </w:r>
    </w:p>
    <w:p w14:paraId="575B967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15. 缺陷责任与保修</w:t>
      </w:r>
    </w:p>
    <w:p w14:paraId="43CA5EE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15.1 工程保修的原则</w:t>
      </w:r>
    </w:p>
    <w:p w14:paraId="57996CA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在工程移交发包人后，因承包人原因产生的质量缺陷，承包人应承担质量缺陷责任和保修义务。缺陷责任期届满，承包人仍应按合同约定的工程各部位保修年限承担保修义务。</w:t>
      </w:r>
    </w:p>
    <w:p w14:paraId="40B8276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15.2 缺陷责任期</w:t>
      </w:r>
    </w:p>
    <w:p w14:paraId="4260BD3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15.2.1 缺陷责任期从工程通过竣工验收之日起计算，合同当事人应在专用合同条款约定缺陷责任期的具体期限，但该期限最长不超过24个月。</w:t>
      </w:r>
    </w:p>
    <w:p w14:paraId="2E8D20F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06CCC0A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6BFE029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由他人原因造成的缺陷，发包人负责组织维修，承包人不承担费用，且发包人不得从保证金中扣除费用。</w:t>
      </w:r>
    </w:p>
    <w:p w14:paraId="62010A0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15.2.3 任何一项缺陷或损坏修复后，经检查证明其影响了工程或工程设备的使用性能，承包人应重新进行合同约定的试验和试运行，试验和试运行的全部费用应由责任方承担。</w:t>
      </w:r>
    </w:p>
    <w:p w14:paraId="343F00A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138FDED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15.3 质量保证金</w:t>
      </w:r>
    </w:p>
    <w:p w14:paraId="1050FFE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经合同当事人协商一致扣留质量保证金的，应在专用合同条款中予以明确。</w:t>
      </w:r>
    </w:p>
    <w:p w14:paraId="63C6C52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在工程项目竣工前，承包人已经提供履约担保的，发包人不得同时预留工程质量保证金。</w:t>
      </w:r>
    </w:p>
    <w:p w14:paraId="667513F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15.3.1 承包人提供质量保证金的方式</w:t>
      </w:r>
    </w:p>
    <w:p w14:paraId="216B1C4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承包人提供质量保证金有以下三种方式：</w:t>
      </w:r>
    </w:p>
    <w:p w14:paraId="676EB39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（1）质量保证金保函；</w:t>
      </w:r>
    </w:p>
    <w:p w14:paraId="69190DC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（2）相应比例的工程款；</w:t>
      </w:r>
    </w:p>
    <w:p w14:paraId="2D52D1E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（3）双方约定的其他方式。</w:t>
      </w:r>
    </w:p>
    <w:p w14:paraId="0B441AC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除专用合同条款另有约定外，质量保证金原则上采用上述第（1）种方式。</w:t>
      </w:r>
    </w:p>
    <w:p w14:paraId="0E7CAF7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15.3.2 质量保证金的扣留</w:t>
      </w:r>
    </w:p>
    <w:p w14:paraId="5F13433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质量保证金的扣留有以下三种方式：</w:t>
      </w:r>
    </w:p>
    <w:p w14:paraId="5774AF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（1）在支付工程进度款时逐次扣留，在此情形下，质量保证金的计算基数不包括预付款的支付、扣回以及价格调整的金额；</w:t>
      </w:r>
    </w:p>
    <w:p w14:paraId="42B1CFD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（2）工程竣工结算时一次性扣留质量保证金；</w:t>
      </w:r>
    </w:p>
    <w:p w14:paraId="28F0A9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（3）双方约定的其他扣留方式。</w:t>
      </w:r>
    </w:p>
    <w:p w14:paraId="27AA6C8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除专用合同条款另有约定外，质量保证金的扣留原则上采用上述第（1）种方式。</w:t>
      </w:r>
    </w:p>
    <w:p w14:paraId="04A0F45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512F0CE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发包人在退还质量保证金的同时按照中国人民银行发布的同期同类贷款基准利率支付利息。</w:t>
      </w:r>
    </w:p>
    <w:p w14:paraId="3D06948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15.3.3 质量保证金的退还</w:t>
      </w:r>
    </w:p>
    <w:p w14:paraId="1647224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缺陷责任期内，承包人认真履行合同约定的责任，到期后，承包人可向发包人申请返还保证金。</w:t>
      </w:r>
    </w:p>
    <w:p w14:paraId="01BC8EC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31736A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发包人和承包人对保证金预留、返还以及工程维修质量、费用有争议的，按本合同第20条约定的争议和纠纷解决程序处理。</w:t>
      </w:r>
    </w:p>
    <w:p w14:paraId="3E329A4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15.4 保修</w:t>
      </w:r>
    </w:p>
    <w:p w14:paraId="3A72311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15.4.1保修责任</w:t>
      </w:r>
    </w:p>
    <w:p w14:paraId="62D830C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6218D4B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发包人未经竣工验收擅自使用工程的，保修期自转移占有之日起算。</w:t>
      </w:r>
    </w:p>
    <w:p w14:paraId="0251789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15.4.2 修复费用</w:t>
      </w:r>
    </w:p>
    <w:p w14:paraId="1241C27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保修期内，修复的费用按照以下约定处理：</w:t>
      </w:r>
    </w:p>
    <w:p w14:paraId="4AAF9C0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（1）保修期内，因承包人原因造成工程的缺陷、损坏，承包人应负责修复，并承担修复的费用以及因工程的缺陷、损坏造成的人身伤害和财产损失；</w:t>
      </w:r>
    </w:p>
    <w:p w14:paraId="012A4F8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（2）保修期内，因发包人使用不当造成工程的缺陷、损坏，可以委托承包人修复，但发包人应承担修复的费用，并支付承包人合理利润；</w:t>
      </w:r>
    </w:p>
    <w:p w14:paraId="0329337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（3）因其他原因造成工程的缺陷、损坏，可以委托承包人修复，发包人应承担修复的费用，并支付承包人合理的利润，因工程的缺陷、损坏造成的人身伤害和财产损失由责任方承担。</w:t>
      </w:r>
    </w:p>
    <w:p w14:paraId="151AD2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15.4.3 修复通知</w:t>
      </w:r>
    </w:p>
    <w:p w14:paraId="44F1B3A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78B8727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15.4.4 未能修复</w:t>
      </w:r>
    </w:p>
    <w:p w14:paraId="627A1B1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67116D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15.4.5 承包人出入权</w:t>
      </w:r>
    </w:p>
    <w:p w14:paraId="04FF51B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418C650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16. 违约</w:t>
      </w:r>
    </w:p>
    <w:p w14:paraId="5F052F6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16.1 发包人违约</w:t>
      </w:r>
    </w:p>
    <w:p w14:paraId="01D1468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16.1.1 发包人违约的情形</w:t>
      </w:r>
    </w:p>
    <w:p w14:paraId="56355E2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在合同履行过程中发生的下列情形，属于发包人违约：</w:t>
      </w:r>
    </w:p>
    <w:p w14:paraId="1A8784B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（1）因发包人原因未能在计划开工日期前7天内下达开工通知的；</w:t>
      </w:r>
    </w:p>
    <w:p w14:paraId="09E0EBC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（2）因发包人原因未能按合同约定支付合同价款的；</w:t>
      </w:r>
    </w:p>
    <w:p w14:paraId="7D57E15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（3）发包人违反第10.1款〔变更的范围〕第（2）项约定，自行实施被取消的工作或转由他人实施的；</w:t>
      </w:r>
    </w:p>
    <w:p w14:paraId="0D9B977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（4）发包人提供的材料、工程设备的规格、数量或质量不符合合同约定，或因发包人原因导致交货日期延误或交货地点变更等情况的；</w:t>
      </w:r>
    </w:p>
    <w:p w14:paraId="14ECB38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（5）因发包人违反合同约定造成暂停施工的；</w:t>
      </w:r>
    </w:p>
    <w:p w14:paraId="4EF5B26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（6）发包人无正当理由没有在约定期限内发出复工指示，导致承包人无法复工的；</w:t>
      </w:r>
    </w:p>
    <w:p w14:paraId="3E4BC1C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（7）发包人明确表示或者以其行为表明不履行合同主要义务的；</w:t>
      </w:r>
    </w:p>
    <w:p w14:paraId="3D6AED8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（8）发包人未能按照合同约定履行其他义务的。</w:t>
      </w:r>
    </w:p>
    <w:p w14:paraId="329ABC1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4C89FCB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16.1.2 发包人违约的责任</w:t>
      </w:r>
    </w:p>
    <w:p w14:paraId="13F66C9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发包人应承担因其违约给承包人增加的费用和（或）延误的工期，并支付承包人合理的利润。此外，合同当事人可在专用合同条款中另行约定发包人违约责任的承担方式和计算方法。</w:t>
      </w:r>
    </w:p>
    <w:p w14:paraId="4C7BA14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16.1.3 因发包人违约解除合同</w:t>
      </w:r>
    </w:p>
    <w:p w14:paraId="1C0B773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585F8AD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16.1.4 因发包人违约解除合同后的付款</w:t>
      </w:r>
    </w:p>
    <w:p w14:paraId="237195B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承包人按照本款约定解除合同的，发包人应在解除合同后28天内支付下列款项，并解除履约担保：</w:t>
      </w:r>
    </w:p>
    <w:p w14:paraId="67E8EB7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（1）合同解除前所完成工作的价款；</w:t>
      </w:r>
    </w:p>
    <w:p w14:paraId="0CDF367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（2）承包人为工程施工订购并已付款的材料、工程设备和其他物品的价款；</w:t>
      </w:r>
    </w:p>
    <w:p w14:paraId="4095BCF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（3）承包人撤离施工现场以及遣散承包人人员的款项；</w:t>
      </w:r>
    </w:p>
    <w:p w14:paraId="3282BC1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（4）按照合同约定在合同解除前应支付的违约金；</w:t>
      </w:r>
    </w:p>
    <w:p w14:paraId="5C7A258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（5）按照合同约定应当支付给承包人的其他款项；</w:t>
      </w:r>
    </w:p>
    <w:p w14:paraId="7ACC0E2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（6）按照合同约定应退还的质量保证金；</w:t>
      </w:r>
    </w:p>
    <w:p w14:paraId="4DFFA96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（7）因解除合同给承包人造成的损失。</w:t>
      </w:r>
    </w:p>
    <w:p w14:paraId="04B792D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合同当事人未能就解除合同后的结清达成一致的，按照第20条〔争议解决〕的约定处理。</w:t>
      </w:r>
    </w:p>
    <w:p w14:paraId="4F7A5F6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承包人应妥善做好已完工程和与工程有关的已购材料、工程设备的保护和移交工作，并将施工设备和人员撤出施工现场，发包人应为承包人撤出提供必要条件。</w:t>
      </w:r>
    </w:p>
    <w:p w14:paraId="01BDFEA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16.2 承包人违约</w:t>
      </w:r>
    </w:p>
    <w:p w14:paraId="24050CE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16.2.1 承包人违约的情形</w:t>
      </w:r>
    </w:p>
    <w:p w14:paraId="5E0F051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在合同履行过程中发生的下列情形，属于承包人违约：</w:t>
      </w:r>
    </w:p>
    <w:p w14:paraId="112C9B8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（1）承包人违反合同约定进行转包或违法分包的；</w:t>
      </w:r>
    </w:p>
    <w:p w14:paraId="4FDC23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（2）承包人违反合同约定采购和使用不合格的材料和工程设备的；</w:t>
      </w:r>
    </w:p>
    <w:p w14:paraId="59DDBCF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（3）因承包人原因导致工程质量不符合合同要求的；</w:t>
      </w:r>
    </w:p>
    <w:p w14:paraId="0D1DAD7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（4）承包人违反第8.9款〔材料与设备专用要求〕的约定，未经批准，私自将已按照合同约定进入施工现场的材料或设备撤离施工现场的；</w:t>
      </w:r>
    </w:p>
    <w:p w14:paraId="786BBAB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（5）承包人未能按施工进度计划及时完成合同约定的工作，造成工期延误的；</w:t>
      </w:r>
    </w:p>
    <w:p w14:paraId="611C0E8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（6）承包人在缺陷责任期及保修期内，未能在合理期限对工程缺陷进行修复，或拒绝按发包人要求进行修复的；</w:t>
      </w:r>
    </w:p>
    <w:p w14:paraId="76DE5C9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（7）承包人明确表示或者以其行为表明不履行合同主要义务的；</w:t>
      </w:r>
    </w:p>
    <w:p w14:paraId="221CAC9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（8）承包人未能按照合同约定履行其他义务的。</w:t>
      </w:r>
    </w:p>
    <w:p w14:paraId="10CF9E7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承包人发生除本项第（7）目约定以外的其他违约情况时，监理人可向承包人发出整改通知，要求其在指定的期限内改正。</w:t>
      </w:r>
    </w:p>
    <w:p w14:paraId="7B96F2D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16.2.2 承包人违约的责任</w:t>
      </w:r>
    </w:p>
    <w:p w14:paraId="7A8EA1D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承包人应承担因其违约行为而增加的费用和（或）延误的工期。此外，合同当事人可在专用合同条款中另行约定承包人违约责任的承担方式和计算方法。</w:t>
      </w:r>
    </w:p>
    <w:p w14:paraId="13C2480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16.2.3 因承包人违约解除合同</w:t>
      </w:r>
    </w:p>
    <w:p w14:paraId="21C1B2A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46F5791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16.2.4因承包人违约解除合同后的处理</w:t>
      </w:r>
    </w:p>
    <w:p w14:paraId="0C48B38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因承包人原因导致合同解除的，则合同当事人应在合同解除后28天内完成估价、付款和清算，并按以下约定执行：</w:t>
      </w:r>
    </w:p>
    <w:p w14:paraId="58737DC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（1）合同解除后，按第4.4款〔商定或确定〕商定或确定承包人实际完成工作对应的合同价款，以及承包人已提供的材料、工程设备、施工设备和临时工程等的价值；</w:t>
      </w:r>
    </w:p>
    <w:p w14:paraId="2EF96FB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（2）合同解除后，承包人应支付的违约金；</w:t>
      </w:r>
    </w:p>
    <w:p w14:paraId="6C8F51A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（3）合同解除后，因解除合同给发包人造成的损失；</w:t>
      </w:r>
    </w:p>
    <w:p w14:paraId="0E42239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（4）合同解除后，承包人应按照发包人要求和监理人的指示完成现场的清理和撤离；</w:t>
      </w:r>
    </w:p>
    <w:p w14:paraId="1B3D3DD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（5）发包人和承包人应在合同解除后进行清算，出具最终结清付款证书，结清全部款项。</w:t>
      </w:r>
    </w:p>
    <w:p w14:paraId="4722EAA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因承包人违约解除合同的，发包人有权暂停对承包人的付款，查清各项付款和已扣款项。发包人和承包人未能就合同解除后的清算和款项支付达成一致的，按照第20条〔争议解决〕的约定处理。</w:t>
      </w:r>
    </w:p>
    <w:p w14:paraId="5C080EC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16.2.5采购合同权益转让</w:t>
      </w:r>
    </w:p>
    <w:p w14:paraId="55BDB74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273D41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16.3 第三人造成的违约</w:t>
      </w:r>
    </w:p>
    <w:p w14:paraId="1C3706A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在履行合同过程中，一方当事人因第三人的原因造成违约的，应当向对方当事人承担违约责任。一方当事人和第三人之间的纠纷，依照法律规定或者按照约定解决。</w:t>
      </w:r>
    </w:p>
    <w:p w14:paraId="198980B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17. 不可抗力</w:t>
      </w:r>
    </w:p>
    <w:p w14:paraId="4ECFCCE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17.1 不可抗力的确认</w:t>
      </w:r>
    </w:p>
    <w:p w14:paraId="6CEE764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不可抗力是指合同当事人在签订合同时不可预见，在合同履行过程中不可避免且不能克服的自然灾害和社会性突发事件，如地震、海啸、瘟疫、骚乱、戒严、暴动、战争和专用合同条款中约定的其他情形。</w:t>
      </w:r>
    </w:p>
    <w:p w14:paraId="7B7460F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7D48062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17.2 不可抗力的通知</w:t>
      </w:r>
    </w:p>
    <w:p w14:paraId="66BB461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合同一方当事人遇到不可抗力事件，使其履行合同义务受到阻碍时，应立即通知合同另一方当事人和监理人，书面说明不可抗力和受阻碍的详细情况，并提供必要的证明。</w:t>
      </w:r>
    </w:p>
    <w:p w14:paraId="337380B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不可抗力持续发生的，合同一方当事人应及时向合同另一方当事人和监理人提交中间报告，说明不可抗力和履行合同受阻的情况，并于不可抗力事件结束后28天内提交最终报告及有关资料。</w:t>
      </w:r>
    </w:p>
    <w:p w14:paraId="3940C98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17.3 不可抗力后果的承担</w:t>
      </w:r>
    </w:p>
    <w:p w14:paraId="0F8DECC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17.3.1 不可抗力引起的后果及造成的损失由合同当事人按照法律规定及合同约定各自承担。不可抗力发生前已完成的工程应当按照合同约定进行计量支付。</w:t>
      </w:r>
    </w:p>
    <w:p w14:paraId="4AAE8DF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17.3.2 不可抗力导致的人员伤亡、财产损失、费用增加和（或）工期延误等后果，由合同当事人按以下原则承担：</w:t>
      </w:r>
    </w:p>
    <w:p w14:paraId="3423775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（1）永久工程、已运至施工现场的材料和工程设备的损坏，以及因工程损坏造成的第三人人员伤亡和财产损失由发包人承担；</w:t>
      </w:r>
    </w:p>
    <w:p w14:paraId="18AE381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（2）承包人施工设备的损坏由承包人承担；</w:t>
      </w:r>
    </w:p>
    <w:p w14:paraId="4A6885A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（3）发包人和承包人承担各自人员伤亡和财产的损失；</w:t>
      </w:r>
    </w:p>
    <w:p w14:paraId="440A162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（4）因不可抗力影响承包人履行合同约定的义务，已经引起或将引起工期延误的，应当顺延工期，由此导致承包人停工的费用损失由发包人和承包人合理分担，停工期间必须支付的工人工资由发包人承担；</w:t>
      </w:r>
    </w:p>
    <w:p w14:paraId="68DA9CF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（5）因不可抗力引起或将引起工期延误，发包人要求赶工的，由此增加的赶工费用由发包人承担；</w:t>
      </w:r>
    </w:p>
    <w:p w14:paraId="45319A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（6）承包人在停工期间按照发包人要求照管、清理和修复工程的费用由发包人承担。</w:t>
      </w:r>
    </w:p>
    <w:p w14:paraId="2A88A85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不可抗力发生后，合同当事人均应采取措施尽量避免和减少损失的扩大，任何一方当事人没有采取有效措施导致损失扩大的，应对扩大的损失承担责任。</w:t>
      </w:r>
    </w:p>
    <w:p w14:paraId="3E644CC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因合同一方迟延履行合同义务，在迟延履行期间遭遇不可抗力的，不免除其违约责任。</w:t>
      </w:r>
    </w:p>
    <w:p w14:paraId="0AEABB4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17.4 因不可抗力解除合同</w:t>
      </w:r>
    </w:p>
    <w:p w14:paraId="419C3E8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因不可抗力导致合同无法履行连续超过84天或累计超过140天的，发包人和承包人均有权解除合同。合同解除后，由双方当事人按照第4.4款〔商定或确定〕商定或确定发包人应支付的款项，该款项包括：</w:t>
      </w:r>
    </w:p>
    <w:p w14:paraId="1B8320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（1）合同解除前承包人已完成工作的价款；</w:t>
      </w:r>
    </w:p>
    <w:p w14:paraId="03F4797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（2）承包人为工程订购的并已交付给承包人，或承包人有责任接受交付的材料、工程设备和其他物品的价款；</w:t>
      </w:r>
    </w:p>
    <w:p w14:paraId="4230DE5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（3）发包人要求承包人退货或解除订货合同而产生的费用，或因不能退货或解除合同而产生的损失；</w:t>
      </w:r>
    </w:p>
    <w:p w14:paraId="0F21222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（4）承包人撤离施工现场以及遣散承包人人员的费用；</w:t>
      </w:r>
    </w:p>
    <w:p w14:paraId="1E8C47F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（5）按照合同约定在合同解除前应支付给承包人的其他款项；</w:t>
      </w:r>
    </w:p>
    <w:p w14:paraId="6ABF59C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（6）扣减承包人按照合同约定应向发包人支付的款项；</w:t>
      </w:r>
    </w:p>
    <w:p w14:paraId="7551A00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（7）双方商定或确定的其他款项。</w:t>
      </w:r>
    </w:p>
    <w:p w14:paraId="59AB43F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除专用合同条款另有约定外，合同解除后，发包人应在商定或确定上述款项后28天内完成上述款项的支付。</w:t>
      </w:r>
    </w:p>
    <w:p w14:paraId="1575D8F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18. 保险</w:t>
      </w:r>
    </w:p>
    <w:p w14:paraId="26DB3B8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18.1 工程保险</w:t>
      </w:r>
    </w:p>
    <w:p w14:paraId="35CC958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除专用合同条款另有约定外，发包人应投保建筑工程一切险或安装工程一切险；发包人委托承包人投保的，因投保产生的保险费和其他相关费用由发包人承担。</w:t>
      </w:r>
    </w:p>
    <w:p w14:paraId="04DD363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18.2 工伤保险</w:t>
      </w:r>
    </w:p>
    <w:p w14:paraId="0F70B53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18.2.1 发包人应依照法律规定参加工伤保险，并为在施工现场的全部员工办理工伤保险，缴纳工伤保险费，并要求监理人及由发包人为履行合同聘请的第三方依法参加工伤保险。</w:t>
      </w:r>
    </w:p>
    <w:p w14:paraId="720CD5C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18.2.2 承包人应依照法律规定参加工伤保险，并为其履行合同的全部员工办理工伤保险，缴纳工伤保险费，并要求分包人及由承包人为履行合同聘请的第三方依法参加工伤保险。</w:t>
      </w:r>
    </w:p>
    <w:p w14:paraId="2FACDFD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18.3其他保险</w:t>
      </w:r>
    </w:p>
    <w:p w14:paraId="7C52FA7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发包人和承包人可以为其施工现场的全部人员办理意外伤害保险并支付保险费，包括其员工及为履行合同聘请的第三方的人员，具体事项由合同当事人在专用合同条款约定。</w:t>
      </w:r>
    </w:p>
    <w:p w14:paraId="751A53C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除专用合同条款另有约定外，承包人应为其施工设备等办理财产保险。</w:t>
      </w:r>
    </w:p>
    <w:p w14:paraId="6CEDF7F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18.4持续保险</w:t>
      </w:r>
    </w:p>
    <w:p w14:paraId="6161E78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合同当事人应与保险人保持联系，使保险人能够随时了解工程实施中的变动，并确保按保险合同条款要求持续保险。</w:t>
      </w:r>
    </w:p>
    <w:p w14:paraId="3306F9B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18.5 保险凭证</w:t>
      </w:r>
    </w:p>
    <w:p w14:paraId="1A723EC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合同当事人应及时向另一方当事人提交其已投保的各项保险的凭证和保险单复印件。</w:t>
      </w:r>
    </w:p>
    <w:p w14:paraId="392AA5D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18.6 未按约定投保的补救</w:t>
      </w:r>
    </w:p>
    <w:p w14:paraId="29910D7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18.6.1发包人未按合同约定办理保险，或未能使保险持续有效的，则承包人可代为办理，所需费用由发包人承担。发包人未按合同约定办理保险，导致未能得到足额赔偿的，由发包人负责补足。</w:t>
      </w:r>
    </w:p>
    <w:p w14:paraId="0E26CF1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18.6.2承包人未按合同约定办理保险，或未能使保险持续有效的，则发包人可代为办理，所需费用由承包人承担。承包人未按合同约定办理保险，导致未能得到足额赔偿的，由承包人负责补足。</w:t>
      </w:r>
    </w:p>
    <w:p w14:paraId="1FA388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18.7 通知义务</w:t>
      </w:r>
    </w:p>
    <w:p w14:paraId="1BEE45D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除专用合同条款另有约定外，发包人变更除工伤保险之外的保险合同时，应事先征得承包人同意，并通知监理人；承包人变更除工伤保险之外的保险合同时，应事先征得发包人同意，并通知监理人。</w:t>
      </w:r>
    </w:p>
    <w:p w14:paraId="3DE9EFB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保险事故发生时，投保人应按照保险合同规定的条件和期限及时向保险人报告。发包人和承包人应当在知道保险事故发生后及时通知对方。</w:t>
      </w:r>
    </w:p>
    <w:p w14:paraId="63154A9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19. 索赔</w:t>
      </w:r>
    </w:p>
    <w:p w14:paraId="4721F00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19.1承包人的索赔</w:t>
      </w:r>
    </w:p>
    <w:p w14:paraId="6C03791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根据合同约定，承包人认为有权得到追加付款和（或）延长工期的，应按以下程序向发包人提出索赔：</w:t>
      </w:r>
    </w:p>
    <w:p w14:paraId="5399F4D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3A32AC1">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（2）承包人应在发出索赔意向通知书后28天内，向监理人正式递交索赔报告；索赔报告应详细说明索赔理由以及要求追加的付款金额和（或）延长的工期，并附必要的记录和证明材料；</w:t>
      </w:r>
    </w:p>
    <w:p w14:paraId="3A1AF6C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（3）索赔事件具有持续影响的，承包人应按合理时间间隔继续递交延续索赔通知，说明持续影响的实际情况和记录，列出累计的追加付款金额和（或）工期延长天数；</w:t>
      </w:r>
    </w:p>
    <w:p w14:paraId="1F64FC3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（4）在索赔事件影响结束后28天内，承包人应向监理人递交最终索赔报告，说明最终要求索赔的追加付款金额和（或）延长的工期，并附必要的记录和证明材料。</w:t>
      </w:r>
    </w:p>
    <w:p w14:paraId="317BB1B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19.2 对承包人索赔的处理</w:t>
      </w:r>
    </w:p>
    <w:p w14:paraId="7205AF0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对承包人索赔的处理如下：</w:t>
      </w:r>
    </w:p>
    <w:p w14:paraId="1AE0B1D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（1）监理人应在收到索赔报告后14天内完成审查并报送发包人。监理人对索赔报告存在异议的，有权要求承包人提交全部原始记录副本；</w:t>
      </w:r>
    </w:p>
    <w:p w14:paraId="3B6C0E2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（2）发包人应在监理人收到索赔报告或有关索赔的进一步证明材料后的28天内，由监理人向承包人出具经发包人签认的索赔处理结果。发包人逾期答复的，则视为认可承包人的索赔要求；</w:t>
      </w:r>
    </w:p>
    <w:p w14:paraId="5D1B096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（3）承包人接受索赔处理结果的，索赔款项在当期进度款中进行支付；承包人不接受索赔处理结果的，按照第20条〔争议解决〕约定处理。</w:t>
      </w:r>
    </w:p>
    <w:p w14:paraId="778DD99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19.3发包人的索赔</w:t>
      </w:r>
    </w:p>
    <w:p w14:paraId="3874C793">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根据合同约定，发包人认为有权得到赔付金额和（或）延长缺陷责任期的，监理人应向承包人发出通知并附有详细的证明。</w:t>
      </w:r>
    </w:p>
    <w:p w14:paraId="593CB24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0581618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19.4 对发包人索赔的处理</w:t>
      </w:r>
    </w:p>
    <w:p w14:paraId="50DCACB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对发包人索赔的处理如下：</w:t>
      </w:r>
    </w:p>
    <w:p w14:paraId="571D9A4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（1）承包人收到发包人提交的索赔报告后，应及时审查索赔报告的内容、查验发包人证明材料；</w:t>
      </w:r>
    </w:p>
    <w:p w14:paraId="7946645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（2）承包人应在收到索赔报告或有关索赔的进一步证明材料后28天内，将索赔处理结果答复发包人。如果承包人未在上述期限内作出答复的，则视为对发包人索赔要求的认可；</w:t>
      </w:r>
    </w:p>
    <w:p w14:paraId="6B2FFE6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（3）承包人接受索赔处理结果的，发包人可从应支付给承包人的合同价款中扣除赔付的金额或延长缺陷责任期；发包人不接受索赔处理结果的，按第20条〔争议解决〕约定处理。</w:t>
      </w:r>
    </w:p>
    <w:p w14:paraId="4E7F2C1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19.5 提出索赔的期限</w:t>
      </w:r>
    </w:p>
    <w:p w14:paraId="56CB0EDD">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（1）承包人按第14.2款〔竣工结算审核〕约定接收竣工付款证书后，应被视为已无权再提出在工程接收证书颁发前所发生的任何索赔。</w:t>
      </w:r>
    </w:p>
    <w:p w14:paraId="0870ACF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（2）承包人按第14.4款〔最终结清〕提交的最终结清申请单中，只限于提出工程接收证书颁发后发生的索赔。提出索赔的期限自接受最终结清证书时终止。</w:t>
      </w:r>
    </w:p>
    <w:p w14:paraId="63A0F74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sz w:val="24"/>
        </w:rPr>
        <w:t>20. 争议解决</w:t>
      </w:r>
    </w:p>
    <w:p w14:paraId="345F3430">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20.1和解</w:t>
      </w:r>
    </w:p>
    <w:p w14:paraId="0C0E52A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合同当事人可以就争议自行和解，自行和解达成协议的经双方签字并盖章后作为合同补充文件，双方均应遵照执行。</w:t>
      </w:r>
    </w:p>
    <w:p w14:paraId="3732D10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20.2调解</w:t>
      </w:r>
    </w:p>
    <w:p w14:paraId="2DD6459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合同当事人可以就争议请求建设行政主管部门、行业协会或其他第三方进行调解，调解达成协议的，经双方签字并盖章后作为合同补充文件，双方均应遵照执行。</w:t>
      </w:r>
    </w:p>
    <w:p w14:paraId="437DF64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20.3争议评审</w:t>
      </w:r>
    </w:p>
    <w:p w14:paraId="44A1AE5A">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合同当事人在专用合同条款中约定采取争议评审方式解决争议以及评审规则，并按下列约定执行：</w:t>
      </w:r>
    </w:p>
    <w:p w14:paraId="76BD17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20.3.1 争议评审小组的确定</w:t>
      </w:r>
    </w:p>
    <w:p w14:paraId="3FD97D64">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合同当事人可以共同选择一名或三名争议评审员，组成争议评审小组。除专用合同条款另有约定外，合同当事人应当自合同签订后28天内，或者争议发生后14天内，选定争议评审员。</w:t>
      </w:r>
    </w:p>
    <w:p w14:paraId="147D962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p>
    <w:p w14:paraId="503E7D7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除专用合同条款另有约定外，评审员报酬由发包人和承包人各承担一半。</w:t>
      </w:r>
    </w:p>
    <w:p w14:paraId="0174DDF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20.3.2 争议评审小组的决定</w:t>
      </w:r>
    </w:p>
    <w:p w14:paraId="40088925">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2FFC647F">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20.3.3 争议评审小组决定的效力</w:t>
      </w:r>
    </w:p>
    <w:p w14:paraId="6798B59C">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争议评审小组作出的书面决定经合同当事人签字确认后，对双方具有约束力，双方应遵照执行。</w:t>
      </w:r>
    </w:p>
    <w:p w14:paraId="4C8533DE">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任何一方当事人不接受争议评审小组决定或不履行争议评审小组决定的，双方可选择采用其他争议解决方式。</w:t>
      </w:r>
    </w:p>
    <w:p w14:paraId="3A42E226">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20.4仲裁或诉讼</w:t>
      </w:r>
    </w:p>
    <w:p w14:paraId="0235F7F2">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因合同及合同有关事项产生的争议，合同当事人可以在专用合同条款中约定以下一种方式解决争议：</w:t>
      </w:r>
    </w:p>
    <w:p w14:paraId="6D3D1158">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（1）向约定的仲裁委员会申请仲裁；</w:t>
      </w:r>
    </w:p>
    <w:p w14:paraId="3921C547">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（2）向有管辖权的人民法院起诉。</w:t>
      </w:r>
    </w:p>
    <w:p w14:paraId="5456EC8B">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20.5争议解决条款效力</w:t>
      </w:r>
    </w:p>
    <w:p w14:paraId="636F61A9">
      <w:pPr>
        <w:pBdr>
          <w:top w:val="none" w:color="000000" w:sz="0" w:space="0"/>
          <w:left w:val="none" w:color="000000" w:sz="0" w:space="0"/>
          <w:bottom w:val="none" w:color="000000" w:sz="0" w:space="0"/>
          <w:right w:val="none" w:color="000000" w:sz="0" w:space="0"/>
        </w:pBdr>
        <w:spacing w:before="240" w:after="240" w:line="85" w:lineRule="atLeast"/>
      </w:pPr>
      <w:r>
        <w:rPr>
          <w:rFonts w:ascii="仿宋" w:hAnsi="仿宋" w:eastAsia="仿宋" w:cs="仿宋"/>
        </w:rPr>
        <w:t>合同有关争议解决的条款独立存在，合同的变更、解除、终止、无效或者被撤销均不影响其效力。</w:t>
      </w:r>
    </w:p>
    <w:p w14:paraId="2D2AC18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p w14:paraId="1736346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p w14:paraId="10B7126A">
      <w:pPr>
        <w:pBdr>
          <w:top w:val="none" w:color="000000" w:sz="0" w:space="0"/>
          <w:left w:val="none" w:color="000000" w:sz="0" w:space="0"/>
          <w:bottom w:val="none" w:color="000000" w:sz="0" w:space="0"/>
          <w:right w:val="none" w:color="000000" w:sz="0" w:space="0"/>
        </w:pBdr>
      </w:pPr>
      <w:r>
        <w:rPr/>
        <w:br w:type="page" w:clear="all"/>
      </w:r>
    </w:p>
    <w:p w14:paraId="14CD75E6">
      <w:pPr>
        <w:pBdr>
          <w:top w:val="none" w:color="000000" w:sz="0" w:space="0"/>
          <w:left w:val="none" w:color="000000" w:sz="0" w:space="0"/>
          <w:bottom w:val="none" w:color="000000" w:sz="0" w:space="0"/>
          <w:right w:val="none" w:color="000000" w:sz="0" w:space="0"/>
        </w:pBdr>
        <w:jc w:val="center"/>
        <w:outlineLvl w:val="1"/>
      </w:pPr>
      <w:r>
        <w:rPr>
          <w:rFonts w:ascii="宋体" w:hAnsi="宋体" w:eastAsia="宋体" w:cs="宋体"/>
          <w:sz w:val="32"/>
        </w:rPr>
        <w:t>第三部分</w:t>
      </w:r>
      <w:r>
        <w:rPr>
          <w:rFonts w:hint="eastAsia" w:ascii="宋体" w:hAnsi="宋体" w:eastAsia="宋体" w:cs="宋体"/>
          <w:sz w:val="32"/>
        </w:rPr>
        <w:t xml:space="preserve"> </w:t>
      </w:r>
      <w:r>
        <w:rPr>
          <w:rFonts w:ascii="宋体" w:hAnsi="宋体" w:eastAsia="宋体" w:cs="宋体"/>
          <w:sz w:val="32"/>
        </w:rPr>
        <w:t>专用合同条款</w:t>
      </w:r>
    </w:p>
    <w:p w14:paraId="04B5B3E9">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1.一般约定</w:t>
      </w:r>
    </w:p>
    <w:p w14:paraId="2B1CECE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1.1词语定义</w:t>
      </w:r>
    </w:p>
    <w:p w14:paraId="76AE1D8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1.1.1合同</w:t>
      </w:r>
    </w:p>
    <w:p w14:paraId="5A47E2C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1.1.1.10其他合同文件包括：</w:t>
      </w:r>
      <w:r>
        <w:rPr>
          <w:rFonts w:ascii="仿宋" w:hAnsi="仿宋" w:eastAsia="仿宋" w:cs="仿宋"/>
          <w:u w:val="single"/>
        </w:rPr>
        <w:t>1.竞争性磋商文件及文件修改澄清(含答疑)；2.工程报价单或预算书；3.本合同履行过程中包括但不限于双方达成的补充协议、承诺书、会议纪要等书面文件。</w:t>
      </w:r>
    </w:p>
    <w:p w14:paraId="6431DAD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1.1.2合同当事人及其他相关方</w:t>
      </w:r>
    </w:p>
    <w:p w14:paraId="514B3C4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1.1.2.4监理人：</w:t>
      </w:r>
    </w:p>
    <w:p w14:paraId="3E2C1D6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名称：;</w:t>
      </w:r>
    </w:p>
    <w:p w14:paraId="1D8ECBE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资质类别和等级：；</w:t>
      </w:r>
    </w:p>
    <w:p w14:paraId="59BDD69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联系电话：；</w:t>
      </w:r>
    </w:p>
    <w:p w14:paraId="7662E9F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电子信箱：；</w:t>
      </w:r>
    </w:p>
    <w:p w14:paraId="5E5476E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通信地址：。</w:t>
      </w:r>
    </w:p>
    <w:p w14:paraId="62B396A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1.1.2.5设计人：</w:t>
      </w:r>
    </w:p>
    <w:p w14:paraId="0AC7EBC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名称：</w:t>
      </w:r>
      <w:r>
        <w:rPr>
          <w:rFonts w:ascii="仿宋" w:hAnsi="仿宋" w:eastAsia="仿宋" w:cs="仿宋"/>
          <w:u w:val="single"/>
        </w:rPr>
        <w:t>；</w:t>
      </w:r>
    </w:p>
    <w:p w14:paraId="0294C28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资质类别和等级：</w:t>
      </w:r>
      <w:r>
        <w:rPr>
          <w:rFonts w:ascii="仿宋" w:hAnsi="仿宋" w:eastAsia="仿宋" w:cs="仿宋"/>
          <w:u w:val="single"/>
        </w:rPr>
        <w:t>；</w:t>
      </w:r>
    </w:p>
    <w:p w14:paraId="49A2471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联系电话：；</w:t>
      </w:r>
    </w:p>
    <w:p w14:paraId="58665F4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电子信箱：</w:t>
      </w:r>
    </w:p>
    <w:p w14:paraId="7F12E1F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通信地址：</w:t>
      </w:r>
    </w:p>
    <w:p w14:paraId="7B6801C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1.1.3工程和设备</w:t>
      </w:r>
    </w:p>
    <w:p w14:paraId="580C1A9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1.1.3.7作为施工现场组成部分的其他场所包括：</w:t>
      </w:r>
      <w:r>
        <w:rPr>
          <w:rFonts w:ascii="仿宋" w:hAnsi="仿宋" w:eastAsia="仿宋" w:cs="仿宋"/>
          <w:u w:val="single"/>
        </w:rPr>
        <w:t>暂无，如需要，另行协商解决。</w:t>
      </w:r>
    </w:p>
    <w:p w14:paraId="10A3BE3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1.1.3.9永久占地包括：</w:t>
      </w:r>
      <w:r>
        <w:rPr>
          <w:rFonts w:ascii="仿宋" w:hAnsi="仿宋" w:eastAsia="仿宋" w:cs="仿宋"/>
          <w:u w:val="single"/>
        </w:rPr>
        <w:t>暂无，如需要，另行协商解决。</w:t>
      </w:r>
    </w:p>
    <w:p w14:paraId="478AFBA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1.1.3.10临时占地包括：</w:t>
      </w:r>
      <w:r>
        <w:rPr>
          <w:rFonts w:ascii="仿宋" w:hAnsi="仿宋" w:eastAsia="仿宋" w:cs="仿宋"/>
          <w:u w:val="single"/>
        </w:rPr>
        <w:t>暂无，如需要，另行协商解决。</w:t>
      </w:r>
    </w:p>
    <w:p w14:paraId="0D4FDBE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1.3法律</w:t>
      </w:r>
    </w:p>
    <w:p w14:paraId="24BB748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适用于合同的其他规范性文件：</w:t>
      </w:r>
      <w:r>
        <w:rPr>
          <w:rFonts w:ascii="仿宋" w:hAnsi="仿宋" w:eastAsia="仿宋" w:cs="仿宋"/>
          <w:u w:val="single"/>
        </w:rPr>
        <w:t>《中华人民共和国民法典》、《中华人民共和国建筑法》、《中华人民共和国招标投标法》、《中华人民共和国招标投标法实施条例》《建设工程质量管理条例》、《中华人民共和国增值税暂行条例》、《中华人民共和国增值税暂行条例实施细则》及住建部、江苏省、南京市颁布的有关法律、法规、条例、规范性文件等。</w:t>
      </w:r>
    </w:p>
    <w:p w14:paraId="3AF58B6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1.4标准和规范</w:t>
      </w:r>
    </w:p>
    <w:p w14:paraId="463CF00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1.4.1适用于工程的标准规范包括：</w:t>
      </w:r>
      <w:r>
        <w:rPr>
          <w:rFonts w:ascii="仿宋" w:hAnsi="仿宋" w:eastAsia="仿宋" w:cs="仿宋"/>
          <w:u w:val="single"/>
        </w:rPr>
        <w:t>中华人民共和国及有关部门颁发的现行标准、规范及江苏省、南京市及项目所在区的相关现行法律、法规、条例、标准和规范性文件。工程标准发生冲突时，以设计文件约定的标准优先，若设计无要求，则以标准高的优先。</w:t>
      </w:r>
    </w:p>
    <w:p w14:paraId="3F1BFB4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1.4.2发包人提供国外标准、规范的名称：</w:t>
      </w:r>
      <w:r>
        <w:rPr>
          <w:rFonts w:ascii="仿宋" w:hAnsi="仿宋" w:eastAsia="仿宋" w:cs="仿宋"/>
          <w:u w:val="single"/>
        </w:rPr>
        <w:t>无；</w:t>
      </w:r>
    </w:p>
    <w:p w14:paraId="40D4721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发包人提供国外标准、规范的份数：</w:t>
      </w:r>
      <w:r>
        <w:rPr>
          <w:rFonts w:ascii="仿宋" w:hAnsi="仿宋" w:eastAsia="仿宋" w:cs="仿宋"/>
          <w:u w:val="single"/>
        </w:rPr>
        <w:t>无；</w:t>
      </w:r>
    </w:p>
    <w:p w14:paraId="2ECC4BE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发包人提供国外标准、规范的名称：</w:t>
      </w:r>
      <w:r>
        <w:rPr>
          <w:rFonts w:ascii="仿宋" w:hAnsi="仿宋" w:eastAsia="仿宋" w:cs="仿宋"/>
          <w:u w:val="single"/>
        </w:rPr>
        <w:t>无。</w:t>
      </w:r>
    </w:p>
    <w:p w14:paraId="3D0082B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1.4.3发包人对工程的技术标准和功能要求的特殊要求：</w:t>
      </w:r>
      <w:r>
        <w:rPr>
          <w:rFonts w:ascii="仿宋" w:hAnsi="仿宋" w:eastAsia="仿宋" w:cs="仿宋"/>
          <w:u w:val="single"/>
        </w:rPr>
        <w:t>如有，另行协商，签订补充协议。</w:t>
      </w:r>
    </w:p>
    <w:p w14:paraId="06EB6B9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1.5合同文件的优先顺序</w:t>
      </w:r>
    </w:p>
    <w:p w14:paraId="101442C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合同文件组成及优先顺序为：</w:t>
      </w:r>
      <w:r>
        <w:rPr>
          <w:rFonts w:ascii="仿宋" w:hAnsi="仿宋" w:eastAsia="仿宋" w:cs="仿宋"/>
          <w:u w:val="single"/>
        </w:rPr>
        <w:t>1、合同协议书；2、成交通知书；3、投标函及其附录（如果有）；4、专用合同条款及其附件；5、通用合同条款；6、技术标准和要求；7、图纸；8、已标价工程量清单或预算书；9、响应文件及其相应澄清说明；10、其他合同文件。上述均视为本合同的组成部分。上述文件应认为是互为补充和解释的，但如有歧义或互相矛盾之处，以上面所列顺序在前的为准。上述各项合同文件包括合同当事人就该项合同文件作出的补充和修改，属于同一类内容的文件，应以最新签署的为准。</w:t>
      </w:r>
    </w:p>
    <w:p w14:paraId="2630C30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1.6图纸和承包人文件</w:t>
      </w:r>
      <w:r>
        <w:rPr>
          <w:rFonts w:ascii="仿宋" w:hAnsi="仿宋" w:eastAsia="仿宋" w:cs="仿宋"/>
        </w:rPr>
        <w:tab/>
      </w:r>
    </w:p>
    <w:p w14:paraId="17EC363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1.6.1图纸的提供</w:t>
      </w:r>
    </w:p>
    <w:p w14:paraId="4C4E932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发包人向承包人提供图纸的期限：</w:t>
      </w:r>
      <w:r>
        <w:rPr>
          <w:rFonts w:ascii="仿宋" w:hAnsi="仿宋" w:eastAsia="仿宋" w:cs="仿宋"/>
          <w:u w:val="single"/>
        </w:rPr>
        <w:t>开工前7天提供；</w:t>
      </w:r>
    </w:p>
    <w:p w14:paraId="4AD0CA5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发包人向承包人提供图纸的数量：</w:t>
      </w:r>
      <w:r>
        <w:rPr>
          <w:rFonts w:ascii="仿宋" w:hAnsi="仿宋" w:eastAsia="仿宋" w:cs="仿宋"/>
          <w:u w:val="single"/>
        </w:rPr>
        <w:t>总共贰套，承包人应按照经发包人确认后的图纸进行施工。承包人需要增加图纸套数的，发包人可代为复制，复制费用由承包人承担；</w:t>
      </w:r>
    </w:p>
    <w:p w14:paraId="3975B8B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发包人对图纸的保密要求：</w:t>
      </w:r>
      <w:r>
        <w:rPr>
          <w:rFonts w:ascii="仿宋" w:hAnsi="仿宋" w:eastAsia="仿宋" w:cs="仿宋"/>
          <w:u w:val="single"/>
        </w:rPr>
        <w:t>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有权按20000元/次扣除违约金，并对此保留终身追究的权利。承包人由此给发包人造成的损失需继续赔偿，承包人就此违约行为承担的违约责任金额以合同总价10%为限。</w:t>
      </w:r>
    </w:p>
    <w:p w14:paraId="56D130A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发包人向承包人提供图纸的内容：</w:t>
      </w:r>
      <w:r>
        <w:rPr>
          <w:rFonts w:ascii="仿宋" w:hAnsi="仿宋" w:eastAsia="仿宋" w:cs="仿宋"/>
          <w:u w:val="single"/>
        </w:rPr>
        <w:t>承包范围内全套施工蓝图。</w:t>
      </w:r>
    </w:p>
    <w:p w14:paraId="06D7ADC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1.6.4承包人文件</w:t>
      </w:r>
    </w:p>
    <w:p w14:paraId="43DE0B3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需要由承包人提供的文件，包括：</w:t>
      </w:r>
    </w:p>
    <w:p w14:paraId="035F09B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（1）用于办理备案的企业及项目部相关人员资质证书、设备的合格证等；</w:t>
      </w:r>
    </w:p>
    <w:p w14:paraId="1D5AC75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根据发包人、监理等相关部门出具的评审意见，开工前或施工合同签署后14日内提供修改后详细的施工总进度计划、劳动力进场计划、机械与材料进场计划等，分项的施工组织设计在开工前向发包人提供；（如需）</w:t>
      </w:r>
    </w:p>
    <w:p w14:paraId="79D4CFA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每月25日前按发包人及监理人要求提供已完工程量报表（含工程变更及签证预算），每月25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w:t>
      </w:r>
    </w:p>
    <w:p w14:paraId="76187A1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（4）开工前承包人应编制施工临时用水、电方案，严格落实住建部《建筑与市政工程施工现场临时用电安全技术标准（JGJ/T46）》、《建设工程施工现场消防安全技术规范（GB 50720）》等相关规范作为方案编审、施工验收以及过程管控等的依据，方案须经监理及发包人批准后，方可施工，承包人自行安装的电力线路、设备，临时用水、供水用水设施等必须分别符合供电部门和南京市有关用水的要求，承包人对所有用电、供水设施的设计、安装、维修负责，并确保其安全可靠；（如需） </w:t>
      </w:r>
    </w:p>
    <w:p w14:paraId="2BA90A3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（5）应项目需要按发包人要求必须提供的其他文件。</w:t>
      </w:r>
    </w:p>
    <w:p w14:paraId="6CC59CF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承包人提供的文件的期限为：</w:t>
      </w:r>
      <w:r>
        <w:rPr>
          <w:rFonts w:ascii="仿宋" w:hAnsi="仿宋" w:eastAsia="仿宋" w:cs="仿宋"/>
          <w:u w:val="single"/>
        </w:rPr>
        <w:t>根据承包人提供的文件类型，由发包人、监理单位等相关部门提出不同的期限要求，承包人必须无条件响应</w:t>
      </w:r>
      <w:r>
        <w:rPr>
          <w:rFonts w:ascii="仿宋" w:hAnsi="仿宋" w:eastAsia="仿宋" w:cs="仿宋"/>
        </w:rPr>
        <w:t>；</w:t>
      </w:r>
    </w:p>
    <w:p w14:paraId="0CA7132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承包人提供的文件的数量为：</w:t>
      </w:r>
      <w:r>
        <w:rPr>
          <w:rFonts w:ascii="仿宋" w:hAnsi="仿宋" w:eastAsia="仿宋" w:cs="仿宋"/>
          <w:u w:val="single"/>
        </w:rPr>
        <w:t>按发包人要求；</w:t>
      </w:r>
    </w:p>
    <w:p w14:paraId="59B19FE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承包人提供的文件的形式为：</w:t>
      </w:r>
      <w:r>
        <w:rPr>
          <w:rFonts w:ascii="仿宋" w:hAnsi="仿宋" w:eastAsia="仿宋" w:cs="仿宋"/>
          <w:u w:val="single"/>
        </w:rPr>
        <w:t>书面形式，必须加盖承包人公司公章或项目专用章；</w:t>
      </w:r>
    </w:p>
    <w:p w14:paraId="4DCA97A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发包人审批承包人文件的期限：</w:t>
      </w:r>
      <w:r>
        <w:rPr>
          <w:rFonts w:ascii="仿宋" w:hAnsi="仿宋" w:eastAsia="仿宋" w:cs="仿宋"/>
          <w:u w:val="single"/>
        </w:rPr>
        <w:t>收到资料后七天内。</w:t>
      </w:r>
    </w:p>
    <w:p w14:paraId="1D51FBE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1.6.5现场图纸准备</w:t>
      </w:r>
    </w:p>
    <w:p w14:paraId="45A04CF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关于现场图纸准备的约定：</w:t>
      </w:r>
      <w:r>
        <w:rPr>
          <w:rFonts w:ascii="仿宋" w:hAnsi="仿宋" w:eastAsia="仿宋" w:cs="仿宋"/>
          <w:u w:val="single"/>
        </w:rPr>
        <w:t>承包人准备壹套完整施工图纸（含设计变更、图纸会审记录等）。</w:t>
      </w:r>
    </w:p>
    <w:p w14:paraId="43672B3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1.7联络</w:t>
      </w:r>
    </w:p>
    <w:p w14:paraId="171304D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1.7.1发包人和承包人应当在</w:t>
      </w:r>
      <w:r>
        <w:rPr>
          <w:rFonts w:ascii="仿宋" w:hAnsi="仿宋" w:eastAsia="仿宋" w:cs="仿宋"/>
          <w:u w:val="single"/>
        </w:rPr>
        <w:t>七</w:t>
      </w:r>
      <w:r>
        <w:rPr>
          <w:rFonts w:ascii="仿宋" w:hAnsi="仿宋" w:eastAsia="仿宋" w:cs="仿宋"/>
        </w:rPr>
        <w:t>天内将与合同有关的通知、批准、证明、证书、指示、指令、要求、请求、同意、意见、确定和决定等书面函件送达对方当事人。</w:t>
      </w:r>
    </w:p>
    <w:p w14:paraId="1CB97CD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1.7.2发包人接收文件的地点：</w:t>
      </w:r>
      <w:r>
        <w:rPr>
          <w:rFonts w:ascii="仿宋" w:hAnsi="仿宋" w:eastAsia="仿宋" w:cs="仿宋"/>
          <w:u w:val="single"/>
        </w:rPr>
        <w:t>项目部</w:t>
      </w:r>
      <w:r>
        <w:rPr>
          <w:rFonts w:ascii="仿宋" w:hAnsi="仿宋" w:eastAsia="仿宋" w:cs="仿宋"/>
        </w:rPr>
        <w:t>；</w:t>
      </w:r>
    </w:p>
    <w:p w14:paraId="57F4941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发包人指定的接收人为：</w:t>
      </w:r>
      <w:r>
        <w:rPr>
          <w:rFonts w:ascii="仿宋" w:hAnsi="仿宋" w:eastAsia="仿宋" w:cs="仿宋"/>
          <w:u w:val="single"/>
        </w:rPr>
        <w:t>发包人代表</w:t>
      </w:r>
      <w:r>
        <w:rPr>
          <w:rFonts w:ascii="仿宋" w:hAnsi="仿宋" w:eastAsia="仿宋" w:cs="仿宋"/>
        </w:rPr>
        <w:t>。</w:t>
      </w:r>
    </w:p>
    <w:p w14:paraId="44823DD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代建人接收文件的地点：</w:t>
      </w:r>
      <w:r>
        <w:rPr>
          <w:rFonts w:ascii="仿宋" w:hAnsi="仿宋" w:eastAsia="仿宋" w:cs="仿宋"/>
          <w:u w:val="single"/>
        </w:rPr>
        <w:t>项目现场代建人代表办公室</w:t>
      </w:r>
      <w:r>
        <w:rPr>
          <w:rFonts w:ascii="仿宋" w:hAnsi="仿宋" w:eastAsia="仿宋" w:cs="仿宋"/>
        </w:rPr>
        <w:t>；</w:t>
      </w:r>
    </w:p>
    <w:p w14:paraId="1568CEB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代建人指定的接收人为：</w:t>
      </w:r>
      <w:r>
        <w:rPr>
          <w:rFonts w:ascii="仿宋" w:hAnsi="仿宋" w:eastAsia="仿宋" w:cs="仿宋"/>
          <w:u w:val="single"/>
        </w:rPr>
        <w:t>代建人代表</w:t>
      </w:r>
      <w:r>
        <w:rPr>
          <w:rFonts w:ascii="仿宋" w:hAnsi="仿宋" w:eastAsia="仿宋" w:cs="仿宋"/>
        </w:rPr>
        <w:t>。</w:t>
      </w:r>
    </w:p>
    <w:p w14:paraId="5407D5E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承包人接收文件的地点：</w:t>
      </w:r>
      <w:r>
        <w:rPr>
          <w:rFonts w:ascii="仿宋" w:hAnsi="仿宋" w:eastAsia="仿宋" w:cs="仿宋"/>
          <w:u w:val="single"/>
        </w:rPr>
        <w:t>项目部</w:t>
      </w:r>
      <w:r>
        <w:rPr>
          <w:rFonts w:ascii="仿宋" w:hAnsi="仿宋" w:eastAsia="仿宋" w:cs="仿宋"/>
        </w:rPr>
        <w:t>；</w:t>
      </w:r>
    </w:p>
    <w:p w14:paraId="7E5B3A3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承包人指定的接收人为：</w:t>
      </w:r>
      <w:r>
        <w:rPr>
          <w:rFonts w:ascii="仿宋" w:hAnsi="仿宋" w:eastAsia="仿宋" w:cs="仿宋"/>
          <w:u w:val="single"/>
        </w:rPr>
        <w:t>项目经理</w:t>
      </w:r>
      <w:r>
        <w:rPr>
          <w:rFonts w:ascii="仿宋" w:hAnsi="仿宋" w:eastAsia="仿宋" w:cs="仿宋"/>
        </w:rPr>
        <w:t>。</w:t>
      </w:r>
    </w:p>
    <w:p w14:paraId="55E1C7F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监理人接收文件的地点：</w:t>
      </w:r>
      <w:r>
        <w:rPr>
          <w:rFonts w:ascii="仿宋" w:hAnsi="仿宋" w:eastAsia="仿宋" w:cs="仿宋"/>
          <w:u w:val="single"/>
        </w:rPr>
        <w:t>项目部</w:t>
      </w:r>
      <w:r>
        <w:rPr>
          <w:rFonts w:ascii="仿宋" w:hAnsi="仿宋" w:eastAsia="仿宋" w:cs="仿宋"/>
        </w:rPr>
        <w:t>；</w:t>
      </w:r>
    </w:p>
    <w:p w14:paraId="19075BE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监理人指定的接收人为：</w:t>
      </w:r>
      <w:r>
        <w:rPr>
          <w:rFonts w:ascii="仿宋" w:hAnsi="仿宋" w:eastAsia="仿宋" w:cs="仿宋"/>
          <w:u w:val="single"/>
        </w:rPr>
        <w:t>总监理工程师</w:t>
      </w:r>
      <w:r>
        <w:rPr>
          <w:rFonts w:ascii="仿宋" w:hAnsi="仿宋" w:eastAsia="仿宋" w:cs="仿宋"/>
        </w:rPr>
        <w:t>。</w:t>
      </w:r>
    </w:p>
    <w:p w14:paraId="75B2845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1.10交通运输</w:t>
      </w:r>
    </w:p>
    <w:p w14:paraId="693B4D7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1.10.1出入现场的权利</w:t>
      </w:r>
    </w:p>
    <w:p w14:paraId="74E50C2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关于出入现场的权利的约定：</w:t>
      </w:r>
      <w:r>
        <w:rPr>
          <w:rFonts w:ascii="仿宋" w:hAnsi="仿宋" w:eastAsia="仿宋" w:cs="仿宋"/>
          <w:u w:val="single"/>
        </w:rPr>
        <w:t>对进出工地的所有人员进行挂牌持证管理。只有项目施工人员办理许可证才能进入施工现场，禁止与本工程无关人员、车辆进入施工现场，如果擅自进入现场，由此而产生的后果由承包人自行负责，同时发包人有权按2000元/次扣除违约金。</w:t>
      </w:r>
    </w:p>
    <w:p w14:paraId="0C02304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1.10.3场内交通</w:t>
      </w:r>
    </w:p>
    <w:p w14:paraId="36C7204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关于场外交通和场内交通的边界的约定：</w:t>
      </w:r>
      <w:r>
        <w:rPr>
          <w:rFonts w:ascii="仿宋" w:hAnsi="仿宋" w:eastAsia="仿宋" w:cs="仿宋"/>
          <w:u w:val="single"/>
        </w:rPr>
        <w:t>以规划红线为准。</w:t>
      </w:r>
    </w:p>
    <w:p w14:paraId="70B7C97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关于发包人向承包人免费提供满足工程施工需要的场内道路和交通设施的约定：</w:t>
      </w:r>
      <w:r>
        <w:rPr>
          <w:rFonts w:ascii="仿宋" w:hAnsi="仿宋" w:eastAsia="仿宋" w:cs="仿宋"/>
          <w:u w:val="single"/>
        </w:rPr>
        <w:t>承包人自行勘察现场，现场场内道路和交通设施以目前状况为准，承包人需充分了解周边条件及限制情况，结合自身的施工经验综合考虑各种风险因素</w:t>
      </w:r>
      <w:r>
        <w:rPr>
          <w:rFonts w:ascii="仿宋" w:hAnsi="仿宋" w:eastAsia="仿宋" w:cs="仿宋"/>
        </w:rPr>
        <w:t>。</w:t>
      </w:r>
    </w:p>
    <w:p w14:paraId="5BCD0D0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1.10.4超大件和超重件的运输</w:t>
      </w:r>
    </w:p>
    <w:p w14:paraId="6E12171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运输超大件或超重件所需的道路和桥梁临时加固改造费用和其他有关费用由</w:t>
      </w:r>
      <w:r>
        <w:rPr>
          <w:rFonts w:ascii="仿宋" w:hAnsi="仿宋" w:eastAsia="仿宋" w:cs="仿宋"/>
          <w:u w:val="single"/>
        </w:rPr>
        <w:t>承包人承担（该费用已包含在签约合同价中）</w:t>
      </w:r>
      <w:r>
        <w:rPr>
          <w:rFonts w:ascii="仿宋" w:hAnsi="仿宋" w:eastAsia="仿宋" w:cs="仿宋"/>
        </w:rPr>
        <w:t>。</w:t>
      </w:r>
    </w:p>
    <w:p w14:paraId="4054F5D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1.11知识产权</w:t>
      </w:r>
    </w:p>
    <w:p w14:paraId="5618FC5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1.11.1关于发包人提供给承包人的图纸、发包人为实施工程自行编制或委托编制的技术规范以及反映发包人关于合同要求或其他类似性质的文件的著作权的归属：</w:t>
      </w:r>
      <w:r>
        <w:rPr>
          <w:rFonts w:ascii="仿宋" w:hAnsi="仿宋" w:eastAsia="仿宋" w:cs="仿宋"/>
          <w:u w:val="single"/>
        </w:rPr>
        <w:t>归发包人所有</w:t>
      </w:r>
      <w:r>
        <w:rPr>
          <w:rFonts w:ascii="仿宋" w:hAnsi="仿宋" w:eastAsia="仿宋" w:cs="仿宋"/>
        </w:rPr>
        <w:t>。</w:t>
      </w:r>
    </w:p>
    <w:p w14:paraId="6EAD831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关于发包人提供的上述文件的使用限制的要求：</w:t>
      </w:r>
      <w:r>
        <w:rPr>
          <w:rFonts w:ascii="仿宋" w:hAnsi="仿宋" w:eastAsia="仿宋" w:cs="仿宋"/>
          <w:u w:val="single"/>
        </w:rPr>
        <w:t>承包人履行上述文件的保密义务，承包人未经发包人书面同意，不得将上述文件内容泄露给无关的第三方或将上述文件用于非发包方同意的本工程以外的其他工程（具体方式包括但不限于：出卖、出借、复制等）。也不得做除本工程承包工作以外的任何用途。工程质量保修期满后，除存档需要的上述文件外，承包人应将全部上述文件退还给发包人。承包人应对发包人提供的资料、图纸、文件等一切资料，妥善专人保管。若因承包人保管不当、遗失、转借他人、复制等原因造成泄密后果，发包人对此保留终身追究责任的权利。</w:t>
      </w:r>
    </w:p>
    <w:p w14:paraId="2BBA54B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1.11.2关于承包人为实施工程所编制文件的著作权的归属：</w:t>
      </w:r>
      <w:r>
        <w:rPr>
          <w:rFonts w:ascii="仿宋" w:hAnsi="仿宋" w:eastAsia="仿宋" w:cs="仿宋"/>
          <w:u w:val="single"/>
        </w:rPr>
        <w:t>按通用条款。</w:t>
      </w:r>
    </w:p>
    <w:p w14:paraId="70771E9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关于承包人提供的上述文件的使用限制的要求：</w:t>
      </w:r>
      <w:r>
        <w:rPr>
          <w:rFonts w:ascii="仿宋" w:hAnsi="仿宋" w:eastAsia="仿宋" w:cs="仿宋"/>
          <w:u w:val="single"/>
        </w:rPr>
        <w:t>不得用于与本工程无关的一切事宜</w:t>
      </w:r>
      <w:r>
        <w:rPr>
          <w:rFonts w:ascii="仿宋" w:hAnsi="仿宋" w:eastAsia="仿宋" w:cs="仿宋"/>
        </w:rPr>
        <w:t>。</w:t>
      </w:r>
    </w:p>
    <w:p w14:paraId="0FDA81B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1.11.4承包人在施工过程中所采用的专利、专有技术、技术秘密的使用费的承担方式：</w:t>
      </w:r>
      <w:r>
        <w:rPr>
          <w:rFonts w:ascii="仿宋" w:hAnsi="仿宋" w:eastAsia="仿宋" w:cs="仿宋"/>
          <w:u w:val="single"/>
        </w:rPr>
        <w:t>由承包人承担，已含在签约合同价中，结算时不予调整。</w:t>
      </w:r>
    </w:p>
    <w:p w14:paraId="4D85D68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1.13工程量清单错误的修正</w:t>
      </w:r>
    </w:p>
    <w:p w14:paraId="24D38B0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出现工程量清单错误时，是否调整合同价格：</w:t>
      </w:r>
      <w:r>
        <w:rPr>
          <w:rFonts w:ascii="仿宋" w:hAnsi="仿宋" w:eastAsia="仿宋" w:cs="仿宋"/>
          <w:u w:val="single"/>
        </w:rPr>
        <w:t>工程量清单存在缺项、漏项、错误时的可调整合同价格。</w:t>
      </w:r>
    </w:p>
    <w:p w14:paraId="15BA206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允许调整合同价格的工程量偏差范围：工程量调整，综合单价按以下原则调整。</w:t>
      </w:r>
    </w:p>
    <w:p w14:paraId="0261609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（1）当工程量增加15%以上，若P0≤P2×（1＋15%）时，则增加部分综合单价不调整，若P0＞P2×（1＋15%）时，增加超15%部分的综合单价应调低，调低后的综合单价P1＝P2×（1＋15%）。</w:t>
      </w:r>
    </w:p>
    <w:p w14:paraId="54B7E40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当工程量减少15%以上，若P0≥P2×（1－L）×（1－15%），减少后剩余部分的综合单价不调整，若P0＜P2×（1－L）×（1－15%），则减少后剩余部分的综合单价应调高，调高后的综合单价P1＝P2×（1－L）×（1－15%）。</w:t>
      </w:r>
    </w:p>
    <w:p w14:paraId="35C84AB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（3）工程量清单中的工程量减少或工程量清单部分或全部取消时，承包人不得要求发包人对未取得的利润进行任何补偿。</w:t>
      </w:r>
    </w:p>
    <w:p w14:paraId="4C78E32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注：P0-承包人在工程量清单中填报的综合单价，P1-新增综合单价，P2-发包人最高投标限价相应清单项目的综合单价，承包人报价浮动率L=(1—中标价/招标控制价)×100%。（招标控制价、中标价均需扣除暂列金和暂估价</w:t>
      </w:r>
      <w:r>
        <w:rPr>
          <w:rFonts w:hint="eastAsia" w:ascii="仿宋" w:hAnsi="仿宋" w:eastAsia="仿宋" w:cs="仿宋"/>
          <w:lang w:val="en-US" w:eastAsia="zh-CN"/>
        </w:rPr>
        <w:t>以及相应的规费、税金</w:t>
      </w:r>
      <w:r>
        <w:rPr>
          <w:rFonts w:ascii="仿宋" w:hAnsi="仿宋" w:eastAsia="仿宋" w:cs="仿宋"/>
        </w:rPr>
        <w:t>）。</w:t>
      </w:r>
    </w:p>
    <w:p w14:paraId="4925B48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1.14 因发包人要求在本项目范围内增加或减少的工程量，承包人需无条件同意。计价原则同1.13条相关规定。</w:t>
      </w:r>
    </w:p>
    <w:p w14:paraId="66309EED">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2.发包人</w:t>
      </w:r>
    </w:p>
    <w:p w14:paraId="7FCD922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2.2发包人/代建人代表</w:t>
      </w:r>
    </w:p>
    <w:p w14:paraId="2A21433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发包人/代建人代表：</w:t>
      </w:r>
    </w:p>
    <w:p w14:paraId="5BCB303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姓名：</w:t>
      </w:r>
      <w:r>
        <w:rPr>
          <w:rFonts w:hint="eastAsia" w:ascii="仿宋" w:hAnsi="仿宋" w:eastAsia="仿宋" w:cs="仿宋"/>
          <w:u w:val="single"/>
          <w:lang w:val="en-US" w:eastAsia="zh-CN"/>
        </w:rPr>
        <w:t xml:space="preserve">       </w:t>
      </w:r>
      <w:r>
        <w:rPr>
          <w:rFonts w:ascii="仿宋" w:hAnsi="仿宋" w:eastAsia="仿宋" w:cs="仿宋"/>
          <w:u w:val="single"/>
        </w:rPr>
        <w:t>；</w:t>
      </w:r>
    </w:p>
    <w:p w14:paraId="724BE9CA">
      <w:pPr>
        <w:pBdr>
          <w:top w:val="none" w:color="000000" w:sz="0" w:space="0"/>
          <w:left w:val="none" w:color="000000" w:sz="0" w:space="0"/>
          <w:bottom w:val="none" w:color="000000" w:sz="0" w:space="0"/>
          <w:right w:val="none" w:color="000000" w:sz="0" w:space="0"/>
        </w:pBdr>
        <w:spacing w:line="85" w:lineRule="atLeast"/>
        <w:ind w:firstLine="420"/>
        <w:rPr>
          <w:rFonts w:hint="default" w:eastAsia="仿宋"/>
          <w:u w:val="single"/>
          <w:lang w:val="en-US" w:eastAsia="zh-CN"/>
        </w:rPr>
      </w:pPr>
      <w:r>
        <w:rPr>
          <w:rFonts w:ascii="仿宋" w:hAnsi="仿宋" w:eastAsia="仿宋" w:cs="仿宋"/>
        </w:rPr>
        <w:t>身份证号：</w:t>
      </w:r>
      <w:r>
        <w:rPr>
          <w:rFonts w:hint="eastAsia" w:ascii="仿宋" w:hAnsi="仿宋" w:eastAsia="仿宋" w:cs="仿宋"/>
          <w:u w:val="single"/>
          <w:lang w:val="en-US" w:eastAsia="zh-CN"/>
        </w:rPr>
        <w:t xml:space="preserve">         ;</w:t>
      </w:r>
    </w:p>
    <w:p w14:paraId="7EDDB4C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职务：</w:t>
      </w:r>
      <w:r>
        <w:rPr>
          <w:rFonts w:ascii="仿宋" w:hAnsi="仿宋" w:eastAsia="仿宋" w:cs="仿宋"/>
          <w:u w:val="single"/>
        </w:rPr>
        <w:t>项目负责人</w:t>
      </w:r>
      <w:r>
        <w:rPr>
          <w:rFonts w:ascii="仿宋" w:hAnsi="仿宋" w:eastAsia="仿宋" w:cs="仿宋"/>
        </w:rPr>
        <w:t>；</w:t>
      </w:r>
    </w:p>
    <w:p w14:paraId="5D0672AD">
      <w:pPr>
        <w:pBdr>
          <w:top w:val="none" w:color="000000" w:sz="0" w:space="0"/>
          <w:left w:val="none" w:color="000000" w:sz="0" w:space="0"/>
          <w:bottom w:val="none" w:color="000000" w:sz="0" w:space="0"/>
          <w:right w:val="none" w:color="000000" w:sz="0" w:space="0"/>
        </w:pBdr>
        <w:spacing w:line="85" w:lineRule="atLeast"/>
        <w:ind w:firstLine="420"/>
        <w:rPr>
          <w:rFonts w:hint="default" w:eastAsia="仿宋"/>
          <w:lang w:val="en-US" w:eastAsia="zh-CN"/>
        </w:rPr>
      </w:pPr>
      <w:r>
        <w:rPr>
          <w:rFonts w:ascii="仿宋" w:hAnsi="仿宋" w:eastAsia="仿宋" w:cs="仿宋"/>
        </w:rPr>
        <w:t>联系电话：</w:t>
      </w:r>
      <w:r>
        <w:rPr>
          <w:rFonts w:hint="eastAsia" w:ascii="仿宋" w:hAnsi="仿宋" w:eastAsia="仿宋" w:cs="仿宋"/>
          <w:lang w:val="en-US" w:eastAsia="zh-CN"/>
        </w:rPr>
        <w:t xml:space="preserve">         ;</w:t>
      </w:r>
    </w:p>
    <w:p w14:paraId="3E26BCC0">
      <w:pPr>
        <w:pBdr>
          <w:top w:val="none" w:color="000000" w:sz="0" w:space="0"/>
          <w:left w:val="none" w:color="000000" w:sz="0" w:space="0"/>
          <w:bottom w:val="none" w:color="000000" w:sz="0" w:space="0"/>
          <w:right w:val="none" w:color="000000" w:sz="0" w:space="0"/>
        </w:pBdr>
        <w:spacing w:line="85" w:lineRule="atLeast"/>
        <w:ind w:firstLine="420"/>
        <w:rPr>
          <w:rFonts w:hint="default" w:eastAsia="仿宋"/>
          <w:lang w:val="en-US" w:eastAsia="zh-CN"/>
        </w:rPr>
      </w:pPr>
      <w:r>
        <w:rPr>
          <w:rFonts w:ascii="仿宋" w:hAnsi="仿宋" w:eastAsia="仿宋" w:cs="仿宋"/>
        </w:rPr>
        <w:t>电子信箱：</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w:t>
      </w:r>
    </w:p>
    <w:p w14:paraId="76E6DDE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通信地址：</w:t>
      </w:r>
      <w:r>
        <w:rPr>
          <w:rFonts w:hint="eastAsia" w:ascii="仿宋" w:hAnsi="仿宋" w:eastAsia="仿宋" w:cs="仿宋"/>
          <w:u w:val="single"/>
          <w:lang w:val="en-US" w:eastAsia="zh-CN"/>
        </w:rPr>
        <w:t xml:space="preserve">     </w:t>
      </w:r>
      <w:r>
        <w:rPr>
          <w:rFonts w:ascii="仿宋" w:hAnsi="仿宋" w:eastAsia="仿宋" w:cs="仿宋"/>
          <w:u w:val="single"/>
        </w:rPr>
        <w:t>。</w:t>
      </w:r>
    </w:p>
    <w:p w14:paraId="5C984EC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2.3发包人对</w:t>
      </w:r>
      <w:r>
        <w:rPr>
          <w:rFonts w:hint="eastAsia" w:ascii="仿宋" w:hAnsi="仿宋" w:eastAsia="仿宋" w:cs="仿宋"/>
          <w:lang w:val="en-US" w:eastAsia="zh-CN"/>
        </w:rPr>
        <w:t>发包人/代建人</w:t>
      </w:r>
      <w:r>
        <w:rPr>
          <w:rFonts w:ascii="仿宋" w:hAnsi="仿宋" w:eastAsia="仿宋" w:cs="仿宋"/>
        </w:rPr>
        <w:t>代表的授权范围如下：</w:t>
      </w:r>
      <w:r>
        <w:rPr>
          <w:rFonts w:ascii="仿宋" w:hAnsi="仿宋" w:eastAsia="仿宋" w:cs="仿宋"/>
          <w:u w:val="single"/>
        </w:rPr>
        <w:t>上述代表仅有签收相关文件的权利，代表的签收行为不视为对文件内容的认可，代表无决定权和确认权。针对承包人提出的顺延工期的签证、对发生的不可抗力造成工程无法继续施工的处置、设计变更及施工条件、工期、工程量变更等所有内容的签证，以及确认工程竣工验收报告、确认工程进度款、确认竣工结算款等内容必须加盖发包人公章后方为有效。作为发包人驻现场代表，行使发包人的权利和义务，负责现场内外的协调。具体职权包含且不限于以下内容：(1)依据发包人的管理办法审核承包人提出的顺延工期的签证；(2)对发生的不可抗力造成工程无法施工事件的处置；(3)依据发包人的管理办法对设计变更、工程量及施工条件变更等有关签证的审核；(4)依据发包人的管理办法对工程竣工验收报告的审核；(5)工程预付款和进度款的审核；(6)对监理单位、跟踪审计单位、施工单位的工作进行监督管理；(7)代表发包人行使本合同约定的其它权利和义务</w:t>
      </w:r>
      <w:r>
        <w:rPr>
          <w:rFonts w:ascii="仿宋" w:hAnsi="仿宋" w:eastAsia="仿宋" w:cs="仿宋"/>
        </w:rPr>
        <w:t>。</w:t>
      </w:r>
    </w:p>
    <w:p w14:paraId="736A5F1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2.4施工现场、施工条件和基础资料的提供</w:t>
      </w:r>
    </w:p>
    <w:p w14:paraId="68FD3A0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2.4.1提供施工现场</w:t>
      </w:r>
    </w:p>
    <w:p w14:paraId="4C1D9E3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关于发包人移交施工现场的期限要求：</w:t>
      </w:r>
      <w:r>
        <w:rPr>
          <w:rFonts w:ascii="仿宋" w:hAnsi="仿宋" w:eastAsia="仿宋" w:cs="仿宋"/>
          <w:u w:val="single"/>
        </w:rPr>
        <w:t>发包人应于开工日期3天前向承包人移交施工现场</w:t>
      </w:r>
      <w:r>
        <w:rPr>
          <w:rFonts w:ascii="仿宋" w:hAnsi="仿宋" w:eastAsia="仿宋" w:cs="仿宋"/>
        </w:rPr>
        <w:t>。</w:t>
      </w:r>
    </w:p>
    <w:p w14:paraId="54FA6D5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2.4.2提供施工条件</w:t>
      </w:r>
    </w:p>
    <w:p w14:paraId="1AAB9FD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关于发包人应负责提供施工所需要的条件，包括：</w:t>
      </w:r>
    </w:p>
    <w:p w14:paraId="21F7595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（1）施工所需的水、电费由承包人承担，现场提供水电接入点。无论承包人是否在投标报价中单独列示，发包人均认为上述费用已包含在签约合同价款中，不再另行支付。</w:t>
      </w:r>
    </w:p>
    <w:p w14:paraId="36B7F4D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现场施工场地及公共道路以承包人投标前踏勘的场地条件为准，承包人必须到现场充分勘察现场实际情况，自行考虑材料运输及堆场、机械进退场等场地。发包人对此将不增加任何投入。承包人投标时已充分考虑该类因素，相关费用包含在签约合同价中，发包人不接受以此类理由提出的额外费用和延长工期要求；</w:t>
      </w:r>
    </w:p>
    <w:p w14:paraId="20C668B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发包人提供必要协助，承包人将施工用水、电力、通讯线路等施工所必需的条件接至施工现场内，由承包人负责管理及维护并按时缴纳施工产生的水、电费，如出现欠费停供及产生缴费滞纳金，按当期需缴费用两倍支付违约金，发包人可在当期工程款内扣除。</w:t>
      </w:r>
    </w:p>
    <w:p w14:paraId="7E580A3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2.5资金来源证明及支付担保</w:t>
      </w:r>
    </w:p>
    <w:p w14:paraId="77A894C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发包人提供资金来源证明的期限要求：不提供。</w:t>
      </w:r>
    </w:p>
    <w:p w14:paraId="78C0AAD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发包人是否提供支付担保：不提供。</w:t>
      </w:r>
    </w:p>
    <w:p w14:paraId="36695E6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发包人提供支付担保的形式：/。</w:t>
      </w:r>
    </w:p>
    <w:p w14:paraId="1415C126">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3.承包人</w:t>
      </w:r>
    </w:p>
    <w:p w14:paraId="69683C5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3.1承包人的一般义务</w:t>
      </w:r>
    </w:p>
    <w:p w14:paraId="65D5B65D">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（9）承包人提交的竣工资料的内容：</w:t>
      </w:r>
      <w:r>
        <w:rPr>
          <w:rFonts w:hint="eastAsia" w:ascii="仿宋" w:hAnsi="仿宋" w:eastAsia="仿宋" w:cs="仿宋"/>
          <w:u w:val="single"/>
        </w:rPr>
        <w:t>提供经监理工程师签字确认的符合档案管理部门和行政质检监督部门以及发包人档案室要求的肆套完整竣工资料（含竣工图纸四套及竣工图电子档一份，承包人自身需要的不含在内）。竣工资料按相关规定一次报齐，均应加盖公章，否则每延迟一天承包人需承担3000元/天的违约金。</w:t>
      </w:r>
    </w:p>
    <w:p w14:paraId="4564926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承包人需要提交的竣工资料套数：</w:t>
      </w:r>
      <w:r>
        <w:rPr>
          <w:rFonts w:hint="eastAsia" w:ascii="仿宋" w:hAnsi="仿宋" w:eastAsia="仿宋" w:cs="仿宋"/>
          <w:u w:val="single"/>
        </w:rPr>
        <w:t>按上述要求</w:t>
      </w:r>
      <w:r>
        <w:rPr>
          <w:rFonts w:hint="eastAsia" w:ascii="仿宋" w:hAnsi="仿宋" w:eastAsia="仿宋" w:cs="仿宋"/>
        </w:rPr>
        <w:t>。</w:t>
      </w:r>
    </w:p>
    <w:p w14:paraId="5C53F07B">
      <w:pPr>
        <w:pBdr>
          <w:top w:val="none" w:color="000000" w:sz="0" w:space="0"/>
          <w:left w:val="none" w:color="000000" w:sz="0" w:space="0"/>
          <w:bottom w:val="none" w:color="000000" w:sz="0" w:space="0"/>
          <w:right w:val="none" w:color="000000" w:sz="0" w:space="0"/>
        </w:pBdr>
        <w:spacing w:line="85" w:lineRule="atLeast"/>
        <w:rPr>
          <w:rFonts w:hint="eastAsia" w:ascii="仿宋" w:hAnsi="仿宋" w:eastAsia="仿宋" w:cs="仿宋"/>
        </w:rPr>
      </w:pPr>
      <w:r>
        <w:rPr>
          <w:rFonts w:hint="eastAsia" w:ascii="仿宋" w:hAnsi="仿宋" w:eastAsia="仿宋" w:cs="仿宋"/>
        </w:rPr>
        <w:t>承包人提交的竣工资料的费用承担：</w:t>
      </w:r>
      <w:r>
        <w:rPr>
          <w:rFonts w:hint="eastAsia" w:ascii="仿宋" w:hAnsi="仿宋" w:eastAsia="仿宋" w:cs="仿宋"/>
          <w:u w:val="single"/>
        </w:rPr>
        <w:t>由承包人承担</w:t>
      </w:r>
      <w:r>
        <w:rPr>
          <w:rFonts w:hint="eastAsia" w:ascii="仿宋" w:hAnsi="仿宋" w:eastAsia="仿宋" w:cs="仿宋"/>
        </w:rPr>
        <w:t>。</w:t>
      </w:r>
    </w:p>
    <w:p w14:paraId="00519CFD">
      <w:pPr>
        <w:pBdr>
          <w:top w:val="none" w:color="000000" w:sz="0" w:space="0"/>
          <w:left w:val="none" w:color="000000" w:sz="0" w:space="0"/>
          <w:bottom w:val="none" w:color="000000" w:sz="0" w:space="0"/>
          <w:right w:val="none" w:color="000000" w:sz="0" w:space="0"/>
        </w:pBdr>
        <w:spacing w:line="85" w:lineRule="atLeast"/>
        <w:rPr>
          <w:rFonts w:hint="eastAsia" w:ascii="仿宋" w:hAnsi="仿宋" w:eastAsia="仿宋" w:cs="仿宋"/>
        </w:rPr>
      </w:pPr>
      <w:r>
        <w:rPr>
          <w:rFonts w:hint="eastAsia" w:ascii="仿宋" w:hAnsi="仿宋" w:eastAsia="仿宋" w:cs="仿宋"/>
        </w:rPr>
        <w:t>承包人提交的竣工资料移交时间：</w:t>
      </w:r>
      <w:r>
        <w:rPr>
          <w:rFonts w:hint="eastAsia" w:ascii="仿宋" w:hAnsi="仿宋" w:eastAsia="仿宋" w:cs="仿宋"/>
          <w:u w:val="single"/>
        </w:rPr>
        <w:t>竣工验收合格之日起28天内。</w:t>
      </w:r>
    </w:p>
    <w:p w14:paraId="091960D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承包人提交的竣工资料形式要求：</w:t>
      </w:r>
      <w:r>
        <w:rPr>
          <w:rFonts w:hint="eastAsia" w:ascii="仿宋" w:hAnsi="仿宋" w:eastAsia="仿宋" w:cs="仿宋"/>
          <w:u w:val="single"/>
        </w:rPr>
        <w:t>纸质及电子光盘</w:t>
      </w:r>
      <w:r>
        <w:rPr>
          <w:rFonts w:hint="eastAsia" w:ascii="仿宋" w:hAnsi="仿宋" w:eastAsia="仿宋" w:cs="仿宋"/>
        </w:rPr>
        <w:t>。</w:t>
      </w:r>
    </w:p>
    <w:p w14:paraId="33842729">
      <w:pPr>
        <w:pBdr>
          <w:top w:val="none" w:color="000000" w:sz="0" w:space="0"/>
          <w:left w:val="none" w:color="000000" w:sz="0" w:space="0"/>
          <w:bottom w:val="none" w:color="000000" w:sz="0" w:space="0"/>
          <w:right w:val="none" w:color="000000" w:sz="0" w:space="0"/>
        </w:pBdr>
        <w:spacing w:line="85" w:lineRule="atLeast"/>
        <w:ind w:left="480"/>
      </w:pPr>
      <w:r>
        <w:rPr>
          <w:rFonts w:ascii="仿宋" w:hAnsi="仿宋" w:eastAsia="仿宋" w:cs="仿宋"/>
        </w:rPr>
        <w:t>（10）承包人应履行的其他义务：</w:t>
      </w:r>
    </w:p>
    <w:p w14:paraId="77F6F5AA">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发包人在签订本合同后及时提供用于申办本工程备案、手续报批等所需的必要资料，承包人应在发包人提供上述资料后7天内完成各类备案、手续的办理工作，因承包人原因逾期未办妥的而导致工期延误，工期不予顺延，承包人除需承担工期延误的违约责任外，发包人有权按3000元/次扣除违约金。（如需）</w:t>
      </w:r>
    </w:p>
    <w:p w14:paraId="35EC8E2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承担发包人上级领导检查、视察工地所需的现场准备工作、配合质监、安监单位的现场检查，并承担由此引起的相关费用。发包人在日常工程建设过程中，有权对工程进度、质量、安全等进行抽查、检查、监督等，承包人应积极配合，并提供一切便利条件，如承包人不配合检查，发包人有权按1000元/次扣除违约金。</w:t>
      </w:r>
    </w:p>
    <w:p w14:paraId="23770DCA">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承包人必须遵守江苏省及南京市、雨花台区的相关规定，服从行业主管部门及发包人的管理，凡涉及到承包人的安全监督、质量监督、施工合同备案、车辆准运等有关证、照，均由承包人自行办理，发包人给予配合，发生的费用全部由承包人承担。</w:t>
      </w:r>
    </w:p>
    <w:p w14:paraId="6F979F2F">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4）承包人负责工地现场自身产生的建筑垃圾和生活垃圾外弃工作。承包人应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p>
    <w:p w14:paraId="63BCCE9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5)承包人应当服从监理工程师、发包人的现场管理和协调工作，合理调动资源，保障工期、质量目标的实现，如承包人不配合工作，发包人有权按3000元/次扣除违约金。</w:t>
      </w:r>
    </w:p>
    <w:p w14:paraId="35388509">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6)承包人必须立刻执行发包人代表发出的书面指令。若承包人没有在规定时间之内执行指令，而在收到发包人催促执行的书面通知后3日之内，承包人仍未执行，每延迟一天，发包人有权按3000元/天扣除违约金，发包人可另聘和指派他人执行该指示所要求的工作。其他承包人完成此项工作的相关费用从本合同应付或将会付给承包人的款项中直接扣除完成此项工作的相关费用，并扣除等额相关费用的违约金。由此造成发包人额外损失或间接损失的，作为承包人对发包人的债务，发包人有权向承包人追偿。</w:t>
      </w:r>
    </w:p>
    <w:p w14:paraId="244233E1">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7)承包人必须签收监理工程师发出的书面资料，如有异议必须在收文之日起3日内书面回复，否则视同认可。</w:t>
      </w:r>
    </w:p>
    <w:p w14:paraId="77135589">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8)承包人报给监理部的计划、报表、方案等资料，须同步报发包人，如承包人未同步报给发包人，发包人有权按3000元/次扣除违约金。</w:t>
      </w:r>
    </w:p>
    <w:p w14:paraId="1E4AB975">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9)所有临时设施由承包人自行承担建设和日常维护及安全文明管理等责任，现场无临时设施搭设地点需施工单位自行安排，相关费用由承包人自己承担。</w:t>
      </w:r>
    </w:p>
    <w:p w14:paraId="130B9BB1">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10）承包人按照工程所在地有关规定及发包人要求负责施工现场的安全保卫、施工人员的治安教育和管理工作以及施工照明，承包人须承担工程进行期间由本工程引致的人身伤亡事故的法律责任并承担全部的损失、费用（包括索赔或诉讼的责任）。发包人不承担任何责任，发包人所导致的除外。</w:t>
      </w:r>
    </w:p>
    <w:p w14:paraId="0F85690D">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11)承包人按规定办理夜间施工、材料及机械进退场、市区道路通行许可、现场噪声、排污、排水、与周边居民单位的协调工作等工程所需的一切手续；涉及的相关手续由发包人协助办理。现场尽量降低噪音污染，管理应符合相关主管部门及发包人要求。合同总价中已包含的相关费用不再另行支付。因上述因素给第三方造成损害的赔偿，由承包人承担。（如需）</w:t>
      </w:r>
    </w:p>
    <w:p w14:paraId="3A56388A">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12)施工中未经发包人书面同意或有关部门批准，不得随意拆改建筑物结构及各种设备管线。工程施工过程中及完工后在未与发包人办理工程验收交付手续前，成品由承包人负责保护，费用由承包人承担。</w:t>
      </w:r>
    </w:p>
    <w:p w14:paraId="0FF49B0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13)施工场地周围地下管线和邻近建筑物、构筑物（含文物保护建筑）、古树名木的保护要求及费用承担：保护工作包括遮盖、封闭、隔离等必要保护措施，还包括对已有植物的保护（除砼包封、改线、沉降迁移等实体性保护外），费用均由承包人承担。如有保护不周而至毁坏、死亡的，承包人依法恢复原状或进行赔偿，同时发包人有权按3000元/次扣除违约金。（如需）</w:t>
      </w:r>
    </w:p>
    <w:p w14:paraId="25918D6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14）承包人若发现合同、图纸、标准、规范和技术要求之内或相互之间有任何差异，须立刻以书面形式通知发包人和监理工程师，说明差异之处，同时停止相关的施工并保护好已施工部分的现场，由发包人和监理工程师给予书面的澄清，同时提出处理方法，承包人按处理方法进行施工。若承包人继续进行错误施工或对已施工部分不加保护，造成施工范围无法准确界定的，承包人将承担所有由此造成的费用，并不予延长工期。</w:t>
      </w:r>
    </w:p>
    <w:p w14:paraId="38021032">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15）承包人在本工程中使用新的施工工艺或专利产品，承包人必须保证工程的品质能得到提高，并提交详细的施工方案，在取得发包人及监理工程师的书面同意后，方可实施，发包人并不承担由此产生的一切法律责任及费用；但由于使用该项施工工艺或专利产品产生收益，发包人享有50％的收益权。</w:t>
      </w:r>
    </w:p>
    <w:p w14:paraId="46BBD83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16）因政府性大型活动而要求停工的，承包人应及时通知发包人，并提交相关停工材料，经发包人审批确认后，发包人按照正式文件规定允许工期顺延。但承包人应考虑政府类的大型公共活动对本工程工期、人员调配、施工降效、材料运输及现场管理等其他影响，费用已包含在合同总价中。</w:t>
      </w:r>
    </w:p>
    <w:p w14:paraId="06B034A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17）承包人需根据现状情况自行协调解决现状公共道路与施工场地通行的矛盾与困难，及时维护道路畅通和整洁。相关费用已包含在合同总价中，发包人不再另外支付承包人费用。</w:t>
      </w:r>
    </w:p>
    <w:p w14:paraId="37C5A53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18）承包人在施工及材料设备运输过程中须采取措施对周边及工程现场管线进行保护并承担相关费用。若因承包人原因损坏周边管线，由此产生相关赔偿费及其他费用由承包人承担。除招标时已提供的资料外，其余的如果承包人认为必须，须在开工前7天内要求发包人提供，由发包人开工前以书面形式提供给承包人，否则视为承包人已自行获得，由此产生的一切后果由承包人承担。</w:t>
      </w:r>
    </w:p>
    <w:p w14:paraId="6ACCA07C">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19）承包人应积极配合发包人及时办理相关证件，如承包人不配合，发包人有权按3000元/次扣除违约金。</w:t>
      </w:r>
    </w:p>
    <w:p w14:paraId="713207F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20）所有特殊工种人员、各种领班以上人员均应符合有关规定的资质要求，并且应持有该项工作的上岗证，在施工期间佩带其上岗证供随时检查，如发现未按要求执行，发包人有权按2000元/次扣除违约金。</w:t>
      </w:r>
    </w:p>
    <w:p w14:paraId="6BC6140A">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21）本项目已投入使用，承包人须勘查现场、充分了解可施工时段政策及实施条件包括不限于各楼栋施工区域的围挡、成品保护措施等；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p>
    <w:p w14:paraId="75EA772B">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22）现场提供水电接入点，生活及施工所需水、电接入等相关费用由承包人自行考虑并承担；施工所需的水、电费由承包人承担。上述费用已包含在签约合同价款中，不再另行支付。</w:t>
      </w:r>
    </w:p>
    <w:p w14:paraId="308C34C2">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23）承包人需提供（4套）竣工资料（含竣工图纸四套及竣工图电子档一份，承包人自身需要的不含在内）及完成实物移交，并按发包人要求办理移交手续。</w:t>
      </w:r>
    </w:p>
    <w:p w14:paraId="5DA18E9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24）任何进入本工程施工现场的人员（包括但不限于承包人及分包单位人员、发包人人员、监理人人员、材料设备供应商人员、参观考察人员等），未按规定佩戴或未正确佩戴安全帽的，由承包人负责监督整改；同时施工现场的人员在楼宇内不得吸烟；若发包人或监理人发现此类违规情形，承包人应按 200 元 / 人 / 次向发包人支付违约金。</w:t>
      </w:r>
    </w:p>
    <w:p w14:paraId="61F9C78C">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25）施工现场做到工完场清，每天都需垃圾清理、垃圾外运（满足宁建建字（2021）30号文《关于加强拆建垃圾资源化利用全过程管理的通知》的相关规定）。</w:t>
      </w:r>
    </w:p>
    <w:p w14:paraId="7C47F4E4">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26）考虑到既有项目的特殊性,承包人须配合代建人管理、投入防施工扰民措施，无论承包人是否在投标报价中单独列示，发包人均认为上述费用已包含在合同价中，结算时不再另行支付；施工时如噪声过大造成投诉，承包人需暂停噪声施工或采取控制噪声的措施，由此造成的窝工、降效、工期延长或增加投入等，由承包人自行在合同价中考虑此部分风险费用，结算时不予调整。</w:t>
      </w:r>
    </w:p>
    <w:p w14:paraId="362539CA">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27）本项目如使用工程管理平台，承包人则需按照发包人的要求配合使用雨花台区政府投资工程智慧集成监管平台对项目全过程管理系统，承包人为投入的项目管理人员开通账号并按照发包人要求进行性使用，承包人需承担账号开通及使用所发生的一切费用。如承包人未按要求按时办理，则需支付5000元/天的违约金，使用过程中脱管或不符合平台要求使用的，则需支付5000元/次的违约金。</w:t>
      </w:r>
    </w:p>
    <w:p w14:paraId="29D5598F">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28）垂直运输方式由承包人自行考虑，材料堆放需堆放至发包人指定地点。承包人如需使用校区内设施运输材料，需在工程实施前需对运输线路上的墙面、地面等进行成品保护并报发包人验收，通过验收后方能使用，相关费用应包含在合同价内。若材料堆放点及运输线路上的装饰面层或设备产生任何破坏或污染均由承包人负责恢复。</w:t>
      </w:r>
    </w:p>
    <w:p w14:paraId="00D44AA6">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29）本项目拆除的建筑垃圾须密封袋装，运至发包人指定地点堆放，能装满一车后及时装车外运。发包人不再因此支付额外费用。</w:t>
      </w:r>
    </w:p>
    <w:p w14:paraId="6D25A46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30）</w:t>
      </w:r>
      <w:r>
        <w:rPr>
          <w:rFonts w:hint="eastAsia" w:ascii="仿宋" w:hAnsi="仿宋" w:eastAsia="仿宋" w:cs="仿宋"/>
          <w:b/>
          <w:bCs/>
          <w:u w:val="single"/>
        </w:rPr>
        <w:t>如承包人发现招标清单有错、漏项的情况，需在该工作实施之前书面向发包人提出，并配合发包人完善相关核价流程，如施工过程中未提出，结算时则不予以认可。</w:t>
      </w:r>
    </w:p>
    <w:p w14:paraId="255E004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31）因承包人原因导致代建人向发包人承担违约责任的，该违约责任由承包人承担。承包人确认发包人有权直接从应付承包人的工程款中扣除等额。</w:t>
      </w:r>
    </w:p>
    <w:p w14:paraId="45B78404">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32）施工过程中不能损坏周边及校区道路、人行道、路牙、绿化及相关配套设施，如有损坏需负责修复并承担相关费用。由承包人负责沿线道路保洁工作。上述费用均包含在合同价中，结算时不予调整。</w:t>
      </w:r>
    </w:p>
    <w:p w14:paraId="76DDCD1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33）根据我市建设工程扬尘污染防治工作，为改善环境空气质量，严格落实《关于进一步明确建设工程扬尘污染防治措施的通知》（宁污防攻坚指办〔2023〕39号）文件要求，做到“十达标、两承诺、一公示”：施工围挡达标、路面硬化达标、防尘覆盖达标、车辆冲洗达标、清扫保洁达标、湿法作业达标、烟气排放达标、非道路移动机械达标、在线监控达标，严格落实《施工场地扬尘排放标准》（DB32/4437-2022）要求、扬尘管理制度达标；《扬尘污染防治承诺书》、《油品使用承诺书》；施工现场所有主要出入口醒目位置应当设置扬尘污染防治公示牌。（如需）</w:t>
      </w:r>
    </w:p>
    <w:p w14:paraId="6074DFDF">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34）承包人施工车辆及材料运输车辆载重须满足校园内部道路限载要求及道路保护措施，如出现损坏需无条件复原，费用自理。</w:t>
      </w:r>
    </w:p>
    <w:p w14:paraId="11C2D645">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35）本项目如需组织专家评审，涉及的相关费用承包人均已充分考虑在合同价中，发包人不额外增加费用。</w:t>
      </w:r>
    </w:p>
    <w:p w14:paraId="61670C59">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36、本项目不要求智慧工地，但要求供应商将扬尘防治工作务必在报价时综合考虑（施工期间降尘措施，包括不限于投入雾炮、喷淋、覆盖、洒水、除尘等措施。），结算不调整。</w:t>
      </w:r>
    </w:p>
    <w:p w14:paraId="76864699">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37、校园内不设临时住房，不具备放置宿舍集装箱条件，不允许设置食堂开火，不允许设置宿舍住人等，承包人应在校园外妥善安排工人的临时住房，以上所有相关费用由承包人自行承担。</w:t>
      </w:r>
    </w:p>
    <w:p w14:paraId="4E13FCC5">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38、承包人应严格约束现场管理人员及施工人员，不得对校园内的环境及生态进行破坏，不得在校园内吸烟，不得赤裸工作，不得随地大小便等。</w:t>
      </w:r>
    </w:p>
    <w:p w14:paraId="11EA1C46">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rPr>
        <w:t>39、施工区域须设置安全封闭围挡（高度不低于1.8米、长度根据作业面实际长度设置），使施工区与教学区分隔。</w:t>
      </w:r>
    </w:p>
    <w:p w14:paraId="7B145E09">
      <w:pPr>
        <w:pBdr>
          <w:top w:val="none" w:color="000000" w:sz="0" w:space="0"/>
          <w:left w:val="none" w:color="000000" w:sz="0" w:space="0"/>
          <w:bottom w:val="none" w:color="000000" w:sz="0" w:space="0"/>
          <w:right w:val="none" w:color="000000" w:sz="0" w:space="0"/>
        </w:pBdr>
        <w:spacing w:line="85" w:lineRule="atLeast"/>
        <w:ind w:firstLine="420"/>
        <w:rPr>
          <w:rFonts w:hint="default" w:ascii="仿宋" w:hAnsi="仿宋" w:eastAsia="仿宋" w:cs="仿宋"/>
          <w:u w:val="single"/>
          <w:lang w:val="en-US" w:eastAsia="zh-CN"/>
        </w:rPr>
      </w:pPr>
      <w:r>
        <w:rPr>
          <w:rFonts w:hint="eastAsia" w:ascii="仿宋" w:hAnsi="仿宋" w:eastAsia="仿宋" w:cs="仿宋"/>
          <w:u w:val="single"/>
          <w:lang w:val="en-US" w:eastAsia="zh-CN"/>
        </w:rPr>
        <w:t>40、外立面周边景观绿化影响维修改造施工条件的，维修施工破坏的及校舍北侧绿化已出现稀疏需补种的，承包人均已充分考虑，相关费用已包含在合同价内，结算不调整。</w:t>
      </w:r>
    </w:p>
    <w:p w14:paraId="7AD092A9">
      <w:pPr>
        <w:pBdr>
          <w:top w:val="none" w:color="000000" w:sz="0" w:space="0"/>
          <w:left w:val="none" w:color="000000" w:sz="0" w:space="0"/>
          <w:bottom w:val="none" w:color="000000" w:sz="0" w:space="0"/>
          <w:right w:val="none" w:color="000000" w:sz="0" w:space="0"/>
        </w:pBdr>
        <w:spacing w:line="85" w:lineRule="atLeast"/>
        <w:ind w:firstLine="420" w:firstLineChars="0"/>
        <w:rPr>
          <w:rFonts w:hint="eastAsia" w:ascii="仿宋" w:hAnsi="仿宋" w:eastAsia="仿宋" w:cs="仿宋"/>
          <w:u w:val="single"/>
        </w:rPr>
      </w:pPr>
      <w:r>
        <w:rPr>
          <w:rFonts w:hint="eastAsia" w:ascii="仿宋" w:hAnsi="仿宋" w:eastAsia="仿宋" w:cs="仿宋"/>
          <w:u w:val="single"/>
          <w:lang w:val="en-US" w:eastAsia="zh-CN"/>
        </w:rPr>
        <w:t>41、承包人在工程施工前，发包人、代建人对施工范围、界面进行工作交底，承包人需按交底的施工范围实施。</w:t>
      </w:r>
    </w:p>
    <w:p w14:paraId="1BEE9A3A">
      <w:pPr>
        <w:spacing w:line="360" w:lineRule="auto"/>
        <w:ind w:firstLine="420"/>
        <w:rPr>
          <w:rFonts w:hint="eastAsia" w:ascii="仿宋" w:hAnsi="仿宋" w:eastAsia="仿宋" w:cs="仿宋"/>
          <w:u w:val="single"/>
        </w:rPr>
      </w:pPr>
      <w:r>
        <w:rPr>
          <w:rFonts w:hint="eastAsia" w:ascii="仿宋" w:hAnsi="仿宋" w:eastAsia="仿宋" w:cs="仿宋"/>
          <w:u w:val="single"/>
        </w:rPr>
        <w:t>4</w:t>
      </w:r>
      <w:r>
        <w:rPr>
          <w:rFonts w:hint="eastAsia" w:ascii="仿宋" w:hAnsi="仿宋" w:eastAsia="仿宋" w:cs="仿宋"/>
          <w:u w:val="single"/>
          <w:lang w:val="en-US" w:eastAsia="zh-CN"/>
        </w:rPr>
        <w:t>2</w:t>
      </w:r>
      <w:r>
        <w:rPr>
          <w:rFonts w:hint="eastAsia" w:ascii="仿宋" w:hAnsi="仿宋" w:eastAsia="仿宋" w:cs="仿宋"/>
          <w:u w:val="single"/>
        </w:rPr>
        <w:t>、本项目实施过程中可能涉及对校园文化设施及厨房设施（包括不限于已设的楼宇标牌、文化栏、外挂花池、地面花箱及绿化、厨具设施）进行临时拆除、移位及原状恢复等工作，涉及的相关费用承包人均已充分考虑在合同价中，发包人不额外增加费用。</w:t>
      </w:r>
    </w:p>
    <w:p w14:paraId="61C88CD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u w:val="single"/>
        </w:rPr>
      </w:pPr>
      <w:r>
        <w:rPr>
          <w:rFonts w:hint="eastAsia" w:ascii="仿宋" w:hAnsi="仿宋" w:eastAsia="仿宋" w:cs="仿宋"/>
          <w:u w:val="single"/>
          <w:lang w:val="en-US" w:eastAsia="zh-CN"/>
        </w:rPr>
        <w:t>43</w:t>
      </w:r>
      <w:r>
        <w:rPr>
          <w:rFonts w:hint="eastAsia" w:ascii="仿宋" w:hAnsi="仿宋" w:eastAsia="仿宋" w:cs="仿宋"/>
          <w:u w:val="single"/>
        </w:rPr>
        <w:t>、校区内楼栋外立面周边景观绿化可能影响维修改造施工条件，涉及的相关费用承包人均已充分考虑在合同价中，发包人不额外增加费用。</w:t>
      </w:r>
    </w:p>
    <w:p w14:paraId="4EA2E305">
      <w:pPr>
        <w:pBdr>
          <w:top w:val="none" w:color="000000" w:sz="0" w:space="0"/>
          <w:left w:val="none" w:color="000000" w:sz="0" w:space="0"/>
          <w:bottom w:val="none" w:color="000000" w:sz="0" w:space="0"/>
          <w:right w:val="none" w:color="000000" w:sz="0" w:space="0"/>
        </w:pBdr>
        <w:spacing w:before="240" w:after="240"/>
        <w:ind w:firstLine="400"/>
        <w:rPr>
          <w:rFonts w:hint="eastAsia" w:ascii="仿宋" w:hAnsi="仿宋" w:eastAsia="仿宋" w:cs="仿宋"/>
          <w:u w:val="single"/>
        </w:rPr>
      </w:pPr>
      <w:r>
        <w:rPr>
          <w:rFonts w:hint="eastAsia" w:ascii="仿宋" w:hAnsi="仿宋" w:eastAsia="仿宋" w:cs="仿宋"/>
          <w:b/>
          <w:u w:val="single"/>
        </w:rPr>
        <w:t>44、本工程涉及的所有拆除项目，施工过程中产生的拆除工程量，需由承包人提出，经四方（施工、监理、跟踪审计、代建人）计量签证确认后，方可计入结算。</w:t>
      </w:r>
    </w:p>
    <w:p w14:paraId="0773B0D2">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3.2项目经理</w:t>
      </w:r>
    </w:p>
    <w:p w14:paraId="49A69FE6">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3.2.1项目经理：</w:t>
      </w:r>
    </w:p>
    <w:p w14:paraId="6BBBC68B">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姓名：；</w:t>
      </w:r>
    </w:p>
    <w:p w14:paraId="53EBE83D">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身份证号：</w:t>
      </w:r>
      <w:r>
        <w:rPr>
          <w:rFonts w:hint="eastAsia" w:ascii="仿宋" w:hAnsi="仿宋" w:eastAsia="仿宋" w:cs="仿宋"/>
          <w:u w:val="single"/>
        </w:rPr>
        <w:t>                ；</w:t>
      </w:r>
    </w:p>
    <w:p w14:paraId="780923CD">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建造师执业资格等级：</w:t>
      </w:r>
      <w:r>
        <w:rPr>
          <w:rFonts w:hint="eastAsia" w:ascii="仿宋" w:hAnsi="仿宋" w:eastAsia="仿宋" w:cs="仿宋"/>
          <w:u w:val="single"/>
        </w:rPr>
        <w:t>              ；</w:t>
      </w:r>
    </w:p>
    <w:p w14:paraId="0039F200">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建造师注册证书号：</w:t>
      </w:r>
      <w:r>
        <w:rPr>
          <w:rFonts w:hint="eastAsia" w:ascii="仿宋" w:hAnsi="仿宋" w:eastAsia="仿宋" w:cs="仿宋"/>
          <w:u w:val="single"/>
        </w:rPr>
        <w:t>               ；</w:t>
      </w:r>
    </w:p>
    <w:p w14:paraId="391C320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建造师执业印章号：</w:t>
      </w:r>
      <w:r>
        <w:rPr>
          <w:rFonts w:hint="eastAsia" w:ascii="仿宋" w:hAnsi="仿宋" w:eastAsia="仿宋" w:cs="仿宋"/>
          <w:u w:val="single"/>
        </w:rPr>
        <w:t>                 ；</w:t>
      </w:r>
    </w:p>
    <w:p w14:paraId="5F70BF3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安全生产考核合格证书号：</w:t>
      </w:r>
      <w:r>
        <w:rPr>
          <w:rFonts w:hint="eastAsia" w:ascii="仿宋" w:hAnsi="仿宋" w:eastAsia="仿宋" w:cs="仿宋"/>
          <w:u w:val="single"/>
        </w:rPr>
        <w:t>                ；</w:t>
      </w:r>
    </w:p>
    <w:p w14:paraId="42CA5F5B">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联系电话：</w:t>
      </w:r>
      <w:r>
        <w:rPr>
          <w:rFonts w:hint="eastAsia" w:ascii="仿宋" w:hAnsi="仿宋" w:eastAsia="仿宋" w:cs="仿宋"/>
          <w:u w:val="single"/>
        </w:rPr>
        <w:t>                 ；</w:t>
      </w:r>
    </w:p>
    <w:p w14:paraId="4A95D9C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电子信箱：</w:t>
      </w:r>
      <w:r>
        <w:rPr>
          <w:rFonts w:hint="eastAsia" w:ascii="仿宋" w:hAnsi="仿宋" w:eastAsia="仿宋" w:cs="仿宋"/>
          <w:u w:val="single"/>
        </w:rPr>
        <w:t>           ；</w:t>
      </w:r>
    </w:p>
    <w:p w14:paraId="25D51D1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通信地址：</w:t>
      </w:r>
      <w:r>
        <w:rPr>
          <w:rFonts w:hint="eastAsia" w:ascii="仿宋" w:hAnsi="仿宋" w:eastAsia="仿宋" w:cs="仿宋"/>
          <w:u w:val="single"/>
        </w:rPr>
        <w:t>           ；</w:t>
      </w:r>
    </w:p>
    <w:p w14:paraId="52FD3E0A">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承包人对项目经理的授权范围如下：</w:t>
      </w:r>
      <w:r>
        <w:rPr>
          <w:rFonts w:hint="eastAsia" w:ascii="仿宋" w:hAnsi="仿宋" w:eastAsia="仿宋" w:cs="仿宋"/>
          <w:u w:val="single"/>
        </w:rPr>
        <w:t>项目经理代表承包人负责履行合同，负责并协调现场施工。</w:t>
      </w:r>
    </w:p>
    <w:p w14:paraId="147D64FC">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关于项目经理每月在施工现场的时间要求：</w:t>
      </w:r>
      <w:r>
        <w:rPr>
          <w:rFonts w:hint="eastAsia" w:ascii="仿宋" w:hAnsi="仿宋" w:eastAsia="仿宋" w:cs="仿宋"/>
          <w:u w:val="single"/>
        </w:rPr>
        <w:t>(1)竞争性磋商响应文件中明确的项目经理必须常驻施工现场，要求其本人每周不少于6日、每日不少于8小时在本工程现场工作，项目经理必须参加每周召开的工程例会，有事必须请假，因故不能参加的应提前4个小时提出书面申请，在获得发包人批准后方可缺席，无故缺席一次会议或每缺席一日按违约金5000元/次。如果项目经理两个月累计10天不在现场或二个月缺席例会三次，发包人扣除签约合同价的3%作为违约金或有权解除合同。</w:t>
      </w:r>
    </w:p>
    <w:p w14:paraId="3BD357D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承包人未提交劳动合同，以及没有为项目经理缴纳社会保险证明的违约责任：</w:t>
      </w:r>
      <w:r>
        <w:rPr>
          <w:rFonts w:hint="eastAsia" w:ascii="仿宋" w:hAnsi="仿宋" w:eastAsia="仿宋" w:cs="仿宋"/>
          <w:u w:val="single"/>
        </w:rPr>
        <w:t>承包人必须提供与项目经理签订的劳动合同原件和为项目经理缴纳社会保险的证明，否则项目经理无权履行职责，且发包人有权要求承包人承担20万元的违约金，并有权要求更换项目经理，由此增加的费用及延误的工期由承包人承担。</w:t>
      </w:r>
    </w:p>
    <w:p w14:paraId="3D0E8B54">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项目经理未经批准，擅自离开施工现场的违约责任：如项目经理有特殊原因不能保证上述在岗时间的或正常在岗时间离开工地现场的，必须以书面请假条形式报监理审核后，报发包人批准；否则每缺席一日支付违约金2000元整。如一周有两个工作日或两个月累计10天不在现场或两个月缺席例会三次，为严重违约，发包人扣除签约合同价的1%作为违约金或有权解除合同，将承包人清退出场，解除合同的同时不免除承包人应当承担的上述违约责任，承包人负责赔偿由此给发包人带来的一切损失。</w:t>
      </w:r>
    </w:p>
    <w:p w14:paraId="479EB18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3.2.3承包人擅自更换项目经理的违约责任：</w:t>
      </w:r>
      <w:r>
        <w:rPr>
          <w:rFonts w:hint="eastAsia" w:ascii="仿宋" w:hAnsi="仿宋" w:eastAsia="仿宋" w:cs="仿宋"/>
          <w:u w:val="single"/>
        </w:rPr>
        <w:t>项目经理必须是本工程投标的项目经理，承包人不得擅自更换项目经理，如承包人未经发包人书面同意擅自更换项目经理的，需支付30万元的违约金。同时，发包人有权解除合同，同时报建设行政主管部门备案。</w:t>
      </w:r>
    </w:p>
    <w:p w14:paraId="7AC7BC0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如果因客观原因更换项目经理（如遇客观原因需更换项目经理，承包人需提供相关证明材料。如项目经理离职的，须提供离职证明、社保转移证明材料等；如项目经理生病住院不能进行现场管理工作，须提供住院证明，病历发票、病假条等。）必须得到发包人的批准，并满足苏建招[2005]580号文的要求。更换的项目经理必须是本企业正式员工（出具半年以上本企业的劳保统筹交费证明原件），并且不低于本工程竞争性磋商文件对于投标项目经理的要求（如资质、业绩等），否则不予更换</w:t>
      </w:r>
      <w:r>
        <w:rPr>
          <w:rFonts w:hint="eastAsia" w:ascii="仿宋" w:hAnsi="仿宋" w:eastAsia="仿宋" w:cs="仿宋"/>
        </w:rPr>
        <w:t>。</w:t>
      </w:r>
    </w:p>
    <w:p w14:paraId="5C5754EF">
      <w:pPr>
        <w:pBdr>
          <w:top w:val="none" w:color="000000" w:sz="0" w:space="0"/>
          <w:left w:val="none" w:color="000000" w:sz="0" w:space="0"/>
          <w:bottom w:val="none" w:color="000000" w:sz="0" w:space="0"/>
          <w:right w:val="none" w:color="000000" w:sz="0" w:space="0"/>
        </w:pBdr>
        <w:spacing w:line="85" w:lineRule="atLeast"/>
        <w:ind w:firstLine="600"/>
        <w:rPr>
          <w:rFonts w:hint="eastAsia" w:ascii="仿宋" w:hAnsi="仿宋" w:eastAsia="仿宋" w:cs="仿宋"/>
        </w:rPr>
      </w:pPr>
      <w:r>
        <w:rPr>
          <w:rFonts w:hint="eastAsia" w:ascii="仿宋" w:hAnsi="仿宋" w:eastAsia="仿宋" w:cs="仿宋"/>
        </w:rPr>
        <w:t>3.2.4承包人无正当理由拒绝更换项目经理的违约责任：</w:t>
      </w:r>
      <w:r>
        <w:rPr>
          <w:rFonts w:hint="eastAsia" w:ascii="仿宋" w:hAnsi="仿宋" w:eastAsia="仿宋" w:cs="仿宋"/>
          <w:u w:val="single"/>
        </w:rPr>
        <w:t>如发包人认为项目经理不能胜任，有权利要求承包人更换项目经理，承包人无正当理由不得拒绝，否则承包人向发包人支付违约金20万元并负责赔偿由此给发包人带来的一切损失，且发包人有权解除合同，并报建设行政主管部门备案。承包人在接到发包人更换项目经理的通知后应在7天内完成更换。承包人如因工程进度、质量、安全、配合等问题而导致项目经理被发包人调换，承包人一次支付发包人违约金人民币2万元，项目经理被发包人调换3次，承包人赔偿发包人因此所造成的全部损失并支付发包人签约合同总价2%的违约金，且发包人有权与承包人解除合同。项目部其他人员因上述原因被调职调岗者，承包人每一人次支付发包人人民币3000元违约金</w:t>
      </w:r>
      <w:r>
        <w:rPr>
          <w:rFonts w:hint="eastAsia" w:ascii="仿宋" w:hAnsi="仿宋" w:eastAsia="仿宋" w:cs="仿宋"/>
        </w:rPr>
        <w:t>。</w:t>
      </w:r>
    </w:p>
    <w:p w14:paraId="1A5A4DAC">
      <w:pPr>
        <w:pBdr>
          <w:top w:val="none" w:color="000000" w:sz="0" w:space="0"/>
          <w:left w:val="none" w:color="000000" w:sz="0" w:space="0"/>
          <w:bottom w:val="none" w:color="000000" w:sz="0" w:space="0"/>
          <w:right w:val="none" w:color="000000" w:sz="0" w:space="0"/>
        </w:pBdr>
        <w:spacing w:line="85" w:lineRule="atLeast"/>
        <w:ind w:firstLine="600"/>
        <w:rPr>
          <w:rFonts w:hint="eastAsia" w:ascii="仿宋" w:hAnsi="仿宋" w:eastAsia="仿宋" w:cs="仿宋"/>
        </w:rPr>
      </w:pPr>
      <w:r>
        <w:rPr>
          <w:rFonts w:hint="eastAsia" w:ascii="仿宋" w:hAnsi="仿宋" w:eastAsia="仿宋" w:cs="仿宋"/>
          <w:u w:val="single"/>
        </w:rPr>
        <w:t>双方约定项目经理其他责任：</w:t>
      </w:r>
    </w:p>
    <w:p w14:paraId="06B9E56E">
      <w:pPr>
        <w:pBdr>
          <w:top w:val="none" w:color="000000" w:sz="0" w:space="0"/>
          <w:left w:val="none" w:color="000000" w:sz="0" w:space="0"/>
          <w:bottom w:val="none" w:color="000000" w:sz="0" w:space="0"/>
          <w:right w:val="none" w:color="000000" w:sz="0" w:space="0"/>
        </w:pBdr>
        <w:spacing w:line="85" w:lineRule="atLeast"/>
        <w:ind w:firstLine="600"/>
        <w:rPr>
          <w:rFonts w:hint="eastAsia" w:ascii="仿宋" w:hAnsi="仿宋" w:eastAsia="仿宋" w:cs="仿宋"/>
        </w:rPr>
      </w:pPr>
      <w:r>
        <w:rPr>
          <w:rFonts w:hint="eastAsia" w:ascii="仿宋" w:hAnsi="仿宋" w:eastAsia="仿宋" w:cs="仿宋"/>
          <w:u w:val="single"/>
        </w:rPr>
        <w:t>（1）工程项目所有关键事宜如对安全、质量、工期、成本有重大影响的文件（签证、变更、支付、预、结算审核等）必须由项目经理审定和签发，发包人对该工程施工范围内任何工程款的支付，须持有项目经理的付款签字。每发现一次项目经理签字为非本人签署的，应向发包人支付违约金2万元，超过三次，承包人赔偿发包人因此所造成的全部损失并支付签约总价5%的违约金，同时发包人有权与承包人解除合同，并保留向公安机关报案追究相关当事人责任的权利。</w:t>
      </w:r>
    </w:p>
    <w:p w14:paraId="175CD3F8">
      <w:pPr>
        <w:pBdr>
          <w:top w:val="none" w:color="000000" w:sz="0" w:space="0"/>
          <w:left w:val="none" w:color="000000" w:sz="0" w:space="0"/>
          <w:bottom w:val="none" w:color="000000" w:sz="0" w:space="0"/>
          <w:right w:val="none" w:color="000000" w:sz="0" w:space="0"/>
        </w:pBdr>
        <w:spacing w:line="85" w:lineRule="atLeast"/>
        <w:ind w:firstLine="600"/>
        <w:rPr>
          <w:rFonts w:hint="eastAsia" w:ascii="仿宋" w:hAnsi="仿宋" w:eastAsia="仿宋" w:cs="仿宋"/>
        </w:rPr>
      </w:pPr>
      <w:r>
        <w:rPr>
          <w:rFonts w:hint="eastAsia" w:ascii="仿宋" w:hAnsi="仿宋" w:eastAsia="仿宋" w:cs="仿宋"/>
          <w:u w:val="single"/>
        </w:rPr>
        <w:t>（2）承包人对项目经理在发、承包双方的书面往来文件（如签证、联系单等）上的签字均认可，文件盖章（公司公章或项目部章，如为项目部专用章，则承包人提交其公司出具的项目部章使用书面授权文件，并书面提交发包人作为本合同附件留存备案）后即生效。</w:t>
      </w:r>
    </w:p>
    <w:p w14:paraId="2BC29CAA">
      <w:pPr>
        <w:pBdr>
          <w:top w:val="none" w:color="000000" w:sz="0" w:space="0"/>
          <w:left w:val="none" w:color="000000" w:sz="0" w:space="0"/>
          <w:bottom w:val="none" w:color="000000" w:sz="0" w:space="0"/>
          <w:right w:val="none" w:color="000000" w:sz="0" w:space="0"/>
        </w:pBdr>
        <w:spacing w:line="85" w:lineRule="atLeast"/>
        <w:ind w:firstLine="600"/>
        <w:rPr>
          <w:rFonts w:hint="eastAsia" w:ascii="仿宋" w:hAnsi="仿宋" w:eastAsia="仿宋" w:cs="仿宋"/>
        </w:rPr>
      </w:pPr>
      <w:r>
        <w:rPr>
          <w:rFonts w:hint="eastAsia" w:ascii="仿宋" w:hAnsi="仿宋" w:eastAsia="仿宋" w:cs="仿宋"/>
          <w:u w:val="single"/>
        </w:rPr>
        <w:t>（3）本合同施工过程中与发包人就工程相关问题进行沟通的人必须是合同规定的项目经理（包括但不限于施工过程中签证、变更等），否则视为无权沟通，发包人对此签字和变更不予认可，对签证和变更发生的费用视为承包人无费用增加，不计入结算造价中；同时视为承包人违约，如违约一次，承包人应向发包人支付违约金2万元，同时发包人有权解除合同。</w:t>
      </w:r>
    </w:p>
    <w:p w14:paraId="725428D2">
      <w:pPr>
        <w:pBdr>
          <w:top w:val="none" w:color="000000" w:sz="0" w:space="0"/>
          <w:left w:val="none" w:color="000000" w:sz="0" w:space="0"/>
          <w:bottom w:val="none" w:color="000000" w:sz="0" w:space="0"/>
          <w:right w:val="none" w:color="000000" w:sz="0" w:space="0"/>
        </w:pBdr>
        <w:spacing w:line="85" w:lineRule="atLeast"/>
        <w:ind w:firstLine="600"/>
        <w:rPr>
          <w:rFonts w:hint="eastAsia" w:ascii="仿宋" w:hAnsi="仿宋" w:eastAsia="仿宋" w:cs="仿宋"/>
        </w:rPr>
      </w:pPr>
      <w:r>
        <w:rPr>
          <w:rFonts w:hint="eastAsia" w:ascii="仿宋" w:hAnsi="仿宋" w:eastAsia="仿宋" w:cs="仿宋"/>
          <w:u w:val="single"/>
        </w:rPr>
        <w:t>（4）按照苏建招[2009]140号文规定，自备案之日起至原合同工期期满之日止，原中标项目经理不得作为项目负责人承接其他工程，如备案之日至原合同工期期满之日不足六个月，则限制其承接工程的期限为六个月。发包人有权按照规定监督原中标项目经理的行业行为并向建设行政主管部门报告。</w:t>
      </w:r>
    </w:p>
    <w:p w14:paraId="0C3DCBF8">
      <w:pPr>
        <w:pBdr>
          <w:top w:val="none" w:color="000000" w:sz="0" w:space="0"/>
          <w:left w:val="none" w:color="000000" w:sz="0" w:space="0"/>
          <w:bottom w:val="none" w:color="000000" w:sz="0" w:space="0"/>
          <w:right w:val="none" w:color="000000" w:sz="0" w:space="0"/>
        </w:pBdr>
        <w:spacing w:line="85" w:lineRule="atLeast"/>
        <w:ind w:firstLine="600"/>
        <w:rPr>
          <w:rFonts w:hint="eastAsia" w:ascii="仿宋" w:hAnsi="仿宋" w:eastAsia="仿宋" w:cs="仿宋"/>
        </w:rPr>
      </w:pPr>
      <w:r>
        <w:rPr>
          <w:rFonts w:hint="eastAsia" w:ascii="仿宋" w:hAnsi="仿宋" w:eastAsia="仿宋" w:cs="仿宋"/>
          <w:u w:val="single"/>
        </w:rPr>
        <w:t>3.2.5承包人因违约需支付的违约金，发包人有权在应付款项中直接扣除；因承包人违约导致发包人解除合同的，按照合同专用条款16.2.3条第2项的约定执行，违约金不足以弥补发包人损失的，承包人应继续赔偿。</w:t>
      </w:r>
    </w:p>
    <w:p w14:paraId="0C76A4D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3.3承包人人员</w:t>
      </w:r>
    </w:p>
    <w:p w14:paraId="11F302E6">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3.3.1承包人提交项目管理机构及施工现场管理人员安排报告的期限：</w:t>
      </w:r>
      <w:r>
        <w:rPr>
          <w:rFonts w:hint="eastAsia" w:ascii="仿宋" w:hAnsi="仿宋" w:eastAsia="仿宋" w:cs="仿宋"/>
          <w:u w:val="single"/>
        </w:rPr>
        <w:t>开工前15天。</w:t>
      </w:r>
    </w:p>
    <w:p w14:paraId="0AEC8BFF">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(1)本工程要求进场的项目管理机构成员必须为投标时所报的项目管理机构成员，详见附件2。承包人项目管理机构成员除项目经理外，项目管理机构组成至少还须包括技术负责人、施工员、专职安全员、质量员等，不得兼任且须长驻现场，必须具有上岗证。本工程的项目管理机构人员及联络人员必须是本企业的正式员工，同时必须出具与企业签订的劳动合同原件和企业为其缴纳社保的证明，并且项目管理机构人员的上岗证书原件必须交给发包人核验。</w:t>
      </w:r>
    </w:p>
    <w:p w14:paraId="38A00D34">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(2)根据苏建建管[2014]701号文、苏建建管[2017]236号文及苏建函建管〔2022〕387号，主要管理人员为项目经理、技术负责人、施工员、安全员、质量员。上述人员所辖工程或分项工程施工期间（包括施工准备和收尾阶段），均须专职在岗，不得兼任其他项目任何职务。否则如果承包人违约，除应向发包人支付每人1万元的违约金外，还须予以纠正。主要管理人员实行打卡考勤，若因承包人自身理解问题导致打卡记录不完整，后果自负。主要管理人员每周不少于6天，每天不少于8小时在岗处理事务，如联络人员非本企业的正式员工或主要管理人员（不含项目经理）未按上述要求完成工作则承包人按2000元/人/次向发包人支付违约金，违约金由发包人在支付给承包人的同期工程费用中扣除。</w:t>
      </w:r>
    </w:p>
    <w:p w14:paraId="007C488D">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(3)如果因客观原因更换上述主要管理人员，必须向监理提出申请，监理审核后，报发包人批准方能更换。更换的管理人员必须是本企业正式员工（须提供劳动合同原件），并且与原岗位的管理人员具有同等条件，如资质、业绩等。</w:t>
      </w:r>
    </w:p>
    <w:p w14:paraId="00E231C0">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(4)发包人有权要求承包人调离不称职或发包人认为其雇用是不恰当的人员，未有发包人书面准许，不可再用此人。</w:t>
      </w:r>
    </w:p>
    <w:p w14:paraId="78F9B82B">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3.3.3承包人无正当理由拒绝撤换主要施工管理人员（不含项目经理）的违约责任：承包人以下人员，有以下行为的，经发包人提出后，必须在24小时内调离本工程范围，否则承包人应向发包人每天每人次支付人民币2000元违约金；同时，承包人应在3天内用发包人批准的合格的人员代替上述调离的任何人员。（1）发包人有证据确认无法胜任工作者，包括：对分部分项工程施工进度及施工质量达不到合同要求负有责任的施工人员、不熟悉本专业工作的施工人员等；（2）不能积极配合监理及发包人正常工作者；(3)违反发包人或承包人工地现场管理规定者；(4)无证上岗者；(5)与本合同规定名册不符者；(6)与本工程施工无关的人员。</w:t>
      </w:r>
    </w:p>
    <w:p w14:paraId="34B85BE6">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3.3.4承包人主要施工管理人员（不含项目经理）离开施工现场的批准要求：</w:t>
      </w:r>
      <w:r>
        <w:rPr>
          <w:rFonts w:hint="eastAsia" w:ascii="仿宋" w:hAnsi="仿宋" w:eastAsia="仿宋" w:cs="仿宋"/>
          <w:u w:val="single"/>
        </w:rPr>
        <w:t>如承包人主要施工管理人员有特殊原因不能保证上述在岗时间的或正常在岗时间离开工地现场的，必须以书面请假条形式报监理审核后，报发包人批准。否则承包人按2000元/人/次向发包人支付违约金，违约金在支付工程进度款时扣除</w:t>
      </w:r>
      <w:r>
        <w:rPr>
          <w:rFonts w:hint="eastAsia" w:ascii="仿宋" w:hAnsi="仿宋" w:eastAsia="仿宋" w:cs="仿宋"/>
        </w:rPr>
        <w:t>。</w:t>
      </w:r>
    </w:p>
    <w:p w14:paraId="70FF545A">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3.3.5承包人擅自更换主要施工管理人员的违约责任（不含项目经理）：</w:t>
      </w:r>
      <w:r>
        <w:rPr>
          <w:rFonts w:hint="eastAsia" w:ascii="仿宋" w:hAnsi="仿宋" w:eastAsia="仿宋" w:cs="仿宋"/>
          <w:u w:val="single"/>
        </w:rPr>
        <w:t>承包人的主要施工管理人员必须是本工程投标的人员，如承包人未经发包人书面同意擅自更换的，需支付发包人2万元/人/次的违约金。并且发包人有权在支付的工程进度款中直接将违约金扣除</w:t>
      </w:r>
      <w:r>
        <w:rPr>
          <w:rFonts w:hint="eastAsia" w:ascii="仿宋" w:hAnsi="仿宋" w:eastAsia="仿宋" w:cs="仿宋"/>
        </w:rPr>
        <w:t>。</w:t>
      </w:r>
    </w:p>
    <w:p w14:paraId="5E0A9EA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3.5分包</w:t>
      </w:r>
    </w:p>
    <w:p w14:paraId="6C151B4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3.5.1分包的一般约定</w:t>
      </w:r>
    </w:p>
    <w:p w14:paraId="59392BE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1、禁止分包的工程包括：</w:t>
      </w:r>
      <w:r>
        <w:rPr>
          <w:rFonts w:hint="eastAsia" w:ascii="仿宋" w:hAnsi="仿宋" w:eastAsia="仿宋" w:cs="仿宋"/>
          <w:u w:val="single"/>
        </w:rPr>
        <w:t>所有项目均不得转包及违法分包，若发现承包人擅自转包或违法分包，发包人有权追究项目经理及承包人责任，同时要求承包人退场，一切损失和后果均由承包人承担，并视情况向建设行政主管部门报告，同时由承包人向发包人支付合同总价的10%作为违约金，并负责赔偿由此给发包人带来的一切损失。</w:t>
      </w:r>
    </w:p>
    <w:p w14:paraId="0D7BC5D1">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主体结构、关键性工作的范围：以现行法律法规及规范为准。</w:t>
      </w:r>
    </w:p>
    <w:p w14:paraId="074C9F8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2、存在下列情形之一的，属于转包：</w:t>
      </w:r>
    </w:p>
    <w:p w14:paraId="6B920BE2">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（一）施工单位将其承包的全部工程转给其他单位或个人施工的；</w:t>
      </w:r>
    </w:p>
    <w:p w14:paraId="53BAA541">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（二）施工总承包单位或专业承包单位将其承包的全部工程肢解以后，以分包的名义分别转给其他单位或个人施工的；</w:t>
      </w:r>
    </w:p>
    <w:p w14:paraId="70C7BF1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三）施工总承包单位或专业承包单位未在施工现场设立项目管理机构或未派驻项目负责人、技术负责人、质量管理负责人、安全管理负责人等主要管理人员，不履行管理义务，未对该工程的施工活动进行组织管理的；</w:t>
      </w:r>
    </w:p>
    <w:p w14:paraId="4B490484">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（四）施工总承包单位或专业承包单位不履行管理义务，只向实际施工单位收取费用，主要建筑材料、构配件及工程设备的采购由其他单位或个人实施的；</w:t>
      </w:r>
    </w:p>
    <w:p w14:paraId="07EF61A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（五）劳务分包单位承包的范围是施工总承包单位或专业承包单位承包的全部工程，劳务分包单位计取的是除上缴给施工总承包单位或专业承包单位“管理费”之外的全部工程价款的；</w:t>
      </w:r>
    </w:p>
    <w:p w14:paraId="37BBB969">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（六）施工总承包单位或专业承包单位通过采取合作、联营、个人承包等形式或名义，直接或变相的将其承包的全部工程转给其他单位或个人施工的；</w:t>
      </w:r>
    </w:p>
    <w:p w14:paraId="65F9B02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（七）法律法规规定的其他转包行为。</w:t>
      </w:r>
    </w:p>
    <w:p w14:paraId="6BDBE9D4">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3、存在下列情形之一的，属于违法分包：</w:t>
      </w:r>
    </w:p>
    <w:p w14:paraId="11C436F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（一）施工单位将工程分包给个人的；</w:t>
      </w:r>
    </w:p>
    <w:p w14:paraId="7CC9E96F">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（二）施工单位将工程分包给不具备相应资质或安全生产许可的单位的；</w:t>
      </w:r>
    </w:p>
    <w:p w14:paraId="21A0C78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（三）施工合同中没有约定，又未经建设单位认可，施工单位将其承包的部分工程交由其他单位施工的；</w:t>
      </w:r>
    </w:p>
    <w:p w14:paraId="3D3BC817">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（四）施工总承包单位将房屋建筑工程的主体结构的施工分包给其他单位的，钢结构工程除外；</w:t>
      </w:r>
    </w:p>
    <w:p w14:paraId="54BA827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（五）专业分包单位将其承包的专业工程中非劳务作业部分再分包的；</w:t>
      </w:r>
    </w:p>
    <w:p w14:paraId="28B442AC">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（六）劳务分包单位将其承包的劳务再分包的；</w:t>
      </w:r>
    </w:p>
    <w:p w14:paraId="114BC7AB">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（七）劳务分包单位除计取劳务作业费用外，还计取主要建筑材料款、周转材料款和大中型施工机械设备费用的；</w:t>
      </w:r>
    </w:p>
    <w:p w14:paraId="0BC93AD3">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（八）法律法规规定的其他违法分包行为。</w:t>
      </w:r>
    </w:p>
    <w:p w14:paraId="687D34FF">
      <w:pPr>
        <w:pBdr>
          <w:top w:val="none" w:color="000000" w:sz="0" w:space="0"/>
          <w:left w:val="none" w:color="000000" w:sz="0" w:space="0"/>
          <w:bottom w:val="none" w:color="000000" w:sz="0" w:space="0"/>
          <w:right w:val="none" w:color="000000" w:sz="0" w:space="0"/>
        </w:pBdr>
        <w:spacing w:line="85" w:lineRule="atLeast"/>
        <w:rPr>
          <w:rFonts w:hint="eastAsia" w:ascii="仿宋" w:hAnsi="仿宋" w:eastAsia="仿宋" w:cs="仿宋"/>
        </w:rPr>
      </w:pPr>
      <w:r>
        <w:rPr>
          <w:rFonts w:hint="eastAsia" w:ascii="仿宋" w:hAnsi="仿宋" w:eastAsia="仿宋" w:cs="仿宋"/>
        </w:rPr>
        <w:t>3.5.2分包的确定</w:t>
      </w:r>
    </w:p>
    <w:p w14:paraId="4470FCC6">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允许分包的专业工程包括：</w:t>
      </w:r>
      <w:r>
        <w:rPr>
          <w:rFonts w:hint="eastAsia" w:ascii="仿宋" w:hAnsi="仿宋" w:eastAsia="仿宋" w:cs="仿宋"/>
          <w:u w:val="single"/>
        </w:rPr>
        <w:t>如需分包的的部分非主体、非关键性工程，必须发包人书面同意，并履行分包中各项材料报发包人备案方可进场。</w:t>
      </w:r>
    </w:p>
    <w:p w14:paraId="1C6C08A6">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涉及分包的工程内容，分包工程承包人的资格应符合发包人、国家规定的资质标准要求。</w:t>
      </w:r>
    </w:p>
    <w:p w14:paraId="4415D525">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其他关于分包的约定：</w:t>
      </w:r>
      <w:r>
        <w:rPr>
          <w:rFonts w:hint="eastAsia" w:ascii="仿宋" w:hAnsi="仿宋" w:eastAsia="仿宋" w:cs="仿宋"/>
          <w:u w:val="single"/>
        </w:rPr>
        <w:t>承包人分包的专项工程在实施前14天须向发包人和监理人上报分包单位资质审查表（江苏省建设工程监理现场用表第五版），提供的报审资料包括：分包单位的营业执照、企业资质等级证书、财务状况、安全生产许可文件、专职管理人员（项目经理、质检员、专职安全员等）和特种作业人员的上岗资格证书、进场施工的机械设备情况、企业业绩等有关资料。另还应包括承包人对分包单位的管理制度及分包合同副本。分包单位上报监理、发包人审批的专职管理人员（项目经理、质检员、专职安全员等）须驻场管理。</w:t>
      </w:r>
    </w:p>
    <w:p w14:paraId="20C72C7C">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u w:val="single"/>
        </w:rPr>
        <w:t>如承包人不能按前述要求完成前置手续、不服从发包人对分包管理的，发包人保留对承包人按10000元/次扣除违约金的权利。</w:t>
      </w:r>
    </w:p>
    <w:p w14:paraId="3BB3CA2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3.5.4分包合同价款</w:t>
      </w:r>
    </w:p>
    <w:p w14:paraId="381233E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关于分包合同价款支付的约定：</w:t>
      </w:r>
      <w:r>
        <w:rPr>
          <w:rFonts w:ascii="仿宋" w:hAnsi="仿宋" w:eastAsia="仿宋" w:cs="仿宋"/>
          <w:u w:val="single"/>
        </w:rPr>
        <w:t>按通用条款执行</w:t>
      </w:r>
      <w:r>
        <w:rPr>
          <w:rFonts w:ascii="仿宋" w:hAnsi="仿宋" w:eastAsia="仿宋" w:cs="仿宋"/>
        </w:rPr>
        <w:t>。</w:t>
      </w:r>
    </w:p>
    <w:p w14:paraId="302DCD4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3.6工程照管与成品、半成品保护</w:t>
      </w:r>
    </w:p>
    <w:p w14:paraId="726EAFE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3.6.1承包人负责照管工程及工程相关的材料、工程设备的起始时间：</w:t>
      </w:r>
      <w:r>
        <w:rPr>
          <w:rFonts w:ascii="仿宋" w:hAnsi="仿宋" w:eastAsia="仿宋" w:cs="仿宋"/>
          <w:u w:val="single"/>
        </w:rPr>
        <w:t>承包人后一道工序必须对发包人另行专业发包工程的前一道工序的成品进行有效保护，并对下一道的分包工序做好明确的移交工作，因该移交工作不清，造成的责任由承包人承担。如果承包人后一道工序对发包人另行专业发包工程的前一道工序的成品造成污染、损坏，经发包人和监理确认后，由承包人按照发包人的要求，在规定时间内进行清（处）理或赔偿。承包人应负责采取有效措施对本工程的成品、半成品、材料、施工机械、工器具、周边建筑物和构筑物进行保护，保护费用由承包人支付。对于未正式移交发包人的已完工程，承包人应负责成品保护工作，期间如发生损坏或丢失，承包人负责修复或赔偿</w:t>
      </w:r>
      <w:r>
        <w:rPr>
          <w:rFonts w:ascii="仿宋" w:hAnsi="仿宋" w:eastAsia="仿宋" w:cs="仿宋"/>
        </w:rPr>
        <w:t>。</w:t>
      </w:r>
    </w:p>
    <w:p w14:paraId="2CDCE97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3.7履约担保</w:t>
      </w:r>
    </w:p>
    <w:p w14:paraId="712C643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承包人是否提供履约担保：不提供。</w:t>
      </w:r>
    </w:p>
    <w:p w14:paraId="6A61D28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承包人提供履约担保的金额：/。</w:t>
      </w:r>
    </w:p>
    <w:p w14:paraId="0262E93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承包人提供履约担保的形式：</w:t>
      </w:r>
      <w:r>
        <w:rPr>
          <w:rFonts w:ascii="仿宋" w:hAnsi="仿宋" w:eastAsia="仿宋" w:cs="仿宋"/>
          <w:u w:val="single"/>
        </w:rPr>
        <w:t>/。</w:t>
      </w:r>
    </w:p>
    <w:p w14:paraId="37BDFD3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履约担保期限：</w:t>
      </w:r>
      <w:r>
        <w:rPr>
          <w:rFonts w:ascii="仿宋" w:hAnsi="仿宋" w:eastAsia="仿宋" w:cs="仿宋"/>
          <w:u w:val="single"/>
        </w:rPr>
        <w:t>/</w:t>
      </w:r>
      <w:r>
        <w:rPr>
          <w:rFonts w:ascii="仿宋" w:hAnsi="仿宋" w:eastAsia="仿宋" w:cs="仿宋"/>
        </w:rPr>
        <w:t>。</w:t>
      </w:r>
    </w:p>
    <w:p w14:paraId="7511C77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退还时间：</w:t>
      </w:r>
      <w:r>
        <w:rPr>
          <w:rFonts w:ascii="仿宋" w:hAnsi="仿宋" w:eastAsia="仿宋" w:cs="仿宋"/>
          <w:u w:val="single"/>
        </w:rPr>
        <w:t>/</w:t>
      </w:r>
      <w:r>
        <w:rPr>
          <w:rFonts w:ascii="仿宋" w:hAnsi="仿宋" w:eastAsia="仿宋" w:cs="仿宋"/>
        </w:rPr>
        <w:t>。</w:t>
      </w:r>
    </w:p>
    <w:p w14:paraId="452DC236">
      <w:pPr>
        <w:pBdr>
          <w:top w:val="none" w:color="000000" w:sz="0" w:space="0"/>
          <w:left w:val="none" w:color="000000" w:sz="0" w:space="0"/>
          <w:bottom w:val="none" w:color="000000" w:sz="0" w:space="0"/>
          <w:right w:val="none" w:color="000000" w:sz="0" w:space="0"/>
        </w:pBdr>
        <w:outlineLvl w:val="2"/>
        <w:rPr>
          <w:b/>
          <w:bCs/>
        </w:rPr>
      </w:pPr>
      <w:r>
        <w:rPr>
          <w:rFonts w:ascii="仿宋" w:hAnsi="仿宋" w:eastAsia="仿宋" w:cs="仿宋"/>
          <w:b/>
          <w:bCs/>
        </w:rPr>
        <w:t>4.监理人</w:t>
      </w:r>
    </w:p>
    <w:p w14:paraId="2E95833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4.1监理人的一般规定</w:t>
      </w:r>
    </w:p>
    <w:p w14:paraId="5DB2F8A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关于监理人的监理内容：</w:t>
      </w:r>
      <w:r>
        <w:rPr>
          <w:rFonts w:ascii="仿宋" w:hAnsi="仿宋" w:eastAsia="仿宋" w:cs="仿宋"/>
          <w:u w:val="single"/>
        </w:rPr>
        <w:t>工程质量控制、进度控制、造价控制、信息管理、合同管理、安全监督、现场协调，监督施工单位对工程施工进行科学管理、安全施工、文明施工，核定完成工作量，负责组织单位及总体工程的初步竣工验收，配合发包人完成工程总体竣工验收，具体见本工程监理合同</w:t>
      </w:r>
      <w:r>
        <w:rPr>
          <w:rFonts w:ascii="仿宋" w:hAnsi="仿宋" w:eastAsia="仿宋" w:cs="仿宋"/>
        </w:rPr>
        <w:t>。</w:t>
      </w:r>
    </w:p>
    <w:p w14:paraId="554C25F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关于监理人的监理权限：</w:t>
      </w:r>
      <w:r>
        <w:rPr>
          <w:rFonts w:ascii="仿宋" w:hAnsi="仿宋" w:eastAsia="仿宋" w:cs="仿宋"/>
          <w:u w:val="single"/>
        </w:rPr>
        <w:t>详见本工程监理合同。</w:t>
      </w:r>
    </w:p>
    <w:p w14:paraId="18EB6D5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关于监理人在施工现场的办公场所、生活场所的提供和费用承担的约定：</w:t>
      </w:r>
      <w:r>
        <w:rPr>
          <w:rFonts w:ascii="仿宋" w:hAnsi="仿宋" w:eastAsia="仿宋" w:cs="仿宋"/>
          <w:u w:val="single"/>
        </w:rPr>
        <w:t>详见本工程监理合同。</w:t>
      </w:r>
    </w:p>
    <w:p w14:paraId="2EB7B2A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4.2监理人员</w:t>
      </w:r>
    </w:p>
    <w:p w14:paraId="0C4C6EE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总监理工程师：</w:t>
      </w:r>
    </w:p>
    <w:p w14:paraId="5FDF770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姓名：</w:t>
      </w:r>
      <w:r>
        <w:rPr>
          <w:rFonts w:ascii="仿宋" w:hAnsi="仿宋" w:eastAsia="仿宋" w:cs="仿宋"/>
          <w:u w:val="single"/>
        </w:rPr>
        <w:t>               ；</w:t>
      </w:r>
    </w:p>
    <w:p w14:paraId="0C8D7A8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职务：</w:t>
      </w:r>
      <w:r>
        <w:rPr>
          <w:rFonts w:ascii="仿宋" w:hAnsi="仿宋" w:eastAsia="仿宋" w:cs="仿宋"/>
          <w:u w:val="single"/>
        </w:rPr>
        <w:t>                   ；</w:t>
      </w:r>
    </w:p>
    <w:p w14:paraId="7AB0526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监理工程师执业资格证书号：</w:t>
      </w:r>
      <w:r>
        <w:rPr>
          <w:rFonts w:ascii="仿宋" w:hAnsi="仿宋" w:eastAsia="仿宋" w:cs="仿宋"/>
          <w:u w:val="single"/>
        </w:rPr>
        <w:t>               ；</w:t>
      </w:r>
    </w:p>
    <w:p w14:paraId="1C89A55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联系电话：</w:t>
      </w:r>
      <w:r>
        <w:rPr>
          <w:rFonts w:ascii="仿宋" w:hAnsi="仿宋" w:eastAsia="仿宋" w:cs="仿宋"/>
          <w:u w:val="single"/>
        </w:rPr>
        <w:t>                   ；</w:t>
      </w:r>
    </w:p>
    <w:p w14:paraId="7FF491A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电子信箱</w:t>
      </w:r>
      <w:r>
        <w:rPr>
          <w:rFonts w:ascii="仿宋" w:hAnsi="仿宋" w:eastAsia="仿宋" w:cs="仿宋"/>
          <w:u w:val="single"/>
        </w:rPr>
        <w:t>：；</w:t>
      </w:r>
    </w:p>
    <w:p w14:paraId="6029DE6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通信地址：</w:t>
      </w:r>
      <w:r>
        <w:rPr>
          <w:rFonts w:ascii="仿宋" w:hAnsi="仿宋" w:eastAsia="仿宋" w:cs="仿宋"/>
          <w:u w:val="single"/>
        </w:rPr>
        <w:t>                         ；</w:t>
      </w:r>
    </w:p>
    <w:p w14:paraId="2D0B468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关于监理人的其他约定：</w:t>
      </w:r>
      <w:r>
        <w:rPr>
          <w:rFonts w:ascii="仿宋" w:hAnsi="仿宋" w:eastAsia="仿宋" w:cs="仿宋"/>
          <w:u w:val="single"/>
        </w:rPr>
        <w:t>详见监理合同</w:t>
      </w:r>
      <w:r>
        <w:rPr>
          <w:rFonts w:ascii="仿宋" w:hAnsi="仿宋" w:eastAsia="仿宋" w:cs="仿宋"/>
        </w:rPr>
        <w:t>。</w:t>
      </w:r>
    </w:p>
    <w:p w14:paraId="2F47128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4.4商定或确定</w:t>
      </w:r>
    </w:p>
    <w:p w14:paraId="5A31AE6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在发包人和承包人不能通过协商达成一致意见时，发包人授权监理人对以下事项进行确定：</w:t>
      </w:r>
      <w:r>
        <w:rPr>
          <w:rFonts w:ascii="仿宋" w:hAnsi="仿宋" w:eastAsia="仿宋" w:cs="仿宋"/>
          <w:u w:val="single"/>
        </w:rPr>
        <w:t>暂无，如有另行约定。</w:t>
      </w:r>
    </w:p>
    <w:p w14:paraId="61FE4104">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5.工程质量</w:t>
      </w:r>
    </w:p>
    <w:p w14:paraId="2B0DE0E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5.1质量要求</w:t>
      </w:r>
    </w:p>
    <w:p w14:paraId="2FC1EC0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5.1.1特殊质量标准和要求：工程质量标准按国家、地方现行施工及验收规范执行，各项质量标准必须达到合格以上，并且必须达到本合同约定的质量标准，同时还须达到以下要求：</w:t>
      </w:r>
    </w:p>
    <w:p w14:paraId="2781BB6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(1)承包人应按照GB/T19002－ISO9002质量管理体系标准，建立并保持一个健全的工程质量保证体系，完善质量管理制度，建立质量控制流程。</w:t>
      </w:r>
    </w:p>
    <w:p w14:paraId="50DD7E0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承包人应该严格按照施工规范、技术规程以及经监理工程师和发包人审核批复的实施性施工组织设计精心组织施工，施工过程中，承包人确保工程质量符合设计要求，达到国家施工质量验收评定标准和现行施工验收规范。若承包人阶段性工程质量验收或者过程性工程质量验收（分部验收）有一次验收不合格的，需承担10万元的违约金，直接在应付工程款中扣除，并不免除维修和整改的义务；两次及以上验收不符合设计要求或者达不到工程质量合格标准，发包人有权解除合同。</w:t>
      </w:r>
    </w:p>
    <w:p w14:paraId="4850795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(3)无论监理工程师是否进行并通过了各项检验，均不解除承包人对自己承包的工程的质量所负责任。</w:t>
      </w:r>
    </w:p>
    <w:p w14:paraId="3777AEF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无论工程材料是由承包人自行供应或是由发包人推荐的供应商供应，均不解除承包人所负的工程全面质量的责任，承包人应该对各种材料按规范进行检查，拒绝不符合要求的材料用于工程。无论何种原因，出现不合格材料用于工程的情况，均由承包人承担所有的责任，承包人可向对应责任方进行追偿。</w:t>
      </w:r>
    </w:p>
    <w:p w14:paraId="473DFBB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(5)承包人应按竞争性磋商文件及有关技术规范要求，设置专门的测量岗位，完成工程所有的测量工作，并积累完整的技术资料。</w:t>
      </w:r>
    </w:p>
    <w:p w14:paraId="19174E6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承包人的工程质量未达到国家规范质量标准的，发包人将对承包人处以金额为工程结算价款10%的违约金，违约金将在结算价款中扣除。同时，并不免除承包人通过修补、返工使施工质量达到合同要求质量标准的责任。所发生的一切返工费用及由此给发包人造成的经济损失均由承包人承担。此项赔偿并不能解除承包人完成工程的责任及合同规定的其他责任。如因施工质量导致安全事故，承包人负责承担事故处理的一切费用、工程的恢复费用及因此而造成后续工程延误费用。</w:t>
      </w:r>
    </w:p>
    <w:p w14:paraId="4A7FCA0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(7)若本工程虽经验收，但因不符合设计标准等出现质量瑕疵问题，发包人仍将对承包人处以金额为工程结算价款10%的违约金，违约金将在结算价款中扣除。</w:t>
      </w:r>
    </w:p>
    <w:p w14:paraId="1E30B31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(8)本工程质量管理必须符合发包人内部流程及管理办法。</w:t>
      </w:r>
    </w:p>
    <w:p w14:paraId="1F195A78">
      <w:pPr>
        <w:pBdr>
          <w:top w:val="none" w:color="000000" w:sz="0" w:space="0"/>
          <w:left w:val="none" w:color="000000" w:sz="0" w:space="0"/>
          <w:bottom w:val="none" w:color="000000" w:sz="0" w:space="0"/>
          <w:right w:val="none" w:color="000000" w:sz="0" w:space="0"/>
        </w:pBdr>
        <w:spacing w:line="85" w:lineRule="atLeast"/>
        <w:ind w:firstLine="210"/>
      </w:pPr>
      <w:r>
        <w:rPr>
          <w:rFonts w:ascii="仿宋" w:hAnsi="仿宋" w:eastAsia="仿宋" w:cs="仿宋"/>
        </w:rPr>
        <w:t>关于工程奖项的约定：</w:t>
      </w:r>
      <w:r>
        <w:rPr>
          <w:rFonts w:ascii="仿宋" w:hAnsi="仿宋" w:eastAsia="仿宋" w:cs="仿宋"/>
          <w:u w:val="single"/>
        </w:rPr>
        <w:t>无</w:t>
      </w:r>
      <w:r>
        <w:rPr>
          <w:rFonts w:ascii="仿宋" w:hAnsi="仿宋" w:eastAsia="仿宋" w:cs="仿宋"/>
        </w:rPr>
        <w:t>。</w:t>
      </w:r>
    </w:p>
    <w:p w14:paraId="2292453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5.3隐蔽工程检查</w:t>
      </w:r>
    </w:p>
    <w:p w14:paraId="7350152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5.3.2承包人提前通知监理人隐蔽工程检查的期限的约定：</w:t>
      </w:r>
      <w:r>
        <w:rPr>
          <w:rFonts w:ascii="仿宋" w:hAnsi="仿宋" w:eastAsia="仿宋" w:cs="仿宋"/>
          <w:u w:val="single"/>
        </w:rPr>
        <w:t>承包人应在共同检查前24小时书面通知监理人检查，通知中应载明隐蔽检查的内容、时间和地点，并应附有自检记录和必要的检查资料。</w:t>
      </w:r>
    </w:p>
    <w:p w14:paraId="44B2857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监理人不能按时进行检查时，应提前</w:t>
      </w:r>
      <w:r>
        <w:rPr>
          <w:rFonts w:ascii="仿宋" w:hAnsi="仿宋" w:eastAsia="仿宋" w:cs="仿宋"/>
          <w:u w:val="single"/>
        </w:rPr>
        <w:t>12</w:t>
      </w:r>
      <w:r>
        <w:rPr>
          <w:rFonts w:ascii="仿宋" w:hAnsi="仿宋" w:eastAsia="仿宋" w:cs="仿宋"/>
        </w:rPr>
        <w:t>小时提交书面延期要求。</w:t>
      </w:r>
    </w:p>
    <w:p w14:paraId="57583B0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关于延期最长不得超过：</w:t>
      </w:r>
      <w:r>
        <w:rPr>
          <w:rFonts w:ascii="仿宋" w:hAnsi="仿宋" w:eastAsia="仿宋" w:cs="仿宋"/>
          <w:u w:val="single"/>
        </w:rPr>
        <w:t>48</w:t>
      </w:r>
      <w:r>
        <w:rPr>
          <w:rFonts w:ascii="仿宋" w:hAnsi="仿宋" w:eastAsia="仿宋" w:cs="仿宋"/>
        </w:rPr>
        <w:t>小时。</w:t>
      </w:r>
    </w:p>
    <w:p w14:paraId="73C88D26">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6.安全文明施工与环境保护</w:t>
      </w:r>
    </w:p>
    <w:p w14:paraId="737CF9D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6.1安全文明施工</w:t>
      </w:r>
    </w:p>
    <w:p w14:paraId="4E4708F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6.1.1项目安全生产的达标目标及相应事项的约定：</w:t>
      </w:r>
      <w:r>
        <w:rPr>
          <w:rFonts w:ascii="仿宋" w:hAnsi="仿宋" w:eastAsia="仿宋" w:cs="仿宋"/>
          <w:u w:val="single"/>
        </w:rPr>
        <w:t>承包人应当遵守工程建设安全生产有关管理规定，严格按安全标准组织施工，并随时接受发包人、监理及行业安全检查人员依法实施的监督检查，采取必要的安全防护措施，消除事故隐患。项目安全生产目标应不低于《建筑施工安全检查标准》(JGJ59-2011)的合格标准。项目安全生产目标应不低于《建筑施工安全检查标准》(JGJ59-2011)的合格标准，且本项目特性补充以下要求：杜绝较大及以上生产安全事故，重伤事故发生率为0，轻伤事故发生率控制在0.3‰以内；危大作业的专项方案验收合格率 100%，特种作业人员持证上岗率100%；安全隐患排查覆盖率 100%，一般隐患24小时内整改闭环，重大隐患立即停工整改并经监理验收合格后方可复工。在承包人施工范围内发生或因承包人施工活动发生的有关的安全事故及所有损失均由承包人负责处理并承担责任。</w:t>
      </w:r>
    </w:p>
    <w:p w14:paraId="44AE74E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（1）承包人在现场的安全管理、教育和安全事故责任由承包人负全责，费用已含在合同价款中。</w:t>
      </w:r>
    </w:p>
    <w:p w14:paraId="78573E0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承包人随时接受当地政府安全、环境、劳动监察等管理部门的检查和监督。安全和职业健康实行月、季和年的定期的安全综合检查和例会制度，做好安全防护措施，减少或是消除安全隐患，加强整改制度，降低事故风险，评估各项危险源的危险等级，辨识危险源，针对危险性较大工作制定出专项安全施工方案，编制综合应急预案，针对重大危险源编制专项应急预案，并做好各类应急响应的各项准备工作，安全施工防护费已含在合同价款内。由于承包人安全措施不力造成事故的责任和因此发生的费用，由承包人承担。发包人及监理有权对承包人违章现场提出整改要求，承包人接到书面整改通知后24小时内未采取相应措施整改的，每次支付违约金2000元。</w:t>
      </w:r>
    </w:p>
    <w:p w14:paraId="02B0B2B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承包人应严格按照国家《中华人民共和国安全生产法》和《建设工程安全生产管理条例》等相关的法律法规和国家标准配置足额的安全生产管理人员，发包人有权要求承包人按规定增加安全管理人员，并持续在岗工作，不得擅自离岗。承包人应对其在施工场地的工作人员进行安全教育，并对他们的安全负责。承包人应根据施工场地周边条件和环境采取相应措施，加强对相邻建筑、道路及人员的安全防护，确保安全施工。承包人应确保本工程在整个施工期间杜绝一切人身伤亡和重大质量安全事故。</w:t>
      </w:r>
    </w:p>
    <w:p w14:paraId="00AA7DB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在施工场地内禁止使用明火。施工期间确需进行电焊、气焊等具有火灾危险明火作业的，应事先办理动火审批手续；进行电焊、气焊等具有火灾危险作业的人员必须持证上岗，并遵守消防安全操作规程；动火作业期间应配备监火人、配备接火盆及灭火器材等。按用火规定，采取严格防火措施，严禁在有火灾爆炸危险的场所使用明火。建筑工程中采用的电器产品、燃气用具等质量必须符合国家标准或行业标准，具体安装和线路管路的敷设必须符合国家有关消防安全技术规范，对需要安装大功率电器设备，应经监理人及发包人同意后方可安装使用。如承包人不按上述要求执行，发包人有权按【2000】元/次扣除违约金。</w:t>
      </w:r>
    </w:p>
    <w:p w14:paraId="241D57E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（5）对现场临时消防设施的要求：施工现场消防安全监督管理应符合江苏省建设厅《建设工程施工现场消防安全标准》的要求。现场临时消防设施产生的费用已包含在承包人的合同价款中。</w:t>
      </w:r>
    </w:p>
    <w:p w14:paraId="3AADB2D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承包人应保证在整个合同履行过程中所用的全部工器具、设备、施工机械及现场设施等的安全、性能和状态完好，能够实现预定的作用，满足合同约定和发包人的要求。与工程有关的大中型施工机械、现场变配电设备以及重要施工器具等的检修、维护须提前7天通知发包人和监理工程师。如承包人不按上述要求执行，发包人有权按【2000】元/次扣除违约金。</w:t>
      </w:r>
    </w:p>
    <w:p w14:paraId="15C67E8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承包人必须服从发包人和总承包管理单位（如有）的现场安全考核管理办法。发包人按照规定对承包人在施工过程中所产生的安全文明施工费用进行审核，并按照相关规定发放给承包人，承包人不得把安全文明施工费用转借、挪用，发包人有权扣除不规范使用的安全文明生产费用，且按2000元/次扣除违约金。</w:t>
      </w:r>
    </w:p>
    <w:p w14:paraId="01C8CFC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8）发包人在施工检查当中发现现场施工人员存在违规操作、违章指挥或是存在事故安全隐患，有权责令承包人进行整改甚至停工整顿，直至消除安全隐患，对于整改不力或是不彻底的，承包人应按照发包人要求承担违约金。发包人按照相关的法律法规制定出或是下发的一系列有关于安全、环境保护和职业健康的管理文件、规章制度、措施等，承包人须按要求执行，不按要求执行而造成安全生产事故的则由承包人全权负责。</w:t>
      </w:r>
    </w:p>
    <w:p w14:paraId="666F5E3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（9）发包人监督承包人安全文明施工管理。本工程施工过程中由于承包人的违规操作、违章指挥而发生安全文明事故，承包人应负全责并承担一切费用。</w:t>
      </w:r>
    </w:p>
    <w:p w14:paraId="2C8EF4F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（10）承包人必须遵守《南京市扬尘污染防治管理办法》，必须按照相关规定及发包人要求采取扬尘污染防治措施，相关措施费用已含在本合同总价中。</w:t>
      </w:r>
    </w:p>
    <w:p w14:paraId="59A0254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11）因承包人原因造成的任何和安全文明施工相关的事故如遭媒体曝光，则所发生的应该支付的损失、赔偿费、补偿费用等责任均由承包人承担，且应向发包人支付签约合同价的1%作为违约金。同时承包人应按有关规定立即上报有关部门并通知发包人和监理，由此给发包人带来的任何影响，发包人有权保留进一步追偿的权利。因承包人引发的安全文明事故处罚造成项目整体停工并导致其他单位的索赔责任由承包人承担</w:t>
      </w:r>
      <w:r>
        <w:rPr>
          <w:rFonts w:ascii="仿宋" w:hAnsi="仿宋" w:eastAsia="仿宋" w:cs="仿宋"/>
        </w:rPr>
        <w:t>。</w:t>
      </w:r>
    </w:p>
    <w:p w14:paraId="4BA983E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6.1.4关于治安保卫的特别约定：</w:t>
      </w:r>
      <w:r>
        <w:rPr>
          <w:rFonts w:ascii="仿宋" w:hAnsi="仿宋" w:eastAsia="仿宋" w:cs="仿宋"/>
          <w:u w:val="single"/>
        </w:rPr>
        <w:t>在实施和完成本工程过程中，承包人应充分关注和保障所有在场人员的安全，承包人对安全防护工作负全责（包括但不限于责任和费用），并禁止非施工人员、车辆进入现场。为保护本工程免遭损坏，或为现场附近和过往人群的安全与方便，在确有必要的时候和地方，或当监理工程师或有关主管部门要求时，承包人应自费提供照明、警卫、护栅、警告标志等安全防护措施。如承包人未履行上述约定及通用条款相关义务造成工程、财产和人身伤害，由承包人承担责任，赔偿损失及支付发生的一切费用，且发包人有权按2000元/次扣除违约金。</w:t>
      </w:r>
    </w:p>
    <w:p w14:paraId="2185A7A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关于编制施工场地治安管理计划的约定：</w:t>
      </w:r>
      <w:r>
        <w:rPr>
          <w:rFonts w:ascii="仿宋" w:hAnsi="仿宋" w:eastAsia="仿宋" w:cs="仿宋"/>
          <w:u w:val="single"/>
        </w:rPr>
        <w:t>必须在开工前或施工合同签署后14日内编写针对本工程的实施性施工组织设计，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且发包人有权扣除1万元违约金</w:t>
      </w:r>
      <w:r>
        <w:rPr>
          <w:rFonts w:ascii="仿宋" w:hAnsi="仿宋" w:eastAsia="仿宋" w:cs="仿宋"/>
        </w:rPr>
        <w:t>。</w:t>
      </w:r>
    </w:p>
    <w:p w14:paraId="716A0ED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6.1.5文明施工</w:t>
      </w:r>
    </w:p>
    <w:p w14:paraId="4E9400A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合同当事人对文明施工的要求：</w:t>
      </w:r>
      <w:r>
        <w:rPr>
          <w:rFonts w:ascii="仿宋" w:hAnsi="仿宋" w:eastAsia="仿宋" w:cs="仿宋"/>
          <w:u w:val="single"/>
        </w:rPr>
        <w:t>按照南京市建设行政主管部门颁发的文明施工管理规定和承包人施工组织设计中编制的文明施工措施执行，并做到包含但不限于以下：</w:t>
      </w:r>
    </w:p>
    <w:p w14:paraId="5D1F9C6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1.施工安全：（1）承包人报请监理工程师和发包人代表审批的施工组织设计中应有安全施工方案，要有安全施工管理系统，配备安全管理人员负责工程、车辆机械和施工人员的安全工作，将施工安全落到实处。</w:t>
      </w:r>
    </w:p>
    <w:p w14:paraId="4365AA5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承包人要认真做好施工机械的保养维护工作和操作人员的安全教育工作，施工机械不得野蛮操作，操作人员不得带病作业，不得违规操作，杜绝施工安全事故，如承包人未按上述要求执行，发包人有权按2000元/次扣除违约金。</w:t>
      </w:r>
    </w:p>
    <w:p w14:paraId="0C3CDAE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承包人的所有雇员和代表都应穿戴整齐，行为文明。要佩戴由承包人提供的工作证，工作证上应标明姓名、职务、身份及编号，在现场期间应一直佩戴在胸前。承包人的所有机械及设备都应醒目地标注承包人的名称，如承包人未按上述要求执行，发包人有权按1000元/次扣除违约金。</w:t>
      </w:r>
    </w:p>
    <w:p w14:paraId="361F211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（4）设置、维修和管理临时排污系统；</w:t>
      </w:r>
    </w:p>
    <w:p w14:paraId="5EF80ED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按照南京市有关对施工工地扬尘处理办法，对施工工地进行扬尘处理，场地内土方裸露部分应及时覆盖，24小时内未覆盖到位，支付违约金2000元/次，相关措施费用已含在本合同总价中，向环境保护行政主管部门缴纳的规费由发包人负责。</w:t>
      </w:r>
    </w:p>
    <w:p w14:paraId="0A48E62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（6）每天保持施工道路的畅通与清洁，负责保养及维修进入工地施工区域道路，费用由承包人承担，且发包人有权按2000元/次扣除违约金；</w:t>
      </w:r>
    </w:p>
    <w:p w14:paraId="6953769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（7）收集和处理施工现场和生活区域内的垃圾，直到竣工交付为止，否则发包人有权按2000元/次扣除违约金。</w:t>
      </w:r>
    </w:p>
    <w:p w14:paraId="210A831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2.施工噪音：工程施工期间，噪声对环境的影响必须满足国家和南京市有关法规要求。施工噪声遵守《建筑施工噪声排放标准》(GB 12523-2025)。在选择施工设备及施工方法时，承包人必须考虑由此产生的噪声标准及对施工人员和周围单位和居民的影响。在工程施工过程中，若发生施工噪声超标扰民事件，由承包人负责解决，发包人予以配合。</w:t>
      </w:r>
    </w:p>
    <w:p w14:paraId="7284E0F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3.污水排放：所有的废水、污水应按批准的方法处理后排入排污系统，不得污染环境，否则，由此而引起的后果由承包人自行负责。</w:t>
      </w:r>
    </w:p>
    <w:p w14:paraId="7318B0F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垃圾处理：所有的生活垃圾、施工垃圾必须远离生活设施和施工场地，施工垃圾应按照批准的方法运往批准的地点进行处理，生活垃圾应按照城市规定每天集中，纳入城市垃圾处理系统，相关费用已含在报价内。</w:t>
      </w:r>
    </w:p>
    <w:p w14:paraId="2F6D2C7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争议由承包人负责协调，发包人予以协助。</w:t>
      </w:r>
    </w:p>
    <w:p w14:paraId="49F6AB2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临时设施：临时设施应按照发包人批准的本工程现场平面布置图搭设。施工现场要保持场容场貌整洁，各种料具要按施工平面图位置存放、堆放整齐。承包人应及时清理施工现场的各种垃圾，竣工验收合格后一周内拆除所有临时设施，并按发包人要求将建筑垃圾清运出场，做到工完场清。否则由发包人指定相关单位清运垃圾，承包人无条件的承担垃圾清运所发生的各种费用。现场的清理标准应征得发包人认可，否则如发生相关费用由发包人在工程竣工结算价款中扣除。</w:t>
      </w:r>
    </w:p>
    <w:p w14:paraId="66355F1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7.各级政府相关管理部门对施工现场进行的有关建筑工程安全防护、文明施工的各种检查而发生的费用，无论在投标报价中是否单独列出均由承包人承担。</w:t>
      </w:r>
    </w:p>
    <w:p w14:paraId="2D4292F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6.1.6关于安全文明施工费支付比例和支付期限的约定：开工且发包人完成支付申请审批后28日内，发包人向承包人预付安全文明措施基本费总额的100%。其余安全文明施工费的支付纳入工程进度款中，随同期进度款支付。</w:t>
      </w:r>
    </w:p>
    <w:p w14:paraId="77A16490">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7.工期和进度</w:t>
      </w:r>
    </w:p>
    <w:p w14:paraId="765EC20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7.1施工组织设计</w:t>
      </w:r>
    </w:p>
    <w:p w14:paraId="67672AA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7.1.1合同当事人约定的施工组织设计应包括的其他内容：施工组织设计应包括但不限于以下内容：总体进度计划安排，全部设备、材料、成品、半成品等需求供应进场计划，人员安排、质保体系、安保体系、安全文明施工措施、施工机械设备配置情况，以及施工现场优化布置等内容。</w:t>
      </w:r>
    </w:p>
    <w:p w14:paraId="13A043D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7.1.2施工组织设计的提交和修改</w:t>
      </w:r>
    </w:p>
    <w:p w14:paraId="48B652B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提交详细施工组织设计的期限的约定：图纸会审及设计交底后一周内。承包人在开工前或施工合同签署后的14日内报送修改后的施工进度总计划，14日之内报送详细的施工组织设计（施工方案），每月25日前向发包人、监理报送月计划，每周向发包人、监理方报送周计划。不按时提供上述文件或提供的文件不符合发包人要求的视为违约，发包人、监理除责令改正外，有权要求承包人按1000-5000元/次支付违约金。承包人必须按工程师确认的进度计划组织施工、接受工程师对进度的检查、监督。工程实际进度与经确认的进度计划不符时，承包人应按工程师的要求提出改进措施，经工程师书面确认后执行，且承包人无权就改进措施提出追加合同价款，涉及减少合同价款的应予以扣减。</w:t>
      </w:r>
    </w:p>
    <w:p w14:paraId="0151997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发包人和监理人在收到详细的施工组织设计后确认或提出修改意见的期限：收到需要确认的文件资料后14日内组织审核批准或提出修改意见。</w:t>
      </w:r>
    </w:p>
    <w:p w14:paraId="6B84FA2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7.2施工进度计划</w:t>
      </w:r>
    </w:p>
    <w:p w14:paraId="3AA2605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7.2.2施工进度计划的修订</w:t>
      </w:r>
    </w:p>
    <w:p w14:paraId="440B5B7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发包人和监理人在收到修订的施工进度计划后确认或提出修改意见的期限：</w:t>
      </w:r>
      <w:r>
        <w:rPr>
          <w:rFonts w:ascii="仿宋" w:hAnsi="仿宋" w:eastAsia="仿宋" w:cs="仿宋"/>
          <w:u w:val="single"/>
        </w:rPr>
        <w:t>收到需要确认的文件资料后5日内组织审核批准或提出修改意见。应发包人和监理人的要求，需进行施工计划的修订，承包人未按时送审符合要求的施工进度计划，造成发包人无法判断工程进展顺利与否，发包人可按照现实情况要求承包人支付5000-10000元的违约金，并可拒付相应部分工程进度款，责任由承包人承担。发包人和监理人对施工进度计划的任何确认、调整和修改意见不免除和减轻承包人的工期责任</w:t>
      </w:r>
      <w:r>
        <w:rPr>
          <w:rFonts w:ascii="仿宋" w:hAnsi="仿宋" w:eastAsia="仿宋" w:cs="仿宋"/>
        </w:rPr>
        <w:t>。</w:t>
      </w:r>
    </w:p>
    <w:p w14:paraId="19FCDB6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7.3开工</w:t>
      </w:r>
    </w:p>
    <w:p w14:paraId="2F854DD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7.3.1开工准备</w:t>
      </w:r>
    </w:p>
    <w:p w14:paraId="23B09406">
      <w:pPr>
        <w:pBdr>
          <w:top w:val="none" w:color="000000" w:sz="0" w:space="0"/>
          <w:left w:val="none" w:color="000000" w:sz="0" w:space="0"/>
          <w:bottom w:val="none" w:color="000000" w:sz="0" w:space="0"/>
          <w:right w:val="none" w:color="000000" w:sz="0" w:space="0"/>
        </w:pBdr>
        <w:spacing w:line="85" w:lineRule="atLeast"/>
        <w:ind w:firstLine="645"/>
      </w:pPr>
      <w:r>
        <w:rPr>
          <w:rFonts w:ascii="仿宋" w:hAnsi="仿宋" w:eastAsia="仿宋" w:cs="仿宋"/>
        </w:rPr>
        <w:t>关于承包人提交工程开工报审表的期限：</w:t>
      </w:r>
      <w:r>
        <w:rPr>
          <w:rFonts w:ascii="仿宋" w:hAnsi="仿宋" w:eastAsia="仿宋" w:cs="仿宋"/>
          <w:u w:val="single"/>
        </w:rPr>
        <w:t>按通用条款执行。</w:t>
      </w:r>
    </w:p>
    <w:p w14:paraId="1AA4FE45">
      <w:pPr>
        <w:pBdr>
          <w:top w:val="none" w:color="000000" w:sz="0" w:space="0"/>
          <w:left w:val="none" w:color="000000" w:sz="0" w:space="0"/>
          <w:bottom w:val="none" w:color="000000" w:sz="0" w:space="0"/>
          <w:right w:val="none" w:color="000000" w:sz="0" w:space="0"/>
        </w:pBdr>
        <w:spacing w:line="85" w:lineRule="atLeast"/>
        <w:ind w:firstLine="645"/>
      </w:pPr>
      <w:r>
        <w:rPr>
          <w:rFonts w:ascii="仿宋" w:hAnsi="仿宋" w:eastAsia="仿宋" w:cs="仿宋"/>
        </w:rPr>
        <w:t>关于发包人应完成的其他开工准备工作及期限：</w:t>
      </w:r>
      <w:r>
        <w:rPr>
          <w:rFonts w:ascii="仿宋" w:hAnsi="仿宋" w:eastAsia="仿宋" w:cs="仿宋"/>
          <w:u w:val="single"/>
        </w:rPr>
        <w:t>按通用条款执行。</w:t>
      </w:r>
    </w:p>
    <w:p w14:paraId="4AD2810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关于承包人应完成的其他开工准备工作及期限：</w:t>
      </w:r>
      <w:r>
        <w:rPr>
          <w:rFonts w:ascii="仿宋" w:hAnsi="仿宋" w:eastAsia="仿宋" w:cs="仿宋"/>
          <w:u w:val="single"/>
        </w:rPr>
        <w:t>按通用条款执行。</w:t>
      </w:r>
    </w:p>
    <w:p w14:paraId="7FEB8E1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7.3.2开工通知</w:t>
      </w:r>
    </w:p>
    <w:p w14:paraId="72433F1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若承包人未按期申报开工报审表，开工日期按照发包人开工令的时间为准。因发包人原因造成监理人未能在计划开工日期之日起90天内发出开工通知的，承包人有权提出价格调整要求；承包人也可提出解除合同。如双方解除合同的，发包人不承担违约责任。</w:t>
      </w:r>
    </w:p>
    <w:p w14:paraId="3C1285C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承包人价格调整的按第11.1条[市场价格波动引起的调整]中第3种方式执行。</w:t>
      </w:r>
    </w:p>
    <w:p w14:paraId="181A5B0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7.4测量放线</w:t>
      </w:r>
    </w:p>
    <w:p w14:paraId="3332456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7.4.1发包人通过监理人向承包人提供测量基准点、基准线和水准点及其书面资料的期限：</w:t>
      </w:r>
      <w:r>
        <w:rPr>
          <w:rFonts w:ascii="仿宋" w:hAnsi="仿宋" w:eastAsia="仿宋" w:cs="仿宋"/>
          <w:u w:val="single"/>
        </w:rPr>
        <w:t>开工前7天发包人、承包人及监理单位、跟踪审计四方按施工图进行现场交验，并提供书面报告交承包人</w:t>
      </w:r>
      <w:r>
        <w:rPr>
          <w:rFonts w:ascii="仿宋" w:hAnsi="仿宋" w:eastAsia="仿宋" w:cs="仿宋"/>
        </w:rPr>
        <w:t>。</w:t>
      </w:r>
    </w:p>
    <w:p w14:paraId="3AB86B1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7.5工期延误</w:t>
      </w:r>
    </w:p>
    <w:p w14:paraId="288132F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7.5.1因发包人原因导致工期延误</w:t>
      </w:r>
    </w:p>
    <w:p w14:paraId="3DE4157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因发包人原因导致工期延误的其他情形：</w:t>
      </w:r>
      <w:r>
        <w:rPr>
          <w:rFonts w:ascii="仿宋" w:hAnsi="仿宋" w:eastAsia="仿宋" w:cs="仿宋"/>
          <w:u w:val="single"/>
        </w:rPr>
        <w:t>（1）由发包人原因而造成承包人工期延误（发包人、承包人、监理、跟踪审计四方确认），经监理和发包人代表共同签证后工期顺延；若工期延误超过84天，承包人有权提出价格调整要求；承包人也可提出解除合同。如双方解除合同的，发包人不承担违约责任。承包人提出剩余工程量价格调整则参照第11.1条[市场价格波动引起的调整]中第3种方式执行。</w:t>
      </w:r>
    </w:p>
    <w:p w14:paraId="2FDBDBC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7.5.2因承包人原因导致工期延误</w:t>
      </w:r>
    </w:p>
    <w:p w14:paraId="3335A16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因承包人原因造成工期延误，逾期竣工违约金的计算方法为：</w:t>
      </w:r>
    </w:p>
    <w:p w14:paraId="346B2974">
      <w:pPr>
        <w:numPr>
          <w:ilvl w:val="0"/>
          <w:numId w:val="4"/>
        </w:num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如因承包人原因，导致节点工期延误，承包人按每延误一天赔偿3000元整向发包人支付违约金，发包人有权直接从应支付的工程款中扣除此违约金，此违约金并不能免除承包人应完成的工程责任及合同规定的其他责任。</w:t>
      </w:r>
    </w:p>
    <w:p w14:paraId="49C8E8E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如因承包人原因，导致竣工工期滞后于合同工期，承包人按工期每滞后一天赔偿5000元整向发包人支付违约金，发包人有权直接从应支付的工程款中扣除此违约金，此违约金并不能免除承包人应完成的工程责任及合同规定的其他责任，给发包人造成的一切损失由承包人按实际金额承担。</w:t>
      </w:r>
    </w:p>
    <w:p w14:paraId="21A8AD4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如因承包人原因导致实际进度与原定的具体分项工程完成进度计划不符，承包人无改进措施或无法按工期完工或质量无法达到合同要求的，发包人有权对部分分项工程指定其他承包人施工，承包人必须无条件服从和配合；此分项工程费用由发包人按实际发生费用从承包人的工程款中扣除，并扣除等额发生费用的违约金。</w:t>
      </w:r>
    </w:p>
    <w:p w14:paraId="1A0D77A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（4）如因承包人原因造成完工工期延误达20天以上，发包人有权单方面终止合同，承包人必须立即清场并赔偿发包人的一切损失，承包人承担由此引起的一切法律责任</w:t>
      </w:r>
      <w:r>
        <w:rPr>
          <w:rFonts w:ascii="仿宋" w:hAnsi="仿宋" w:eastAsia="仿宋" w:cs="仿宋"/>
        </w:rPr>
        <w:t>。如完工后承包人不积极配合发包人进行竣工验收相关工作及指令（如涉及返工修补等工作），如承包人不按发包人指令开展工作，每延误一天需向发包人支付3000元违约金，</w:t>
      </w:r>
      <w:r>
        <w:rPr>
          <w:rFonts w:ascii="仿宋" w:hAnsi="仿宋" w:eastAsia="仿宋" w:cs="仿宋"/>
          <w:u w:val="single"/>
        </w:rPr>
        <w:t>发包人有权直接从应支付的工程款中扣除此违约金，此违约金并不能免除承包人应完成的工程责任及合同规定的其他责任。</w:t>
      </w:r>
    </w:p>
    <w:p w14:paraId="7E0C33F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因承包人原因造成工期延误，逾期完工违约金的上限：</w:t>
      </w:r>
      <w:r>
        <w:rPr>
          <w:rFonts w:ascii="仿宋" w:hAnsi="仿宋" w:eastAsia="仿宋" w:cs="仿宋"/>
          <w:u w:val="single"/>
        </w:rPr>
        <w:t>结算总价的10%，承包人支付逾期完工违约金后，不免除承包人继续完成工程及修补缺陷的义务</w:t>
      </w:r>
      <w:r>
        <w:rPr>
          <w:rFonts w:ascii="仿宋" w:hAnsi="仿宋" w:eastAsia="仿宋" w:cs="仿宋"/>
        </w:rPr>
        <w:t>。</w:t>
      </w:r>
      <w:r>
        <w:rPr>
          <w:rFonts w:ascii="仿宋" w:hAnsi="仿宋" w:eastAsia="仿宋" w:cs="仿宋"/>
          <w:u w:val="single"/>
        </w:rPr>
        <w:t>发包人实际损失高于逾期完工违约金上限的，承包人需承担发包人损失差额。</w:t>
      </w:r>
    </w:p>
    <w:p w14:paraId="196733F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（5）</w:t>
      </w:r>
      <w:r>
        <w:rPr>
          <w:rFonts w:ascii="仿宋" w:hAnsi="仿宋" w:eastAsia="仿宋" w:cs="仿宋"/>
          <w:u w:val="single"/>
        </w:rPr>
        <w:t>因承包人原因导致工期延期的，延误期间发生的人工及材料价格上涨价格不做调整。延误期间发生的人工及主要建筑材料价格下跌的收益全部归发包人所有，人工费差额计算按照专用合同条款11.1第3种方式中人工工日单价调整方式计算；主要建筑材料及差价的取定按照《关于加强建筑材料价格风险控制的指导意见》（苏建价(2025)57号）执行。</w:t>
      </w:r>
    </w:p>
    <w:p w14:paraId="0E2B6B5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7.6不利物质条件</w:t>
      </w:r>
    </w:p>
    <w:p w14:paraId="6DCA58F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不利物质条件的其他情形和有关约定：</w:t>
      </w:r>
      <w:r>
        <w:rPr>
          <w:rFonts w:ascii="仿宋" w:hAnsi="仿宋" w:eastAsia="仿宋" w:cs="仿宋"/>
          <w:u w:val="single"/>
        </w:rPr>
        <w:t>由发包人会同承包人及有关部门做好相关保护工作，但因承包人责任造成损害的，其损失赔偿由承包人承担。非承包人原因造成的与承包人无关</w:t>
      </w:r>
      <w:r>
        <w:rPr>
          <w:rFonts w:ascii="仿宋" w:hAnsi="仿宋" w:eastAsia="仿宋" w:cs="仿宋"/>
        </w:rPr>
        <w:t>。</w:t>
      </w:r>
    </w:p>
    <w:p w14:paraId="11A7AB3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7.7异常恶劣的气候条件</w:t>
      </w:r>
    </w:p>
    <w:p w14:paraId="16491C3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发包人和承包人同意以下情形视为异常恶劣的气候条件：</w:t>
      </w:r>
    </w:p>
    <w:p w14:paraId="01A00DD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w:t>
      </w:r>
      <w:r>
        <w:rPr>
          <w:rFonts w:ascii="仿宋" w:hAnsi="仿宋" w:eastAsia="仿宋" w:cs="仿宋"/>
          <w:u w:val="single"/>
        </w:rPr>
        <w:t>风速达到8级以上持续24小时的大风</w:t>
      </w:r>
      <w:r>
        <w:rPr>
          <w:rFonts w:ascii="仿宋" w:hAnsi="仿宋" w:eastAsia="仿宋" w:cs="仿宋"/>
        </w:rPr>
        <w:t>；</w:t>
      </w:r>
    </w:p>
    <w:p w14:paraId="6844D6D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w:t>
      </w:r>
      <w:r>
        <w:rPr>
          <w:rFonts w:ascii="仿宋" w:hAnsi="仿宋" w:eastAsia="仿宋" w:cs="仿宋"/>
          <w:u w:val="single"/>
        </w:rPr>
        <w:t>24小时内降雨量200mm以上；下雪量为30mm以上</w:t>
      </w:r>
      <w:r>
        <w:rPr>
          <w:rFonts w:ascii="仿宋" w:hAnsi="仿宋" w:eastAsia="仿宋" w:cs="仿宋"/>
        </w:rPr>
        <w:t>；</w:t>
      </w:r>
    </w:p>
    <w:p w14:paraId="19871C9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w:t>
      </w:r>
      <w:r>
        <w:rPr>
          <w:rFonts w:ascii="仿宋" w:hAnsi="仿宋" w:eastAsia="仿宋" w:cs="仿宋"/>
          <w:u w:val="single"/>
        </w:rPr>
        <w:t>38℃及以上持续24小时的高温。发生异常恶劣的气候条件时，承包人应及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rPr>
          <w:rFonts w:ascii="仿宋" w:hAnsi="仿宋" w:eastAsia="仿宋" w:cs="仿宋"/>
        </w:rPr>
        <w:t>。</w:t>
      </w:r>
    </w:p>
    <w:p w14:paraId="53B649D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7.9提前竣工的奖励</w:t>
      </w:r>
    </w:p>
    <w:p w14:paraId="6EBC938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7.9.2提前竣工的奖励：</w:t>
      </w:r>
      <w:r>
        <w:rPr>
          <w:rFonts w:ascii="仿宋" w:hAnsi="仿宋" w:eastAsia="仿宋" w:cs="仿宋"/>
          <w:u w:val="single"/>
        </w:rPr>
        <w:t>无</w:t>
      </w:r>
      <w:r>
        <w:rPr>
          <w:rFonts w:ascii="仿宋" w:hAnsi="仿宋" w:eastAsia="仿宋" w:cs="仿宋"/>
        </w:rPr>
        <w:t>。</w:t>
      </w:r>
    </w:p>
    <w:p w14:paraId="7F920C72">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8.材料与设备</w:t>
      </w:r>
    </w:p>
    <w:p w14:paraId="1A1068D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8.4材料与工程设备的保管与使用</w:t>
      </w:r>
    </w:p>
    <w:p w14:paraId="546DD43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8.4.1发包人供应的材料设备的保管费用的承担：</w:t>
      </w:r>
      <w:r>
        <w:rPr>
          <w:rFonts w:ascii="仿宋" w:hAnsi="仿宋" w:eastAsia="仿宋" w:cs="仿宋"/>
          <w:u w:val="single"/>
        </w:rPr>
        <w:t>发包人按约定的计划提供材料设备，由承包人派人与发包人共同清点。承包人负责发包人供应材料、设备的卸货，下力费、保管费费用均含在合同价中，不再另行计价。</w:t>
      </w:r>
    </w:p>
    <w:p w14:paraId="19ECE6C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本工程暂无发包人供应材料。因承包人原因造成乙供材料改为甲供材料的，不予计取保管费及其相应税金。由于承包人原因发生材料设备丢失或损坏的，由承包人负责按原价进行赔偿</w:t>
      </w:r>
      <w:r>
        <w:rPr>
          <w:rFonts w:ascii="仿宋" w:hAnsi="仿宋" w:eastAsia="仿宋" w:cs="仿宋"/>
        </w:rPr>
        <w:t>。</w:t>
      </w:r>
    </w:p>
    <w:p w14:paraId="6C89850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8.6样品</w:t>
      </w:r>
    </w:p>
    <w:p w14:paraId="4DDF91B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8.6.1样品的报送与封存</w:t>
      </w:r>
    </w:p>
    <w:p w14:paraId="3D46DAD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需要承包人报送样品的材料或工程设备，样品的种类、名称、规格、数量要求：</w:t>
      </w:r>
    </w:p>
    <w:p w14:paraId="3B7A056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双方约定由承包人采购的材料必须是符合有关规范、设计图纸、竞争性磋商文件规定的质量要求，同时按照甲方要求提供产品的样品并封样，并在发包人规定时间内报发包人、监理人、设计单位确认，否则每超出发包人规定时间一天，按每天3000元向发包人支付违约金，发包人、监理人、设计单位将在承包人提供样品后的七个工作日内予以确认；经确认后，承包人方可进行订货，否则因此造成的一切损失由承包人负责。</w:t>
      </w:r>
    </w:p>
    <w:p w14:paraId="2B7A1F5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双方约定,除甲供材或甲控乙购材料外，其它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以上文件必须有书面资料，否则如果乙供材料出现质量问题，承包人除按此批次材料费的5%支付给发包人违约金还需承担由此给发包人造成的全部损失，同时追究项目经理，监理及相关人员连带责任。</w:t>
      </w:r>
    </w:p>
    <w:p w14:paraId="2B0B571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采用甲控乙供采购方式的由承包人采购的材料：（1）承包人在采购之前应按竞争性磋商文件及竞争性磋商响应文件要求将厂商资料、样品等提供给发包人且必须经发包人确认并实物验收合格方能购买或使用。</w:t>
      </w:r>
    </w:p>
    <w:p w14:paraId="2817426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p>
    <w:p w14:paraId="3FC2902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材料设备在按规定在使用前必须进行材料设备的检测或复试，不合格的不得使用，按规定需要检测或复试的材料设备要在有资质的检测单位进行,材料的检测或复试结果证明材料设备合格的方能购买或使用。承包人使用代用材料前，代用材料的采购价格和品牌及其他其他相关技术文件必须经发包人、监理人和设计单位的书面认可后方可进行采购,如发包人或监理人发现不合格的材料设备进场，有权责令其无条件退场；对于已经使用的不合格材料设备，承包人应无条件返工；不按要求退场或返工的，承包人承担相应责任及赔偿由此给发包人带来一切损失。</w:t>
      </w:r>
    </w:p>
    <w:p w14:paraId="741150F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如购进的主要材料与封样的样品不一致时或在施工过程中擅自更换，承包人必须无条件退货，承包人承担相应责任及赔偿由此给发包人带来一切损失。承包人采购材料设备不符合上述要求的，发包人将不支付相应部分材料款。如发包人检查时发现承包人未按合同约定要求的品牌施工的，则发包人有权扣除该项材料全额价款作为承包人应付的违约金。</w:t>
      </w:r>
    </w:p>
    <w:p w14:paraId="28D3702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承包人应对其采购的材料设备的数量、规格及供应时间负责，满足工程要求。除发包人已明确采购范围的，必须选用市场主流品牌厂家的优质产品如承包人所采购的材料市场价格明显低于投标时所报单价，发包人有权选择由发包人供应或重新核定单价由承包人采购。</w:t>
      </w:r>
    </w:p>
    <w:p w14:paraId="1BBC44A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（6）本工程部分由承包人采购的材料设备发包人推荐了品牌范围（如</w:t>
      </w:r>
      <w:r>
        <w:rPr>
          <w:rFonts w:hint="default" w:ascii="仿宋" w:hAnsi="仿宋" w:eastAsia="仿宋" w:cs="仿宋"/>
          <w:u w:val="single"/>
        </w:rPr>
        <w:t>有，</w:t>
      </w:r>
      <w:r>
        <w:rPr>
          <w:rFonts w:ascii="仿宋" w:hAnsi="仿宋" w:eastAsia="仿宋" w:cs="仿宋"/>
          <w:u w:val="single"/>
        </w:rPr>
        <w:t>详见合同附件），承包人在合同履行过程中，在发包人推荐品牌范围中选择，如承包人拒绝在推荐品牌范围中选择，则发包人有权在推荐的品牌范围中任选，结算时按照承包人在投标时承诺的价格结算。</w:t>
      </w:r>
    </w:p>
    <w:p w14:paraId="117AD92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在采购上述材料设备之前须按发包人要求提供相应资料，并经发包人确认并实物验收合格方能购买或使用。否则在工程实施过程中，发包人有权要求变更品牌。品牌要求不限于所列规格型号，品牌要求适用于招标范围内该材料设备的所有规格型号。如承包人在确定品牌后，若在后期定样中出现该品牌部分型号不生产，则发包人有权指定品牌表中任意一种，综合单价不调整。</w:t>
      </w:r>
    </w:p>
    <w:p w14:paraId="6BCB1DB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（7）发包人有权核查承包人签订的大宗乙供材料供应合同。</w:t>
      </w:r>
    </w:p>
    <w:p w14:paraId="4703D3F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8）对于由承包人采购的材料（包括成品、半成品和配件等），承包人应根据材料规格、平面尺寸等自行测算其加工损耗，材料的加工辅助材料费用、加工人工机械费用、采保费、包装费、运输费、上下力费等均包含在合同价中。</w:t>
      </w:r>
    </w:p>
    <w:p w14:paraId="6132904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（9）监理工程师或发包人对承包人自行采购材料的批准或认可并不免除承包人应负的质量、工期的责任，也不免除承包人对材料设备应负的职责</w:t>
      </w:r>
      <w:r>
        <w:rPr>
          <w:rFonts w:ascii="仿宋" w:hAnsi="仿宋" w:eastAsia="仿宋" w:cs="仿宋"/>
        </w:rPr>
        <w:t>。</w:t>
      </w:r>
    </w:p>
    <w:p w14:paraId="1D85F9C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10）本工程实行样板先行制度，对关键部位、关键工序及发包人指令要求，先行实施相关部位施工样板段（样板先行，样板不小于1平方，位置由发包人指定），并由监理、设计、发包人等相关部门认可后，方可大面展开施工，所有样板送样、检验、验收均需经发包人代表、监理工程师和总监理工程师确认，否则视为违约，扣除签约合同价1%作为违约金。</w:t>
      </w:r>
    </w:p>
    <w:p w14:paraId="56B29A0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11）如承包人最终提供的样品无法满足发包人样板（招标物料表图片或样品）要求，发包人有权扣除与该部分施工相关的全部费用（按控制价综合单价与投标综合单价中高值）并自行组织施工，且不给予任何利润补偿，另扣除签约合同价的10%作为违约金，若违约金金额不足以弥补发包人损失的（包括但不限于工期延误导致的损失等），承包人应继续赔偿。</w:t>
      </w:r>
    </w:p>
    <w:p w14:paraId="48C4FF8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8.8施工设备和临时设施</w:t>
      </w:r>
    </w:p>
    <w:p w14:paraId="16596C3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8.8.1承包人提供的施工设备和临时设施</w:t>
      </w:r>
    </w:p>
    <w:p w14:paraId="578F6E9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关于修建临时设施费用承担的约定：</w:t>
      </w:r>
      <w:r>
        <w:rPr>
          <w:rFonts w:ascii="仿宋" w:hAnsi="仿宋" w:eastAsia="仿宋" w:cs="仿宋"/>
          <w:u w:val="single"/>
        </w:rPr>
        <w:t>均由承包人自行承担，此费用含在报价内，结算时不再另行收取费用；工程竣工验收后，承包人的施工人员、材料、机械、设备必须在7天内全部退出现场；临时设施根据项目实施进度需求，承包人接到监理书面通知后30天之内无条件拆除；如承包人违反以上条件，按每天2000元向发包人支付违约金，并视为承包人放弃以上所有材料、设施的所有权；同时发包人将委托其他单位清理现场，因此产生的清理费用发包人有权直接从结算款项中扣除</w:t>
      </w:r>
      <w:r>
        <w:rPr>
          <w:rFonts w:ascii="仿宋" w:hAnsi="仿宋" w:eastAsia="仿宋" w:cs="仿宋"/>
        </w:rPr>
        <w:t>。</w:t>
      </w:r>
    </w:p>
    <w:p w14:paraId="71F672B1">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9.试验与检验</w:t>
      </w:r>
    </w:p>
    <w:p w14:paraId="0D75A0C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9.1试验设备与试验人员</w:t>
      </w:r>
    </w:p>
    <w:p w14:paraId="2828A07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9.1.2试验设备</w:t>
      </w:r>
    </w:p>
    <w:p w14:paraId="44AE3F4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施工现场需要配置的试验场所：</w:t>
      </w:r>
      <w:r>
        <w:rPr>
          <w:rFonts w:ascii="仿宋" w:hAnsi="仿宋" w:eastAsia="仿宋" w:cs="仿宋"/>
          <w:u w:val="single"/>
        </w:rPr>
        <w:t>承包人应提供试验设备、取样装置、试验场所和试验条件，并向监理人提交相应进场计划表。发包人委托的检测项目，承包人无偿提供检验试验场所和检验试验样品，并承担配合使用的人员、材料、仪器、设备等费用，如承包人未按上述要求执行，发包人有权按3000元/次扣除违约金</w:t>
      </w:r>
      <w:r>
        <w:rPr>
          <w:rFonts w:ascii="仿宋" w:hAnsi="仿宋" w:eastAsia="仿宋" w:cs="仿宋"/>
        </w:rPr>
        <w:t>。</w:t>
      </w:r>
    </w:p>
    <w:p w14:paraId="49FD5DD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施工现场需要配备的试验设备：</w:t>
      </w:r>
      <w:r>
        <w:rPr>
          <w:rFonts w:ascii="仿宋" w:hAnsi="仿宋" w:eastAsia="仿宋" w:cs="仿宋"/>
          <w:u w:val="single"/>
        </w:rPr>
        <w:t>承包人配置的试验设备要符合相应试验规程的要求并经过具有资质的检测单位检测，且在正式使用该试验设备前，需要经过监理人与承包人共同校定</w:t>
      </w:r>
      <w:r>
        <w:rPr>
          <w:rFonts w:ascii="仿宋" w:hAnsi="仿宋" w:eastAsia="仿宋" w:cs="仿宋"/>
        </w:rPr>
        <w:t>。</w:t>
      </w:r>
    </w:p>
    <w:p w14:paraId="003A7FC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施工现场需要具备的其他试验条件：</w:t>
      </w:r>
      <w:r>
        <w:rPr>
          <w:rFonts w:ascii="仿宋" w:hAnsi="仿宋" w:eastAsia="仿宋" w:cs="仿宋"/>
          <w:u w:val="single"/>
        </w:rPr>
        <w:t>暂无，如需要，另行协商解决</w:t>
      </w:r>
      <w:r>
        <w:rPr>
          <w:rFonts w:ascii="仿宋" w:hAnsi="仿宋" w:eastAsia="仿宋" w:cs="仿宋"/>
        </w:rPr>
        <w:t>。</w:t>
      </w:r>
    </w:p>
    <w:p w14:paraId="361283B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9.4现场工艺试验</w:t>
      </w:r>
    </w:p>
    <w:p w14:paraId="6586486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现场工艺试验的有关约定：</w:t>
      </w:r>
      <w:r>
        <w:rPr>
          <w:rFonts w:ascii="仿宋" w:hAnsi="仿宋" w:eastAsia="仿宋" w:cs="仿宋"/>
          <w:u w:val="single"/>
        </w:rPr>
        <w:t>承包人应按合同约定或监理人指示进行现场工艺试验。对大型的现场工艺试验，监理人认为必要时，经发包人审核后，承包人应根据监理人提出的工艺试验要求，编制工艺试验措施计划，报送监理人审查，发生的所有费用已含在投标报价中</w:t>
      </w:r>
      <w:r>
        <w:rPr>
          <w:rFonts w:ascii="仿宋" w:hAnsi="仿宋" w:eastAsia="仿宋" w:cs="仿宋"/>
        </w:rPr>
        <w:t>。</w:t>
      </w:r>
    </w:p>
    <w:p w14:paraId="56A60526">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10.变更</w:t>
      </w:r>
    </w:p>
    <w:p w14:paraId="1F6322F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10.1变更的范围</w:t>
      </w:r>
    </w:p>
    <w:p w14:paraId="4DFD76D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关于变更的范围的约定：</w:t>
      </w:r>
    </w:p>
    <w:p w14:paraId="116C51E6">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rPr>
        <w:t>1.</w:t>
      </w:r>
      <w:r>
        <w:rPr>
          <w:rFonts w:ascii="仿宋" w:hAnsi="仿宋" w:eastAsia="仿宋" w:cs="仿宋"/>
          <w:u w:val="single"/>
        </w:rPr>
        <w:t>施工中发包人需对原工程设计进行变更，应提前以书面形式向承包人发出变更通知。变更超过原设计标准或批准的建设规模时，发包人应报规划管理部门和其他有关部门重新审查批准，并由原设计单位提供变更的相应图纸和说明。</w:t>
      </w:r>
    </w:p>
    <w:p w14:paraId="27E5579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承包人按照发包人现场代表发出的变更通知及有关要求，进行下列需要的变更：</w:t>
      </w:r>
    </w:p>
    <w:p w14:paraId="0CE6C96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(1)更改工程有关部分的标高、基线、位置和尺寸；</w:t>
      </w:r>
    </w:p>
    <w:p w14:paraId="676888B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(2)增减合同中约定的工程量；</w:t>
      </w:r>
    </w:p>
    <w:p w14:paraId="6FE44C1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(3)改变有关工程的施工时间和顺序；</w:t>
      </w:r>
    </w:p>
    <w:p w14:paraId="044CB5B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(4)其他有关工程变更需要的附加工作。因变更导致合同价款的增减，由发包人承担，延误的工期相应顺延。</w:t>
      </w:r>
    </w:p>
    <w:p w14:paraId="1F48EDC3">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2.</w:t>
      </w:r>
      <w:r>
        <w:rPr>
          <w:rFonts w:ascii="仿宋" w:hAnsi="仿宋" w:eastAsia="仿宋" w:cs="仿宋"/>
          <w:u w:val="single"/>
        </w:rPr>
        <w:t>施工中承包人不得对原工程设计进行变更。因承包人擅自变更设计发生的费用和由此导致发包人的损失，由承包人承担，延误的工期不予顺延。</w:t>
      </w:r>
    </w:p>
    <w:p w14:paraId="18B4065F">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3.</w:t>
      </w:r>
      <w:r>
        <w:rPr>
          <w:rFonts w:ascii="仿宋" w:hAnsi="仿宋" w:eastAsia="仿宋" w:cs="仿宋"/>
          <w:u w:val="single"/>
        </w:rPr>
        <w:t>承包人在施工中提出的合理化建议涉及到对设计图纸或施工组织设计的更改及对材料、设备的换用，须经发包人书面同意。承包人提出的合理化建议如被发包人采用，或承包人在施工前及时纠正图纸错误，发包人可根据实际情况酌情予以奖励。未经同意擅自更改或换用时，承包人承担由此发生的费用，并赔偿发包人的损失，延误的工期不予顺延。</w:t>
      </w:r>
    </w:p>
    <w:p w14:paraId="322B572E">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4.</w:t>
      </w:r>
      <w:r>
        <w:rPr>
          <w:rFonts w:ascii="仿宋" w:hAnsi="仿宋" w:eastAsia="仿宋" w:cs="仿宋"/>
          <w:u w:val="single"/>
        </w:rPr>
        <w:t>合同范围以内的核减工作，应有承包人、监理工程师、跟踪审计及发包人四方确认后方可实施，以便结算审计时核对</w:t>
      </w:r>
      <w:r>
        <w:rPr>
          <w:rFonts w:ascii="仿宋" w:hAnsi="仿宋" w:eastAsia="仿宋" w:cs="仿宋"/>
        </w:rPr>
        <w:t>。</w:t>
      </w:r>
      <w:r>
        <w:rPr>
          <w:rFonts w:ascii="仿宋" w:hAnsi="仿宋" w:eastAsia="仿宋" w:cs="仿宋"/>
          <w:u w:val="single"/>
        </w:rPr>
        <w:t>如涉及设计变更的，需设计人出具书面《设计变更单》，并经发包人书面确认后方可实施。</w:t>
      </w:r>
    </w:p>
    <w:p w14:paraId="42204082">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5.</w:t>
      </w:r>
      <w:r>
        <w:rPr>
          <w:rFonts w:ascii="仿宋" w:hAnsi="仿宋" w:eastAsia="仿宋" w:cs="仿宋"/>
          <w:u w:val="single"/>
        </w:rPr>
        <w:t>发包人保留变更或调整工程量的权利，承包人不得拒绝变更，更不得以变更为由提出不合理的要求。</w:t>
      </w:r>
    </w:p>
    <w:p w14:paraId="29155139">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6.</w:t>
      </w:r>
      <w:r>
        <w:rPr>
          <w:rFonts w:ascii="仿宋" w:hAnsi="仿宋" w:eastAsia="仿宋" w:cs="仿宋"/>
          <w:u w:val="single"/>
        </w:rPr>
        <w:t>承包人必须按发包人提出的指令完成项目范围内的变更或合同外增加的零星的工作，在本合同约定的计价原则基础上，承包人不得再以未确定价格或价格未达成一致为由拒绝或拖延执行发包人的指令，否则视为承包人违约，发包人有权追究承包人的违约责任，同时发包人有权交由第三方承包人完成，并从承包人的工程款中扣除第三方承包人报价金额。</w:t>
      </w:r>
    </w:p>
    <w:p w14:paraId="6B9B97B6">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7.</w:t>
      </w:r>
      <w:r>
        <w:rPr>
          <w:rFonts w:ascii="仿宋" w:hAnsi="仿宋" w:eastAsia="仿宋" w:cs="仿宋"/>
          <w:u w:val="single"/>
        </w:rPr>
        <w:t>变更导致工期的顺延由监理工程师审核，发包人批准执行。</w:t>
      </w:r>
    </w:p>
    <w:p w14:paraId="5A7C79D5">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8.</w:t>
      </w:r>
      <w:r>
        <w:rPr>
          <w:rFonts w:ascii="仿宋" w:hAnsi="仿宋" w:eastAsia="仿宋" w:cs="仿宋"/>
          <w:u w:val="single"/>
        </w:rPr>
        <w:t>承包人提出的工程变更申请必须严格按照发包人规定的签证或设计变更管理流程执行，未经发包人批准的设计变更、工程签证不得向发包人索取任何费用和工期。</w:t>
      </w:r>
    </w:p>
    <w:p w14:paraId="65AFABD7">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9.</w:t>
      </w:r>
      <w:r>
        <w:rPr>
          <w:rFonts w:ascii="仿宋" w:hAnsi="仿宋" w:eastAsia="仿宋" w:cs="仿宋"/>
          <w:u w:val="single"/>
        </w:rPr>
        <w:t>设计单位出具的设计变更必须得到发包人的批准。承包人不得直接从设计单位取得设计变更，或者以贿赂等不正当手段影响本工程的设计师进行变更。否则，由此增加的工程费均由承包人承担，工期不予顺延。</w:t>
      </w:r>
    </w:p>
    <w:p w14:paraId="6E4A3431">
      <w:pPr>
        <w:pBdr>
          <w:top w:val="none" w:color="000000" w:sz="0" w:space="0"/>
          <w:left w:val="none" w:color="000000" w:sz="0" w:space="0"/>
          <w:bottom w:val="none" w:color="000000" w:sz="0" w:space="0"/>
          <w:right w:val="none" w:color="000000" w:sz="0" w:space="0"/>
        </w:pBdr>
        <w:spacing w:line="85" w:lineRule="atLeast"/>
        <w:ind w:firstLine="420"/>
      </w:pPr>
      <w:r>
        <w:rPr>
          <w:rFonts w:hint="eastAsia" w:ascii="仿宋" w:hAnsi="仿宋" w:eastAsia="宋体" w:cs="仿宋"/>
          <w:u w:val="single"/>
        </w:rPr>
        <w:t>10.</w:t>
      </w:r>
      <w:r>
        <w:rPr>
          <w:rFonts w:ascii="仿宋" w:hAnsi="仿宋" w:eastAsia="仿宋" w:cs="仿宋"/>
          <w:u w:val="single"/>
        </w:rPr>
        <w:t>为规范签证变更流程，提高工作的效率，针对工程签证、变更资料报送的有明确要求，承包人工程签证、变更报送必须符合发包人“现场签证管理办法”、“设计变更管理办法”所载明的规定。</w:t>
      </w:r>
    </w:p>
    <w:p w14:paraId="76C3A73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10.4变更估价</w:t>
      </w:r>
    </w:p>
    <w:p w14:paraId="2E11B3F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10.4.1变更估价原则</w:t>
      </w:r>
    </w:p>
    <w:p w14:paraId="41C404D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关于变更估价的约定:</w:t>
      </w:r>
      <w:r>
        <w:rPr>
          <w:rFonts w:ascii="仿宋" w:hAnsi="仿宋" w:eastAsia="仿宋" w:cs="仿宋"/>
          <w:u w:val="single"/>
        </w:rPr>
        <w:t>签证、变更、变动后的子目或漏项的综合单价，按以下办法调整：</w:t>
      </w:r>
    </w:p>
    <w:p w14:paraId="079FF81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（1）工程量清单中已有工作内容、项目特征和价格组成相同于变更子目或单项的综合单价时，按合同已有综合单价执行。</w:t>
      </w:r>
    </w:p>
    <w:p w14:paraId="38510EE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（2）工程量清单中只有工作内容、项目特征和价格组成类似于变更子目或单项的综合单价时，可以参照类似综合单价，由双方协商调整后确定变更的综合单价。</w:t>
      </w:r>
    </w:p>
    <w:p w14:paraId="3532097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工程量清单中没有工作内容、项目特征和价格组成相同或类似于变更子目或单项的综合单价时，应由承包人根据变更工程资料、计量规则和计价办法、工程造价管理机构发布的信息价格（工程造价管理机构发布的信息价格缺价的根据市场询价双方协商）和承包人报价浮动率提出变更工程项目的单价，经监理方及跟踪审计审核后报发包人确认。承包人报价浮动率按下列公式计算：</w:t>
      </w:r>
    </w:p>
    <w:p w14:paraId="57FE0B9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承包人报价浮动率L=（1-中标价/招标控制价）*100%（中标价及控制价均需扣除暂列金额和暂估价以及相应的规费、税金）</w:t>
      </w:r>
    </w:p>
    <w:p w14:paraId="2358ED6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最终核定的综合单价可能会低于实际施工价，此处差价应由承包人投标时综合考虑，如果承包人拒不施工，则视为违约，发包人有权另择第三方完成，并从承包人的工程款中扣除第三方报价金额及等额第三方报价的违约金。</w:t>
      </w:r>
    </w:p>
    <w:p w14:paraId="7C72514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（4）除前述约定外，通用合同条款中的其它变更估价的约定不再适用。</w:t>
      </w:r>
    </w:p>
    <w:p w14:paraId="27EB1CF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（5）因承包人自身原因导致的工程变更，承包人无权要求追加合同价款。</w:t>
      </w:r>
    </w:p>
    <w:p w14:paraId="67A5C2B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针对工程量发生变化的隐蔽工程及发包人提出的对已完的分项工程进行变更，承包人应在施工前将施工方案报工程及监理工程师确认，对于有可能重复利用的材料设备，承包人应小心保护，属于承包人拆除时未采取保护措施或拆除后保护不当的，由承包人负责赔偿损失</w:t>
      </w:r>
      <w:r>
        <w:rPr>
          <w:rFonts w:ascii="仿宋" w:hAnsi="仿宋" w:eastAsia="仿宋" w:cs="仿宋"/>
        </w:rPr>
        <w:t>。</w:t>
      </w:r>
    </w:p>
    <w:p w14:paraId="311ED2E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变更其他约定：</w:t>
      </w:r>
      <w:r>
        <w:rPr>
          <w:rFonts w:ascii="仿宋" w:hAnsi="仿宋" w:eastAsia="仿宋" w:cs="仿宋"/>
          <w:u w:val="single"/>
        </w:rPr>
        <w:t>（1）因设计变更发生由承包人采购材料设备的，按照专用条款确定材料价格；</w:t>
      </w:r>
    </w:p>
    <w:p w14:paraId="1792897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（2）发包人保留对承包人所报材料品牌、型号进行修改、更换的权利。</w:t>
      </w:r>
    </w:p>
    <w:p w14:paraId="7D9E017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10.4.3变更估价的支付方式及时间</w:t>
      </w:r>
    </w:p>
    <w:p w14:paraId="314D6AF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关于变更价款的支付方式及时间的约定：</w:t>
      </w:r>
      <w:r>
        <w:rPr>
          <w:rFonts w:ascii="仿宋" w:hAnsi="仿宋" w:eastAsia="仿宋" w:cs="仿宋"/>
          <w:u w:val="single"/>
        </w:rPr>
        <w:t>依据发包人（或代建人）《设计变更管理办法》、《签证管理办法》相关内容执行。</w:t>
      </w:r>
    </w:p>
    <w:p w14:paraId="25E89E9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10.5承包人的合理化建议</w:t>
      </w:r>
    </w:p>
    <w:p w14:paraId="07FC1C3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监理人审查承包人合理化建议的期限：</w:t>
      </w:r>
      <w:r>
        <w:rPr>
          <w:rFonts w:ascii="仿宋" w:hAnsi="仿宋" w:eastAsia="仿宋" w:cs="仿宋"/>
          <w:u w:val="single"/>
        </w:rPr>
        <w:t>按通用条款</w:t>
      </w:r>
      <w:r>
        <w:rPr>
          <w:rFonts w:ascii="仿宋" w:hAnsi="仿宋" w:eastAsia="仿宋" w:cs="仿宋"/>
        </w:rPr>
        <w:t>。</w:t>
      </w:r>
    </w:p>
    <w:p w14:paraId="4AE3C2D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发包人审批承包人合理化建议的期限：</w:t>
      </w:r>
      <w:r>
        <w:rPr>
          <w:rFonts w:ascii="仿宋" w:hAnsi="仿宋" w:eastAsia="仿宋" w:cs="仿宋"/>
          <w:u w:val="single"/>
        </w:rPr>
        <w:t>按通用条款</w:t>
      </w:r>
      <w:r>
        <w:rPr>
          <w:rFonts w:ascii="仿宋" w:hAnsi="仿宋" w:eastAsia="仿宋" w:cs="仿宋"/>
        </w:rPr>
        <w:t>。</w:t>
      </w:r>
    </w:p>
    <w:p w14:paraId="1CB97F5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承包人提出的合理化建议降低了合同价格或者提高了工程经济效益的奖励的方法和金额为：</w:t>
      </w:r>
      <w:r>
        <w:rPr>
          <w:rFonts w:ascii="仿宋" w:hAnsi="仿宋" w:eastAsia="仿宋" w:cs="仿宋"/>
          <w:u w:val="single"/>
        </w:rPr>
        <w:t>无</w:t>
      </w:r>
      <w:r>
        <w:rPr>
          <w:rFonts w:ascii="仿宋" w:hAnsi="仿宋" w:eastAsia="仿宋" w:cs="仿宋"/>
        </w:rPr>
        <w:t>。</w:t>
      </w:r>
    </w:p>
    <w:p w14:paraId="6CA920D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10.7暂估价</w:t>
      </w:r>
    </w:p>
    <w:p w14:paraId="1EDFC40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暂估价材料和工程设备的明细详见附件</w:t>
      </w:r>
      <w:r>
        <w:rPr>
          <w:rFonts w:ascii="仿宋" w:hAnsi="仿宋" w:eastAsia="仿宋" w:cs="仿宋"/>
          <w:u w:val="single"/>
        </w:rPr>
        <w:t>/</w:t>
      </w:r>
      <w:r>
        <w:rPr>
          <w:rFonts w:ascii="仿宋" w:hAnsi="仿宋" w:eastAsia="仿宋" w:cs="仿宋"/>
        </w:rPr>
        <w:t>。</w:t>
      </w:r>
    </w:p>
    <w:p w14:paraId="6E56140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10.7.1依法必须招标的暂估价项目</w:t>
      </w:r>
    </w:p>
    <w:p w14:paraId="6420EB0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对于依法必须招标的暂估价项目的确认和批准采取</w:t>
      </w:r>
      <w:r>
        <w:rPr>
          <w:rFonts w:ascii="仿宋" w:hAnsi="仿宋" w:eastAsia="仿宋" w:cs="仿宋"/>
          <w:u w:val="single"/>
        </w:rPr>
        <w:t>第 / 种</w:t>
      </w:r>
      <w:r>
        <w:rPr>
          <w:rFonts w:ascii="仿宋" w:hAnsi="仿宋" w:eastAsia="仿宋" w:cs="仿宋"/>
        </w:rPr>
        <w:t>方式确定。</w:t>
      </w:r>
    </w:p>
    <w:p w14:paraId="58E29B7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第2种方式：</w:t>
      </w:r>
      <w:r>
        <w:rPr>
          <w:rFonts w:ascii="仿宋" w:hAnsi="仿宋" w:eastAsia="仿宋" w:cs="仿宋"/>
          <w:u w:val="single"/>
        </w:rPr>
        <w:t>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2502E5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10.7.2不属于依法必须招标的暂估价项目</w:t>
      </w:r>
    </w:p>
    <w:p w14:paraId="5122073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对于不属于依法必须招标的暂估价项目的确认和批准采取第 / 种方式确定。</w:t>
      </w:r>
    </w:p>
    <w:p w14:paraId="560C8EB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第1种方式：对于不属于依法必须招标的暂估价项目，按本项约定确认和批准：</w:t>
      </w:r>
    </w:p>
    <w:p w14:paraId="6CA0740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8A8817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（2）发包人认为承包人确定的供应商、分包人无法满足工程质量或合同要求的，发包人可以要求承包人重新确定暂估价项目的供应商、分包人;</w:t>
      </w:r>
    </w:p>
    <w:p w14:paraId="54255D5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（3）承包人应当在签订暂估价合同后7天内，将暂估价合同副本报送发包人留存。</w:t>
      </w:r>
    </w:p>
    <w:p w14:paraId="74A003B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第3种方式：承包人直接实施的暂估价项目</w:t>
      </w:r>
    </w:p>
    <w:p w14:paraId="44FA1E8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承包人直接实施的暂估价项目的约定：</w:t>
      </w:r>
      <w:r>
        <w:rPr>
          <w:rFonts w:ascii="仿宋" w:hAnsi="仿宋" w:eastAsia="仿宋" w:cs="仿宋"/>
          <w:u w:val="single"/>
        </w:rPr>
        <w:t> /</w:t>
      </w:r>
      <w:r>
        <w:rPr>
          <w:rFonts w:ascii="仿宋" w:hAnsi="仿宋" w:eastAsia="仿宋" w:cs="仿宋"/>
        </w:rPr>
        <w:t>。</w:t>
      </w:r>
    </w:p>
    <w:p w14:paraId="2A08922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10.8暂列金额</w:t>
      </w:r>
    </w:p>
    <w:p w14:paraId="11A3302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合同当事人关于暂列金额使用的约定：</w:t>
      </w:r>
      <w:r>
        <w:rPr>
          <w:rFonts w:ascii="仿宋" w:hAnsi="仿宋" w:eastAsia="仿宋" w:cs="仿宋"/>
          <w:u w:val="single"/>
        </w:rPr>
        <w:t>按照通用条款约定</w:t>
      </w:r>
      <w:r>
        <w:rPr>
          <w:rFonts w:ascii="仿宋" w:hAnsi="仿宋" w:eastAsia="仿宋" w:cs="仿宋"/>
        </w:rPr>
        <w:t>。</w:t>
      </w:r>
    </w:p>
    <w:p w14:paraId="45ED8814">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11.价格调整</w:t>
      </w:r>
    </w:p>
    <w:p w14:paraId="41BC8AF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11.1市场价格波动引起的调整</w:t>
      </w:r>
    </w:p>
    <w:p w14:paraId="7F9F72A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市场价格波动是否调整合同价格的约定：</w:t>
      </w:r>
    </w:p>
    <w:p w14:paraId="7F34E5C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材料价格：</w:t>
      </w:r>
      <w:r>
        <w:rPr>
          <w:rFonts w:ascii="仿宋" w:hAnsi="仿宋" w:eastAsia="仿宋" w:cs="仿宋"/>
          <w:u w:val="single"/>
        </w:rPr>
        <w:t>因市场波动，材料价格不调整；其他可调材料价格情形依本合同特别约定，采用以下第3种方式进行调整；</w:t>
      </w:r>
    </w:p>
    <w:p w14:paraId="28B083C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人工价格：采用以下第</w:t>
      </w:r>
      <w:r>
        <w:rPr>
          <w:rFonts w:ascii="仿宋" w:hAnsi="仿宋" w:eastAsia="仿宋" w:cs="仿宋"/>
          <w:u w:val="single"/>
        </w:rPr>
        <w:t>3</w:t>
      </w:r>
      <w:r>
        <w:rPr>
          <w:rFonts w:ascii="仿宋" w:hAnsi="仿宋" w:eastAsia="仿宋" w:cs="仿宋"/>
        </w:rPr>
        <w:t>种方式进行调整。</w:t>
      </w:r>
    </w:p>
    <w:p w14:paraId="27C79F8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第1种方式：采用价格指数进行价格调整。</w:t>
      </w:r>
    </w:p>
    <w:p w14:paraId="58A0323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关于各可调因子、定值和变值权重，以及基本价格指数及其来源的约定：</w:t>
      </w:r>
      <w:r>
        <w:rPr>
          <w:rFonts w:ascii="仿宋" w:hAnsi="仿宋" w:eastAsia="仿宋" w:cs="仿宋"/>
          <w:u w:val="single"/>
        </w:rPr>
        <w:t>/</w:t>
      </w:r>
      <w:r>
        <w:rPr>
          <w:rFonts w:ascii="仿宋" w:hAnsi="仿宋" w:eastAsia="仿宋" w:cs="仿宋"/>
        </w:rPr>
        <w:t>；</w:t>
      </w:r>
    </w:p>
    <w:p w14:paraId="75DD864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第2种方式：采用造价信息进行价格调整。</w:t>
      </w:r>
    </w:p>
    <w:p w14:paraId="380259C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（2）关于基准价格的约定：</w:t>
      </w:r>
      <w:r>
        <w:rPr>
          <w:rFonts w:ascii="仿宋" w:hAnsi="仿宋" w:eastAsia="仿宋" w:cs="仿宋"/>
          <w:u w:val="single"/>
        </w:rPr>
        <w:t>/</w:t>
      </w:r>
      <w:r>
        <w:rPr>
          <w:rFonts w:ascii="仿宋" w:hAnsi="仿宋" w:eastAsia="仿宋" w:cs="仿宋"/>
        </w:rPr>
        <w:t>。</w:t>
      </w:r>
    </w:p>
    <w:p w14:paraId="37EB530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①承包人在已标价工程量清单或预算书中载明的材料单价低于基准价格的：合同履行期间材料单价涨幅以基准价格为基础超过</w:t>
      </w:r>
      <w:r>
        <w:rPr>
          <w:rFonts w:ascii="仿宋" w:hAnsi="仿宋" w:eastAsia="仿宋" w:cs="仿宋"/>
          <w:u w:val="single"/>
        </w:rPr>
        <w:t>/</w:t>
      </w:r>
      <w:r>
        <w:rPr>
          <w:rFonts w:ascii="仿宋" w:hAnsi="仿宋" w:eastAsia="仿宋" w:cs="仿宋"/>
        </w:rPr>
        <w:t>%时，或材料单价跌幅以已标价工程量清单或预算书中载明材料单价为基础超过</w:t>
      </w:r>
      <w:r>
        <w:rPr>
          <w:rFonts w:ascii="仿宋" w:hAnsi="仿宋" w:eastAsia="仿宋" w:cs="仿宋"/>
          <w:u w:val="single"/>
        </w:rPr>
        <w:t>/</w:t>
      </w:r>
      <w:r>
        <w:rPr>
          <w:rFonts w:ascii="仿宋" w:hAnsi="仿宋" w:eastAsia="仿宋" w:cs="仿宋"/>
        </w:rPr>
        <w:t>%时，其超过部分据实调整。</w:t>
      </w:r>
    </w:p>
    <w:p w14:paraId="57C1972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②承包人在已标价工程量清单或预算书中载明的材料单价高于基准价格的：合同履行期间材料单价跌幅以基准价格为基础超过</w:t>
      </w:r>
      <w:r>
        <w:rPr>
          <w:rFonts w:ascii="仿宋" w:hAnsi="仿宋" w:eastAsia="仿宋" w:cs="仿宋"/>
          <w:u w:val="single"/>
        </w:rPr>
        <w:t>/</w:t>
      </w:r>
      <w:r>
        <w:rPr>
          <w:rFonts w:ascii="仿宋" w:hAnsi="仿宋" w:eastAsia="仿宋" w:cs="仿宋"/>
        </w:rPr>
        <w:t>%时，材料单价涨幅以已标价工程量清单或预算书中载明材料单价为基础超过</w:t>
      </w:r>
      <w:r>
        <w:rPr>
          <w:rFonts w:ascii="仿宋" w:hAnsi="仿宋" w:eastAsia="仿宋" w:cs="仿宋"/>
          <w:u w:val="single"/>
        </w:rPr>
        <w:t>/</w:t>
      </w:r>
      <w:r>
        <w:rPr>
          <w:rFonts w:ascii="仿宋" w:hAnsi="仿宋" w:eastAsia="仿宋" w:cs="仿宋"/>
        </w:rPr>
        <w:t>%时，其超过部分据实调整。</w:t>
      </w:r>
    </w:p>
    <w:p w14:paraId="3F0249D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③承包人在已标价工程量清单或预算书中载明的材料单价等于基准单价的：合同履行期间材料单价涨跌幅以基准单价为基础超过±</w:t>
      </w:r>
      <w:r>
        <w:rPr>
          <w:rFonts w:ascii="仿宋" w:hAnsi="仿宋" w:eastAsia="仿宋" w:cs="仿宋"/>
          <w:u w:val="single"/>
        </w:rPr>
        <w:t>/</w:t>
      </w:r>
      <w:r>
        <w:rPr>
          <w:rFonts w:ascii="仿宋" w:hAnsi="仿宋" w:eastAsia="仿宋" w:cs="仿宋"/>
        </w:rPr>
        <w:t>%时，其超过部分据实调整。</w:t>
      </w:r>
    </w:p>
    <w:p w14:paraId="4EAA682B">
      <w:pPr>
        <w:pBdr>
          <w:top w:val="none" w:color="000000" w:sz="0" w:space="0"/>
          <w:left w:val="none" w:color="000000" w:sz="0" w:space="0"/>
          <w:bottom w:val="none" w:color="000000" w:sz="0" w:space="0"/>
          <w:right w:val="none" w:color="000000" w:sz="0" w:space="0"/>
        </w:pBdr>
        <w:spacing w:before="240" w:after="240" w:line="85" w:lineRule="atLeast"/>
        <w:ind w:firstLine="420"/>
      </w:pPr>
      <w:r>
        <w:rPr>
          <w:rFonts w:ascii="仿宋" w:hAnsi="仿宋" w:eastAsia="仿宋" w:cs="仿宋"/>
        </w:rPr>
        <w:t>第3种方式：其他价格调整方式：</w:t>
      </w:r>
      <w:r>
        <w:rPr>
          <w:rFonts w:ascii="仿宋" w:hAnsi="仿宋" w:eastAsia="仿宋" w:cs="仿宋"/>
          <w:u w:val="single"/>
        </w:rPr>
        <w:t>承包人价格调整范围仅限于以下两点：</w:t>
      </w:r>
    </w:p>
    <w:p w14:paraId="63CD90A7">
      <w:pPr>
        <w:numPr>
          <w:ilvl w:val="0"/>
          <w:numId w:val="5"/>
        </w:numPr>
        <w:pBdr>
          <w:top w:val="none" w:color="000000" w:sz="0" w:space="0"/>
          <w:left w:val="none" w:color="000000" w:sz="0" w:space="0"/>
          <w:bottom w:val="none" w:color="000000" w:sz="0" w:space="0"/>
          <w:right w:val="none" w:color="000000" w:sz="0" w:space="0"/>
        </w:pBdr>
        <w:spacing w:before="240" w:after="240" w:line="85" w:lineRule="atLeast"/>
        <w:ind w:firstLine="420"/>
        <w:jc w:val="left"/>
        <w:rPr>
          <w:rFonts w:ascii="仿宋" w:hAnsi="仿宋" w:eastAsia="仿宋" w:cs="仿宋"/>
          <w:u w:val="single"/>
        </w:rPr>
      </w:pPr>
      <w:r>
        <w:rPr>
          <w:rFonts w:ascii="仿宋" w:hAnsi="仿宋" w:eastAsia="仿宋" w:cs="仿宋"/>
          <w:spacing w:val="0"/>
          <w:sz w:val="21"/>
          <w:szCs w:val="22"/>
          <w:u w:val="single"/>
          <w:shd w:val="clear" w:fill="auto"/>
        </w:rPr>
        <w:t>人工工日单价调整政策调整按照苏建价</w:t>
      </w:r>
      <w:r>
        <w:rPr>
          <w:rFonts w:ascii="仿宋" w:hAnsi="仿宋" w:eastAsia="仿宋" w:cs="仿宋"/>
          <w:spacing w:val="0"/>
          <w:sz w:val="21"/>
          <w:szCs w:val="22"/>
          <w:u w:val="single"/>
        </w:rPr>
        <w:t xml:space="preserve"> [2025]57</w:t>
      </w:r>
      <w:r>
        <w:rPr>
          <w:rFonts w:ascii="仿宋" w:hAnsi="仿宋" w:eastAsia="仿宋" w:cs="仿宋"/>
          <w:spacing w:val="0"/>
          <w:sz w:val="21"/>
          <w:szCs w:val="22"/>
          <w:u w:val="single"/>
          <w:shd w:val="clear" w:fill="auto"/>
        </w:rPr>
        <w:t>号文相关规定执行</w:t>
      </w:r>
      <w:r>
        <w:rPr>
          <w:rFonts w:ascii="仿宋" w:hAnsi="仿宋" w:eastAsia="仿宋" w:cs="仿宋"/>
          <w:spacing w:val="0"/>
          <w:sz w:val="21"/>
          <w:szCs w:val="22"/>
          <w:u w:val="single"/>
        </w:rPr>
        <w:t>。人工工日单价调差的基期价格为发包人编制招标控制价时采用苏建函价 [2026]27号中的人工价格指数换</w:t>
      </w:r>
      <w:r>
        <w:rPr>
          <w:rFonts w:ascii="仿宋" w:hAnsi="仿宋" w:eastAsia="仿宋" w:cs="仿宋"/>
          <w:sz w:val="21"/>
          <w:szCs w:val="22"/>
          <w:u w:val="single"/>
        </w:rPr>
        <w:t>算出的人</w:t>
      </w:r>
      <w:r>
        <w:rPr>
          <w:rFonts w:ascii="仿宋" w:hAnsi="仿宋" w:eastAsia="仿宋" w:cs="仿宋"/>
          <w:spacing w:val="0"/>
          <w:sz w:val="21"/>
          <w:szCs w:val="22"/>
          <w:u w:val="single"/>
        </w:rPr>
        <w:t>工单价。调整的人工价格为施工期当期与基期人工价格指数换算出的人工单价的差额</w:t>
      </w:r>
      <w:r>
        <w:rPr>
          <w:rFonts w:ascii="仿宋" w:hAnsi="仿宋" w:eastAsia="仿宋" w:cs="仿宋"/>
          <w:b w:val="0"/>
          <w:bCs w:val="0"/>
          <w:spacing w:val="0"/>
          <w:sz w:val="21"/>
          <w:szCs w:val="22"/>
          <w:u w:val="single" w:color="auto"/>
        </w:rPr>
        <w:t>（差价部分</w:t>
      </w:r>
      <w:r>
        <w:rPr>
          <w:rFonts w:ascii="仿宋" w:hAnsi="仿宋" w:eastAsia="仿宋" w:cs="仿宋"/>
          <w:spacing w:val="0"/>
          <w:sz w:val="21"/>
          <w:szCs w:val="22"/>
          <w:u w:val="single" w:color="auto"/>
        </w:rPr>
        <w:t xml:space="preserve"> </w:t>
      </w:r>
      <w:r>
        <w:rPr>
          <w:rFonts w:ascii="仿宋" w:hAnsi="仿宋" w:eastAsia="仿宋" w:cs="仿宋"/>
          <w:b w:val="0"/>
          <w:bCs w:val="0"/>
          <w:spacing w:val="0"/>
          <w:sz w:val="21"/>
          <w:szCs w:val="22"/>
          <w:u w:val="single" w:color="auto"/>
        </w:rPr>
        <w:t>费用仅计规</w:t>
      </w:r>
      <w:r>
        <w:rPr>
          <w:rFonts w:ascii="仿宋" w:hAnsi="仿宋" w:eastAsia="仿宋" w:cs="仿宋"/>
          <w:spacing w:val="0"/>
          <w:sz w:val="21"/>
          <w:szCs w:val="22"/>
          <w:u w:val="single" w:color="auto"/>
        </w:rPr>
        <w:t xml:space="preserve"> </w:t>
      </w:r>
      <w:r>
        <w:rPr>
          <w:rFonts w:ascii="仿宋" w:hAnsi="仿宋" w:eastAsia="仿宋" w:cs="仿宋"/>
          <w:b w:val="0"/>
          <w:bCs w:val="0"/>
          <w:spacing w:val="0"/>
          <w:sz w:val="21"/>
          <w:szCs w:val="22"/>
          <w:u w:val="single" w:color="auto"/>
        </w:rPr>
        <w:t>费税金</w:t>
      </w:r>
      <w:r>
        <w:rPr>
          <w:rFonts w:ascii="仿宋" w:hAnsi="仿宋" w:eastAsia="仿宋" w:cs="仿宋"/>
          <w:spacing w:val="0"/>
          <w:sz w:val="21"/>
          <w:szCs w:val="22"/>
          <w:u w:val="single" w:color="auto"/>
        </w:rPr>
        <w:t xml:space="preserve"> </w:t>
      </w:r>
      <w:r>
        <w:rPr>
          <w:rFonts w:ascii="仿宋" w:hAnsi="仿宋" w:eastAsia="仿宋" w:cs="仿宋"/>
          <w:b w:val="0"/>
          <w:bCs w:val="0"/>
          <w:spacing w:val="0"/>
          <w:sz w:val="21"/>
          <w:szCs w:val="22"/>
          <w:u w:val="single" w:color="auto"/>
        </w:rPr>
        <w:t>）</w:t>
      </w:r>
      <w:r>
        <w:rPr>
          <w:rFonts w:ascii="仿宋" w:hAnsi="仿宋" w:eastAsia="仿宋" w:cs="仿宋"/>
          <w:spacing w:val="0"/>
          <w:sz w:val="21"/>
          <w:szCs w:val="22"/>
          <w:u w:val="single"/>
        </w:rPr>
        <w:t>。人工工日单价调差时间为每年的</w:t>
      </w:r>
      <w:r>
        <w:rPr>
          <w:rFonts w:hint="eastAsia" w:ascii="仿宋" w:hAnsi="仿宋" w:eastAsia="仿宋" w:cs="仿宋"/>
          <w:spacing w:val="0"/>
          <w:sz w:val="21"/>
          <w:szCs w:val="22"/>
          <w:u w:val="single"/>
          <w:lang w:val="en-US" w:eastAsia="zh-CN"/>
        </w:rPr>
        <w:t>3</w:t>
      </w:r>
      <w:r>
        <w:rPr>
          <w:rFonts w:ascii="仿宋" w:hAnsi="仿宋" w:eastAsia="仿宋" w:cs="仿宋"/>
          <w:spacing w:val="0"/>
          <w:sz w:val="21"/>
          <w:szCs w:val="22"/>
          <w:u w:val="single"/>
        </w:rPr>
        <w:t>月和9月，并报监理、跟踪审计、发包人核定，最终以结算审计结果为准并随结算款一并支付。</w:t>
      </w:r>
    </w:p>
    <w:p w14:paraId="1F89CC3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（2）材料费调整：</w:t>
      </w:r>
    </w:p>
    <w:p w14:paraId="1C50A7F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1）可调价材料范围：</w:t>
      </w:r>
      <w:r>
        <w:rPr>
          <w:rFonts w:hint="eastAsia" w:ascii="仿宋" w:hAnsi="仿宋" w:eastAsia="仿宋" w:cs="仿宋"/>
          <w:u w:val="single"/>
        </w:rPr>
        <w:t>预拌砂浆、岩棉板、仿石型外墙涂料</w:t>
      </w:r>
      <w:r>
        <w:rPr>
          <w:rFonts w:ascii="仿宋" w:hAnsi="仿宋" w:eastAsia="仿宋" w:cs="仿宋"/>
          <w:u w:val="single"/>
        </w:rPr>
        <w:t>；</w:t>
      </w:r>
    </w:p>
    <w:p w14:paraId="1ED4376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2）材料价格调整原则：当施工期材料价格上涨或下降幅度在5%以内的，其差价由承包人承担或收益，当施工期材料价格上涨或下降幅度在5%以外的，其差价由发包人承担或收益。</w:t>
      </w:r>
    </w:p>
    <w:p w14:paraId="68B80F7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3）调差材料的基期价格为《南京工程造价管理》</w:t>
      </w:r>
      <w:r>
        <w:rPr>
          <w:rFonts w:ascii="仿宋" w:hAnsi="仿宋" w:eastAsia="仿宋" w:cs="仿宋"/>
          <w:u w:val="single"/>
        </w:rPr>
        <w:t>发布的</w:t>
      </w:r>
      <w:r>
        <w:rPr>
          <w:rFonts w:ascii="仿宋" w:hAnsi="仿宋" w:eastAsia="仿宋" w:cs="仿宋"/>
          <w:highlight w:val="none"/>
          <w:u w:val="single"/>
        </w:rPr>
        <w:t>2026年</w:t>
      </w:r>
      <w:r>
        <w:rPr>
          <w:rFonts w:hint="eastAsia" w:ascii="仿宋" w:hAnsi="仿宋" w:eastAsia="仿宋" w:cs="仿宋"/>
          <w:highlight w:val="none"/>
          <w:u w:val="single"/>
          <w:lang w:val="en-US" w:eastAsia="zh-CN"/>
        </w:rPr>
        <w:t>4</w:t>
      </w:r>
      <w:r>
        <w:rPr>
          <w:rFonts w:ascii="仿宋" w:hAnsi="仿宋" w:eastAsia="仿宋" w:cs="仿宋"/>
          <w:highlight w:val="none"/>
          <w:u w:val="single"/>
        </w:rPr>
        <w:t>月份</w:t>
      </w:r>
      <w:r>
        <w:rPr>
          <w:rFonts w:ascii="仿宋" w:hAnsi="仿宋" w:eastAsia="仿宋" w:cs="仿宋"/>
          <w:u w:val="single"/>
        </w:rPr>
        <w:t>的材料价格</w:t>
      </w:r>
      <w:r>
        <w:rPr>
          <w:rFonts w:ascii="仿宋" w:hAnsi="仿宋" w:eastAsia="仿宋" w:cs="仿宋"/>
        </w:rPr>
        <w:t>；各调差材料价格为合同履行期间的南京市的材料市场信息价格加权平均值。（南京市建设工程材料市场信息价格加权平均值=Σ（每月实际使用量×当月南京市的材料市场信息价格）/调差当季同类材料总用量）（工程造价管理机构发布的信息价格缺价的根据市场询价双方协商。）</w:t>
      </w:r>
    </w:p>
    <w:p w14:paraId="0AAAC24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4）材料调差按季度执行，并经监理、跟踪审计、发包人核定后按初审调整总额的50%，在当期工程款中一并支付。剩余款项以结算审计结果为准，发包人在结算金额中一并支付。</w:t>
      </w:r>
    </w:p>
    <w:p w14:paraId="21D5E3EB">
      <w:pPr>
        <w:pBdr>
          <w:top w:val="none" w:color="000000" w:sz="0" w:space="0"/>
          <w:left w:val="none" w:color="000000" w:sz="0" w:space="0"/>
          <w:bottom w:val="none" w:color="000000" w:sz="0" w:space="0"/>
          <w:right w:val="none" w:color="000000" w:sz="0" w:space="0"/>
        </w:pBdr>
        <w:spacing w:line="85" w:lineRule="atLeast"/>
        <w:ind w:firstLine="645"/>
      </w:pPr>
      <w:r>
        <w:rPr>
          <w:rFonts w:ascii="仿宋" w:hAnsi="仿宋" w:eastAsia="仿宋" w:cs="仿宋"/>
        </w:rPr>
        <w:t>12.合同价格、计量与支付</w:t>
      </w:r>
    </w:p>
    <w:p w14:paraId="3AC0D7A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12.1合同价格形式</w:t>
      </w:r>
    </w:p>
    <w:p w14:paraId="49781B0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1、单价合同。</w:t>
      </w:r>
    </w:p>
    <w:p w14:paraId="3773C5E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综合单价包含的风险范围：</w:t>
      </w:r>
      <w:r>
        <w:rPr>
          <w:rFonts w:ascii="仿宋" w:hAnsi="仿宋" w:eastAsia="仿宋" w:cs="仿宋"/>
          <w:u w:val="single"/>
        </w:rPr>
        <w:t>（1）采用固定单价合同，除非经发包人书面同意的设计变更、现场签证及出现本合同规定的可以调整价款的情形，投标单价一经合同约定，今后不再调整。</w:t>
      </w:r>
    </w:p>
    <w:p w14:paraId="4AE4C1B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综合单价包含的风险范围：</w:t>
      </w:r>
    </w:p>
    <w:p w14:paraId="3502655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1）包括为检测单位提供协调、配合服务。</w:t>
      </w:r>
    </w:p>
    <w:p w14:paraId="6AE4A52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2）一周内非承包人原因停水、停电造成累计停工在八小时以内的风险；</w:t>
      </w:r>
    </w:p>
    <w:p w14:paraId="3A296DC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3）招标图纸范围内的或在竞争性磋商文件中已经明示或暗示的风险；</w:t>
      </w:r>
    </w:p>
    <w:p w14:paraId="5AD4410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4）作为一个有经验的承包人可以或应该预见的，为完成整体工程内容所必须考虑的风险；</w:t>
      </w:r>
    </w:p>
    <w:p w14:paraId="253E097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5）双方约定的不可抗力范围以外的施工风险；</w:t>
      </w:r>
    </w:p>
    <w:p w14:paraId="542DF93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6）竞争性磋商文件中的暂估价以及原图纸或招标清单中未实施项的项目结算中予以扣除的风险。</w:t>
      </w:r>
    </w:p>
    <w:p w14:paraId="2B0ACFA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7）包括施工组织设计的技术、安全措施。</w:t>
      </w:r>
    </w:p>
    <w:p w14:paraId="6AAB360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风险费用的计算方法：</w:t>
      </w:r>
      <w:r>
        <w:rPr>
          <w:rFonts w:ascii="仿宋" w:hAnsi="仿宋" w:eastAsia="仿宋" w:cs="仿宋"/>
          <w:u w:val="single"/>
        </w:rPr>
        <w:t>风险费用应包含在报价中。承包人投标时是在仔细阅读竞争性磋商文件、设计图纸、设计规范、现场踏勘等前提下，结合承包人针对本工程的施工方案，并结合对本工程的风险分析，做出自己的投标报价并与发包人签订本合同的。除本合同另有约定外结算不再调整</w:t>
      </w:r>
      <w:r>
        <w:rPr>
          <w:rFonts w:ascii="仿宋" w:hAnsi="仿宋" w:eastAsia="仿宋" w:cs="仿宋"/>
        </w:rPr>
        <w:t>。</w:t>
      </w:r>
    </w:p>
    <w:p w14:paraId="0E93752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风险范围以外合同价格的调整方法：</w:t>
      </w:r>
      <w:r>
        <w:rPr>
          <w:rFonts w:ascii="仿宋" w:hAnsi="仿宋" w:eastAsia="仿宋" w:cs="仿宋"/>
          <w:u w:val="single"/>
        </w:rPr>
        <w:t>参照“专用合同条款10.4.1关于变更估价的约定。</w:t>
      </w:r>
    </w:p>
    <w:p w14:paraId="3671C82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2.双方约定合同价款的其他调整因素：</w:t>
      </w:r>
    </w:p>
    <w:p w14:paraId="1F28216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（1）发包人、承包人双方认可经审计后的设计变更；</w:t>
      </w:r>
    </w:p>
    <w:p w14:paraId="3588CB8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（2）发包人、监理方均认可经审计后的签证；</w:t>
      </w:r>
    </w:p>
    <w:p w14:paraId="45FFE73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（3）当单项设计变更和工程签证经双方估算确认费用超过合同价款的10%时，由发包人项目部牵头，承、发包人可另签订补充协议。</w:t>
      </w:r>
    </w:p>
    <w:p w14:paraId="0EEC096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措施项目费：措施项目费包括总价措施项目费和单价措施项目费。承包人在投标报价时已将所有总价措施项目费（安全文明施工费除外）考虑在内，费用标准自定，无论在投标报价中是否单独列出，均认为承包人已将所有总价措施费用计入投标报价。</w:t>
      </w:r>
    </w:p>
    <w:p w14:paraId="3A0736B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总价措施项目费除安全文明施工费及工程按质论价费（为不可竞争费用，按实调整）外，包括但不限于：夜间施工增加费，甲供及乙供材料和设备的场内二次搬运费，冬雨季施工增加费，地上、地下设施、建筑物的临时保护设施费，已完工程及设备保护费，临时设施费，企业检验试验费（苏建定（2004）414号文中承包人须承担的部分），赶工措施费，地下管线的保护费用，各级政府相关管理部门对施工现场进行的有关建筑工程安全防护、文明施工的各种检查而发生的费用，技术措施费，工程用水加压措施费，高压线防护措施费，防噪音措施费、防污染措施费，特殊条件下施工增加费等费用均已由承包人在投标报价中充分考虑，无论在投标报价中是否单独列出，结算时均不调整。</w:t>
      </w:r>
    </w:p>
    <w:p w14:paraId="0E704A1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单价措施项目清单中:(1)按项计量的单价措施项目，承包人根据施工方案综合考虑自行报价，除(3)中所述情况外，结算不作调整;但措施项目未实施的，结算时予以扣除;(2)按工程量计量的单价措施项目，单价包干，工程量按实调整;(3)若存在根据设计变更现场签证必须增加的部分，可调整相应单价措施项目或费用。</w:t>
      </w:r>
    </w:p>
    <w:p w14:paraId="0491D62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对于变更、签证计价及结算的约定：①有效工程变更签证的认定原则：变更、签证实施前（提前至少五个工作日）由承包人先报签证申请单，签证申请经监理方、跟踪审计及发包人确认后方可实施；实施完成后承包人及时办理签证确认单，签证确认单上必须有监理工程师（总监理工程师）、发包人代表、跟踪审计人员、承包人（项目经理）的签字和盖章，最终经发包人盖公章后的签证确认单方可作为竣工结算的依据；签证申请单及签证确认单上必须明确签证的原因、位置、尺寸、数量、材料、人工、机械台班、价格等和签证时间，必要（隐蔽工程）时须附照片。②关于临时用工的签证事项，双方应在签证通知单上协商确定以下问题：工作内容及工作量、工作时间、工作人数、取定的人工单价（是综合单价，已含管理费和利润）；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完工后10日内签字确认；④承包人每月25日前报送符合本条款范围的变更签证预算；⑤每月5日前，发包人、承包人应就截止上月末尚未确定最终审定价的变更的费用预算书，进行综合性核对和价格商谈，并形成核对与商谈记录清单。结算时发包人有权委托审计单位进行初审，最终审核以雨花台区审计局审核为准。所有现场的设计变更及签证办理（包括图纸会审和由施工方发起的技术核定单），必须符合发包人内部流程及管理办法。</w:t>
      </w:r>
    </w:p>
    <w:p w14:paraId="6012964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2、总价合同。</w:t>
      </w:r>
    </w:p>
    <w:p w14:paraId="5BF82D1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总价包含的风险范围：</w:t>
      </w:r>
      <w:r>
        <w:rPr>
          <w:rFonts w:ascii="仿宋" w:hAnsi="仿宋" w:eastAsia="仿宋" w:cs="仿宋"/>
          <w:u w:val="single"/>
        </w:rPr>
        <w:t>/</w:t>
      </w:r>
      <w:r>
        <w:rPr>
          <w:rFonts w:ascii="仿宋" w:hAnsi="仿宋" w:eastAsia="仿宋" w:cs="仿宋"/>
        </w:rPr>
        <w:t>。</w:t>
      </w:r>
    </w:p>
    <w:p w14:paraId="29ACA86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风险费用的计算方法：</w:t>
      </w:r>
      <w:r>
        <w:rPr>
          <w:rFonts w:ascii="仿宋" w:hAnsi="仿宋" w:eastAsia="仿宋" w:cs="仿宋"/>
          <w:u w:val="single"/>
        </w:rPr>
        <w:t>/</w:t>
      </w:r>
      <w:r>
        <w:rPr>
          <w:rFonts w:ascii="仿宋" w:hAnsi="仿宋" w:eastAsia="仿宋" w:cs="仿宋"/>
        </w:rPr>
        <w:t>。</w:t>
      </w:r>
    </w:p>
    <w:p w14:paraId="3544D68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风险范围以外合同价格的调整方法：</w:t>
      </w:r>
      <w:r>
        <w:rPr>
          <w:rFonts w:ascii="仿宋" w:hAnsi="仿宋" w:eastAsia="仿宋" w:cs="仿宋"/>
          <w:u w:val="single"/>
        </w:rPr>
        <w:t>/</w:t>
      </w:r>
      <w:r>
        <w:rPr>
          <w:rFonts w:ascii="仿宋" w:hAnsi="仿宋" w:eastAsia="仿宋" w:cs="仿宋"/>
        </w:rPr>
        <w:t>。</w:t>
      </w:r>
    </w:p>
    <w:p w14:paraId="2F215DF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3、其他价格方式：</w:t>
      </w:r>
      <w:r>
        <w:rPr>
          <w:rFonts w:ascii="仿宋" w:hAnsi="仿宋" w:eastAsia="仿宋" w:cs="仿宋"/>
          <w:u w:val="single"/>
        </w:rPr>
        <w:t>/</w:t>
      </w:r>
      <w:r>
        <w:rPr>
          <w:rFonts w:ascii="仿宋" w:hAnsi="仿宋" w:eastAsia="仿宋" w:cs="仿宋"/>
        </w:rPr>
        <w:t>。</w:t>
      </w:r>
    </w:p>
    <w:p w14:paraId="76731B7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12.2预付款</w:t>
      </w:r>
    </w:p>
    <w:p w14:paraId="49C6936E">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12.2.1预付款的支付</w:t>
      </w:r>
    </w:p>
    <w:p w14:paraId="27C07CB8">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预付款支付比例或金额：</w:t>
      </w:r>
      <w:r>
        <w:rPr>
          <w:rFonts w:hint="eastAsia" w:ascii="仿宋" w:hAnsi="仿宋" w:eastAsia="仿宋" w:cs="仿宋"/>
          <w:color w:val="auto"/>
          <w:sz w:val="21"/>
          <w:szCs w:val="22"/>
          <w:u w:val="none"/>
          <w:lang w:eastAsia="zh-CN"/>
        </w:rPr>
        <w:t>/</w:t>
      </w:r>
      <w:r>
        <w:rPr>
          <w:rFonts w:hint="eastAsia" w:ascii="仿宋" w:hAnsi="仿宋" w:eastAsia="仿宋" w:cs="仿宋"/>
        </w:rPr>
        <w:t>。</w:t>
      </w:r>
    </w:p>
    <w:p w14:paraId="7B2DCB4F">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预付款支付期限：</w:t>
      </w:r>
      <w:r>
        <w:rPr>
          <w:rFonts w:hint="eastAsia" w:ascii="仿宋" w:hAnsi="仿宋" w:eastAsia="仿宋" w:cs="仿宋"/>
          <w:color w:val="auto"/>
          <w:sz w:val="21"/>
          <w:szCs w:val="22"/>
          <w:u w:val="none"/>
          <w:lang w:eastAsia="zh-CN"/>
        </w:rPr>
        <w:t>/</w:t>
      </w:r>
      <w:r>
        <w:rPr>
          <w:rFonts w:hint="eastAsia" w:ascii="仿宋" w:hAnsi="仿宋" w:eastAsia="仿宋" w:cs="仿宋"/>
          <w:u w:val="none"/>
        </w:rPr>
        <w:t>。</w:t>
      </w:r>
    </w:p>
    <w:p w14:paraId="39808CE0">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预付款扣回的方式：</w:t>
      </w:r>
      <w:r>
        <w:rPr>
          <w:rFonts w:hint="eastAsia" w:ascii="仿宋" w:hAnsi="仿宋" w:eastAsia="仿宋" w:cs="仿宋"/>
          <w:color w:val="auto"/>
          <w:sz w:val="21"/>
          <w:szCs w:val="22"/>
          <w:highlight w:val="none"/>
          <w:u w:val="none"/>
          <w:lang w:eastAsia="zh-CN"/>
        </w:rPr>
        <w:t>/</w:t>
      </w:r>
      <w:r>
        <w:rPr>
          <w:rFonts w:hint="eastAsia" w:ascii="仿宋" w:hAnsi="仿宋" w:eastAsia="仿宋" w:cs="仿宋"/>
        </w:rPr>
        <w:t>。</w:t>
      </w:r>
    </w:p>
    <w:p w14:paraId="14F46E39">
      <w:pPr>
        <w:pBdr>
          <w:top w:val="none" w:color="000000" w:sz="0" w:space="0"/>
          <w:left w:val="none" w:color="000000" w:sz="0" w:space="0"/>
          <w:bottom w:val="none" w:color="000000" w:sz="0" w:space="0"/>
          <w:right w:val="none" w:color="000000" w:sz="0" w:space="0"/>
        </w:pBdr>
        <w:spacing w:line="85" w:lineRule="atLeast"/>
        <w:ind w:firstLine="420"/>
        <w:rPr>
          <w:rFonts w:hint="eastAsia" w:ascii="仿宋" w:hAnsi="仿宋" w:eastAsia="仿宋" w:cs="仿宋"/>
        </w:rPr>
      </w:pPr>
      <w:r>
        <w:rPr>
          <w:rFonts w:hint="eastAsia" w:ascii="仿宋" w:hAnsi="仿宋" w:eastAsia="仿宋" w:cs="仿宋"/>
        </w:rPr>
        <w:t>12.2.2预付款担保</w:t>
      </w:r>
    </w:p>
    <w:p w14:paraId="152883A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承包人提交预付款担保的期限：</w:t>
      </w:r>
      <w:r>
        <w:rPr>
          <w:rFonts w:ascii="仿宋" w:hAnsi="仿宋" w:eastAsia="仿宋" w:cs="仿宋"/>
          <w:u w:val="single"/>
        </w:rPr>
        <w:t>/</w:t>
      </w:r>
      <w:r>
        <w:rPr>
          <w:rFonts w:ascii="仿宋" w:hAnsi="仿宋" w:eastAsia="仿宋" w:cs="仿宋"/>
          <w:highlight w:val="white"/>
          <w:u w:val="single"/>
        </w:rPr>
        <w:t>。</w:t>
      </w:r>
    </w:p>
    <w:p w14:paraId="17C31D5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预付款担保的形式为：</w:t>
      </w:r>
      <w:r>
        <w:rPr>
          <w:rFonts w:ascii="仿宋" w:hAnsi="仿宋" w:eastAsia="仿宋" w:cs="仿宋"/>
          <w:u w:val="single"/>
        </w:rPr>
        <w:t>/。</w:t>
      </w:r>
    </w:p>
    <w:p w14:paraId="429055A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12.3计量</w:t>
      </w:r>
    </w:p>
    <w:p w14:paraId="4E8C622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12.3.1计量原则</w:t>
      </w:r>
    </w:p>
    <w:p w14:paraId="3D5D86D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工程量计算规则：</w:t>
      </w:r>
      <w:r>
        <w:rPr>
          <w:rFonts w:ascii="仿宋" w:hAnsi="仿宋" w:eastAsia="仿宋" w:cs="仿宋"/>
          <w:u w:val="single"/>
        </w:rPr>
        <w:t>本项目建设工程执行《工程量清单计价规范》（GB50500-2013）、定额标准：江苏省南京市所有最新计价规范、技术规范（按现行最新行业规范执行）。</w:t>
      </w:r>
    </w:p>
    <w:p w14:paraId="628D0CC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承包人实际完成的工程量按约定的工程量计算规则和经监理人、发包人、设计确认的竣工图进行计量</w:t>
      </w:r>
      <w:r>
        <w:rPr>
          <w:rFonts w:ascii="仿宋" w:hAnsi="仿宋" w:eastAsia="仿宋" w:cs="仿宋"/>
        </w:rPr>
        <w:t>。</w:t>
      </w:r>
    </w:p>
    <w:p w14:paraId="651A3FB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12.3.2计量周期</w:t>
      </w:r>
    </w:p>
    <w:p w14:paraId="0B7A1F5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关于计量周期的约定：</w:t>
      </w:r>
      <w:r>
        <w:rPr>
          <w:rFonts w:ascii="仿宋" w:hAnsi="仿宋" w:eastAsia="仿宋" w:cs="仿宋"/>
          <w:u w:val="single"/>
        </w:rPr>
        <w:t>按月度计量</w:t>
      </w:r>
      <w:r>
        <w:rPr>
          <w:rFonts w:ascii="仿宋" w:hAnsi="仿宋" w:eastAsia="仿宋" w:cs="仿宋"/>
        </w:rPr>
        <w:t>。</w:t>
      </w:r>
    </w:p>
    <w:p w14:paraId="21C723A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12.3.3单价合同的计量</w:t>
      </w:r>
    </w:p>
    <w:p w14:paraId="40BC964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关于单价合同计量的约定：</w:t>
      </w:r>
      <w:r>
        <w:rPr>
          <w:rFonts w:ascii="仿宋" w:hAnsi="仿宋" w:eastAsia="仿宋" w:cs="仿宋"/>
          <w:u w:val="single"/>
        </w:rPr>
        <w:t>1.总则（1）工程计量方法按《建设工程工程量清单计价规范》（GB50500-2013）（简称本规定）中的计量规范执行。本规定作为计算工程量的统一依据，在执行本规定时，为了说明工作的确切性和工作条件，须根据施工设计图纸的要求和合同规定配套使用。（2）任何工程项目的计量，都应是根据发包人批准的图纸所完成的、或监理工程师和发包人书面指示已完成工程量的计量。（3）计量与支付应同时参照技术规范、合同条款、工程量清单、以及图纸进行。（4）除约定外，凡超过图纸所示的任何长度、面积或体积都不予计量与支付。（5）有关技术规范允许的施工必要损耗，由承包人在投标报价时综合考虑，施工过程中对此不再予以计量。（6）设计变更等引起的已完工程的拆改，须有发包人、跟踪审计、监理、承包人共同计量。</w:t>
      </w:r>
    </w:p>
    <w:p w14:paraId="75DE6FF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2.计量（1）措施项目；措施费项目包括但不限于：临时设施费、夜间施工增加费、二次搬运费、大型机械进出场及安拆费、已完工程及设备保护费、施工排水降水费、脚手架费、模板及支架费、赶工措施费。</w:t>
      </w:r>
    </w:p>
    <w:p w14:paraId="1D3AB87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不予计量的规定；有下列情况之一者，不予计量与支付：1)无开工报告或开工报告未经批准；2)无计量资料或计量资料不完整；3)因施工错误而增加的工程量；4)工程量计算不符合相关计算规则；5)措施项目超出投标报价措施项目费总额；6)材料未按规定检验、试验，或未被确认为合格；7)合同外项目费用未按发包人有关规定办理审批手续</w:t>
      </w:r>
      <w:r>
        <w:rPr>
          <w:rFonts w:ascii="仿宋" w:hAnsi="仿宋" w:eastAsia="仿宋" w:cs="仿宋"/>
        </w:rPr>
        <w:t>。</w:t>
      </w:r>
    </w:p>
    <w:p w14:paraId="2CD626E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12.3.4总价合同的计量</w:t>
      </w:r>
    </w:p>
    <w:p w14:paraId="79240A4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关于总价合同计量的约定：</w:t>
      </w:r>
      <w:r>
        <w:rPr>
          <w:rFonts w:ascii="仿宋" w:hAnsi="仿宋" w:eastAsia="仿宋" w:cs="仿宋"/>
          <w:u w:val="single"/>
        </w:rPr>
        <w:t>/</w:t>
      </w:r>
      <w:r>
        <w:rPr>
          <w:rFonts w:ascii="仿宋" w:hAnsi="仿宋" w:eastAsia="仿宋" w:cs="仿宋"/>
        </w:rPr>
        <w:t>。</w:t>
      </w:r>
    </w:p>
    <w:p w14:paraId="0834B8D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12.3.5总价合同采用支付分解表计量支付的，是否适用第12.3.4项〔总价合同的计量〕约定进行计量：</w:t>
      </w:r>
      <w:r>
        <w:rPr>
          <w:rFonts w:ascii="仿宋" w:hAnsi="仿宋" w:eastAsia="仿宋" w:cs="仿宋"/>
          <w:u w:val="single"/>
        </w:rPr>
        <w:t>/</w:t>
      </w:r>
      <w:r>
        <w:rPr>
          <w:rFonts w:ascii="仿宋" w:hAnsi="仿宋" w:eastAsia="仿宋" w:cs="仿宋"/>
        </w:rPr>
        <w:t>。</w:t>
      </w:r>
    </w:p>
    <w:p w14:paraId="3DE4D77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12.3.6其他价格形式合同的计量</w:t>
      </w:r>
    </w:p>
    <w:p w14:paraId="2B4541C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其他价格形式的计量方式和程序：</w:t>
      </w:r>
      <w:r>
        <w:rPr>
          <w:rFonts w:ascii="仿宋" w:hAnsi="仿宋" w:eastAsia="仿宋" w:cs="仿宋"/>
          <w:u w:val="single"/>
        </w:rPr>
        <w:t>/</w:t>
      </w:r>
      <w:r>
        <w:rPr>
          <w:rFonts w:ascii="仿宋" w:hAnsi="仿宋" w:eastAsia="仿宋" w:cs="仿宋"/>
        </w:rPr>
        <w:t>。</w:t>
      </w:r>
    </w:p>
    <w:p w14:paraId="38C7650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12.4工程进度款支付</w:t>
      </w:r>
    </w:p>
    <w:p w14:paraId="10542D2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12.4.1付款周期</w:t>
      </w:r>
    </w:p>
    <w:p w14:paraId="3C88B31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关于付款周期的约定：</w:t>
      </w:r>
    </w:p>
    <w:p w14:paraId="2291CD3E">
      <w:pPr>
        <w:pBdr>
          <w:top w:val="none" w:color="000000" w:sz="0" w:space="0"/>
          <w:left w:val="none" w:color="000000" w:sz="0" w:space="0"/>
          <w:bottom w:val="none" w:color="000000" w:sz="0" w:space="0"/>
          <w:right w:val="none" w:color="000000" w:sz="0" w:space="0"/>
        </w:pBdr>
        <w:spacing w:line="85" w:lineRule="atLeast"/>
        <w:rPr>
          <w:rFonts w:ascii="仿宋" w:hAnsi="仿宋" w:eastAsia="仿宋" w:cs="仿宋"/>
          <w:u w:val="single"/>
        </w:rPr>
      </w:pPr>
      <w:r>
        <w:rPr>
          <w:rFonts w:ascii="仿宋" w:hAnsi="仿宋" w:eastAsia="仿宋" w:cs="仿宋"/>
          <w:u w:val="single"/>
        </w:rPr>
        <w:t>（1）</w:t>
      </w:r>
      <w:r>
        <w:rPr>
          <w:rFonts w:hint="eastAsia" w:ascii="仿宋" w:hAnsi="仿宋" w:eastAsia="仿宋" w:cs="仿宋"/>
          <w:u w:val="single"/>
        </w:rPr>
        <w:t>当累计已完合格工程量（不含签证、不含工程变更）价款达到合同价的40%时，支付至已完合格工程量（不含签证、不含工程变更）价款的80%，办理用工实名制的项目，发包人每次将工程款中的人工费用单独拨付到农民工工资专用账户（承包人应提交进度款明细表经监理、跟踪审计及发包人代表审核后，发包人支付进度款）。</w:t>
      </w:r>
    </w:p>
    <w:p w14:paraId="621135C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2）承包人工程竣工验收合格且已提交完整、合格的工程结算资料，发包人支付至实际已完成合格工程量价款的80%（不含签证、变更，支付至此节点即本项目所有农民工工资已支付完毕，如因拖欠工人工资引起工人信访、诉讼等群体性事件，需按12.4.1约定支付违约金）。</w:t>
      </w:r>
    </w:p>
    <w:p w14:paraId="7FE63CC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3）竣工结算审计完成并完成在智慧审计系统备案后，且承包人已配合完成相关主管部门要求的竣工验收资料移交工作（除发包人原因不能提交相关文件造成承包人不能移交验收资料外）及相关主管部门的审计备案工作后，付至结算审计价的97%（同时扣除各种应扣款项，质保金3%）。</w:t>
      </w:r>
    </w:p>
    <w:p w14:paraId="04CE7E8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（4）质量保修金：留竣工结算价的3%作为质量保修金,付清方式按15.3质量保证金条款执行（不计利息）。</w:t>
      </w:r>
    </w:p>
    <w:p w14:paraId="0654FF0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（5）社会保障费代缴代扣：由发包人代缴的社会保障费在第一次支付工程进度款开始分两次等额扣回（如有）。</w:t>
      </w:r>
    </w:p>
    <w:p w14:paraId="3580687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关于农民工工资支付的约定：</w:t>
      </w:r>
    </w:p>
    <w:p w14:paraId="41D000E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1）承包人按照《保障农民工工资支付条例》（国务院令第724号）、《工程建设领域农民工工资专用账户管理暂行办法》（人社部发[2021]53号）、《江苏省工程建设领域农民工工资支付管理办法》（苏建建管[2016]707号）及《南京市工程建设领域农民工工资专用账户管理办法（试行）》（宁建建监字[2018]457号）等法律法规、规章制度的要求，在本合同签订之日起30日内开立农民工工资专用账户，并与发包人、开户银行签订资金管理三方协议。</w:t>
      </w:r>
    </w:p>
    <w:p w14:paraId="67F14F2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（2）承包人依法与招用的农民工订立劳动合同并进行用工实名登记，建立实名制管理名册。项目开工前，承包人应当向相关行政管理部门办理农民工实名制管理登记手续。</w:t>
      </w:r>
    </w:p>
    <w:p w14:paraId="0CA8169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3）承包人按月考核农民工工作量并编制工资支付表，经农民工本人签字确认后，与农民工考勤表、当月工程进度等情况于当月25日前一并交发包人与开户银行。发包人按月将工程款中的人工费用单独拨付到农民工工资专用账户，用于支付该项目建设过程中产生的农民工工资。</w:t>
      </w:r>
    </w:p>
    <w:p w14:paraId="5F5B86E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其他：（1）上述工程进度款支付的金额均为扣除甲供材、专业工程暂估价、暂列金额及其他属于发包人款项的价格。</w:t>
      </w:r>
    </w:p>
    <w:p w14:paraId="305AC63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（2）按月支付已完合格工程量价款时，承包人需提供工程量计量明细，否则发包人有权拒付；如提供的误差超过5%的，承包人应按照付款金额1%/次的标准支付违约金，发包人有权在应付款项中直接扣除。</w:t>
      </w:r>
    </w:p>
    <w:p w14:paraId="2FB7A5FE">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3）发包人支付给承包人的工程进度款，承包人只能用于与本工程相关的劳力、材料、机械等费用，如工程进度款用于支付与本工程无关的费用，发包人有权选择停止支付工程款，并由承包人支付该合同总价2%的违约金。</w:t>
      </w:r>
    </w:p>
    <w:p w14:paraId="42A0D32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（4）承包人必须按发包人要求优先支付工人工资，不得出现以农民工工资未付申请借款或申请提前付款等事宜，否则，发包人有权选择停止支付工程款,并由承包人支付该合同总价2%的违约金。</w:t>
      </w:r>
    </w:p>
    <w:p w14:paraId="2B2FEE70">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u w:val="single"/>
        </w:rPr>
        <w:t>（5）在下列情况下，发包人有权暂时停止支付工程款，直至承包人解决问题：</w:t>
      </w:r>
    </w:p>
    <w:p w14:paraId="4DC3520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1）承包人工程进度落后合同进度计划达十四天以上,发包人有权暂扣应付工程进度款的10-50%，在承包人采取措施赶回工期后，下期再补回暂扣的工程进度款；</w:t>
      </w:r>
    </w:p>
    <w:p w14:paraId="033A80C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2）承包人工程质量未达到合同约定标准；</w:t>
      </w:r>
    </w:p>
    <w:p w14:paraId="0E82A1A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3）承包人无正当理由故意拒绝或拖延执行发包人代表的指示；</w:t>
      </w:r>
    </w:p>
    <w:p w14:paraId="6A3C849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4）工地未符合标化文明施工要求；</w:t>
      </w:r>
    </w:p>
    <w:p w14:paraId="195C313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发生与工人工资纠纷、拖欠农民工工资的有关事件。承包人保证及时给工人结算、支付工人工资，确保不拖欠工人工资，否则发包人有权直接扣除部分承包人应收工程款以支付工人工资。如因拖欠工人工资引起工人信访、诉讼等群体性事件，发包人将追究项目经理管理责任，并有权按工程最终结算审计价款的5%扣除承包人工程款作为承包人应付的违约金；同时有权解除合同，承包人按约承担违约责任。</w:t>
      </w:r>
    </w:p>
    <w:p w14:paraId="7A172B5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6）工程资料没有与工程进度及其他合同约定资料同步提交；</w:t>
      </w:r>
    </w:p>
    <w:p w14:paraId="01974E2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7）发生安全事故，引起或可能引起发包人承担赔偿责任或连带责任。</w:t>
      </w:r>
    </w:p>
    <w:p w14:paraId="61F77146">
      <w:pPr>
        <w:pBdr>
          <w:top w:val="none" w:color="000000" w:sz="0" w:space="0"/>
          <w:left w:val="none" w:color="000000" w:sz="0" w:space="0"/>
          <w:bottom w:val="none" w:color="000000" w:sz="0" w:space="0"/>
          <w:right w:val="none" w:color="000000" w:sz="0" w:space="0"/>
        </w:pBdr>
        <w:spacing w:line="85" w:lineRule="atLeast"/>
        <w:ind w:firstLine="210"/>
      </w:pPr>
      <w:r>
        <w:rPr>
          <w:rFonts w:ascii="仿宋" w:hAnsi="仿宋" w:eastAsia="仿宋" w:cs="仿宋"/>
          <w:u w:val="single"/>
        </w:rPr>
        <w:t>（6）由代建人支付给承包人的任何款项，在付款前必须符合以下条件：</w:t>
      </w:r>
    </w:p>
    <w:p w14:paraId="6074CE3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承包人必须在每次付款同时提供以发包人为抬头等额的国内增值税专用发票（含社会保障费代缴代扣金额及其他各项扣款），在审计完成后付款时开具剩余发票，否则付款时间顺延，发包人不承担任何违约责任，且工期不予顺延。</w:t>
      </w:r>
    </w:p>
    <w:p w14:paraId="04F5987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2）发包人将支付款项至承包人于指定银行开设的专帐账户：</w:t>
      </w:r>
    </w:p>
    <w:p w14:paraId="13CBCA5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(单位名称：            ，开户行：           ，帐号：          )。</w:t>
      </w:r>
    </w:p>
    <w:p w14:paraId="17526611">
      <w:pPr>
        <w:pBdr>
          <w:top w:val="none" w:color="000000" w:sz="0" w:space="0"/>
          <w:left w:val="none" w:color="000000" w:sz="0" w:space="0"/>
          <w:bottom w:val="none" w:color="000000" w:sz="0" w:space="0"/>
          <w:right w:val="none" w:color="000000" w:sz="0" w:space="0"/>
        </w:pBdr>
        <w:spacing w:line="85" w:lineRule="atLeast"/>
        <w:ind w:firstLine="422"/>
      </w:pPr>
      <w:r>
        <w:rPr>
          <w:rFonts w:ascii="仿宋" w:hAnsi="仿宋" w:eastAsia="仿宋" w:cs="仿宋"/>
          <w:b/>
          <w:u w:val="single"/>
        </w:rPr>
        <w:t>3）本项目约定南京宁南房地产开发有限公司作为发包人的工程款授权付款方，发包人支付相应款项后代建人依据合同专用条款12.4条进行支付。</w:t>
      </w:r>
    </w:p>
    <w:p w14:paraId="3555BD4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12.4.2进度付款申请单的编制</w:t>
      </w:r>
    </w:p>
    <w:p w14:paraId="696ECA8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关于进度付款申请单编制的约定：</w:t>
      </w:r>
      <w:r>
        <w:rPr>
          <w:rFonts w:ascii="仿宋" w:hAnsi="仿宋" w:eastAsia="仿宋" w:cs="仿宋"/>
          <w:u w:val="single"/>
        </w:rPr>
        <w:t>按通用条款执行</w:t>
      </w:r>
      <w:r>
        <w:rPr>
          <w:rFonts w:ascii="仿宋" w:hAnsi="仿宋" w:eastAsia="仿宋" w:cs="仿宋"/>
        </w:rPr>
        <w:t>。</w:t>
      </w:r>
    </w:p>
    <w:p w14:paraId="221389E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12.4.3进度付款申请单的提交</w:t>
      </w:r>
    </w:p>
    <w:p w14:paraId="5F150A5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（1）单价合同进度付款申请单提交的约定：</w:t>
      </w:r>
      <w:r>
        <w:rPr>
          <w:rFonts w:ascii="仿宋" w:hAnsi="仿宋" w:eastAsia="仿宋" w:cs="仿宋"/>
          <w:u w:val="single"/>
        </w:rPr>
        <w:t>承包人应于每月25日前向发包人和监理人报送上月20日至当月19日已完成的工程量报告，并附具进度付款申请单、已完成工程量报表和其他有关资料</w:t>
      </w:r>
      <w:r>
        <w:rPr>
          <w:rFonts w:ascii="仿宋" w:hAnsi="仿宋" w:eastAsia="仿宋" w:cs="仿宋"/>
        </w:rPr>
        <w:t>。</w:t>
      </w:r>
    </w:p>
    <w:p w14:paraId="471E42B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（2）总价合同进度付款申请单提交的约定：</w:t>
      </w:r>
      <w:r>
        <w:rPr>
          <w:rFonts w:ascii="仿宋" w:hAnsi="仿宋" w:eastAsia="仿宋" w:cs="仿宋"/>
          <w:u w:val="single"/>
        </w:rPr>
        <w:t>/</w:t>
      </w:r>
      <w:r>
        <w:rPr>
          <w:rFonts w:ascii="仿宋" w:hAnsi="仿宋" w:eastAsia="仿宋" w:cs="仿宋"/>
        </w:rPr>
        <w:t>。</w:t>
      </w:r>
    </w:p>
    <w:p w14:paraId="72FC7D7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（3）其他价格形式合同进度付款申请单提交的约定：</w:t>
      </w:r>
      <w:r>
        <w:rPr>
          <w:rFonts w:ascii="仿宋" w:hAnsi="仿宋" w:eastAsia="仿宋" w:cs="仿宋"/>
          <w:u w:val="single"/>
        </w:rPr>
        <w:t>/</w:t>
      </w:r>
      <w:r>
        <w:rPr>
          <w:rFonts w:ascii="仿宋" w:hAnsi="仿宋" w:eastAsia="仿宋" w:cs="仿宋"/>
        </w:rPr>
        <w:t>。</w:t>
      </w:r>
    </w:p>
    <w:p w14:paraId="7724A78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12.4.4进度款审核和支付</w:t>
      </w:r>
    </w:p>
    <w:p w14:paraId="72D659E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（1）监理人审查并报送发包人的期限：</w:t>
      </w:r>
      <w:r>
        <w:rPr>
          <w:rFonts w:ascii="仿宋" w:hAnsi="仿宋" w:eastAsia="仿宋" w:cs="仿宋"/>
          <w:u w:val="single"/>
        </w:rPr>
        <w:t>监理人应在收到承包人进度付款申请单以及相关资料后7个工作日内完成审查并报跟踪审计，跟踪审计应在收到后7个工作日内完成审批并报发包人批准</w:t>
      </w:r>
      <w:r>
        <w:rPr>
          <w:rFonts w:ascii="仿宋" w:hAnsi="仿宋" w:eastAsia="仿宋" w:cs="仿宋"/>
        </w:rPr>
        <w:t>。</w:t>
      </w:r>
    </w:p>
    <w:p w14:paraId="0EE373D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发包人完成审批并签发进度款支付证书的期限：</w:t>
      </w:r>
      <w:r>
        <w:rPr>
          <w:rFonts w:ascii="仿宋" w:hAnsi="仿宋" w:eastAsia="仿宋" w:cs="仿宋"/>
          <w:u w:val="single"/>
        </w:rPr>
        <w:t>监理和跟踪审计完成审批后发包人应在【10】个工作日内完成审批</w:t>
      </w:r>
      <w:r>
        <w:rPr>
          <w:rFonts w:ascii="仿宋" w:hAnsi="仿宋" w:eastAsia="仿宋" w:cs="仿宋"/>
        </w:rPr>
        <w:t>。</w:t>
      </w:r>
    </w:p>
    <w:p w14:paraId="5E52697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（2）发包人支付进度款的期限：</w:t>
      </w:r>
      <w:r>
        <w:rPr>
          <w:rFonts w:ascii="仿宋" w:hAnsi="仿宋" w:eastAsia="仿宋" w:cs="仿宋"/>
          <w:u w:val="single"/>
        </w:rPr>
        <w:t>发包人应在完成内部流程审批后【10】个工作日内完成支付，但因项目实施后超过本合同签约金额10%或其他非发包人原因，导致无法在“智慧审计”平台审批或无法及时完成项目在主管部门的审计备案，由此导致发包人不能按合同约定时间付款的，发包人不因此承担迟延付款的违约责任。</w:t>
      </w:r>
    </w:p>
    <w:p w14:paraId="1390AC06">
      <w:pPr>
        <w:pBdr>
          <w:top w:val="none" w:color="000000" w:sz="0" w:space="0"/>
          <w:left w:val="none" w:color="000000" w:sz="0" w:space="0"/>
          <w:bottom w:val="none" w:color="000000" w:sz="0" w:space="0"/>
          <w:right w:val="none" w:color="000000" w:sz="0" w:space="0"/>
        </w:pBdr>
        <w:spacing w:line="85" w:lineRule="atLeast"/>
        <w:ind w:firstLine="525"/>
      </w:pPr>
      <w:r>
        <w:rPr>
          <w:rFonts w:ascii="仿宋" w:hAnsi="仿宋" w:eastAsia="仿宋" w:cs="仿宋"/>
        </w:rPr>
        <w:t>发包人逾期支付进度款的违约金的计算方式：</w:t>
      </w:r>
      <w:r>
        <w:rPr>
          <w:rFonts w:ascii="仿宋" w:hAnsi="仿宋" w:eastAsia="仿宋" w:cs="仿宋"/>
          <w:u w:val="single"/>
        </w:rPr>
        <w:t>发包人逾期支付超过30天，经承包人书面催告后仍未支付的</w:t>
      </w:r>
      <w:r>
        <w:rPr>
          <w:rFonts w:ascii="仿宋" w:hAnsi="仿宋" w:eastAsia="仿宋" w:cs="仿宋"/>
        </w:rPr>
        <w:t>，以应付未付进度款为基数，自第31天起按全国银行间同业拆借中心发布的一年期贷款市场报价利率计算，违约金最高不超过应付未付款的5%。</w:t>
      </w:r>
    </w:p>
    <w:p w14:paraId="20235D46">
      <w:pPr>
        <w:pBdr>
          <w:top w:val="none" w:color="000000" w:sz="0" w:space="0"/>
          <w:left w:val="none" w:color="000000" w:sz="0" w:space="0"/>
          <w:bottom w:val="none" w:color="000000" w:sz="0" w:space="0"/>
          <w:right w:val="none" w:color="000000" w:sz="0" w:space="0"/>
        </w:pBdr>
        <w:spacing w:line="85" w:lineRule="atLeast"/>
        <w:ind w:firstLine="525"/>
      </w:pPr>
      <w:r>
        <w:rPr>
          <w:rFonts w:ascii="仿宋" w:hAnsi="仿宋" w:eastAsia="仿宋" w:cs="仿宋"/>
        </w:rPr>
        <w:t>12.4.6支付分解表的编制</w:t>
      </w:r>
    </w:p>
    <w:p w14:paraId="6944002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1、总价合同支付分解表的编制与审批：</w:t>
      </w:r>
      <w:r>
        <w:rPr>
          <w:rFonts w:ascii="仿宋" w:hAnsi="仿宋" w:eastAsia="仿宋" w:cs="仿宋"/>
          <w:u w:val="single"/>
        </w:rPr>
        <w:t>/</w:t>
      </w:r>
      <w:r>
        <w:rPr>
          <w:rFonts w:ascii="仿宋" w:hAnsi="仿宋" w:eastAsia="仿宋" w:cs="仿宋"/>
        </w:rPr>
        <w:t>。</w:t>
      </w:r>
    </w:p>
    <w:p w14:paraId="60246BB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2、单价合同的总价项目支付分解表的编制与审批：</w:t>
      </w:r>
      <w:r>
        <w:rPr>
          <w:rFonts w:ascii="仿宋" w:hAnsi="仿宋" w:eastAsia="仿宋" w:cs="仿宋"/>
          <w:u w:val="single"/>
        </w:rPr>
        <w:t>/</w:t>
      </w:r>
      <w:r>
        <w:rPr>
          <w:rFonts w:ascii="仿宋" w:hAnsi="仿宋" w:eastAsia="仿宋" w:cs="仿宋"/>
        </w:rPr>
        <w:t>。</w:t>
      </w:r>
    </w:p>
    <w:p w14:paraId="35629FB8">
      <w:pPr>
        <w:pBdr>
          <w:top w:val="none" w:color="000000" w:sz="0" w:space="0"/>
          <w:left w:val="none" w:color="000000" w:sz="0" w:space="0"/>
          <w:bottom w:val="none" w:color="000000" w:sz="0" w:space="0"/>
          <w:right w:val="none" w:color="000000" w:sz="0" w:space="0"/>
        </w:pBdr>
      </w:pPr>
      <w:r>
        <w:rPr>
          <w:rFonts w:ascii="仿宋" w:hAnsi="仿宋" w:eastAsia="仿宋" w:cs="仿宋"/>
          <w:b/>
        </w:rPr>
        <w:t>13.验收和工程试车</w:t>
      </w:r>
    </w:p>
    <w:p w14:paraId="55A8BA6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13.1分部分项工程验收</w:t>
      </w:r>
    </w:p>
    <w:p w14:paraId="46B7CC9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13.1.2监理人不能按时进行验收时，应提前</w:t>
      </w:r>
      <w:r>
        <w:rPr>
          <w:rFonts w:ascii="仿宋" w:hAnsi="仿宋" w:eastAsia="仿宋" w:cs="仿宋"/>
          <w:u w:val="single"/>
        </w:rPr>
        <w:t>48</w:t>
      </w:r>
      <w:r>
        <w:rPr>
          <w:rFonts w:ascii="仿宋" w:hAnsi="仿宋" w:eastAsia="仿宋" w:cs="仿宋"/>
        </w:rPr>
        <w:t>小时提交书面延期要求。</w:t>
      </w:r>
    </w:p>
    <w:p w14:paraId="4D7C520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关于延期最长不得超过：</w:t>
      </w:r>
      <w:r>
        <w:rPr>
          <w:rFonts w:ascii="仿宋" w:hAnsi="仿宋" w:eastAsia="仿宋" w:cs="仿宋"/>
          <w:u w:val="single"/>
        </w:rPr>
        <w:t>48</w:t>
      </w:r>
      <w:r>
        <w:rPr>
          <w:rFonts w:ascii="仿宋" w:hAnsi="仿宋" w:eastAsia="仿宋" w:cs="仿宋"/>
        </w:rPr>
        <w:t>小时。</w:t>
      </w:r>
    </w:p>
    <w:p w14:paraId="2DB1FF0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13.2竣工验收</w:t>
      </w:r>
    </w:p>
    <w:p w14:paraId="3AD4335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13.2.2竣工验收程序</w:t>
      </w:r>
    </w:p>
    <w:p w14:paraId="75A701B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关于竣工验收程序的约定：</w:t>
      </w:r>
      <w:r>
        <w:rPr>
          <w:rFonts w:ascii="仿宋" w:hAnsi="仿宋" w:eastAsia="仿宋" w:cs="仿宋"/>
          <w:u w:val="single"/>
        </w:rPr>
        <w:t>按通用条款执行。</w:t>
      </w:r>
    </w:p>
    <w:p w14:paraId="4024CE0A">
      <w:pPr>
        <w:pBdr>
          <w:top w:val="none" w:color="000000" w:sz="0" w:space="0"/>
          <w:left w:val="none" w:color="000000" w:sz="0" w:space="0"/>
          <w:bottom w:val="none" w:color="000000" w:sz="0" w:space="0"/>
          <w:right w:val="none" w:color="000000" w:sz="0" w:space="0"/>
        </w:pBdr>
        <w:spacing w:line="71" w:lineRule="atLeast"/>
        <w:ind w:firstLine="420"/>
      </w:pPr>
      <w:r>
        <w:rPr>
          <w:rFonts w:ascii="仿宋" w:hAnsi="仿宋" w:eastAsia="仿宋" w:cs="仿宋"/>
        </w:rPr>
        <w:t>发包人不按照本项约定组织竣工验收、颁发工程接收证书的违约金的计算方法：</w:t>
      </w:r>
      <w:r>
        <w:rPr>
          <w:rFonts w:ascii="仿宋" w:hAnsi="仿宋" w:eastAsia="仿宋" w:cs="仿宋"/>
          <w:u w:val="single"/>
        </w:rPr>
        <w:t>以竣工结算余款为基数，按照同期全国银行间同业拆借中心公布的一年期贷款市场报价利率为标准计算。</w:t>
      </w:r>
    </w:p>
    <w:p w14:paraId="0590845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13.2.5移交、接收全部与部分工程</w:t>
      </w:r>
    </w:p>
    <w:p w14:paraId="1A435B8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承包人向发包人移交工程的期限：</w:t>
      </w:r>
      <w:r>
        <w:rPr>
          <w:rFonts w:ascii="仿宋" w:hAnsi="仿宋" w:eastAsia="仿宋" w:cs="仿宋"/>
          <w:u w:val="single"/>
        </w:rPr>
        <w:t>按通用条款执行</w:t>
      </w:r>
      <w:r>
        <w:rPr>
          <w:rFonts w:ascii="仿宋" w:hAnsi="仿宋" w:eastAsia="仿宋" w:cs="仿宋"/>
        </w:rPr>
        <w:t>。</w:t>
      </w:r>
    </w:p>
    <w:p w14:paraId="6D64A9F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发包人未按本合同约定接收全部或部分工程的，违约金的计算方法为：</w:t>
      </w:r>
      <w:r>
        <w:rPr>
          <w:rFonts w:ascii="仿宋" w:hAnsi="仿宋" w:eastAsia="仿宋" w:cs="仿宋"/>
          <w:u w:val="single"/>
        </w:rPr>
        <w:t>按通用条款执行</w:t>
      </w:r>
      <w:r>
        <w:rPr>
          <w:rFonts w:ascii="仿宋" w:hAnsi="仿宋" w:eastAsia="仿宋" w:cs="仿宋"/>
        </w:rPr>
        <w:t>。</w:t>
      </w:r>
    </w:p>
    <w:p w14:paraId="35DB096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承包人未按时移交工程的，违约金的计算方法为：</w:t>
      </w:r>
      <w:r>
        <w:rPr>
          <w:rFonts w:ascii="仿宋" w:hAnsi="仿宋" w:eastAsia="仿宋" w:cs="仿宋"/>
          <w:u w:val="single"/>
        </w:rPr>
        <w:t>承包人按3000元/天向发包人支付违约金（以结算总价5％为限）。如因承包人原因延期移交工程时间达20天，发包人有权解除合同，并追究承包人相关责任</w:t>
      </w:r>
      <w:r>
        <w:rPr>
          <w:rFonts w:ascii="仿宋" w:hAnsi="仿宋" w:eastAsia="仿宋" w:cs="仿宋"/>
        </w:rPr>
        <w:t>。</w:t>
      </w:r>
    </w:p>
    <w:p w14:paraId="3B22ABC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13.3工程试车</w:t>
      </w:r>
    </w:p>
    <w:p w14:paraId="5020FCA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13.3.1试车程序</w:t>
      </w:r>
    </w:p>
    <w:p w14:paraId="73E0553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工程试车内容：</w:t>
      </w:r>
      <w:r>
        <w:rPr>
          <w:rFonts w:ascii="仿宋" w:hAnsi="仿宋" w:eastAsia="仿宋" w:cs="仿宋"/>
          <w:u w:val="single"/>
        </w:rPr>
        <w:t>暂无，如有需要另行协商约定</w:t>
      </w:r>
      <w:r>
        <w:rPr>
          <w:rFonts w:ascii="仿宋" w:hAnsi="仿宋" w:eastAsia="仿宋" w:cs="仿宋"/>
        </w:rPr>
        <w:t>。</w:t>
      </w:r>
    </w:p>
    <w:p w14:paraId="55F9814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（1）单机无负荷试车费用由</w:t>
      </w:r>
      <w:r>
        <w:rPr>
          <w:rFonts w:ascii="仿宋" w:hAnsi="仿宋" w:eastAsia="仿宋" w:cs="仿宋"/>
          <w:u w:val="single"/>
        </w:rPr>
        <w:t>暂无，如有由承包人</w:t>
      </w:r>
      <w:r>
        <w:rPr>
          <w:rFonts w:ascii="仿宋" w:hAnsi="仿宋" w:eastAsia="仿宋" w:cs="仿宋"/>
        </w:rPr>
        <w:t>承担；</w:t>
      </w:r>
    </w:p>
    <w:p w14:paraId="3ED6AC2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（2）无负荷联动试车费用由</w:t>
      </w:r>
      <w:r>
        <w:rPr>
          <w:rFonts w:ascii="仿宋" w:hAnsi="仿宋" w:eastAsia="仿宋" w:cs="仿宋"/>
          <w:u w:val="single"/>
        </w:rPr>
        <w:t>暂无，如有由承包人</w:t>
      </w:r>
      <w:r>
        <w:rPr>
          <w:rFonts w:ascii="仿宋" w:hAnsi="仿宋" w:eastAsia="仿宋" w:cs="仿宋"/>
        </w:rPr>
        <w:t>承担。</w:t>
      </w:r>
    </w:p>
    <w:p w14:paraId="4DE8201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13.3.3投料试车</w:t>
      </w:r>
    </w:p>
    <w:p w14:paraId="46B26D2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关于投料试车相关事项的约定：</w:t>
      </w:r>
      <w:r>
        <w:rPr>
          <w:rFonts w:ascii="仿宋" w:hAnsi="仿宋" w:eastAsia="仿宋" w:cs="仿宋"/>
          <w:u w:val="single"/>
        </w:rPr>
        <w:t>暂无，如有另行约定</w:t>
      </w:r>
      <w:r>
        <w:rPr>
          <w:rFonts w:ascii="仿宋" w:hAnsi="仿宋" w:eastAsia="仿宋" w:cs="仿宋"/>
        </w:rPr>
        <w:t>。</w:t>
      </w:r>
    </w:p>
    <w:p w14:paraId="2BCB383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13.6竣工退场</w:t>
      </w:r>
    </w:p>
    <w:p w14:paraId="3150DB1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13.6.1竣工退场</w:t>
      </w:r>
    </w:p>
    <w:p w14:paraId="095A127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承包人完成竣工退场的期限：</w:t>
      </w:r>
      <w:r>
        <w:rPr>
          <w:rFonts w:ascii="仿宋" w:hAnsi="仿宋" w:eastAsia="仿宋" w:cs="仿宋"/>
          <w:u w:val="single"/>
        </w:rPr>
        <w:t>承包人必须负责承包范围内的各项工程的验收，保证其合格。工程竣工验收后，施工单位的施工人员、材料、设备必须在七天内全部退出现场，每延迟一天退场支付2000元的违约金</w:t>
      </w:r>
      <w:r>
        <w:rPr>
          <w:rFonts w:ascii="仿宋" w:hAnsi="仿宋" w:eastAsia="仿宋" w:cs="仿宋"/>
        </w:rPr>
        <w:t>。</w:t>
      </w:r>
    </w:p>
    <w:p w14:paraId="7A4167E7">
      <w:pPr>
        <w:pBdr>
          <w:top w:val="none" w:color="000000" w:sz="0" w:space="0"/>
          <w:left w:val="none" w:color="000000" w:sz="0" w:space="0"/>
          <w:bottom w:val="none" w:color="000000" w:sz="0" w:space="0"/>
          <w:right w:val="none" w:color="000000" w:sz="0" w:space="0"/>
        </w:pBdr>
      </w:pPr>
      <w:r>
        <w:rPr>
          <w:rFonts w:ascii="仿宋" w:hAnsi="仿宋" w:eastAsia="仿宋" w:cs="仿宋"/>
          <w:b/>
        </w:rPr>
        <w:t>14.竣工结算</w:t>
      </w:r>
    </w:p>
    <w:p w14:paraId="3255C13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14.1竣工结算申请</w:t>
      </w:r>
    </w:p>
    <w:p w14:paraId="292926A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承包人提交竣工结算申请单的期限：</w:t>
      </w:r>
      <w:r>
        <w:rPr>
          <w:rFonts w:ascii="仿宋" w:hAnsi="仿宋" w:eastAsia="仿宋" w:cs="仿宋"/>
          <w:u w:val="single"/>
        </w:rPr>
        <w:t>按发包人工程审计要求办理。</w:t>
      </w:r>
    </w:p>
    <w:p w14:paraId="5983B11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竣工结算申请单应包括的内容：</w:t>
      </w:r>
      <w:r>
        <w:rPr>
          <w:rFonts w:ascii="仿宋" w:hAnsi="仿宋" w:eastAsia="仿宋" w:cs="仿宋"/>
          <w:u w:val="single"/>
        </w:rPr>
        <w:t>按发包人工程审计要求办理。</w:t>
      </w:r>
    </w:p>
    <w:p w14:paraId="6DB1BA0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14.2竣工结算审核</w:t>
      </w:r>
    </w:p>
    <w:p w14:paraId="4154184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发包人审批竣工付款申请单的期限：</w:t>
      </w:r>
    </w:p>
    <w:p w14:paraId="79FEF3D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14.2.1承包人应该在工程竣工验收合格90日内提交完整的竣工结算报告及结算资料。结算资料按发包人提交的清单一次报齐，均应加盖公章，否则每延迟一天承包人需承担3000元/天的违约金。承包人应保证所提交的竣工结算的准确性和资料的完整性，否则造成发包人、监理单位、跟踪审计单位管理费用的增加和审核时间的延长，责任由承包人承担。发包人收到承包人递交完整的竣工结算报告及结算资料后30天内报送结算审计，竣工结算审计自结算资料报送至结算单位之日起算。</w:t>
      </w:r>
    </w:p>
    <w:p w14:paraId="5632B97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如承包人未在上述规定时间内提供完整的工程竣工结算资料，经发包人催告后14天内仍未提供或未明确回复或拒不提供的，发包人有权根据已有资料进行审计，由此产生的一切责任均由承包人承担，并扣除签约合同价的5%作为违约金。</w:t>
      </w:r>
    </w:p>
    <w:p w14:paraId="56A54FC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承包人在收到审计单位出具的审计结果后（包括但不限于征求意见稿、审定单、联系单等形式），应在14天内予以书面确认或提出异议，承包人提出异议的，应提出具体的异议事项、理由及依据等。承包人未在14天内书面确认亦未提出异议的，视为承包人认可审核结果。如审计单位不认可承包人提出的书面异议，可协商解决，协商不成的，可向工程所在地人民法院提起诉讼。在此期间，发包人对未能确定审计结果导致无法付款的事实不承担责任，无需支付延迟付款利息及违约金。因承包人未能按时提出书面异议或书面确认，造成审计无法及时完成、发包人无法支付工程款的，发包人对此不承担任何责任，由此造成的一切责任及损失均由承包人承担。</w:t>
      </w:r>
    </w:p>
    <w:p w14:paraId="7B84143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14.2.2承包人报送工程结算文件时，必须满足合同规定的结算条件，并提供相应证据，竣工验收证明等。结算包含不同专业工程时，应在结算书中分别列项、计算和汇总。</w:t>
      </w:r>
    </w:p>
    <w:p w14:paraId="32B6293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14.2.3承包人报送工程结算单，所提交内容应为清晰、资料完备、计算准确的结算资料。①凡结算书中有与合同及审定的预算报价不符的施工或供货内容、数量、单价、取费标准的情况，必须提供有效依据如补充协议、经审定的补充预算书、工作联系单、订货单、现场签证单、竣工图等，且所提供依据中有相关单位签署、盖章的才是有效依据。②结算内容必须一次报全。③上报结算书中有漏项或计算错误，责任由承包人自负。④涉及造价变化的设计变更及工程联系单均需附设计变更及签证确认单，否则不作为结算的依据。⑤竣工图纸内容应真实，如有遗漏，则不予调整，如发现竣工图有弄虚作假，应在发包人规定时间内整改到位，如给发包人带来损失的，则必须赔偿发包人相关费用，并扣除合同结算价1%作为违约金。⑥结算过程中如承包人未在发包人规定的时间内配合对账及征求意见，或结算对账人员与承包人无社保关系的，发包人将视情况在应付款项中按照每次1万元-5万元的标准扣除承包人应付的违约金。⑦分部分项工程量清单计价表中相同子目（项目名称、计量单位与项目特征相同）综合单价应保持一致，相同分部分项工程量清单（项目名称、计量单位与项目特征相同）综合单价如有不一致的，结算时按单价最低者计取。</w:t>
      </w:r>
    </w:p>
    <w:p w14:paraId="75CD43F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14.2.4工程竣工结算时，承包人应遵循实事求是的原则编制工程造价，对于工程竣工结算审计费用支付的约定：工程结算审计核减率在5%内的，全部审计费用由发包人承担；工程结算审计核减率在5%及以上的，全部审计费用（审计费率按发包人与审计单位签订的合同计算）由承包人承担。承包人签字确认结算审计报告后，应由承包人承担的结算审计费用，在承包人的工程款中直接扣除，且承包人开具的发票要包含结算审计费用，发包人不再向承包人开具结算审计费发票或收据。承包人应配合竣工结算审核工作；如工程结算资料不完整，承包人应在3个工作日内重新补充报送直至完整；如未在规定时间内报送或报送仍不符合要求的，按14.2.1条承担违约责任。审核工作完成后，承包人应在14天内对审计结果进行书面确认；如逾期视同承包人认可审计结果。</w:t>
      </w:r>
    </w:p>
    <w:p w14:paraId="02B6A62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结算资料提交2套,具体如下:</w:t>
      </w:r>
    </w:p>
    <w:p w14:paraId="4B238A5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b/>
        </w:rPr>
        <w:t>一、书面资料（2套，其中原件1套）</w:t>
      </w:r>
    </w:p>
    <w:p w14:paraId="4C54963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1、《项目核准备案书》/《立项批文》</w:t>
      </w:r>
    </w:p>
    <w:p w14:paraId="77956D1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2、①《雨花台区政府投资工程项目施工单位承诺书》</w:t>
      </w:r>
    </w:p>
    <w:p w14:paraId="5F41373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②《结算资料报送承诺书》</w:t>
      </w:r>
    </w:p>
    <w:p w14:paraId="4709977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3、①工程开工报告、②竣工报告、③取芯报告（所有道路项目）</w:t>
      </w:r>
    </w:p>
    <w:p w14:paraId="253B584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4、招标：①采购文件、②响应文件、③成交通知书、④评标报告（含开标记录）、⑤合同/补充协议</w:t>
      </w:r>
    </w:p>
    <w:p w14:paraId="511A1F2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5、①编制说明、②结算报价（检查汇总报价与明细价之和是否相等）、③工程量计算书</w:t>
      </w:r>
    </w:p>
    <w:p w14:paraId="5AC5EA0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（①②③需装订成册，并加盖公章）</w:t>
      </w:r>
    </w:p>
    <w:p w14:paraId="6412E64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6、签证、变更、材料报验单、隐蔽工程验收依据等原始资料</w:t>
      </w:r>
    </w:p>
    <w:p w14:paraId="4184616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7、竣工图</w:t>
      </w:r>
    </w:p>
    <w:p w14:paraId="0F81A89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8、水电费缴纳说明</w:t>
      </w:r>
    </w:p>
    <w:p w14:paraId="46DB47F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1）施工单位直接向收费方缴费的，提交缴费复印件，发包人经办人、项目经理签字确认水电费已结清；</w:t>
      </w:r>
    </w:p>
    <w:p w14:paraId="7A38F99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2）施工单位单独挂表计量的，与项目部共同确定水电费的使用情况及缴纳情况，发包人代表、项目经理签字确认；</w:t>
      </w:r>
    </w:p>
    <w:p w14:paraId="2C4B1CC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3）若未使用水电费，施工单位写情况说明，发包人代表、项目经理签字确认。</w:t>
      </w:r>
    </w:p>
    <w:p w14:paraId="5DC31CD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9、工程结算资料交接单、工程结算资料审查意见表（监理审核）、工程结算资料审查意见表（跟踪审计审核）；</w:t>
      </w:r>
    </w:p>
    <w:p w14:paraId="38D0517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10、未完成项目报结算的原因及相关批准材料；</w:t>
      </w:r>
    </w:p>
    <w:p w14:paraId="512956D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11、资料不全的原因（缺少何种资料以及缺少资料的原因，工程部经办人、项目经理签字并盖章）。</w:t>
      </w:r>
    </w:p>
    <w:p w14:paraId="30F6471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二、电子资料</w:t>
      </w:r>
    </w:p>
    <w:p w14:paraId="5AA0450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（1）投标报价、结算报价（未来软件版本）；</w:t>
      </w:r>
    </w:p>
    <w:p w14:paraId="0200EBB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（2）工程量计算书（EXCEL版本）；</w:t>
      </w:r>
    </w:p>
    <w:p w14:paraId="77063A9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（3）竣工图（CAD版本）。</w:t>
      </w:r>
    </w:p>
    <w:p w14:paraId="0060952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三、发包人要求提供的其他资料</w:t>
      </w:r>
    </w:p>
    <w:p w14:paraId="0253EB0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发包人完成竣工付款的期限：</w:t>
      </w:r>
      <w:r>
        <w:rPr>
          <w:rFonts w:ascii="仿宋" w:hAnsi="仿宋" w:eastAsia="仿宋" w:cs="仿宋"/>
          <w:u w:val="single"/>
        </w:rPr>
        <w:t>工程竣工结算审计（发包人有权委托审计单位进行审核）结束并经承包人书面确认，按照12.4.1条相关约定并在发包人完成审批后的14个工作日内支付。</w:t>
      </w:r>
    </w:p>
    <w:p w14:paraId="211109F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关于竣工付款证书异议部分复核的方式和程序：</w:t>
      </w:r>
      <w:r>
        <w:rPr>
          <w:rFonts w:ascii="仿宋" w:hAnsi="仿宋" w:eastAsia="仿宋" w:cs="仿宋"/>
          <w:u w:val="single"/>
        </w:rPr>
        <w:t>按发包人工程审计要求办理。</w:t>
      </w:r>
    </w:p>
    <w:p w14:paraId="5EAB932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14.4最终结清</w:t>
      </w:r>
    </w:p>
    <w:p w14:paraId="0A723B9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14.4.1最终结清申请单</w:t>
      </w:r>
    </w:p>
    <w:p w14:paraId="798137E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承包人提交最终结清申请单的份数：</w:t>
      </w:r>
      <w:r>
        <w:rPr>
          <w:rFonts w:ascii="仿宋" w:hAnsi="仿宋" w:eastAsia="仿宋" w:cs="仿宋"/>
          <w:u w:val="single"/>
        </w:rPr>
        <w:t>一式五份</w:t>
      </w:r>
      <w:r>
        <w:rPr>
          <w:rFonts w:ascii="仿宋" w:hAnsi="仿宋" w:eastAsia="仿宋" w:cs="仿宋"/>
        </w:rPr>
        <w:t>。</w:t>
      </w:r>
    </w:p>
    <w:p w14:paraId="6C58C4C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承包人提交最终结算申请单的期限：</w:t>
      </w:r>
      <w:r>
        <w:rPr>
          <w:rFonts w:ascii="仿宋" w:hAnsi="仿宋" w:eastAsia="仿宋" w:cs="仿宋"/>
          <w:u w:val="single"/>
        </w:rPr>
        <w:t>在工程竣工验收合格之日起，缺陷责任期满后的第28天之内</w:t>
      </w:r>
      <w:r>
        <w:rPr>
          <w:rFonts w:ascii="仿宋" w:hAnsi="仿宋" w:eastAsia="仿宋" w:cs="仿宋"/>
        </w:rPr>
        <w:t>。</w:t>
      </w:r>
    </w:p>
    <w:p w14:paraId="674BDAD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14.4.2最终结清证书和支付</w:t>
      </w:r>
    </w:p>
    <w:p w14:paraId="2FC5CAD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（1）发包人完成最终结清申请单的审批并颁发最终结清证书的期限：</w:t>
      </w:r>
      <w:r>
        <w:rPr>
          <w:rFonts w:ascii="仿宋" w:hAnsi="仿宋" w:eastAsia="仿宋" w:cs="仿宋"/>
          <w:u w:val="single"/>
        </w:rPr>
        <w:t>收到承包人提交的最终结清申请单28日内</w:t>
      </w:r>
      <w:r>
        <w:rPr>
          <w:rFonts w:ascii="仿宋" w:hAnsi="仿宋" w:eastAsia="仿宋" w:cs="仿宋"/>
        </w:rPr>
        <w:t>。</w:t>
      </w:r>
    </w:p>
    <w:p w14:paraId="4980E92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（2）发包人完成支付的期限：</w:t>
      </w:r>
      <w:r>
        <w:rPr>
          <w:rFonts w:ascii="仿宋" w:hAnsi="仿宋" w:eastAsia="仿宋" w:cs="仿宋"/>
          <w:u w:val="single"/>
        </w:rPr>
        <w:t>颁发最终结清证书后60日内。</w:t>
      </w:r>
    </w:p>
    <w:p w14:paraId="0094492C">
      <w:pPr>
        <w:pBdr>
          <w:top w:val="none" w:color="000000" w:sz="0" w:space="0"/>
          <w:left w:val="none" w:color="000000" w:sz="0" w:space="0"/>
          <w:bottom w:val="none" w:color="000000" w:sz="0" w:space="0"/>
          <w:right w:val="none" w:color="000000" w:sz="0" w:space="0"/>
        </w:pBdr>
      </w:pPr>
      <w:r>
        <w:rPr>
          <w:rFonts w:ascii="仿宋" w:hAnsi="仿宋" w:eastAsia="仿宋" w:cs="仿宋"/>
          <w:b/>
        </w:rPr>
        <w:t>15.缺陷责任期与保修</w:t>
      </w:r>
    </w:p>
    <w:p w14:paraId="72788CB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15.2缺陷责任期</w:t>
      </w:r>
    </w:p>
    <w:p w14:paraId="7D1B39D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缺陷责任期的具体期限：</w:t>
      </w:r>
      <w:r>
        <w:rPr>
          <w:rFonts w:ascii="仿宋" w:hAnsi="仿宋" w:eastAsia="仿宋" w:cs="仿宋"/>
          <w:u w:val="single"/>
        </w:rPr>
        <w:t>24个月</w:t>
      </w:r>
      <w:r>
        <w:rPr>
          <w:rFonts w:ascii="仿宋" w:hAnsi="仿宋" w:eastAsia="仿宋" w:cs="仿宋"/>
        </w:rPr>
        <w:t>。</w:t>
      </w:r>
    </w:p>
    <w:p w14:paraId="313AE25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15.3质量保证金</w:t>
      </w:r>
    </w:p>
    <w:p w14:paraId="7D601A0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关于是否扣留质量保证金的约定：</w:t>
      </w:r>
      <w:r>
        <w:rPr>
          <w:rFonts w:ascii="仿宋" w:hAnsi="仿宋" w:eastAsia="仿宋" w:cs="仿宋"/>
          <w:u w:val="single"/>
        </w:rPr>
        <w:t>留结算总价的3%作为质量保修金，屋面防水工程、有防水要求的卫生间、房间和外墙面质保期满，并经发包人、代建人共同验收确认无质量问题后退还该部分的质量保证金（不计利息）。其余工程缺陷责任期届满，并经发包人、代建人共同验收确认无质量问题后付清（不计利息）</w:t>
      </w:r>
      <w:r>
        <w:rPr>
          <w:rFonts w:ascii="仿宋" w:hAnsi="仿宋" w:eastAsia="仿宋" w:cs="仿宋"/>
        </w:rPr>
        <w:t>。</w:t>
      </w:r>
    </w:p>
    <w:p w14:paraId="7A35ECC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15.3.1承包人提供质量保证金的方式</w:t>
      </w:r>
    </w:p>
    <w:p w14:paraId="6132016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质量保证金采用以下第</w:t>
      </w:r>
      <w:r>
        <w:rPr>
          <w:rFonts w:ascii="仿宋" w:hAnsi="仿宋" w:eastAsia="仿宋" w:cs="仿宋"/>
          <w:u w:val="single"/>
        </w:rPr>
        <w:t>（2）</w:t>
      </w:r>
      <w:r>
        <w:rPr>
          <w:rFonts w:ascii="仿宋" w:hAnsi="仿宋" w:eastAsia="仿宋" w:cs="仿宋"/>
        </w:rPr>
        <w:t>种方式：</w:t>
      </w:r>
    </w:p>
    <w:p w14:paraId="1CDC780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（1）质量保证金保函，保证金额为：</w:t>
      </w:r>
      <w:r>
        <w:rPr>
          <w:rFonts w:ascii="仿宋" w:hAnsi="仿宋" w:eastAsia="仿宋" w:cs="仿宋"/>
          <w:u w:val="single"/>
        </w:rPr>
        <w:t>/</w:t>
      </w:r>
      <w:r>
        <w:rPr>
          <w:rFonts w:ascii="仿宋" w:hAnsi="仿宋" w:eastAsia="仿宋" w:cs="仿宋"/>
        </w:rPr>
        <w:t>；</w:t>
      </w:r>
    </w:p>
    <w:p w14:paraId="590D84C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w:t>
      </w:r>
      <w:r>
        <w:rPr>
          <w:rFonts w:ascii="仿宋" w:hAnsi="仿宋" w:eastAsia="仿宋" w:cs="仿宋"/>
          <w:u w:val="single"/>
        </w:rPr>
        <w:t>3</w:t>
      </w:r>
      <w:r>
        <w:rPr>
          <w:rFonts w:ascii="仿宋" w:hAnsi="仿宋" w:eastAsia="仿宋" w:cs="仿宋"/>
        </w:rPr>
        <w:t>%的工程款；</w:t>
      </w:r>
    </w:p>
    <w:p w14:paraId="7DE78BA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（3）其他方式:</w:t>
      </w:r>
      <w:r>
        <w:rPr>
          <w:rFonts w:ascii="仿宋" w:hAnsi="仿宋" w:eastAsia="仿宋" w:cs="仿宋"/>
          <w:u w:val="single"/>
        </w:rPr>
        <w:t>/</w:t>
      </w:r>
      <w:r>
        <w:rPr>
          <w:rFonts w:ascii="仿宋" w:hAnsi="仿宋" w:eastAsia="仿宋" w:cs="仿宋"/>
        </w:rPr>
        <w:t>。</w:t>
      </w:r>
    </w:p>
    <w:p w14:paraId="2E14CAC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15.3.2质量保证金的扣留</w:t>
      </w:r>
    </w:p>
    <w:p w14:paraId="64B45A6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质量保证金的扣留采取以下第</w:t>
      </w:r>
      <w:r>
        <w:rPr>
          <w:rFonts w:ascii="仿宋" w:hAnsi="仿宋" w:eastAsia="仿宋" w:cs="仿宋"/>
          <w:u w:val="single"/>
        </w:rPr>
        <w:t>（2）</w:t>
      </w:r>
      <w:r>
        <w:rPr>
          <w:rFonts w:ascii="仿宋" w:hAnsi="仿宋" w:eastAsia="仿宋" w:cs="仿宋"/>
        </w:rPr>
        <w:t>种方式：</w:t>
      </w:r>
    </w:p>
    <w:p w14:paraId="5CE0C61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（1）在支付工程进度款时逐次扣留，在此情形下，质量保证金的计算基数不包括预付款的支付、扣回以及价格调整的金额；</w:t>
      </w:r>
    </w:p>
    <w:p w14:paraId="6EE3B18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（2）工程竣工结算时一次性扣留质量保证金；</w:t>
      </w:r>
    </w:p>
    <w:p w14:paraId="62AC37F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（3）其他扣留方式:</w:t>
      </w:r>
      <w:r>
        <w:rPr>
          <w:rFonts w:ascii="仿宋" w:hAnsi="仿宋" w:eastAsia="仿宋" w:cs="仿宋"/>
          <w:u w:val="single"/>
        </w:rPr>
        <w:t>/</w:t>
      </w:r>
      <w:r>
        <w:rPr>
          <w:rFonts w:ascii="仿宋" w:hAnsi="仿宋" w:eastAsia="仿宋" w:cs="仿宋"/>
        </w:rPr>
        <w:t>。</w:t>
      </w:r>
    </w:p>
    <w:p w14:paraId="5AA3612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关于质量保证金的补充约定：</w:t>
      </w:r>
      <w:r>
        <w:rPr>
          <w:rFonts w:ascii="仿宋" w:hAnsi="仿宋" w:eastAsia="仿宋" w:cs="仿宋"/>
          <w:u w:val="single"/>
        </w:rPr>
        <w:t>/</w:t>
      </w:r>
      <w:r>
        <w:rPr>
          <w:rFonts w:ascii="仿宋" w:hAnsi="仿宋" w:eastAsia="仿宋" w:cs="仿宋"/>
        </w:rPr>
        <w:t>。</w:t>
      </w:r>
    </w:p>
    <w:p w14:paraId="5EE5B52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15.4保修</w:t>
      </w:r>
    </w:p>
    <w:p w14:paraId="427199D6">
      <w:pPr>
        <w:pBdr>
          <w:top w:val="none" w:color="000000" w:sz="0" w:space="0"/>
          <w:left w:val="none" w:color="000000" w:sz="0" w:space="0"/>
          <w:bottom w:val="none" w:color="000000" w:sz="0" w:space="0"/>
          <w:right w:val="none" w:color="000000" w:sz="0" w:space="0"/>
        </w:pBdr>
        <w:spacing w:line="85" w:lineRule="atLeast"/>
        <w:ind w:firstLine="409"/>
      </w:pPr>
      <w:r>
        <w:rPr>
          <w:rFonts w:ascii="仿宋" w:hAnsi="仿宋" w:eastAsia="仿宋" w:cs="仿宋"/>
        </w:rPr>
        <w:t>15.4.1保修责任</w:t>
      </w:r>
    </w:p>
    <w:p w14:paraId="05B3AEAE">
      <w:pPr>
        <w:pBdr>
          <w:top w:val="none" w:color="000000" w:sz="0" w:space="0"/>
          <w:left w:val="none" w:color="000000" w:sz="0" w:space="0"/>
          <w:bottom w:val="none" w:color="000000" w:sz="0" w:space="0"/>
          <w:right w:val="none" w:color="000000" w:sz="0" w:space="0"/>
        </w:pBdr>
        <w:spacing w:line="85" w:lineRule="atLeast"/>
        <w:ind w:firstLine="409"/>
      </w:pPr>
      <w:r>
        <w:rPr>
          <w:rFonts w:ascii="仿宋" w:hAnsi="仿宋" w:eastAsia="仿宋" w:cs="仿宋"/>
        </w:rPr>
        <w:t>工程保修期为：</w:t>
      </w:r>
      <w:r>
        <w:rPr>
          <w:rFonts w:ascii="仿宋" w:hAnsi="仿宋" w:eastAsia="仿宋" w:cs="仿宋"/>
          <w:u w:val="single"/>
        </w:rPr>
        <w:t>详见附件：工程质量保修书</w:t>
      </w:r>
      <w:r>
        <w:rPr>
          <w:rFonts w:ascii="仿宋" w:hAnsi="仿宋" w:eastAsia="仿宋" w:cs="仿宋"/>
        </w:rPr>
        <w:t>。</w:t>
      </w:r>
    </w:p>
    <w:p w14:paraId="07B67F99">
      <w:pPr>
        <w:pBdr>
          <w:top w:val="none" w:color="000000" w:sz="0" w:space="0"/>
          <w:left w:val="none" w:color="000000" w:sz="0" w:space="0"/>
          <w:bottom w:val="none" w:color="000000" w:sz="0" w:space="0"/>
          <w:right w:val="none" w:color="000000" w:sz="0" w:space="0"/>
        </w:pBdr>
        <w:spacing w:line="85" w:lineRule="atLeast"/>
        <w:ind w:firstLine="409"/>
      </w:pPr>
      <w:r>
        <w:rPr>
          <w:rFonts w:ascii="仿宋" w:hAnsi="仿宋" w:eastAsia="仿宋" w:cs="仿宋"/>
        </w:rPr>
        <w:t>15.4.3修复通知</w:t>
      </w:r>
    </w:p>
    <w:p w14:paraId="24C0D71A">
      <w:pPr>
        <w:pBdr>
          <w:top w:val="none" w:color="000000" w:sz="0" w:space="0"/>
          <w:left w:val="none" w:color="000000" w:sz="0" w:space="0"/>
          <w:bottom w:val="none" w:color="000000" w:sz="0" w:space="0"/>
          <w:right w:val="none" w:color="000000" w:sz="0" w:space="0"/>
        </w:pBdr>
        <w:spacing w:line="85" w:lineRule="atLeast"/>
        <w:ind w:firstLine="409"/>
      </w:pPr>
      <w:r>
        <w:rPr>
          <w:rFonts w:ascii="仿宋" w:hAnsi="仿宋" w:eastAsia="仿宋" w:cs="仿宋"/>
        </w:rPr>
        <w:t>承包人收到保修通知并到达工程现场的合理时间：</w:t>
      </w:r>
      <w:r>
        <w:rPr>
          <w:rFonts w:ascii="仿宋" w:hAnsi="仿宋" w:eastAsia="仿宋" w:cs="仿宋"/>
          <w:u w:val="single"/>
        </w:rPr>
        <w:t>24小时内</w:t>
      </w:r>
      <w:r>
        <w:rPr>
          <w:rFonts w:ascii="仿宋" w:hAnsi="仿宋" w:eastAsia="仿宋" w:cs="仿宋"/>
        </w:rPr>
        <w:t>。</w:t>
      </w:r>
    </w:p>
    <w:p w14:paraId="07FE467F">
      <w:pPr>
        <w:pBdr>
          <w:top w:val="none" w:color="000000" w:sz="0" w:space="0"/>
          <w:left w:val="none" w:color="000000" w:sz="0" w:space="0"/>
          <w:bottom w:val="none" w:color="000000" w:sz="0" w:space="0"/>
          <w:right w:val="none" w:color="000000" w:sz="0" w:space="0"/>
        </w:pBdr>
      </w:pPr>
      <w:r>
        <w:rPr>
          <w:rFonts w:ascii="仿宋" w:hAnsi="仿宋" w:eastAsia="仿宋" w:cs="仿宋"/>
          <w:b/>
        </w:rPr>
        <w:t>16.违约</w:t>
      </w:r>
    </w:p>
    <w:p w14:paraId="77F5A22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16.1发包人违约</w:t>
      </w:r>
    </w:p>
    <w:p w14:paraId="72C0564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16.1.1发包人违约的情形</w:t>
      </w:r>
    </w:p>
    <w:p w14:paraId="08D1A91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发包人违约的其他情形：</w:t>
      </w:r>
      <w:r>
        <w:rPr>
          <w:rFonts w:ascii="仿宋" w:hAnsi="仿宋" w:eastAsia="仿宋" w:cs="仿宋"/>
          <w:u w:val="single"/>
        </w:rPr>
        <w:t>按通用条款</w:t>
      </w:r>
      <w:r>
        <w:rPr>
          <w:rFonts w:ascii="仿宋" w:hAnsi="仿宋" w:eastAsia="仿宋" w:cs="仿宋"/>
        </w:rPr>
        <w:t>。</w:t>
      </w:r>
    </w:p>
    <w:p w14:paraId="09C1DA4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16.1.2发包人违约的责任</w:t>
      </w:r>
    </w:p>
    <w:p w14:paraId="08389EF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发包人违约责任的承担方式和计算方法：</w:t>
      </w:r>
    </w:p>
    <w:p w14:paraId="485650A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（1）因发包人原因未能在计划开工日期前7天内下达开工通知的违约责任：</w:t>
      </w:r>
      <w:r>
        <w:rPr>
          <w:rFonts w:ascii="仿宋" w:hAnsi="仿宋" w:eastAsia="仿宋" w:cs="仿宋"/>
          <w:u w:val="single"/>
        </w:rPr>
        <w:t>工期顺延，发包人不承担违约责任。开工延误90天以上，承包人有权提出价格调整要求，承包人也可提出解除合同。如双方解除合同的，发包人不承担违约责任。承包人价格调整按11.1条[市场价格波动引起的调整]中第3种方式执行</w:t>
      </w:r>
      <w:r>
        <w:rPr>
          <w:rFonts w:ascii="仿宋" w:hAnsi="仿宋" w:eastAsia="仿宋" w:cs="仿宋"/>
        </w:rPr>
        <w:t>。</w:t>
      </w:r>
    </w:p>
    <w:p w14:paraId="77E78F1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（2）因发包人原因未能按合同约定支付合同价款的违约责任：</w:t>
      </w:r>
      <w:r>
        <w:rPr>
          <w:rFonts w:ascii="仿宋" w:hAnsi="仿宋" w:eastAsia="仿宋" w:cs="仿宋"/>
          <w:u w:val="single"/>
        </w:rPr>
        <w:t>按专用条款第12.4.4条</w:t>
      </w:r>
      <w:r>
        <w:rPr>
          <w:rFonts w:ascii="仿宋" w:hAnsi="仿宋" w:eastAsia="仿宋" w:cs="仿宋"/>
        </w:rPr>
        <w:t>。</w:t>
      </w:r>
    </w:p>
    <w:p w14:paraId="34714E8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（3）发包人违反第10.1款〔变更的范围〕第（2）项约定，自行实施被取消的工作或转由他人实施的违约责任：</w:t>
      </w:r>
      <w:r>
        <w:rPr>
          <w:rFonts w:ascii="仿宋" w:hAnsi="仿宋" w:eastAsia="仿宋" w:cs="仿宋"/>
          <w:u w:val="single"/>
        </w:rPr>
        <w:t>发包人保留根据工程实际情况及设计变更增减工程量的权利。</w:t>
      </w:r>
    </w:p>
    <w:p w14:paraId="20C100D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（4）发包人提供的材料、工程设备的规格、数量或质量不符合合同约定，或因发包人原因导致交货日期延误或交货地点变更等情况的违约责任：</w:t>
      </w:r>
      <w:r>
        <w:rPr>
          <w:rFonts w:ascii="仿宋" w:hAnsi="仿宋" w:eastAsia="仿宋" w:cs="仿宋"/>
          <w:u w:val="single"/>
        </w:rPr>
        <w:t>按通用条款执行</w:t>
      </w:r>
      <w:r>
        <w:rPr>
          <w:rFonts w:ascii="仿宋" w:hAnsi="仿宋" w:eastAsia="仿宋" w:cs="仿宋"/>
        </w:rPr>
        <w:t>。</w:t>
      </w:r>
    </w:p>
    <w:p w14:paraId="36A674B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5）因发包人原因造成暂停施工的违约责任：工期顺延，发包人不承担违约责任。暂停施工84天以上，承包人有权提出价格调整要求，承包人也可提出解除合同。如双方解除合同的，发包人不承担违约责任。若承包人提出价格调整的，按11.1条[市场价格波动引起的调整]中第3种方式执行。</w:t>
      </w:r>
    </w:p>
    <w:p w14:paraId="01458A6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6）因发包人原因造成工期延误的违约责任：工期顺延，发包人不承担违约责任。工期延误84天以上，承包人有权提出价格调整要求，承包人也可提出解除合同。如双方解除合同的，发包人不承担违约责任。若承包人提出价格调整的，按11.1条[市场价格波动引起的调整]中第3种方式执行。</w:t>
      </w:r>
    </w:p>
    <w:p w14:paraId="4A3445B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7）若因非承包人原因导致项目延误总天数超180天（含延期开工少于90天、暂停施工少于84天及工期延误少于84天之各情形延误天数总计；单独原因不超180天且符合调价之情形按相应条款执行），剩余工程材料价格由发承包双方重新协商确定。承包人也可提出解除合同，如此情形双方解除合同的，发包人不承担违约责任。</w:t>
      </w:r>
    </w:p>
    <w:p w14:paraId="22AAF4C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（8）发包人无正当理由没有在约定期限内发出复工指示，导致承包人无法复工的违约责任：</w:t>
      </w:r>
      <w:r>
        <w:rPr>
          <w:rFonts w:ascii="仿宋" w:hAnsi="仿宋" w:eastAsia="仿宋" w:cs="仿宋"/>
          <w:u w:val="single"/>
        </w:rPr>
        <w:t>按通用条款执行。</w:t>
      </w:r>
    </w:p>
    <w:p w14:paraId="3F4B4CE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（9）其他：</w:t>
      </w:r>
      <w:r>
        <w:rPr>
          <w:rFonts w:ascii="仿宋" w:hAnsi="仿宋" w:eastAsia="仿宋" w:cs="仿宋"/>
          <w:u w:val="single"/>
        </w:rPr>
        <w:t>另行协商</w:t>
      </w:r>
      <w:r>
        <w:rPr>
          <w:rFonts w:ascii="仿宋" w:hAnsi="仿宋" w:eastAsia="仿宋" w:cs="仿宋"/>
        </w:rPr>
        <w:t>。</w:t>
      </w:r>
    </w:p>
    <w:p w14:paraId="61CC647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16.1.3因发包人违约解除合同</w:t>
      </w:r>
    </w:p>
    <w:p w14:paraId="0B36132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承包人按16.1.1项〔发包人违约的情形〕约定暂停施工满</w:t>
      </w:r>
      <w:r>
        <w:rPr>
          <w:rFonts w:ascii="仿宋" w:hAnsi="仿宋" w:eastAsia="仿宋" w:cs="仿宋"/>
          <w:u w:val="single"/>
        </w:rPr>
        <w:t>180</w:t>
      </w:r>
      <w:r>
        <w:rPr>
          <w:rFonts w:ascii="仿宋" w:hAnsi="仿宋" w:eastAsia="仿宋" w:cs="仿宋"/>
        </w:rPr>
        <w:t>天后发包人仍不纠正其违约行为并致使合同目的不能实现的，承包人有权解除合同。</w:t>
      </w:r>
    </w:p>
    <w:p w14:paraId="7CC780F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16.2承包人违约</w:t>
      </w:r>
    </w:p>
    <w:p w14:paraId="5FFBC4A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16.2.1承包人违约的情形</w:t>
      </w:r>
    </w:p>
    <w:p w14:paraId="7D02844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承包人违约的其他情形：</w:t>
      </w:r>
    </w:p>
    <w:p w14:paraId="71610F3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（1）因承包人原因导致技术文件（包括但不限于签证、竣工图纸、竣工档案资料、竣工结算书等发包人及监理人要求承包人按时提供的所有相关文件资料）未能按约定时间提交的；</w:t>
      </w:r>
    </w:p>
    <w:p w14:paraId="614D121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（2）承包人擅自停工或单方面终止合同的执行；</w:t>
      </w:r>
    </w:p>
    <w:p w14:paraId="33F374E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（3）承包人把发包人采购供应的材料挪作它用；</w:t>
      </w:r>
    </w:p>
    <w:p w14:paraId="6273A0E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（4）承包人不服从发包人制定的各项符合现行法律、法规的管理规定；</w:t>
      </w:r>
    </w:p>
    <w:p w14:paraId="3A27292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（5）承包人未按要求投入人员、机械设备及资金；</w:t>
      </w:r>
    </w:p>
    <w:p w14:paraId="27E87F5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（6）因承包人原因造成的安全文明生产责任事故</w:t>
      </w:r>
      <w:r>
        <w:rPr>
          <w:rFonts w:ascii="仿宋" w:hAnsi="仿宋" w:eastAsia="仿宋" w:cs="仿宋"/>
        </w:rPr>
        <w:t>。</w:t>
      </w:r>
    </w:p>
    <w:p w14:paraId="7D7CF6F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16.2.2承包人违约的责任</w:t>
      </w:r>
    </w:p>
    <w:p w14:paraId="54C7BAF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承包人违约责任的承担方式和计算方法：</w:t>
      </w:r>
    </w:p>
    <w:p w14:paraId="45027FD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任何承包人原因导致工期延误的均视为承包人违约，承包人按3000元/天向发包人支付违约金（违约金总额不超过结算总价的10%），并承担由此给发包人造成的损失，并且上述赔偿的支付并不能免除承包人应完成工程的责任及合同约定的其他责任。</w:t>
      </w:r>
    </w:p>
    <w:p w14:paraId="2355B26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承包人未按竞争性磋商响应文件承诺投入人员、机械设备的，承包人应向发包人支付合同总价款2％的违约金，由此而引起的工期延误的，承包人按3000元/天向发包人支付违约金，并承担由此给发包人造成的损失，并且上述赔偿的支付并不能免除承包人应完成工程的责任及合同约定的其他责任。</w:t>
      </w:r>
    </w:p>
    <w:p w14:paraId="41342A3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工程若达不到国家工程质量验收标准及相关规范要求的，除返工合格外，承包人应再按结算价款的10%向发包人支付违约金并承担由此给发包人造成的损失；同时发包人将向国家相关质量管理监督部门通报，承包人应自觉接受行政检查及罚款。如承包人返工后仍达不到国家规范的质量验收标准的，此时发包人有权解除本合同，承包人除了承担上述违约责任外，造成工期延误的，承包人还应按照本合同专用条款有关约定支付工期延误违约金。</w:t>
      </w:r>
    </w:p>
    <w:p w14:paraId="35304AB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(4)承包人未做到投标时承诺条件的，承包人向发包人支付合同总价款2％的违约金；情况严重的，发包人有权将承包人清退出施工场地并向建设行政主管部门报告。</w:t>
      </w:r>
    </w:p>
    <w:p w14:paraId="310DCE3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若乙供材料不符合图纸设计、竞争性磋商采购及响应文件、合同约定、封样的要求，必须无条件更换；若上述违规材料已用于工程实体，扣除当批次材料款的15%的违约金，在支付工程进度款时扣除，并承担由此造成的一切损失。</w:t>
      </w:r>
    </w:p>
    <w:p w14:paraId="29A6DE2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(6)在施工期间，每发生一起重伤事故，承包人除接受政府相关部门处罚外，承包人负责向发包人赔偿违约金5万元；每发生一起人身伤亡事故，承包人除接受相关处罚外，承包人负责向发包人赔偿违约金10万元。同时承包人承担一切经济赔偿费用，工期不予顺延，发包人有权解除合同，并按相关法律法规的规定进行处理；如因施工质量事故导致的安全事故，承包人应承担事故造成的一切损失，工期不予顺延。</w:t>
      </w:r>
    </w:p>
    <w:p w14:paraId="3563048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(7)如承包人有不能完成既定目标（包括工期、质量、安全文明施工目标）的迹象，不服从发包人管理，未采取相应措施时，发包人对承包人按3000元/次扣除违约金、更换承包人人员，直至调整承包人承包范围、清退承包人出场的权利。</w:t>
      </w:r>
    </w:p>
    <w:p w14:paraId="012BE85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(8)承包人签订施工合同后，不得以任何理由不履行合同（比如发包人根据工程实际情况及设计变更增减工程量。)承包人不按合同履行应承担的工作，对工程进展造成影响时，发包人有权自行或委托他人完成合同约定的该项工作，所产生的费用按承包人应得的工程款的双倍从进度款中直接扣除，不足部分由承包人偿付。对拒不履行合同的承包人，发包人有权与其解除合同关系，拒付工程款，并追究承包人相应经济和法律责任。</w:t>
      </w:r>
    </w:p>
    <w:p w14:paraId="36F13B77">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(9)承包人不得以任何理由（非发包人原因）擅自停工，对发包人的复工通知应积极响应，复工人员必须是原项目管理机构管理人员，收到二次复工通知书拒不复工的，发包人将与其解除合同关系，并拒付工程款，并追究承包人相应经济和法律责任。</w:t>
      </w:r>
    </w:p>
    <w:p w14:paraId="108250F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(10)在施工过程中以及质量保修期内，由于承包人原因出现的有关质量问题、安全事故或其它方面的不良事件，受到报纸、电视等媒体的曝光或政府有关部门的通报，给本工程的社会形象造成严重负面影响时，承包人承担至少人民币2万元的违约金，发包人可在当期工程款中扣除。</w:t>
      </w:r>
    </w:p>
    <w:p w14:paraId="735CE18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(11)因承包人原因导致技术文件（包括但不限于签证、竣工图纸、竣工档案资料、竣工结算书等发包人及监理人要求承包人按时提供的所有相关文件资料）未能按约定时间提交的，每迟一天，承包人向发包人支付3000元的违约金。同时并不免除承包人继续交付上述技术文件的义务。</w:t>
      </w:r>
    </w:p>
    <w:p w14:paraId="3287A39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(12)若承包人擅自停工或单方面终止合同的执行或违约，造成合同无法履行，在本合同解除后，承包人必须在7天内无条件退场。发包人将按承包人已完成合格工程量的70%给予结算，承包人承担由此而给发包人造成的一切损失并承担相应的法律责任。</w:t>
      </w:r>
    </w:p>
    <w:p w14:paraId="1C75FB5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(13)承包人不得把发包人采购供应的材料挪作它用，如发现此类情况，承包人向发包人支付挪用材料价值的3～5倍金额作为违约赔偿金。</w:t>
      </w:r>
    </w:p>
    <w:p w14:paraId="60F54BE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(14)承包人必须服从发包人制定的各项符合现行法律、法规的管理规定，如承包人不服从发包人及监理方的管理，除每次向发包人支付3000元违约赔偿金外，发包人有权解除合同，并要求承包人赔偿损失。</w:t>
      </w:r>
    </w:p>
    <w:p w14:paraId="22CA1C3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(15)对于未正式移交发包人的已完工程，承包人应负责成品保护工作，期间道路清洁、通行、养护等工作均由承包人负责，如发生损坏，承包人负责修复或赔偿。</w:t>
      </w:r>
    </w:p>
    <w:p w14:paraId="7DD2083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（16）承包人无施工、安全方案或未经监理人审批通过就进行施工的，发包人或监理人每发现一次，承包人按3000元/次向发包人支付违约金。</w:t>
      </w:r>
    </w:p>
    <w:p w14:paraId="137CBD6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（17）发包人或监理人发现安全事故隐患及时制止且提出书面整改要求的或承包人拒不整改或者不停止施工，承包人按5000～10000元/次向发包人支付违约金。</w:t>
      </w:r>
    </w:p>
    <w:p w14:paraId="072ED28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（18）发包人或监理人发现承包人安全台账存档不规范、不齐全且提出书面整改要求的或承包人拒不整改，承包人按5000～10000元/次向发包人支付违约金。</w:t>
      </w:r>
    </w:p>
    <w:p w14:paraId="61E78EB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（19）发包人或监理人员发现承包人有质量问题、遇到质量问题处理不当及处理方法不按规定程序处理而擅自处理的，除承担相应的责任外，承包人按5000～10000元/次向发包人支付违约金。</w:t>
      </w:r>
    </w:p>
    <w:p w14:paraId="3C40306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（20）发包人或监理人发现质量隐患、事故及时制止且提出书面整改要求后承包人拒不整改或者不停止施工，除承担相应的责任外，承包人按10000～20000元/次向发包人支付违约金。</w:t>
      </w:r>
    </w:p>
    <w:p w14:paraId="75F3B11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（21）发包人或监理人随即抽查承包人施工日志等过程资料，若发现与事实不符、事后后补、签字不真实等情况，承包人按2000～3000元/次向发包人支付违约金。</w:t>
      </w:r>
    </w:p>
    <w:p w14:paraId="10F827D8">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（22）承包人宴请监理人或与监理单位的人员赌博，承包人按10000～20000元/次向发包人支付违约金；发现第二次则建议调换人员处理，发现第三次发包人有权单方无责解除施工合同；</w:t>
      </w:r>
    </w:p>
    <w:p w14:paraId="78175542">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（23）发包人或监理人发现承包人相关人员在施工现场未佩戴或未正确佩戴安全帽，承包人按200元/人/次向发包人支付违约金。</w:t>
      </w:r>
    </w:p>
    <w:p w14:paraId="0A217A7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24）非发包人原因造成的承包人争议纠纷（包括但不限于仲裁、诉讼、执行、催告、调解等），导致发包人或发包人关联企业（包括但不限于隶属于发包人集团的各关联企业）承担法律责任的，发包人或发包人关联企业有权就所承担的法律责任及为此支出的争议解决费用（包括但不限于仲裁费、诉讼费、保全费、律师费、差旅费等）向承包人全额追偿，并要求承包人承担【1】万元/次的违约金。</w:t>
      </w:r>
    </w:p>
    <w:p w14:paraId="2CE4E08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(25)承包人其他违约情形，参照本合同具体条款约定执行。所有违约金和赔偿金的支付不免除承包人合同项下的任何责任和义务，发包人有权在应付款项中直接扣除；由此导致发包人解除合同的，承包人应按专用条款16.2.3第2项的约定承担违约责任</w:t>
      </w:r>
      <w:r>
        <w:rPr>
          <w:rFonts w:ascii="仿宋" w:hAnsi="仿宋" w:eastAsia="仿宋" w:cs="仿宋"/>
        </w:rPr>
        <w:t>。因承包人原因给发包人造成损失的，应赔偿发包人因此造成的全部损失（包括但不限于诉讼费、律师费、差旅费等）。</w:t>
      </w:r>
    </w:p>
    <w:p w14:paraId="585EC35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16.2.3因承包人违约解除合同</w:t>
      </w:r>
    </w:p>
    <w:p w14:paraId="3DF3DBF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关于承包人违约解除合同的特别约定：</w:t>
      </w:r>
      <w:r>
        <w:rPr>
          <w:rFonts w:ascii="仿宋" w:hAnsi="仿宋" w:eastAsia="仿宋" w:cs="仿宋"/>
          <w:u w:val="single"/>
        </w:rPr>
        <w:t>1.除上述约定以外，如有下列情况之一发生，发包人有权书面通知解除合同，通知自送达承包人或其在现场的项目部后生效：(1)承包人在施工过程中擅自停工、窝工或其他因承包人原因致使合同约定的工期根本无法达到要求的；(2)承包人施工质量无法达到合格要求,经发包人要求整改却无正当理由拒绝整改的；(3)承包人擅自更换本工程项目经理的，经发包人提出异议后七日内不予纠正的；(4)承包人没有在规定时间之内执行发包人指令，而在收到发包人催促执行的书面通知后7日之内，承包人仍未执行；(5)因承包人原因出现人员死亡、火灾等工程建设重大事故；(6)承包人以任何理由（非发包人原因）擅自停工，在收到发包人复工通知书后拒不复工的；（7）经核实承包人存在挂靠行为的。（8）承包人未按照合同约定提交施工进度计划、组织进场施工或未完成其他开工准备的，经发包人催告后5日内未整改的。</w:t>
      </w:r>
    </w:p>
    <w:p w14:paraId="10E8160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合同解除后的处理（1）合同解除后，承包人应支付合同总价10%的违约金，并承担因解除合同给发包人造成的损失。（2）合同解除后,已完工程量由双方核对确认后进行结算,工程款参照合同的约定支付。承包人不配合结算工作的，发包人有权自行安排跟踪审计审核，审核结论对双方均具有约束力。(3)合同解除后，承包人应于接到发包人通知后7日内做好现场安全、质量保护、资料、材料、工程实体移交并退出工程现场。如逾期仍未按要求撤离完毕，应赔偿发包人每日2000元。同时，发包人有权采取强制手段清理现场。为此发生的费用从未付工程款中扣除。(4)合同的解除并不免除承包人对已完工工程的质量责任和保修责任以及合同履行过程中的违约责任</w:t>
      </w:r>
      <w:r>
        <w:rPr>
          <w:rFonts w:ascii="仿宋" w:hAnsi="仿宋" w:eastAsia="仿宋" w:cs="仿宋"/>
        </w:rPr>
        <w:t>。</w:t>
      </w:r>
    </w:p>
    <w:p w14:paraId="5E58621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发包人继续使用承包人在施工现场的材料、设备、临时工程、承包人文件和由承包人或以其名义编制的其他文件的费用承担方式：</w:t>
      </w:r>
      <w:r>
        <w:rPr>
          <w:rFonts w:ascii="仿宋" w:hAnsi="仿宋" w:eastAsia="仿宋" w:cs="仿宋"/>
          <w:u w:val="single"/>
        </w:rPr>
        <w:t>双方协商处理</w:t>
      </w:r>
      <w:r>
        <w:rPr>
          <w:rFonts w:ascii="仿宋" w:hAnsi="仿宋" w:eastAsia="仿宋" w:cs="仿宋"/>
        </w:rPr>
        <w:t>。</w:t>
      </w:r>
    </w:p>
    <w:p w14:paraId="0CCE1916">
      <w:pPr>
        <w:pBdr>
          <w:top w:val="none" w:color="000000" w:sz="0" w:space="0"/>
          <w:left w:val="none" w:color="000000" w:sz="0" w:space="0"/>
          <w:bottom w:val="none" w:color="000000" w:sz="0" w:space="0"/>
          <w:right w:val="none" w:color="000000" w:sz="0" w:space="0"/>
        </w:pBdr>
      </w:pPr>
      <w:r>
        <w:rPr>
          <w:rFonts w:ascii="仿宋" w:hAnsi="仿宋" w:eastAsia="仿宋" w:cs="仿宋"/>
          <w:b/>
        </w:rPr>
        <w:t>17.不可抗力</w:t>
      </w:r>
    </w:p>
    <w:p w14:paraId="255AE0C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17.1不可抗力的确认</w:t>
      </w:r>
    </w:p>
    <w:p w14:paraId="4648C1A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除通用合同条款约定的不可抗力事件之外，视为不可抗力的其他情形：</w:t>
      </w:r>
      <w:r>
        <w:rPr>
          <w:rFonts w:ascii="仿宋" w:hAnsi="仿宋" w:eastAsia="仿宋" w:cs="仿宋"/>
          <w:u w:val="single"/>
        </w:rPr>
        <w:t>1、自然灾害、战争、动乱、空中飞行物体坠落或其他非发包人、承包人责任造成的爆炸、火灾，或九级及以上的持续1小时以上的台风、7度及以上地震烈度等情况。风、雨、雪、洪、震等自然灾害按50年一遇为不可抗力。其余按照通用条款执行。施工单位须自行收集真实可靠且有说服力的书面资料作为主张依据，没有依据的结算时不予调整。</w:t>
      </w:r>
    </w:p>
    <w:p w14:paraId="5DC5427E">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w:t>
      </w:r>
    </w:p>
    <w:p w14:paraId="08619115">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17.4因不可抗力解除合同</w:t>
      </w:r>
    </w:p>
    <w:p w14:paraId="7E3BECD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合同解除后，发包人应在商定或确定发包人应支付款项后</w:t>
      </w:r>
      <w:r>
        <w:rPr>
          <w:rFonts w:ascii="仿宋" w:hAnsi="仿宋" w:eastAsia="仿宋" w:cs="仿宋"/>
          <w:u w:val="single"/>
        </w:rPr>
        <w:t>30</w:t>
      </w:r>
      <w:r>
        <w:rPr>
          <w:rFonts w:ascii="仿宋" w:hAnsi="仿宋" w:eastAsia="仿宋" w:cs="仿宋"/>
        </w:rPr>
        <w:t>天内完成款项的支付。</w:t>
      </w:r>
    </w:p>
    <w:p w14:paraId="10FCE14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如果有承包人应退还款项的情况，承包人在收到发包人书面退还通知后7日内退还至发包人打款账户，否则从应退未退之日按全国银行间同业拆借中心发布的一年期贷款市场报价利率4倍计付迟延退还利息；上述应退未退款项及利息，发包人有权从应付给承包人的款项中直接扣除。</w:t>
      </w:r>
    </w:p>
    <w:p w14:paraId="57BA098A">
      <w:pPr>
        <w:pBdr>
          <w:top w:val="none" w:color="000000" w:sz="0" w:space="0"/>
          <w:left w:val="none" w:color="000000" w:sz="0" w:space="0"/>
          <w:bottom w:val="none" w:color="000000" w:sz="0" w:space="0"/>
          <w:right w:val="none" w:color="000000" w:sz="0" w:space="0"/>
        </w:pBdr>
      </w:pPr>
      <w:r>
        <w:rPr>
          <w:rFonts w:ascii="仿宋" w:hAnsi="仿宋" w:eastAsia="仿宋" w:cs="仿宋"/>
          <w:b/>
        </w:rPr>
        <w:t>18.保险</w:t>
      </w:r>
    </w:p>
    <w:p w14:paraId="011EC58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18.1工程保险</w:t>
      </w:r>
    </w:p>
    <w:p w14:paraId="73AC8FA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关于工程保险的特别约定：</w:t>
      </w:r>
    </w:p>
    <w:p w14:paraId="59BB1C5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（1）承包人须投保建筑工程一切险及第三者责任险。费用包含在投标报价中。</w:t>
      </w:r>
    </w:p>
    <w:p w14:paraId="0985A03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2）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w:t>
      </w:r>
    </w:p>
    <w:p w14:paraId="111D55E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3）承包人须对进入施工现场人员的意外或伤亡负全部责任。对包括但不限于任何雇员的意外或伤亡，不论该人是受雇于承包人或其分包人，发包人皆不负任何法律上的赔偿责任，承包人须保障发包人免负任何有关的索偿、要求、诉讼、成本、费用和支出。</w:t>
      </w:r>
    </w:p>
    <w:p w14:paraId="49BFC82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（4）承包人须对与本工程有关、本工程进行期间发生及本工程引致的人身伤亡及财产损坏负费用、损失、索偿或诉讼等法律责任，并须保障发包人免负该等责任。</w:t>
      </w:r>
    </w:p>
    <w:p w14:paraId="7C75EDF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u w:val="single"/>
        </w:rPr>
        <w:t>（5）发包人必要时有权要求承包人提供保单或其他证据。如果承包人不能提供、拒绝提供或提供了但是不符合要求，发包人有权要求停工，造成的工期延误由承包人承担。如果承包人未按国家和地方法律法规要求办理保险和相关手续，产生的后果一律由承包人承担，发包人不承担因此造成的任何责任和费用。由此造成发包人损失的由承包人赔偿</w:t>
      </w:r>
      <w:r>
        <w:rPr>
          <w:rFonts w:ascii="仿宋" w:hAnsi="仿宋" w:eastAsia="仿宋" w:cs="仿宋"/>
        </w:rPr>
        <w:t>。</w:t>
      </w:r>
    </w:p>
    <w:p w14:paraId="03F81C9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18.3其他保险</w:t>
      </w:r>
    </w:p>
    <w:p w14:paraId="28A11CA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关于其他保险的约定：</w:t>
      </w:r>
      <w:r>
        <w:rPr>
          <w:rFonts w:ascii="仿宋" w:hAnsi="仿宋" w:eastAsia="仿宋" w:cs="仿宋"/>
          <w:u w:val="single"/>
        </w:rPr>
        <w:t>/</w:t>
      </w:r>
      <w:r>
        <w:rPr>
          <w:rFonts w:ascii="仿宋" w:hAnsi="仿宋" w:eastAsia="仿宋" w:cs="仿宋"/>
        </w:rPr>
        <w:t>。</w:t>
      </w:r>
    </w:p>
    <w:p w14:paraId="22772BA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承包人是否应为其施工设备等办理财产保险：</w:t>
      </w:r>
      <w:r>
        <w:rPr>
          <w:rFonts w:ascii="仿宋" w:hAnsi="仿宋" w:eastAsia="仿宋" w:cs="仿宋"/>
          <w:u w:val="single"/>
        </w:rPr>
        <w:t>按专用条款第18.1条执行</w:t>
      </w:r>
      <w:r>
        <w:rPr>
          <w:rFonts w:ascii="仿宋" w:hAnsi="仿宋" w:eastAsia="仿宋" w:cs="仿宋"/>
        </w:rPr>
        <w:t>。</w:t>
      </w:r>
    </w:p>
    <w:p w14:paraId="111F404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18.7通知义务</w:t>
      </w:r>
    </w:p>
    <w:p w14:paraId="22E318E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关于变更保险合同时的通知义务的约定：</w:t>
      </w:r>
      <w:r>
        <w:rPr>
          <w:rFonts w:ascii="仿宋" w:hAnsi="仿宋" w:eastAsia="仿宋" w:cs="仿宋"/>
          <w:u w:val="single"/>
        </w:rPr>
        <w:t>变更前3天通知</w:t>
      </w:r>
      <w:r>
        <w:rPr>
          <w:rFonts w:ascii="仿宋" w:hAnsi="仿宋" w:eastAsia="仿宋" w:cs="仿宋"/>
        </w:rPr>
        <w:t>。</w:t>
      </w:r>
    </w:p>
    <w:p w14:paraId="3B77F9D3">
      <w:pPr>
        <w:pBdr>
          <w:top w:val="none" w:color="000000" w:sz="0" w:space="0"/>
          <w:left w:val="none" w:color="000000" w:sz="0" w:space="0"/>
          <w:bottom w:val="none" w:color="000000" w:sz="0" w:space="0"/>
          <w:right w:val="none" w:color="000000" w:sz="0" w:space="0"/>
        </w:pBdr>
      </w:pPr>
      <w:r>
        <w:rPr>
          <w:rFonts w:ascii="仿宋" w:hAnsi="仿宋" w:eastAsia="仿宋" w:cs="仿宋"/>
          <w:b/>
        </w:rPr>
        <w:t>20.争议解决</w:t>
      </w:r>
    </w:p>
    <w:p w14:paraId="7E731A6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20.3争议评审</w:t>
      </w:r>
    </w:p>
    <w:p w14:paraId="49F29C43">
      <w:pPr>
        <w:pBdr>
          <w:top w:val="none" w:color="000000" w:sz="0" w:space="0"/>
          <w:left w:val="none" w:color="000000" w:sz="0" w:space="0"/>
          <w:bottom w:val="none" w:color="000000" w:sz="0" w:space="0"/>
          <w:right w:val="none" w:color="000000" w:sz="0" w:space="0"/>
        </w:pBdr>
        <w:spacing w:line="85" w:lineRule="atLeast"/>
        <w:ind w:firstLine="315"/>
      </w:pPr>
      <w:r>
        <w:rPr>
          <w:rFonts w:ascii="仿宋" w:hAnsi="仿宋" w:eastAsia="仿宋" w:cs="仿宋"/>
        </w:rPr>
        <w:t>合同当事人是否同意将工程争议提交争议评审小组决定：</w:t>
      </w:r>
      <w:r>
        <w:rPr>
          <w:rFonts w:ascii="仿宋" w:hAnsi="仿宋" w:eastAsia="仿宋" w:cs="仿宋"/>
          <w:u w:val="single"/>
        </w:rPr>
        <w:t>/</w:t>
      </w:r>
      <w:r>
        <w:rPr>
          <w:rFonts w:ascii="仿宋" w:hAnsi="仿宋" w:eastAsia="仿宋" w:cs="仿宋"/>
        </w:rPr>
        <w:t>。</w:t>
      </w:r>
    </w:p>
    <w:p w14:paraId="06BED63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20.3.1争议评审小组的确定</w:t>
      </w:r>
    </w:p>
    <w:p w14:paraId="2A5C068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争议评审小组成员的确定：</w:t>
      </w:r>
      <w:r>
        <w:rPr>
          <w:rFonts w:ascii="仿宋" w:hAnsi="仿宋" w:eastAsia="仿宋" w:cs="仿宋"/>
          <w:u w:val="single"/>
        </w:rPr>
        <w:t>/</w:t>
      </w:r>
      <w:r>
        <w:rPr>
          <w:rFonts w:ascii="仿宋" w:hAnsi="仿宋" w:eastAsia="仿宋" w:cs="仿宋"/>
        </w:rPr>
        <w:t>。</w:t>
      </w:r>
    </w:p>
    <w:p w14:paraId="143D1B4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选定争议评审员的期限：</w:t>
      </w:r>
      <w:r>
        <w:rPr>
          <w:rFonts w:ascii="仿宋" w:hAnsi="仿宋" w:eastAsia="仿宋" w:cs="仿宋"/>
          <w:u w:val="single"/>
        </w:rPr>
        <w:t>/</w:t>
      </w:r>
      <w:r>
        <w:rPr>
          <w:rFonts w:ascii="仿宋" w:hAnsi="仿宋" w:eastAsia="仿宋" w:cs="仿宋"/>
        </w:rPr>
        <w:t>。</w:t>
      </w:r>
    </w:p>
    <w:p w14:paraId="74A3F41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争议评审小组成员的报酬承担方式：</w:t>
      </w:r>
      <w:r>
        <w:rPr>
          <w:rFonts w:ascii="仿宋" w:hAnsi="仿宋" w:eastAsia="仿宋" w:cs="仿宋"/>
          <w:u w:val="single"/>
        </w:rPr>
        <w:t>/</w:t>
      </w:r>
      <w:r>
        <w:rPr>
          <w:rFonts w:ascii="仿宋" w:hAnsi="仿宋" w:eastAsia="仿宋" w:cs="仿宋"/>
        </w:rPr>
        <w:t>。</w:t>
      </w:r>
    </w:p>
    <w:p w14:paraId="6D15D17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其他事项的约定：</w:t>
      </w:r>
      <w:r>
        <w:rPr>
          <w:rFonts w:ascii="仿宋" w:hAnsi="仿宋" w:eastAsia="仿宋" w:cs="仿宋"/>
          <w:u w:val="single"/>
        </w:rPr>
        <w:t>/</w:t>
      </w:r>
      <w:r>
        <w:rPr>
          <w:rFonts w:ascii="仿宋" w:hAnsi="仿宋" w:eastAsia="仿宋" w:cs="仿宋"/>
        </w:rPr>
        <w:t>。</w:t>
      </w:r>
    </w:p>
    <w:p w14:paraId="498D5B5A">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20.3.2争议评审小组的决定</w:t>
      </w:r>
    </w:p>
    <w:p w14:paraId="1948983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合同当事人关于本项的约定：</w:t>
      </w:r>
      <w:r>
        <w:rPr>
          <w:rFonts w:ascii="仿宋" w:hAnsi="仿宋" w:eastAsia="仿宋" w:cs="仿宋"/>
          <w:u w:val="single"/>
        </w:rPr>
        <w:t>/</w:t>
      </w:r>
      <w:r>
        <w:rPr>
          <w:rFonts w:ascii="仿宋" w:hAnsi="仿宋" w:eastAsia="仿宋" w:cs="仿宋"/>
        </w:rPr>
        <w:t>。</w:t>
      </w:r>
    </w:p>
    <w:p w14:paraId="482A0E4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20.4仲裁或诉讼</w:t>
      </w:r>
    </w:p>
    <w:p w14:paraId="787320B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因合同及合同有关事项发生的争议，按下列第</w:t>
      </w:r>
      <w:r>
        <w:rPr>
          <w:rFonts w:ascii="仿宋" w:hAnsi="仿宋" w:eastAsia="仿宋" w:cs="仿宋"/>
          <w:u w:val="single"/>
        </w:rPr>
        <w:t>2</w:t>
      </w:r>
      <w:r>
        <w:rPr>
          <w:rFonts w:ascii="仿宋" w:hAnsi="仿宋" w:eastAsia="仿宋" w:cs="仿宋"/>
        </w:rPr>
        <w:t>种方式解决：</w:t>
      </w:r>
    </w:p>
    <w:p w14:paraId="6E2A4CE9">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（1）向</w:t>
      </w:r>
      <w:r>
        <w:rPr>
          <w:rFonts w:ascii="仿宋" w:hAnsi="仿宋" w:eastAsia="仿宋" w:cs="仿宋"/>
          <w:u w:val="single"/>
        </w:rPr>
        <w:t>/</w:t>
      </w:r>
      <w:r>
        <w:rPr>
          <w:rFonts w:ascii="仿宋" w:hAnsi="仿宋" w:eastAsia="仿宋" w:cs="仿宋"/>
        </w:rPr>
        <w:t>仲裁委员会申请仲裁；</w:t>
      </w:r>
    </w:p>
    <w:p w14:paraId="631908FD">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（2）向</w:t>
      </w:r>
      <w:r>
        <w:rPr>
          <w:rFonts w:ascii="仿宋" w:hAnsi="仿宋" w:eastAsia="仿宋" w:cs="仿宋"/>
          <w:u w:val="single"/>
        </w:rPr>
        <w:t>工程所在地有管辖权的</w:t>
      </w:r>
      <w:r>
        <w:rPr>
          <w:rFonts w:ascii="仿宋" w:hAnsi="仿宋" w:eastAsia="仿宋" w:cs="仿宋"/>
        </w:rPr>
        <w:t>人民法院起诉。</w:t>
      </w:r>
    </w:p>
    <w:p w14:paraId="4BFB0D35">
      <w:pPr>
        <w:pBdr>
          <w:top w:val="none" w:color="000000" w:sz="0" w:space="0"/>
          <w:left w:val="none" w:color="000000" w:sz="0" w:space="0"/>
          <w:bottom w:val="none" w:color="000000" w:sz="0" w:space="0"/>
          <w:right w:val="none" w:color="000000" w:sz="0" w:space="0"/>
        </w:pBdr>
      </w:pPr>
      <w:r>
        <w:rPr>
          <w:rFonts w:ascii="仿宋" w:hAnsi="仿宋" w:eastAsia="仿宋" w:cs="仿宋"/>
          <w:b/>
        </w:rPr>
        <w:t>21.送达约定</w:t>
      </w:r>
    </w:p>
    <w:p w14:paraId="4C408D0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21.1送达地址与适用范围</w:t>
      </w:r>
    </w:p>
    <w:p w14:paraId="5D4CC00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除另有约定外，双方指定本合同签章页处载明地址为通讯及联系地址、双方确认有效的送达地址。送达地址适用范围包括双方合同履行时各类通知、合同等文件以及就本合同发生争议时相关文件和法律文书的送达（包括但不限于仲裁、调解、一审、二审、再审、执行、督促、公示催告及特别程序等所包含的各个程序和阶段；法律文书包括但不限于各类通知书、仲裁裁决书、判决书、裁定书、调解书等）。</w:t>
      </w:r>
    </w:p>
    <w:p w14:paraId="357B979C">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21.2送达方式与送达日</w:t>
      </w:r>
    </w:p>
    <w:p w14:paraId="5B53BCE0">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双方均认可，本合同任一方或仲裁机构、法院、行政部门可通过本合同所列明的传真和电子邮件，以电子送达方式向相对方送达相关文件和法律文书。同时约定送达地址及电子送达方式的，送达到指定地址与电子送达具有同等法律效力。就同一事项或法律文件采取多种方式送达的，均具有送达效力，以最先送达日为送达之日。</w:t>
      </w:r>
    </w:p>
    <w:p w14:paraId="2CDEF696">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21.3送达地址与方式变更</w:t>
      </w:r>
    </w:p>
    <w:p w14:paraId="7257429B">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送达地址或送达方式如有变更，变更一方将提前【10】日以书面形式告知另一方变更后的地址或方式。在仲裁、诉讼程序、执行程序、行政监管程序中，任意一方地址或方式变更时应当向前述机构履行送达地址或方式变更通知义务。一方未按前述方式履行通知义务，其在本合同所确认的送达地址或方式仍视为有效送达地址或方式。</w:t>
      </w:r>
    </w:p>
    <w:p w14:paraId="29C9C461">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因一方提供或者确认的送达地址或方式不准确、送达地址或方式变更后未及时告知对方和相关机构、指定的接收人拒绝签收等原因，导致相关文件或法律文书未能被一方实际接收的，邮寄送达的，以文件或法律文书退回之日视为送达之日；直接送达的，送达人当场在送达回证上记明情况之日视为送达之日；以电子方式送达的，自进入一方指定系统之日视为送达之日。</w:t>
      </w:r>
    </w:p>
    <w:p w14:paraId="3F81D55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本款关于相关文件及法律文书的送达地址所作的约定，为本合同中独立存在的有关有效送达地址的确认的条款。如发生本合同全部或部分被确认无效或撤销等情形时，本条款继续有效。</w:t>
      </w:r>
    </w:p>
    <w:p w14:paraId="60BCFF15">
      <w:pPr>
        <w:pBdr>
          <w:top w:val="none" w:color="000000" w:sz="0" w:space="0"/>
          <w:left w:val="none" w:color="000000" w:sz="0" w:space="0"/>
          <w:bottom w:val="none" w:color="000000" w:sz="0" w:space="0"/>
          <w:right w:val="none" w:color="000000" w:sz="0" w:space="0"/>
        </w:pBdr>
        <w:spacing w:before="120" w:after="60" w:line="85" w:lineRule="atLeast"/>
      </w:pPr>
      <w:r>
        <w:rPr>
          <w:rFonts w:ascii="仿宋" w:hAnsi="仿宋" w:eastAsia="仿宋" w:cs="仿宋"/>
          <w:b/>
        </w:rPr>
        <w:t>22. 补充条款</w:t>
      </w:r>
    </w:p>
    <w:p w14:paraId="332E7EEF">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1.本项目代建单位为：南京宁南房地产开发有限公司，发包人委托代建人行使发包人权利，承包人应服从代建单位的管理。</w:t>
      </w:r>
    </w:p>
    <w:p w14:paraId="07D68D4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2、承包人明确知悉并同意：代建单位不承担对发包人支付能力的担保责任。如发包人未依约支付工程款，承包人应直接向发包人主张权利，代建单位有义务提供必要的付款凭证协助承包人追索。</w:t>
      </w:r>
    </w:p>
    <w:p w14:paraId="66F3DAF4">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若因发包人迟延支付、不足额支付或拒绝支付工程款项，导致代建单位未能按时代为支付的，代建单位不承担以下责任：（1）逾期付款的违约金、利息或赔偿金；（2）承包人因发包人付款违约导致的停工、窝工、材料供应中断等损失；（3）与工程款支付相关的其他连带责任。</w:t>
      </w:r>
    </w:p>
    <w:p w14:paraId="6B54D2E3">
      <w:pPr>
        <w:pBdr>
          <w:top w:val="none" w:color="000000" w:sz="0" w:space="0"/>
          <w:left w:val="none" w:color="000000" w:sz="0" w:space="0"/>
          <w:bottom w:val="none" w:color="000000" w:sz="0" w:space="0"/>
          <w:right w:val="none" w:color="000000" w:sz="0" w:space="0"/>
        </w:pBdr>
        <w:spacing w:line="85" w:lineRule="atLeast"/>
        <w:ind w:firstLine="420"/>
      </w:pPr>
      <w:r>
        <w:rPr>
          <w:rFonts w:ascii="仿宋" w:hAnsi="仿宋" w:eastAsia="仿宋" w:cs="仿宋"/>
        </w:rPr>
        <w:t>3、合同中约定的违约责任不一致的，发包人有权选择适用的违约条款，但发包人保留要求承包人按照法律或合同约定的最高标准承担违约责任的权利。</w:t>
      </w:r>
    </w:p>
    <w:p w14:paraId="6CC32A03">
      <w:pPr>
        <w:pBdr>
          <w:top w:val="none" w:color="000000" w:sz="0" w:space="0"/>
          <w:left w:val="none" w:color="000000" w:sz="0" w:space="0"/>
          <w:bottom w:val="none" w:color="000000" w:sz="0" w:space="0"/>
          <w:right w:val="none" w:color="000000" w:sz="0" w:space="0"/>
        </w:pBdr>
        <w:spacing w:line="85" w:lineRule="atLeast"/>
      </w:pPr>
      <w:r>
        <w:rPr/>
        <w:br w:type="page" w:clear="all"/>
      </w:r>
    </w:p>
    <w:p w14:paraId="01CB7EDB">
      <w:pPr>
        <w:pBdr>
          <w:top w:val="none" w:color="000000" w:sz="0" w:space="0"/>
          <w:left w:val="none" w:color="000000" w:sz="0" w:space="0"/>
          <w:bottom w:val="none" w:color="000000" w:sz="0" w:space="0"/>
          <w:right w:val="none" w:color="000000" w:sz="0" w:space="0"/>
        </w:pBdr>
      </w:pPr>
      <w:r>
        <w:rPr>
          <w:rFonts w:ascii="仿宋" w:hAnsi="仿宋" w:eastAsia="仿宋" w:cs="仿宋"/>
          <w:b/>
          <w:sz w:val="40"/>
        </w:rPr>
        <w:t>附件</w:t>
      </w:r>
    </w:p>
    <w:p w14:paraId="598E4C35">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附件1：工程质量保修书</w:t>
      </w:r>
    </w:p>
    <w:p w14:paraId="50E32E4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附件2：承包人管理机构成员表</w:t>
      </w:r>
    </w:p>
    <w:p w14:paraId="55C30CB4">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附件3：廉政协议书</w:t>
      </w:r>
    </w:p>
    <w:p w14:paraId="3D67C0A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附件4：工程结算承诺书</w:t>
      </w:r>
    </w:p>
    <w:p w14:paraId="1C1E2C95">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附件5：安全生产承诺书</w:t>
      </w:r>
    </w:p>
    <w:p w14:paraId="4081B8F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附件6：不拖欠民工工资承诺书</w:t>
      </w:r>
    </w:p>
    <w:p w14:paraId="332033EF">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附件7：工期承诺书</w:t>
      </w:r>
    </w:p>
    <w:p w14:paraId="6A031F2C">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附件8：项目经理承诺书</w:t>
      </w:r>
    </w:p>
    <w:p w14:paraId="105F64A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附件9：消防安全生产责任书</w:t>
      </w:r>
    </w:p>
    <w:p w14:paraId="4C396F39">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622438B">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3611370B">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C5C2050">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CEE127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583D545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C03AE7B">
      <w:pPr>
        <w:pBdr>
          <w:top w:val="none" w:color="000000" w:sz="0" w:space="0"/>
          <w:left w:val="none" w:color="000000" w:sz="0" w:space="0"/>
          <w:bottom w:val="none" w:color="000000" w:sz="0" w:space="0"/>
          <w:right w:val="none" w:color="000000" w:sz="0" w:space="0"/>
        </w:pBdr>
      </w:pPr>
      <w:r>
        <w:rPr/>
        <w:br w:type="page" w:clear="all"/>
      </w:r>
    </w:p>
    <w:p w14:paraId="5D409078">
      <w:pPr>
        <w:pBdr>
          <w:top w:val="none" w:color="000000" w:sz="0" w:space="0"/>
          <w:left w:val="none" w:color="000000" w:sz="0" w:space="0"/>
          <w:bottom w:val="none" w:color="000000" w:sz="0" w:space="0"/>
          <w:right w:val="none" w:color="000000" w:sz="0" w:space="0"/>
        </w:pBdr>
        <w:spacing w:before="120" w:after="120" w:line="85" w:lineRule="atLeast"/>
      </w:pPr>
      <w:r>
        <w:rPr>
          <w:rFonts w:ascii="仿宋" w:hAnsi="仿宋" w:eastAsia="仿宋" w:cs="仿宋"/>
          <w:sz w:val="24"/>
        </w:rPr>
        <w:t>附件1：工程质量保修书</w:t>
      </w:r>
    </w:p>
    <w:p w14:paraId="3DFB88BB">
      <w:pPr>
        <w:pBdr>
          <w:top w:val="none" w:color="000000" w:sz="0" w:space="0"/>
          <w:left w:val="none" w:color="000000" w:sz="0" w:space="0"/>
          <w:bottom w:val="none" w:color="000000" w:sz="0" w:space="0"/>
          <w:right w:val="none" w:color="000000" w:sz="0" w:space="0"/>
        </w:pBdr>
        <w:spacing w:line="439" w:lineRule="atLeast"/>
        <w:jc w:val="center"/>
      </w:pPr>
      <w:r>
        <w:rPr>
          <w:rFonts w:ascii="仿宋" w:hAnsi="仿宋" w:eastAsia="仿宋" w:cs="仿宋"/>
          <w:b/>
        </w:rPr>
        <w:t>工程质量保修书</w:t>
      </w:r>
    </w:p>
    <w:p w14:paraId="7358426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发包人（全称）：</w:t>
      </w:r>
      <w:r>
        <w:rPr>
          <w:rFonts w:ascii="仿宋" w:hAnsi="仿宋" w:eastAsia="仿宋" w:cs="仿宋"/>
          <w:u w:val="single"/>
        </w:rPr>
        <w:t>南京市小行小学</w:t>
      </w:r>
    </w:p>
    <w:p w14:paraId="5A643BF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承包人（全称）：</w:t>
      </w:r>
      <w:r>
        <w:rPr>
          <w:rFonts w:hint="eastAsia" w:ascii="仿宋" w:hAnsi="仿宋" w:eastAsia="仿宋" w:cs="仿宋"/>
          <w:lang w:val="en-US" w:eastAsia="zh-CN"/>
        </w:rPr>
        <w:t xml:space="preserve">              </w:t>
      </w:r>
      <w:r>
        <w:rPr>
          <w:rFonts w:ascii="仿宋" w:hAnsi="仿宋" w:eastAsia="仿宋" w:cs="仿宋"/>
        </w:rPr>
        <w:t>   </w:t>
      </w:r>
    </w:p>
    <w:p w14:paraId="7E4400E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代建人（全称）：</w:t>
      </w:r>
      <w:r>
        <w:rPr>
          <w:rFonts w:ascii="仿宋" w:hAnsi="仿宋" w:eastAsia="仿宋" w:cs="仿宋"/>
          <w:u w:val="single"/>
        </w:rPr>
        <w:t>南京宁南房地产开发有限公司</w:t>
      </w:r>
    </w:p>
    <w:p w14:paraId="4F91F2A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发包人和承包人根据《中华人民共和国建筑法》、《建设工程质量管理条例》，经协商一致就</w:t>
      </w:r>
      <w:r>
        <w:rPr>
          <w:rFonts w:ascii="仿宋" w:hAnsi="仿宋" w:eastAsia="仿宋" w:cs="仿宋"/>
          <w:u w:val="single"/>
        </w:rPr>
        <w:t> 2025年南京市小行小学校舍</w:t>
      </w:r>
      <w:r>
        <w:rPr>
          <w:rFonts w:hint="default" w:ascii="仿宋" w:hAnsi="仿宋" w:eastAsia="仿宋" w:cs="仿宋"/>
          <w:u w:val="single"/>
        </w:rPr>
        <w:t>维修改造项目工程</w:t>
      </w:r>
      <w:r>
        <w:rPr>
          <w:rFonts w:ascii="仿宋" w:hAnsi="仿宋" w:eastAsia="仿宋" w:cs="仿宋"/>
          <w:u w:val="single"/>
        </w:rPr>
        <w:t> </w:t>
      </w:r>
      <w:r>
        <w:rPr>
          <w:rFonts w:ascii="仿宋" w:hAnsi="仿宋" w:eastAsia="仿宋" w:cs="仿宋"/>
        </w:rPr>
        <w:t>施工签订工程质量保修书</w:t>
      </w:r>
    </w:p>
    <w:p w14:paraId="591D551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一、工程质量保修范围和内容</w:t>
      </w:r>
    </w:p>
    <w:p w14:paraId="7A05CC2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承包人在质量保修期内，按照有关法律规定和合同约定，承担工程质量保修责任。</w:t>
      </w:r>
    </w:p>
    <w:p w14:paraId="22269BD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质量保修范围包括地基基础工程、主体结构工程，屋面防水工程、有防水要求的卫生间、房间和外墙面的防渗漏，供热与供冷系统，电气管线、给排水管道、设备安装、装修工程，以及双方约定的其他项目。具体保修的内容，双方约定如下：</w:t>
      </w:r>
    </w:p>
    <w:p w14:paraId="4D13BF00">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u w:val="single"/>
        </w:rPr>
        <w:t>合同范围内的全部内容</w:t>
      </w:r>
      <w:r>
        <w:rPr>
          <w:rFonts w:ascii="仿宋" w:hAnsi="仿宋" w:eastAsia="仿宋" w:cs="仿宋"/>
        </w:rPr>
        <w:t>。</w:t>
      </w:r>
    </w:p>
    <w:p w14:paraId="7892A1A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二、质量保修期</w:t>
      </w:r>
    </w:p>
    <w:p w14:paraId="18709858">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根据《建设工程质量管理条例》及有关规定，工程的质量保修期如下：</w:t>
      </w:r>
    </w:p>
    <w:p w14:paraId="2F56229E">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1．地基基础工程、钢结构夹层和主体结构工程为设计文件规定的工程合理使用年限；</w:t>
      </w:r>
    </w:p>
    <w:p w14:paraId="50C7782C">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2．屋面防水工程、有防水要求的卫生间、房间和外墙面的防渗为</w:t>
      </w:r>
      <w:r>
        <w:rPr>
          <w:rFonts w:ascii="仿宋" w:hAnsi="仿宋" w:eastAsia="仿宋" w:cs="仿宋"/>
          <w:u w:val="single"/>
        </w:rPr>
        <w:t>  </w:t>
      </w:r>
      <w:r>
        <w:rPr>
          <w:rFonts w:hint="eastAsia" w:ascii="仿宋" w:hAnsi="仿宋" w:eastAsia="宋体" w:cs="仿宋"/>
          <w:u w:val="single"/>
          <w:lang w:val="en-US" w:eastAsia="zh-CN"/>
        </w:rPr>
        <w:t>5</w:t>
      </w:r>
      <w:r>
        <w:rPr>
          <w:rFonts w:ascii="仿宋" w:hAnsi="仿宋" w:eastAsia="仿宋" w:cs="仿宋"/>
          <w:u w:val="single"/>
        </w:rPr>
        <w:t>  </w:t>
      </w:r>
      <w:r>
        <w:rPr>
          <w:rFonts w:ascii="仿宋" w:hAnsi="仿宋" w:eastAsia="仿宋" w:cs="仿宋"/>
        </w:rPr>
        <w:t>年；</w:t>
      </w:r>
    </w:p>
    <w:p w14:paraId="561BA94F">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3．装修工程为</w:t>
      </w:r>
      <w:r>
        <w:rPr>
          <w:rFonts w:ascii="仿宋" w:hAnsi="仿宋" w:eastAsia="仿宋" w:cs="仿宋"/>
          <w:u w:val="single"/>
        </w:rPr>
        <w:t>     </w:t>
      </w:r>
      <w:r>
        <w:rPr>
          <w:rFonts w:hint="eastAsia" w:ascii="仿宋" w:hAnsi="仿宋" w:eastAsia="仿宋" w:cs="仿宋"/>
          <w:u w:val="single"/>
          <w:lang w:val="en-US" w:eastAsia="zh-CN"/>
        </w:rPr>
        <w:t>2</w:t>
      </w:r>
      <w:r>
        <w:rPr>
          <w:rFonts w:ascii="仿宋" w:hAnsi="仿宋" w:eastAsia="仿宋" w:cs="仿宋"/>
          <w:u w:val="single"/>
        </w:rPr>
        <w:t xml:space="preserve">   </w:t>
      </w:r>
      <w:r>
        <w:rPr>
          <w:rFonts w:ascii="仿宋" w:hAnsi="仿宋" w:eastAsia="仿宋" w:cs="仿宋"/>
        </w:rPr>
        <w:t>年；</w:t>
      </w:r>
    </w:p>
    <w:p w14:paraId="3D88BB89">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4．电气管线、给排水管道、设备安装工程为</w:t>
      </w:r>
      <w:r>
        <w:rPr>
          <w:rFonts w:ascii="仿宋" w:hAnsi="仿宋" w:eastAsia="仿宋" w:cs="仿宋"/>
          <w:u w:val="single"/>
        </w:rPr>
        <w:t>  </w:t>
      </w:r>
      <w:r>
        <w:rPr>
          <w:rFonts w:hint="eastAsia" w:ascii="仿宋" w:hAnsi="仿宋" w:eastAsia="宋体" w:cs="仿宋"/>
          <w:u w:val="single"/>
          <w:lang w:val="en-US" w:eastAsia="zh-CN"/>
        </w:rPr>
        <w:t>2</w:t>
      </w:r>
      <w:r>
        <w:rPr>
          <w:rFonts w:ascii="仿宋" w:hAnsi="仿宋" w:eastAsia="仿宋" w:cs="仿宋"/>
          <w:u w:val="single"/>
        </w:rPr>
        <w:t> </w:t>
      </w:r>
      <w:r>
        <w:rPr>
          <w:rFonts w:ascii="仿宋" w:hAnsi="仿宋" w:eastAsia="仿宋" w:cs="仿宋"/>
        </w:rPr>
        <w:t>年；</w:t>
      </w:r>
    </w:p>
    <w:p w14:paraId="246F271E">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5．供热与供冷系统为</w:t>
      </w:r>
      <w:r>
        <w:rPr>
          <w:rFonts w:ascii="仿宋" w:hAnsi="仿宋" w:eastAsia="仿宋" w:cs="仿宋"/>
          <w:u w:val="single"/>
        </w:rPr>
        <w:t>    </w:t>
      </w:r>
      <w:r>
        <w:rPr>
          <w:rFonts w:hint="eastAsia" w:ascii="仿宋" w:hAnsi="仿宋" w:eastAsia="仿宋" w:cs="仿宋"/>
          <w:u w:val="single"/>
          <w:lang w:val="en-US" w:eastAsia="zh-CN"/>
        </w:rPr>
        <w:t>2</w:t>
      </w:r>
      <w:r>
        <w:rPr>
          <w:rFonts w:ascii="仿宋" w:hAnsi="仿宋" w:eastAsia="仿宋" w:cs="仿宋"/>
          <w:u w:val="single"/>
        </w:rPr>
        <w:t xml:space="preserve">   </w:t>
      </w:r>
      <w:r>
        <w:rPr>
          <w:rFonts w:ascii="仿宋" w:hAnsi="仿宋" w:eastAsia="仿宋" w:cs="仿宋"/>
        </w:rPr>
        <w:t>个采暖期、供冷期；</w:t>
      </w:r>
    </w:p>
    <w:p w14:paraId="1F7F3D95">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6．住宅小区内的给排水设施、道路等配套工程为</w:t>
      </w:r>
      <w:r>
        <w:rPr>
          <w:rFonts w:ascii="仿宋" w:hAnsi="仿宋" w:eastAsia="仿宋" w:cs="仿宋"/>
          <w:u w:val="single"/>
        </w:rPr>
        <w:t> </w:t>
      </w:r>
      <w:r>
        <w:rPr>
          <w:rFonts w:hint="eastAsia" w:ascii="仿宋" w:hAnsi="仿宋" w:eastAsia="仿宋" w:cs="仿宋"/>
          <w:u w:val="single"/>
          <w:lang w:val="en-US" w:eastAsia="zh-CN"/>
        </w:rPr>
        <w:t>2</w:t>
      </w:r>
      <w:r>
        <w:rPr>
          <w:rFonts w:ascii="仿宋" w:hAnsi="仿宋" w:eastAsia="仿宋" w:cs="仿宋"/>
          <w:u w:val="single"/>
        </w:rPr>
        <w:t>  </w:t>
      </w:r>
      <w:r>
        <w:rPr>
          <w:rFonts w:ascii="仿宋" w:hAnsi="仿宋" w:eastAsia="仿宋" w:cs="仿宋"/>
        </w:rPr>
        <w:t>年；</w:t>
      </w:r>
    </w:p>
    <w:p w14:paraId="75D782E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7．其他项目保修期限约定如下：</w:t>
      </w:r>
    </w:p>
    <w:p w14:paraId="32D0549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质量保修期自工程竣工验收合格之日起计算。</w:t>
      </w:r>
    </w:p>
    <w:p w14:paraId="3DC5972F">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三、缺陷责任期</w:t>
      </w:r>
    </w:p>
    <w:p w14:paraId="5F4EB62A">
      <w:pPr>
        <w:pBdr>
          <w:top w:val="none" w:color="000000" w:sz="0" w:space="0"/>
          <w:left w:val="none" w:color="000000" w:sz="0" w:space="0"/>
          <w:bottom w:val="none" w:color="000000" w:sz="0" w:space="0"/>
          <w:right w:val="none" w:color="000000" w:sz="0" w:space="0"/>
        </w:pBdr>
        <w:spacing w:line="439" w:lineRule="atLeast"/>
        <w:ind w:firstLine="420"/>
      </w:pPr>
      <w:r>
        <w:rPr>
          <w:rFonts w:ascii="仿宋" w:hAnsi="仿宋" w:eastAsia="仿宋" w:cs="仿宋"/>
        </w:rPr>
        <w:t>工程缺陷责任期为</w:t>
      </w:r>
      <w:r>
        <w:rPr>
          <w:rFonts w:ascii="仿宋" w:hAnsi="仿宋" w:eastAsia="仿宋" w:cs="仿宋"/>
          <w:u w:val="single"/>
        </w:rPr>
        <w:t>  24  </w:t>
      </w:r>
      <w:r>
        <w:rPr>
          <w:rFonts w:ascii="仿宋" w:hAnsi="仿宋" w:eastAsia="仿宋" w:cs="仿宋"/>
        </w:rPr>
        <w:t>个月，缺陷责任期自工程通过竣工验收之日起计算。单位工程先于全部工程进行验收，经验收合格并交付使用的</w:t>
      </w:r>
      <w:r>
        <w:rPr>
          <w:rFonts w:ascii="仿宋" w:hAnsi="仿宋" w:eastAsia="仿宋" w:cs="仿宋"/>
          <w:sz w:val="24"/>
        </w:rPr>
        <w:t>，</w:t>
      </w:r>
      <w:r>
        <w:rPr>
          <w:rFonts w:ascii="仿宋" w:hAnsi="仿宋" w:eastAsia="仿宋" w:cs="仿宋"/>
        </w:rPr>
        <w:t>单位工程缺陷责任期自单位工程验收合格之日起算。</w:t>
      </w:r>
    </w:p>
    <w:p w14:paraId="3C36261A">
      <w:pPr>
        <w:pBdr>
          <w:top w:val="none" w:color="000000" w:sz="0" w:space="0"/>
          <w:left w:val="none" w:color="000000" w:sz="0" w:space="0"/>
          <w:bottom w:val="none" w:color="000000" w:sz="0" w:space="0"/>
          <w:right w:val="none" w:color="000000" w:sz="0" w:space="0"/>
        </w:pBdr>
        <w:spacing w:line="439" w:lineRule="atLeast"/>
        <w:ind w:firstLine="420"/>
      </w:pPr>
      <w:r>
        <w:rPr>
          <w:rFonts w:ascii="仿宋" w:hAnsi="仿宋" w:eastAsia="仿宋" w:cs="仿宋"/>
        </w:rPr>
        <w:t>缺陷责任期终止后，发包人根据合同专用条款15.3相关约定退还质量保证金。</w:t>
      </w:r>
    </w:p>
    <w:p w14:paraId="427AF67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四、质量保修责任</w:t>
      </w:r>
    </w:p>
    <w:p w14:paraId="2CC707E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1．属于保修范围、内容的项目，承包人应当在接到保修通知之日起</w:t>
      </w:r>
      <w:r>
        <w:rPr>
          <w:rFonts w:ascii="仿宋" w:hAnsi="仿宋" w:eastAsia="仿宋" w:cs="仿宋"/>
          <w:u w:val="single"/>
        </w:rPr>
        <w:t>24小时</w:t>
      </w:r>
      <w:r>
        <w:rPr>
          <w:rFonts w:ascii="仿宋" w:hAnsi="仿宋" w:eastAsia="仿宋" w:cs="仿宋"/>
        </w:rPr>
        <w:t>内派人保修。承包人不在约定期限内派人保修的，发包人可以委托他人修理。维修费用经本项目监理、跟审单位书面确认后，由承包人全额承担。</w:t>
      </w:r>
    </w:p>
    <w:p w14:paraId="7934FB5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2．发生紧急事故需抢修的，承包人在接到事故通知后，应当立即到达事故现场抢修。承包人未及时抢修的，发包人可以委托他人修理，维修费用经本项目监理、跟审单位书面确认后，由承包人全额承担。</w:t>
      </w:r>
    </w:p>
    <w:p w14:paraId="068717A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B251B5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4．质量保修完成后，由发包人组织验收。</w:t>
      </w:r>
    </w:p>
    <w:p w14:paraId="6D5DE1AC">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五、保修费用</w:t>
      </w:r>
    </w:p>
    <w:p w14:paraId="7EA33D1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承包人按照第四条约定及时保修或抢修的，保修费用由造成质量缺陷的责任方承担。</w:t>
      </w:r>
    </w:p>
    <w:p w14:paraId="4010FBD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六、各方约定的其他工程质量保修事项：</w:t>
      </w:r>
    </w:p>
    <w:p w14:paraId="19AB018C">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工程质量保修书由发包人、代建人、承包人在工程竣工验收前共同签署，作为施工合同附件，其有效期限至保修期满。</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269"/>
        <w:gridCol w:w="3685"/>
      </w:tblGrid>
      <w:tr w14:paraId="7B87EF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54EA1A7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发包人：</w:t>
            </w:r>
          </w:p>
          <w:p w14:paraId="76AD602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(合同专用章或公章)</w:t>
            </w:r>
          </w:p>
        </w:tc>
        <w:tc>
          <w:tcPr>
            <w:tcW w:w="3685" w:type="dxa"/>
            <w:noWrap w:val="0"/>
            <w:tcMar>
              <w:top w:w="0" w:type="dxa"/>
              <w:left w:w="108" w:type="dxa"/>
              <w:bottom w:w="0" w:type="dxa"/>
              <w:right w:w="108" w:type="dxa"/>
            </w:tcMar>
            <w:vAlign w:val="top"/>
          </w:tcPr>
          <w:p w14:paraId="3B7BDA6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承包人：</w:t>
            </w:r>
          </w:p>
          <w:p w14:paraId="1CB99C4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(合同专用章或公章)</w:t>
            </w:r>
          </w:p>
        </w:tc>
      </w:tr>
      <w:tr w14:paraId="16EA90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2C2453A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法定代表人或其委托代理人：</w:t>
            </w:r>
          </w:p>
          <w:p w14:paraId="741D715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（签字）</w:t>
            </w:r>
          </w:p>
        </w:tc>
        <w:tc>
          <w:tcPr>
            <w:tcW w:w="3685" w:type="dxa"/>
            <w:noWrap w:val="0"/>
            <w:tcMar>
              <w:top w:w="0" w:type="dxa"/>
              <w:left w:w="108" w:type="dxa"/>
              <w:bottom w:w="0" w:type="dxa"/>
              <w:right w:w="108" w:type="dxa"/>
            </w:tcMar>
            <w:vAlign w:val="top"/>
          </w:tcPr>
          <w:p w14:paraId="6441B97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法定代表人或其委托代理人：</w:t>
            </w:r>
          </w:p>
          <w:p w14:paraId="0F02316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（签字）</w:t>
            </w:r>
          </w:p>
        </w:tc>
      </w:tr>
      <w:tr w14:paraId="52B7C2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3C6AEF0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统一社会信用代码：</w:t>
            </w:r>
          </w:p>
        </w:tc>
        <w:tc>
          <w:tcPr>
            <w:tcW w:w="3685" w:type="dxa"/>
            <w:noWrap w:val="0"/>
            <w:tcMar>
              <w:top w:w="0" w:type="dxa"/>
              <w:left w:w="108" w:type="dxa"/>
              <w:bottom w:w="0" w:type="dxa"/>
              <w:right w:w="108" w:type="dxa"/>
            </w:tcMar>
            <w:vAlign w:val="top"/>
          </w:tcPr>
          <w:p w14:paraId="41020A6A">
            <w:pPr>
              <w:pBdr>
                <w:top w:val="none" w:color="000000" w:sz="0" w:space="0"/>
                <w:left w:val="none" w:color="000000" w:sz="0" w:space="0"/>
                <w:bottom w:val="none" w:color="000000" w:sz="0" w:space="0"/>
                <w:right w:val="none" w:color="000000" w:sz="0" w:space="0"/>
              </w:pBdr>
              <w:spacing w:line="85" w:lineRule="atLeast"/>
              <w:ind w:left="800"/>
            </w:pPr>
            <w:r>
              <w:rPr>
                <w:rFonts w:ascii="仿宋" w:hAnsi="仿宋" w:eastAsia="仿宋" w:cs="仿宋"/>
              </w:rPr>
              <w:t>统一社会信用代码：</w:t>
            </w:r>
          </w:p>
        </w:tc>
      </w:tr>
      <w:tr w14:paraId="4CC672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6A0F3AB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地  址：</w:t>
            </w:r>
          </w:p>
        </w:tc>
        <w:tc>
          <w:tcPr>
            <w:tcW w:w="3685" w:type="dxa"/>
            <w:noWrap w:val="0"/>
            <w:tcMar>
              <w:top w:w="0" w:type="dxa"/>
              <w:left w:w="108" w:type="dxa"/>
              <w:bottom w:w="0" w:type="dxa"/>
              <w:right w:w="108" w:type="dxa"/>
            </w:tcMar>
            <w:vAlign w:val="top"/>
          </w:tcPr>
          <w:p w14:paraId="31B50DF9">
            <w:pPr>
              <w:pBdr>
                <w:top w:val="none" w:color="000000" w:sz="0" w:space="0"/>
                <w:left w:val="none" w:color="000000" w:sz="0" w:space="0"/>
                <w:bottom w:val="none" w:color="000000" w:sz="0" w:space="0"/>
                <w:right w:val="none" w:color="000000" w:sz="0" w:space="0"/>
              </w:pBdr>
              <w:spacing w:line="85" w:lineRule="atLeast"/>
              <w:ind w:left="800"/>
            </w:pPr>
            <w:r>
              <w:rPr>
                <w:rFonts w:ascii="仿宋" w:hAnsi="仿宋" w:eastAsia="仿宋" w:cs="仿宋"/>
              </w:rPr>
              <w:t>地  址：</w:t>
            </w:r>
          </w:p>
        </w:tc>
      </w:tr>
      <w:tr w14:paraId="265093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19A1D48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邮政编码：</w:t>
            </w:r>
            <w:r>
              <w:rPr>
                <w:rFonts w:ascii="仿宋" w:hAnsi="仿宋" w:eastAsia="仿宋" w:cs="仿宋"/>
                <w:u w:val="single"/>
              </w:rPr>
              <w:t>210000</w:t>
            </w:r>
          </w:p>
        </w:tc>
        <w:tc>
          <w:tcPr>
            <w:tcW w:w="3685" w:type="dxa"/>
            <w:noWrap w:val="0"/>
            <w:tcMar>
              <w:top w:w="0" w:type="dxa"/>
              <w:left w:w="108" w:type="dxa"/>
              <w:bottom w:w="0" w:type="dxa"/>
              <w:right w:w="108" w:type="dxa"/>
            </w:tcMar>
            <w:vAlign w:val="top"/>
          </w:tcPr>
          <w:p w14:paraId="41AFFD7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邮政编码：</w:t>
            </w:r>
          </w:p>
        </w:tc>
      </w:tr>
      <w:tr w14:paraId="7C1F73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3EB008B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法定代表人： </w:t>
            </w:r>
          </w:p>
        </w:tc>
        <w:tc>
          <w:tcPr>
            <w:tcW w:w="3685" w:type="dxa"/>
            <w:noWrap w:val="0"/>
            <w:tcMar>
              <w:top w:w="0" w:type="dxa"/>
              <w:left w:w="108" w:type="dxa"/>
              <w:bottom w:w="0" w:type="dxa"/>
              <w:right w:w="108" w:type="dxa"/>
            </w:tcMar>
            <w:vAlign w:val="top"/>
          </w:tcPr>
          <w:p w14:paraId="0C80CBB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w:t>
            </w:r>
          </w:p>
        </w:tc>
      </w:tr>
      <w:tr w14:paraId="7F0B18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603073B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委托代理人：</w:t>
            </w:r>
          </w:p>
        </w:tc>
        <w:tc>
          <w:tcPr>
            <w:tcW w:w="3685" w:type="dxa"/>
            <w:noWrap w:val="0"/>
            <w:tcMar>
              <w:top w:w="0" w:type="dxa"/>
              <w:left w:w="108" w:type="dxa"/>
              <w:bottom w:w="0" w:type="dxa"/>
              <w:right w:w="108" w:type="dxa"/>
            </w:tcMar>
            <w:vAlign w:val="top"/>
          </w:tcPr>
          <w:p w14:paraId="25BEED6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委托代理人：</w:t>
            </w:r>
          </w:p>
        </w:tc>
      </w:tr>
      <w:tr w14:paraId="35DE59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2ABC48C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经办人：</w:t>
            </w:r>
            <w:r>
              <w:rPr>
                <w:rFonts w:ascii="仿宋" w:hAnsi="仿宋" w:eastAsia="仿宋" w:cs="仿宋"/>
                <w:u w:val="single"/>
              </w:rPr>
              <w:t>  （签字）          </w:t>
            </w:r>
          </w:p>
        </w:tc>
        <w:tc>
          <w:tcPr>
            <w:tcW w:w="3685" w:type="dxa"/>
            <w:noWrap w:val="0"/>
            <w:tcMar>
              <w:top w:w="0" w:type="dxa"/>
              <w:left w:w="108" w:type="dxa"/>
              <w:bottom w:w="0" w:type="dxa"/>
              <w:right w:w="108" w:type="dxa"/>
            </w:tcMar>
            <w:vAlign w:val="top"/>
          </w:tcPr>
          <w:p w14:paraId="67F0801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经办人：</w:t>
            </w:r>
            <w:r>
              <w:rPr>
                <w:rFonts w:ascii="仿宋" w:hAnsi="仿宋" w:eastAsia="仿宋" w:cs="仿宋"/>
                <w:u w:val="single"/>
              </w:rPr>
              <w:t>  （签字）         </w:t>
            </w:r>
          </w:p>
        </w:tc>
      </w:tr>
      <w:tr w14:paraId="0D87CF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79D8D71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  话：</w:t>
            </w:r>
            <w:r>
              <w:rPr>
                <w:rFonts w:ascii="仿宋" w:hAnsi="仿宋" w:eastAsia="仿宋" w:cs="仿宋"/>
                <w:u w:val="single"/>
              </w:rPr>
              <w:t>        /          </w:t>
            </w:r>
          </w:p>
        </w:tc>
        <w:tc>
          <w:tcPr>
            <w:tcW w:w="3685" w:type="dxa"/>
            <w:noWrap w:val="0"/>
            <w:tcMar>
              <w:top w:w="0" w:type="dxa"/>
              <w:left w:w="108" w:type="dxa"/>
              <w:bottom w:w="0" w:type="dxa"/>
              <w:right w:w="108" w:type="dxa"/>
            </w:tcMar>
            <w:vAlign w:val="top"/>
          </w:tcPr>
          <w:p w14:paraId="2D434A1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  话：</w:t>
            </w:r>
          </w:p>
        </w:tc>
      </w:tr>
      <w:tr w14:paraId="374372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5523A9D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传  真：</w:t>
            </w:r>
            <w:r>
              <w:rPr>
                <w:rFonts w:ascii="仿宋" w:hAnsi="仿宋" w:eastAsia="仿宋" w:cs="仿宋"/>
                <w:u w:val="single"/>
              </w:rPr>
              <w:t>        /          </w:t>
            </w:r>
          </w:p>
        </w:tc>
        <w:tc>
          <w:tcPr>
            <w:tcW w:w="3685" w:type="dxa"/>
            <w:noWrap w:val="0"/>
            <w:tcMar>
              <w:top w:w="0" w:type="dxa"/>
              <w:left w:w="108" w:type="dxa"/>
              <w:bottom w:w="0" w:type="dxa"/>
              <w:right w:w="108" w:type="dxa"/>
            </w:tcMar>
            <w:vAlign w:val="top"/>
          </w:tcPr>
          <w:p w14:paraId="73B6CD2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传  真：</w:t>
            </w:r>
          </w:p>
        </w:tc>
      </w:tr>
      <w:tr w14:paraId="6B7FC4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3B60B75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电子信箱：</w:t>
            </w:r>
            <w:r>
              <w:rPr>
                <w:rFonts w:ascii="仿宋" w:hAnsi="仿宋" w:eastAsia="仿宋" w:cs="仿宋"/>
                <w:u w:val="single"/>
              </w:rPr>
              <w:t>       /         </w:t>
            </w:r>
          </w:p>
        </w:tc>
        <w:tc>
          <w:tcPr>
            <w:tcW w:w="3685" w:type="dxa"/>
            <w:noWrap w:val="0"/>
            <w:tcMar>
              <w:top w:w="0" w:type="dxa"/>
              <w:left w:w="108" w:type="dxa"/>
              <w:bottom w:w="0" w:type="dxa"/>
              <w:right w:w="108" w:type="dxa"/>
            </w:tcMar>
            <w:vAlign w:val="top"/>
          </w:tcPr>
          <w:p w14:paraId="1ADB788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电子信箱：</w:t>
            </w:r>
          </w:p>
        </w:tc>
      </w:tr>
      <w:tr w14:paraId="72CD0E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4FE8C6B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开户银行：</w:t>
            </w:r>
          </w:p>
        </w:tc>
        <w:tc>
          <w:tcPr>
            <w:tcW w:w="3685" w:type="dxa"/>
            <w:noWrap w:val="0"/>
            <w:tcMar>
              <w:top w:w="0" w:type="dxa"/>
              <w:left w:w="108" w:type="dxa"/>
              <w:bottom w:w="0" w:type="dxa"/>
              <w:right w:w="108" w:type="dxa"/>
            </w:tcMar>
            <w:vAlign w:val="top"/>
          </w:tcPr>
          <w:p w14:paraId="18D4A56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开户银行：</w:t>
            </w:r>
          </w:p>
        </w:tc>
      </w:tr>
      <w:tr w14:paraId="66414E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3269" w:type="dxa"/>
            <w:noWrap w:val="0"/>
            <w:tcMar>
              <w:top w:w="0" w:type="dxa"/>
              <w:left w:w="108" w:type="dxa"/>
              <w:bottom w:w="0" w:type="dxa"/>
              <w:right w:w="108" w:type="dxa"/>
            </w:tcMar>
            <w:vAlign w:val="top"/>
          </w:tcPr>
          <w:p w14:paraId="6EAED89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账  号：</w:t>
            </w:r>
          </w:p>
        </w:tc>
        <w:tc>
          <w:tcPr>
            <w:tcW w:w="3685" w:type="dxa"/>
            <w:noWrap w:val="0"/>
            <w:tcMar>
              <w:top w:w="0" w:type="dxa"/>
              <w:left w:w="108" w:type="dxa"/>
              <w:bottom w:w="0" w:type="dxa"/>
              <w:right w:w="108" w:type="dxa"/>
            </w:tcMar>
            <w:vAlign w:val="top"/>
          </w:tcPr>
          <w:p w14:paraId="76AE854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账  号：</w:t>
            </w:r>
            <w:r>
              <w:rPr>
                <w:rFonts w:ascii="仿宋" w:hAnsi="仿宋" w:eastAsia="仿宋" w:cs="仿宋"/>
                <w:sz w:val="24"/>
              </w:rPr>
              <w:t> </w:t>
            </w:r>
          </w:p>
        </w:tc>
      </w:tr>
    </w:tbl>
    <w:p w14:paraId="481CDE78">
      <w:pPr>
        <w:pBdr>
          <w:top w:val="none" w:color="000000" w:sz="0" w:space="0"/>
          <w:left w:val="none" w:color="000000" w:sz="0" w:space="0"/>
          <w:bottom w:val="none" w:color="000000" w:sz="0" w:space="0"/>
          <w:right w:val="none" w:color="000000" w:sz="0" w:space="0"/>
        </w:pBdr>
      </w:pPr>
      <w:r>
        <w:rPr/>
        <w:br w:type="page" w:clear="all"/>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792"/>
        <w:gridCol w:w="2207"/>
      </w:tblGrid>
      <w:tr w14:paraId="5920BF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20" w:hRule="atLeast"/>
        </w:trPr>
        <w:tc>
          <w:tcPr>
            <w:tcW w:w="2792" w:type="dxa"/>
            <w:noWrap w:val="0"/>
            <w:tcMar>
              <w:top w:w="0" w:type="dxa"/>
              <w:left w:w="108" w:type="dxa"/>
              <w:bottom w:w="0" w:type="dxa"/>
              <w:right w:w="108" w:type="dxa"/>
            </w:tcMar>
            <w:vAlign w:val="top"/>
          </w:tcPr>
          <w:p w14:paraId="5EB86336">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代建人：</w:t>
            </w:r>
          </w:p>
          <w:p w14:paraId="71CD31F0">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(合同专用章或公章)</w:t>
            </w:r>
          </w:p>
        </w:tc>
        <w:tc>
          <w:tcPr>
            <w:tcW w:w="2207" w:type="dxa"/>
            <w:noWrap w:val="0"/>
            <w:tcMar>
              <w:top w:w="0" w:type="dxa"/>
              <w:left w:w="108" w:type="dxa"/>
              <w:bottom w:w="0" w:type="dxa"/>
              <w:right w:w="108" w:type="dxa"/>
            </w:tcMar>
            <w:vAlign w:val="top"/>
          </w:tcPr>
          <w:p w14:paraId="073AB3EA">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506525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42F5CDD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法定代表人或其委托代理人：</w:t>
            </w:r>
          </w:p>
          <w:p w14:paraId="678A7D1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（签字）</w:t>
            </w:r>
          </w:p>
        </w:tc>
        <w:tc>
          <w:tcPr>
            <w:tcW w:w="2207" w:type="dxa"/>
            <w:noWrap w:val="0"/>
            <w:tcMar>
              <w:top w:w="0" w:type="dxa"/>
              <w:left w:w="108" w:type="dxa"/>
              <w:bottom w:w="0" w:type="dxa"/>
              <w:right w:w="108" w:type="dxa"/>
            </w:tcMar>
            <w:vAlign w:val="top"/>
          </w:tcPr>
          <w:p w14:paraId="378DC13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281740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4D5722F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统一社会信用代码：</w:t>
            </w:r>
          </w:p>
        </w:tc>
        <w:tc>
          <w:tcPr>
            <w:tcW w:w="2207" w:type="dxa"/>
            <w:noWrap w:val="0"/>
            <w:tcMar>
              <w:top w:w="0" w:type="dxa"/>
              <w:left w:w="108" w:type="dxa"/>
              <w:bottom w:w="0" w:type="dxa"/>
              <w:right w:w="108" w:type="dxa"/>
            </w:tcMar>
            <w:vAlign w:val="top"/>
          </w:tcPr>
          <w:p w14:paraId="7578BB4A">
            <w:pPr>
              <w:pBdr>
                <w:top w:val="none" w:color="000000" w:sz="0" w:space="0"/>
                <w:left w:val="none" w:color="000000" w:sz="0" w:space="0"/>
                <w:bottom w:val="none" w:color="000000" w:sz="0" w:space="0"/>
                <w:right w:val="none" w:color="000000" w:sz="0" w:space="0"/>
              </w:pBdr>
              <w:spacing w:line="85" w:lineRule="atLeast"/>
              <w:ind w:left="800"/>
            </w:pPr>
            <w:r>
              <w:rPr>
                <w:rFonts w:ascii="仿宋" w:hAnsi="仿宋" w:eastAsia="仿宋" w:cs="仿宋"/>
              </w:rPr>
              <w:t> </w:t>
            </w:r>
          </w:p>
        </w:tc>
      </w:tr>
      <w:tr w14:paraId="7AACF4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0E8C6EC1">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地  址：</w:t>
            </w:r>
          </w:p>
        </w:tc>
        <w:tc>
          <w:tcPr>
            <w:tcW w:w="2207" w:type="dxa"/>
            <w:noWrap w:val="0"/>
            <w:tcMar>
              <w:top w:w="0" w:type="dxa"/>
              <w:left w:w="108" w:type="dxa"/>
              <w:bottom w:w="0" w:type="dxa"/>
              <w:right w:w="108" w:type="dxa"/>
            </w:tcMar>
            <w:vAlign w:val="top"/>
          </w:tcPr>
          <w:p w14:paraId="7222CC17">
            <w:pPr>
              <w:pBdr>
                <w:top w:val="none" w:color="000000" w:sz="0" w:space="0"/>
                <w:left w:val="none" w:color="000000" w:sz="0" w:space="0"/>
                <w:bottom w:val="none" w:color="000000" w:sz="0" w:space="0"/>
                <w:right w:val="none" w:color="000000" w:sz="0" w:space="0"/>
              </w:pBdr>
              <w:spacing w:line="85" w:lineRule="atLeast"/>
              <w:ind w:left="800"/>
            </w:pPr>
            <w:r>
              <w:rPr>
                <w:rFonts w:ascii="仿宋" w:hAnsi="仿宋" w:eastAsia="仿宋" w:cs="仿宋"/>
              </w:rPr>
              <w:t> </w:t>
            </w:r>
          </w:p>
        </w:tc>
      </w:tr>
      <w:tr w14:paraId="44742B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3F9BA65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邮政编码：</w:t>
            </w:r>
            <w:r>
              <w:rPr>
                <w:rFonts w:ascii="仿宋" w:hAnsi="仿宋" w:eastAsia="仿宋" w:cs="仿宋"/>
                <w:u w:val="single"/>
              </w:rPr>
              <w:t>210000</w:t>
            </w:r>
          </w:p>
        </w:tc>
        <w:tc>
          <w:tcPr>
            <w:tcW w:w="2207" w:type="dxa"/>
            <w:noWrap w:val="0"/>
            <w:tcMar>
              <w:top w:w="0" w:type="dxa"/>
              <w:left w:w="108" w:type="dxa"/>
              <w:bottom w:w="0" w:type="dxa"/>
              <w:right w:w="108" w:type="dxa"/>
            </w:tcMar>
            <w:vAlign w:val="top"/>
          </w:tcPr>
          <w:p w14:paraId="0D5ECF1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212280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5CBA8FE7">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xml:space="preserve">法定代表人： </w:t>
            </w:r>
          </w:p>
        </w:tc>
        <w:tc>
          <w:tcPr>
            <w:tcW w:w="2207" w:type="dxa"/>
            <w:noWrap w:val="0"/>
            <w:tcMar>
              <w:top w:w="0" w:type="dxa"/>
              <w:left w:w="108" w:type="dxa"/>
              <w:bottom w:w="0" w:type="dxa"/>
              <w:right w:w="108" w:type="dxa"/>
            </w:tcMar>
            <w:vAlign w:val="top"/>
          </w:tcPr>
          <w:p w14:paraId="523B284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1A8485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5ED84EF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委托代理人：</w:t>
            </w:r>
          </w:p>
        </w:tc>
        <w:tc>
          <w:tcPr>
            <w:tcW w:w="2207" w:type="dxa"/>
            <w:noWrap w:val="0"/>
            <w:tcMar>
              <w:top w:w="0" w:type="dxa"/>
              <w:left w:w="108" w:type="dxa"/>
              <w:bottom w:w="0" w:type="dxa"/>
              <w:right w:w="108" w:type="dxa"/>
            </w:tcMar>
            <w:vAlign w:val="top"/>
          </w:tcPr>
          <w:p w14:paraId="626394E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4E59BB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0FF7451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经办人：</w:t>
            </w:r>
            <w:r>
              <w:rPr>
                <w:rFonts w:ascii="仿宋" w:hAnsi="仿宋" w:eastAsia="仿宋" w:cs="仿宋"/>
                <w:u w:val="single"/>
              </w:rPr>
              <w:t>  （签字）          </w:t>
            </w:r>
          </w:p>
        </w:tc>
        <w:tc>
          <w:tcPr>
            <w:tcW w:w="2207" w:type="dxa"/>
            <w:noWrap w:val="0"/>
            <w:tcMar>
              <w:top w:w="0" w:type="dxa"/>
              <w:left w:w="108" w:type="dxa"/>
              <w:bottom w:w="0" w:type="dxa"/>
              <w:right w:w="108" w:type="dxa"/>
            </w:tcMar>
            <w:vAlign w:val="top"/>
          </w:tcPr>
          <w:p w14:paraId="5E69FB9F">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3BC9D7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5231D645">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  话：</w:t>
            </w:r>
            <w:r>
              <w:rPr>
                <w:rFonts w:ascii="仿宋" w:hAnsi="仿宋" w:eastAsia="仿宋" w:cs="仿宋"/>
                <w:u w:val="single"/>
              </w:rPr>
              <w:t>        /          </w:t>
            </w:r>
          </w:p>
        </w:tc>
        <w:tc>
          <w:tcPr>
            <w:tcW w:w="2207" w:type="dxa"/>
            <w:noWrap w:val="0"/>
            <w:tcMar>
              <w:top w:w="0" w:type="dxa"/>
              <w:left w:w="108" w:type="dxa"/>
              <w:bottom w:w="0" w:type="dxa"/>
              <w:right w:w="108" w:type="dxa"/>
            </w:tcMar>
            <w:vAlign w:val="top"/>
          </w:tcPr>
          <w:p w14:paraId="2CE5EC1B">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491395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4AD66E99">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传  真：</w:t>
            </w:r>
            <w:r>
              <w:rPr>
                <w:rFonts w:ascii="仿宋" w:hAnsi="仿宋" w:eastAsia="仿宋" w:cs="仿宋"/>
                <w:u w:val="single"/>
              </w:rPr>
              <w:t>        /          </w:t>
            </w:r>
          </w:p>
        </w:tc>
        <w:tc>
          <w:tcPr>
            <w:tcW w:w="2207" w:type="dxa"/>
            <w:noWrap w:val="0"/>
            <w:tcMar>
              <w:top w:w="0" w:type="dxa"/>
              <w:left w:w="108" w:type="dxa"/>
              <w:bottom w:w="0" w:type="dxa"/>
              <w:right w:w="108" w:type="dxa"/>
            </w:tcMar>
            <w:vAlign w:val="top"/>
          </w:tcPr>
          <w:p w14:paraId="2B2FBFF4">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587ADA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3D17EDFD">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电子信箱：</w:t>
            </w:r>
            <w:r>
              <w:rPr>
                <w:rFonts w:ascii="仿宋" w:hAnsi="仿宋" w:eastAsia="仿宋" w:cs="仿宋"/>
                <w:u w:val="single"/>
              </w:rPr>
              <w:t>       /         </w:t>
            </w:r>
          </w:p>
        </w:tc>
        <w:tc>
          <w:tcPr>
            <w:tcW w:w="2207" w:type="dxa"/>
            <w:noWrap w:val="0"/>
            <w:tcMar>
              <w:top w:w="0" w:type="dxa"/>
              <w:left w:w="108" w:type="dxa"/>
              <w:bottom w:w="0" w:type="dxa"/>
              <w:right w:w="108" w:type="dxa"/>
            </w:tcMar>
            <w:vAlign w:val="top"/>
          </w:tcPr>
          <w:p w14:paraId="54F4ACE2">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70FCC9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7EFB402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开户银行：</w:t>
            </w:r>
          </w:p>
        </w:tc>
        <w:tc>
          <w:tcPr>
            <w:tcW w:w="2207" w:type="dxa"/>
            <w:noWrap w:val="0"/>
            <w:tcMar>
              <w:top w:w="0" w:type="dxa"/>
              <w:left w:w="108" w:type="dxa"/>
              <w:bottom w:w="0" w:type="dxa"/>
              <w:right w:w="108" w:type="dxa"/>
            </w:tcMar>
            <w:vAlign w:val="top"/>
          </w:tcPr>
          <w:p w14:paraId="067A96C3">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r w14:paraId="6BFD65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2792" w:type="dxa"/>
            <w:noWrap w:val="0"/>
            <w:tcMar>
              <w:top w:w="0" w:type="dxa"/>
              <w:left w:w="108" w:type="dxa"/>
              <w:bottom w:w="0" w:type="dxa"/>
              <w:right w:w="108" w:type="dxa"/>
            </w:tcMar>
            <w:vAlign w:val="top"/>
          </w:tcPr>
          <w:p w14:paraId="60956198">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账  号：</w:t>
            </w:r>
          </w:p>
        </w:tc>
        <w:tc>
          <w:tcPr>
            <w:tcW w:w="2207" w:type="dxa"/>
            <w:noWrap w:val="0"/>
            <w:tcMar>
              <w:top w:w="0" w:type="dxa"/>
              <w:left w:w="108" w:type="dxa"/>
              <w:bottom w:w="0" w:type="dxa"/>
              <w:right w:w="108" w:type="dxa"/>
            </w:tcMar>
            <w:vAlign w:val="top"/>
          </w:tcPr>
          <w:p w14:paraId="4FDDF8DC">
            <w:pPr>
              <w:pBdr>
                <w:top w:val="none" w:color="000000" w:sz="0" w:space="0"/>
                <w:left w:val="none" w:color="000000" w:sz="0" w:space="0"/>
                <w:bottom w:val="none" w:color="000000" w:sz="0" w:space="0"/>
                <w:right w:val="none" w:color="000000" w:sz="0" w:space="0"/>
              </w:pBdr>
              <w:spacing w:line="85" w:lineRule="atLeast"/>
            </w:pPr>
            <w:r>
              <w:rPr>
                <w:rFonts w:ascii="仿宋" w:hAnsi="仿宋" w:eastAsia="仿宋" w:cs="仿宋"/>
              </w:rPr>
              <w:t> </w:t>
            </w:r>
          </w:p>
        </w:tc>
      </w:tr>
    </w:tbl>
    <w:p w14:paraId="06285007">
      <w:pPr>
        <w:pBdr>
          <w:top w:val="none" w:color="000000" w:sz="0" w:space="0"/>
          <w:left w:val="none" w:color="000000" w:sz="0" w:space="0"/>
          <w:bottom w:val="none" w:color="000000" w:sz="0" w:space="0"/>
          <w:right w:val="none" w:color="000000" w:sz="0" w:space="0"/>
        </w:pBdr>
        <w:spacing w:before="120" w:after="120" w:line="85" w:lineRule="atLeast"/>
      </w:pPr>
      <w:r>
        <w:rPr>
          <w:rFonts w:ascii="仿宋" w:hAnsi="仿宋" w:eastAsia="仿宋" w:cs="仿宋"/>
          <w:sz w:val="24"/>
        </w:rPr>
        <w:t> </w:t>
      </w:r>
    </w:p>
    <w:p w14:paraId="5CE5E693">
      <w:pPr>
        <w:pBdr>
          <w:top w:val="none" w:color="000000" w:sz="0" w:space="0"/>
          <w:left w:val="none" w:color="000000" w:sz="0" w:space="0"/>
          <w:bottom w:val="none" w:color="000000" w:sz="0" w:space="0"/>
          <w:right w:val="none" w:color="000000" w:sz="0" w:space="0"/>
        </w:pBdr>
        <w:spacing w:before="120" w:after="120" w:line="85" w:lineRule="atLeast"/>
      </w:pPr>
      <w:r>
        <w:rPr>
          <w:rFonts w:ascii="仿宋" w:hAnsi="仿宋" w:eastAsia="仿宋" w:cs="仿宋"/>
          <w:sz w:val="24"/>
        </w:rPr>
        <w:t> </w:t>
      </w:r>
    </w:p>
    <w:p w14:paraId="058844D6">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4"/>
        </w:rPr>
        <w:t> </w:t>
      </w:r>
    </w:p>
    <w:p w14:paraId="0DA5A4F7">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4"/>
        </w:rPr>
        <w:t> </w:t>
      </w:r>
    </w:p>
    <w:p w14:paraId="33C6178C">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4"/>
        </w:rPr>
        <w:t> </w:t>
      </w:r>
    </w:p>
    <w:p w14:paraId="4C5533FB">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4"/>
        </w:rPr>
        <w:t> </w:t>
      </w:r>
    </w:p>
    <w:p w14:paraId="2F021C84">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r>
        <w:rPr>
          <w:rFonts w:ascii="仿宋" w:hAnsi="仿宋" w:eastAsia="仿宋" w:cs="仿宋"/>
          <w:sz w:val="24"/>
        </w:rPr>
        <w:t> </w:t>
      </w:r>
    </w:p>
    <w:p w14:paraId="55403488">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2521AA1F">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7C278A56">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3A649DA0">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4110F1D7">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2678EDC0">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05FB392B">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36F92C6A">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2EDBB51E">
      <w:pPr>
        <w:pBdr>
          <w:top w:val="none" w:color="000000" w:sz="0" w:space="0"/>
          <w:left w:val="none" w:color="000000" w:sz="0" w:space="0"/>
          <w:bottom w:val="none" w:color="000000" w:sz="0" w:space="0"/>
          <w:right w:val="none" w:color="000000" w:sz="0" w:space="0"/>
        </w:pBdr>
        <w:spacing w:before="240" w:after="240"/>
        <w:rPr>
          <w:rFonts w:hint="eastAsia" w:ascii="仿宋" w:hAnsi="仿宋" w:eastAsia="宋体" w:cs="仿宋"/>
          <w:sz w:val="24"/>
        </w:rPr>
      </w:pPr>
    </w:p>
    <w:p w14:paraId="1395E88B">
      <w:pPr>
        <w:pBdr>
          <w:top w:val="none" w:color="000000" w:sz="0" w:space="0"/>
          <w:left w:val="none" w:color="000000" w:sz="0" w:space="0"/>
          <w:bottom w:val="none" w:color="000000" w:sz="0" w:space="0"/>
          <w:right w:val="none" w:color="000000" w:sz="0" w:space="0"/>
        </w:pBdr>
        <w:spacing w:before="240" w:after="240"/>
        <w:rPr>
          <w:rFonts w:ascii="仿宋" w:hAnsi="仿宋" w:eastAsia="仿宋" w:cs="仿宋"/>
          <w:sz w:val="24"/>
        </w:rPr>
      </w:pPr>
      <w:r>
        <w:rPr>
          <w:rFonts w:ascii="仿宋" w:hAnsi="仿宋" w:eastAsia="仿宋" w:cs="仿宋"/>
          <w:sz w:val="24"/>
        </w:rPr>
        <w:t> </w:t>
      </w:r>
    </w:p>
    <w:p w14:paraId="2E23A77A">
      <w:pPr>
        <w:pBdr>
          <w:top w:val="none" w:color="000000" w:sz="0" w:space="0"/>
          <w:left w:val="none" w:color="000000" w:sz="0" w:space="0"/>
          <w:bottom w:val="none" w:color="000000" w:sz="0" w:space="0"/>
          <w:right w:val="none" w:color="000000" w:sz="0" w:space="0"/>
        </w:pBdr>
        <w:spacing w:before="240" w:after="240"/>
        <w:rPr>
          <w:rFonts w:ascii="仿宋" w:hAnsi="仿宋" w:eastAsia="仿宋" w:cs="仿宋"/>
          <w:sz w:val="24"/>
        </w:rPr>
      </w:pPr>
    </w:p>
    <w:p w14:paraId="09B2D09A">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4"/>
        </w:rPr>
        <w:t> 附件2：承包人管理机构成员表</w:t>
      </w:r>
    </w:p>
    <w:p w14:paraId="50A934A0">
      <w:pPr>
        <w:pBdr>
          <w:top w:val="none" w:color="000000" w:sz="0" w:space="0"/>
          <w:left w:val="none" w:color="000000" w:sz="0" w:space="0"/>
          <w:bottom w:val="none" w:color="000000" w:sz="0" w:space="0"/>
          <w:right w:val="none" w:color="000000" w:sz="0" w:space="0"/>
        </w:pBdr>
        <w:spacing w:line="439" w:lineRule="atLeast"/>
        <w:jc w:val="center"/>
      </w:pPr>
      <w:r>
        <w:rPr>
          <w:rFonts w:ascii="仿宋" w:hAnsi="仿宋" w:eastAsia="仿宋" w:cs="仿宋"/>
          <w:b/>
        </w:rPr>
        <w:t>承包人管理机构成员表</w:t>
      </w:r>
    </w:p>
    <w:tbl>
      <w:tblPr>
        <w:tblStyle w:val="33"/>
        <w:tblW w:w="84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609"/>
        <w:gridCol w:w="686"/>
        <w:gridCol w:w="1610"/>
        <w:gridCol w:w="686"/>
        <w:gridCol w:w="3854"/>
      </w:tblGrid>
      <w:tr w14:paraId="488AD3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tblHeader/>
          <w:jc w:val="center"/>
        </w:trPr>
        <w:tc>
          <w:tcPr>
            <w:tcW w:w="1609" w:type="dxa"/>
            <w:tcBorders>
              <w:top w:val="single" w:color="000000" w:sz="12"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36AFA69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b/>
                <w:sz w:val="21"/>
              </w:rPr>
            </w:pPr>
            <w:r>
              <w:rPr>
                <w:rFonts w:ascii="仿宋" w:hAnsi="仿宋" w:eastAsia="仿宋" w:cs="仿宋"/>
                <w:b/>
                <w:sz w:val="21"/>
              </w:rPr>
              <w:t>名称</w:t>
            </w:r>
          </w:p>
        </w:tc>
        <w:tc>
          <w:tcPr>
            <w:tcW w:w="686" w:type="dxa"/>
            <w:tcBorders>
              <w:top w:val="single" w:color="000000" w:sz="12"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5E326B9">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b/>
                <w:sz w:val="21"/>
              </w:rPr>
            </w:pPr>
            <w:r>
              <w:rPr>
                <w:rFonts w:ascii="仿宋" w:hAnsi="仿宋" w:eastAsia="仿宋" w:cs="仿宋"/>
                <w:b/>
                <w:sz w:val="21"/>
              </w:rPr>
              <w:t>姓名</w:t>
            </w:r>
          </w:p>
        </w:tc>
        <w:tc>
          <w:tcPr>
            <w:tcW w:w="1610" w:type="dxa"/>
            <w:tcBorders>
              <w:top w:val="single" w:color="000000" w:sz="12"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53796315">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b/>
                <w:sz w:val="21"/>
              </w:rPr>
            </w:pPr>
            <w:r>
              <w:rPr>
                <w:rFonts w:ascii="仿宋" w:hAnsi="仿宋" w:eastAsia="仿宋" w:cs="仿宋"/>
                <w:b/>
                <w:sz w:val="21"/>
              </w:rPr>
              <w:t>职务</w:t>
            </w:r>
          </w:p>
        </w:tc>
        <w:tc>
          <w:tcPr>
            <w:tcW w:w="686" w:type="dxa"/>
            <w:tcBorders>
              <w:top w:val="single" w:color="000000" w:sz="12"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4B884D08">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b/>
                <w:sz w:val="21"/>
              </w:rPr>
            </w:pPr>
            <w:r>
              <w:rPr>
                <w:rFonts w:ascii="仿宋" w:hAnsi="仿宋" w:eastAsia="仿宋" w:cs="仿宋"/>
                <w:b/>
                <w:sz w:val="21"/>
              </w:rPr>
              <w:t>职称</w:t>
            </w:r>
          </w:p>
        </w:tc>
        <w:tc>
          <w:tcPr>
            <w:tcW w:w="3854" w:type="dxa"/>
            <w:tcBorders>
              <w:top w:val="single" w:color="000000" w:sz="12"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755BFDE4">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b/>
                <w:sz w:val="21"/>
              </w:rPr>
            </w:pPr>
            <w:r>
              <w:rPr>
                <w:rFonts w:ascii="仿宋" w:hAnsi="仿宋" w:eastAsia="仿宋" w:cs="仿宋"/>
                <w:b/>
                <w:sz w:val="21"/>
              </w:rPr>
              <w:t>主要资历、经验及承担过的项目</w:t>
            </w:r>
          </w:p>
        </w:tc>
      </w:tr>
      <w:tr w14:paraId="5B6CEB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8445" w:type="dxa"/>
            <w:gridSpan w:val="5"/>
            <w:tcBorders>
              <w:top w:val="single" w:color="000000" w:sz="8" w:space="0"/>
              <w:left w:val="single" w:color="000000" w:sz="12" w:space="0"/>
              <w:bottom w:val="single" w:color="000000" w:sz="8" w:space="0"/>
              <w:right w:val="single" w:color="000000" w:sz="12" w:space="0"/>
            </w:tcBorders>
            <w:noWrap w:val="0"/>
            <w:tcMar>
              <w:top w:w="0" w:type="dxa"/>
              <w:left w:w="28" w:type="dxa"/>
              <w:bottom w:w="0" w:type="dxa"/>
              <w:right w:w="28" w:type="dxa"/>
            </w:tcMar>
            <w:vAlign w:val="center"/>
          </w:tcPr>
          <w:p w14:paraId="04206FEC">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pPr>
            <w:r>
              <w:rPr>
                <w:rFonts w:ascii="仿宋" w:hAnsi="仿宋" w:eastAsia="仿宋" w:cs="仿宋"/>
                <w:sz w:val="24"/>
              </w:rPr>
              <w:t>一、总部人员</w:t>
            </w:r>
          </w:p>
        </w:tc>
      </w:tr>
      <w:tr w14:paraId="6E58AF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5501409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项目主管</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45AAAB5B">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7423795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618EAC15">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0D69BDA6">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r>
      <w:tr w14:paraId="18C498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3137578E">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D94978C">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CA3258A">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7E394896">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5FEEBD4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r>
      <w:tr w14:paraId="604C8B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3FEE1221">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其他人员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52FB1C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F0EEB59">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8B6EA09">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314EF759">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r>
      <w:tr w14:paraId="050C03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7662F5F0">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7A80931A">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5D81DC97">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74D8C093">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2914B77B">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r>
      <w:tr w14:paraId="7F7E76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8445" w:type="dxa"/>
            <w:gridSpan w:val="5"/>
            <w:tcBorders>
              <w:top w:val="single" w:color="000000" w:sz="8" w:space="0"/>
              <w:left w:val="single" w:color="000000" w:sz="12" w:space="0"/>
              <w:bottom w:val="single" w:color="000000" w:sz="8" w:space="0"/>
              <w:right w:val="single" w:color="000000" w:sz="12" w:space="0"/>
            </w:tcBorders>
            <w:noWrap w:val="0"/>
            <w:tcMar>
              <w:top w:w="0" w:type="dxa"/>
              <w:left w:w="28" w:type="dxa"/>
              <w:bottom w:w="0" w:type="dxa"/>
              <w:right w:w="28" w:type="dxa"/>
            </w:tcMar>
            <w:vAlign w:val="center"/>
          </w:tcPr>
          <w:p w14:paraId="6CEE874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pPr>
            <w:r>
              <w:rPr>
                <w:rFonts w:ascii="仿宋" w:hAnsi="仿宋" w:eastAsia="仿宋" w:cs="仿宋"/>
                <w:sz w:val="24"/>
              </w:rPr>
              <w:t>二、现场人员</w:t>
            </w:r>
          </w:p>
        </w:tc>
      </w:tr>
      <w:tr w14:paraId="4A1409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4CF547E4">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项目经理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3C268FCE">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5225EFF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项目负责人</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33E40703">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5CCA9F96">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r>
      <w:tr w14:paraId="0F7A15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1E66FD7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技术负责人</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492EC1E6">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4916E49C">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技术负责人</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99DF889">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132507E5">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r>
      <w:tr w14:paraId="53128F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470B6F4E">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施工员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728E9A5B">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5915B25">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施工员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73EEA43A">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5840E8CC">
            <w:pPr>
              <w:pBdr>
                <w:top w:val="none" w:color="000000" w:sz="0" w:space="0"/>
                <w:left w:val="none" w:color="000000" w:sz="0" w:space="0"/>
                <w:bottom w:val="none" w:color="000000" w:sz="0" w:space="0"/>
                <w:right w:val="none" w:color="000000" w:sz="0" w:space="0"/>
              </w:pBdr>
              <w:snapToGrid w:val="0"/>
              <w:spacing w:line="240" w:lineRule="auto"/>
              <w:ind w:left="0" w:leftChars="0" w:right="0" w:rightChars="0" w:firstLine="0" w:firstLineChars="0"/>
              <w:jc w:val="center"/>
              <w:rPr>
                <w:rFonts w:ascii="仿宋" w:eastAsia="仿宋"/>
                <w:sz w:val="24"/>
              </w:rPr>
            </w:pPr>
            <w:r>
              <w:rPr>
                <w:rFonts w:ascii="仿宋" w:hAnsi="仿宋" w:eastAsia="仿宋" w:cs="仿宋"/>
                <w:sz w:val="24"/>
              </w:rPr>
              <w:t> </w:t>
            </w:r>
          </w:p>
        </w:tc>
      </w:tr>
      <w:tr w14:paraId="0C5968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059DD190">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安全员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602F2E43">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BA828A1">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安全员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4021F13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1424FF1D">
            <w:pPr>
              <w:pBdr>
                <w:top w:val="none" w:color="000000" w:sz="0" w:space="0"/>
                <w:left w:val="none" w:color="000000" w:sz="0" w:space="0"/>
                <w:bottom w:val="none" w:color="000000" w:sz="0" w:space="0"/>
                <w:right w:val="none" w:color="000000" w:sz="0" w:space="0"/>
              </w:pBdr>
              <w:snapToGrid w:val="0"/>
              <w:spacing w:line="240" w:lineRule="auto"/>
              <w:ind w:left="0" w:leftChars="0" w:right="0" w:rightChars="0" w:firstLine="0" w:firstLineChars="0"/>
              <w:jc w:val="center"/>
              <w:rPr>
                <w:rFonts w:ascii="仿宋" w:eastAsia="仿宋"/>
                <w:sz w:val="24"/>
              </w:rPr>
            </w:pPr>
            <w:r>
              <w:rPr>
                <w:rFonts w:ascii="仿宋" w:hAnsi="仿宋" w:eastAsia="仿宋" w:cs="仿宋"/>
                <w:sz w:val="24"/>
              </w:rPr>
              <w:t> </w:t>
            </w:r>
          </w:p>
        </w:tc>
      </w:tr>
      <w:tr w14:paraId="091FD3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7E1C49E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质量员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844EF82">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F0133E0">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质检员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09C9A18C">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2CB705EA">
            <w:pPr>
              <w:pBdr>
                <w:top w:val="none" w:color="000000" w:sz="0" w:space="0"/>
                <w:left w:val="none" w:color="000000" w:sz="0" w:space="0"/>
                <w:bottom w:val="none" w:color="000000" w:sz="0" w:space="0"/>
                <w:right w:val="none" w:color="000000" w:sz="0" w:space="0"/>
              </w:pBdr>
              <w:snapToGrid w:val="0"/>
              <w:spacing w:line="240" w:lineRule="auto"/>
              <w:ind w:left="0" w:leftChars="0" w:right="0" w:rightChars="0" w:firstLine="0" w:firstLineChars="0"/>
              <w:jc w:val="center"/>
              <w:rPr>
                <w:rFonts w:ascii="仿宋" w:eastAsia="仿宋"/>
                <w:sz w:val="24"/>
              </w:rPr>
            </w:pPr>
            <w:r>
              <w:rPr>
                <w:rFonts w:ascii="仿宋" w:hAnsi="仿宋" w:eastAsia="仿宋" w:cs="仿宋"/>
                <w:sz w:val="24"/>
              </w:rPr>
              <w:t> </w:t>
            </w:r>
          </w:p>
        </w:tc>
      </w:tr>
      <w:tr w14:paraId="488676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49BE68C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资料员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7DDA7F10">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6EE3610">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0B945F6">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750607FA">
            <w:pPr>
              <w:pBdr>
                <w:top w:val="none" w:color="000000" w:sz="0" w:space="0"/>
                <w:left w:val="none" w:color="000000" w:sz="0" w:space="0"/>
                <w:bottom w:val="none" w:color="000000" w:sz="0" w:space="0"/>
                <w:right w:val="none" w:color="000000" w:sz="0" w:space="0"/>
              </w:pBdr>
              <w:snapToGrid w:val="0"/>
              <w:spacing w:line="240" w:lineRule="auto"/>
              <w:ind w:left="0" w:leftChars="0" w:right="0" w:rightChars="0" w:firstLine="0" w:firstLineChars="0"/>
              <w:jc w:val="center"/>
              <w:rPr>
                <w:rFonts w:ascii="仿宋" w:eastAsia="仿宋"/>
                <w:sz w:val="24"/>
              </w:rPr>
            </w:pPr>
            <w:r>
              <w:rPr>
                <w:rFonts w:ascii="仿宋" w:hAnsi="仿宋" w:eastAsia="仿宋" w:cs="仿宋"/>
                <w:sz w:val="24"/>
              </w:rPr>
              <w:t> </w:t>
            </w:r>
          </w:p>
        </w:tc>
      </w:tr>
      <w:tr w14:paraId="06A4EC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1F2749D8">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材料员</w:t>
            </w:r>
          </w:p>
          <w:p w14:paraId="7E9A121E">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（取样员）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5020AC1A">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61D3DD07">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材料员</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6DFA29D7">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7BC0CC88">
            <w:pPr>
              <w:pBdr>
                <w:top w:val="none" w:color="000000" w:sz="0" w:space="0"/>
                <w:left w:val="none" w:color="000000" w:sz="0" w:space="0"/>
                <w:bottom w:val="none" w:color="000000" w:sz="0" w:space="0"/>
                <w:right w:val="none" w:color="000000" w:sz="0" w:space="0"/>
              </w:pBdr>
              <w:snapToGrid w:val="0"/>
              <w:spacing w:line="240" w:lineRule="auto"/>
              <w:ind w:left="0" w:leftChars="0" w:right="0" w:rightChars="0" w:firstLine="0" w:firstLineChars="0"/>
              <w:jc w:val="center"/>
              <w:rPr>
                <w:rFonts w:ascii="仿宋" w:eastAsia="仿宋"/>
                <w:sz w:val="24"/>
              </w:rPr>
            </w:pPr>
            <w:r>
              <w:rPr>
                <w:rFonts w:ascii="仿宋" w:hAnsi="仿宋" w:eastAsia="仿宋" w:cs="仿宋"/>
                <w:sz w:val="24"/>
              </w:rPr>
              <w:t> </w:t>
            </w:r>
          </w:p>
        </w:tc>
      </w:tr>
      <w:tr w14:paraId="315ED7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78686D8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造价工程师</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67D2FD6C">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D831B39">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造价工程师</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5ACD10CA">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6B76326D">
            <w:pPr>
              <w:pBdr>
                <w:top w:val="none" w:color="000000" w:sz="0" w:space="0"/>
                <w:left w:val="none" w:color="000000" w:sz="0" w:space="0"/>
                <w:bottom w:val="none" w:color="000000" w:sz="0" w:space="0"/>
                <w:right w:val="none" w:color="000000" w:sz="0" w:space="0"/>
              </w:pBdr>
              <w:snapToGrid w:val="0"/>
              <w:spacing w:line="240" w:lineRule="auto"/>
              <w:ind w:left="0" w:leftChars="0" w:right="0" w:rightChars="0" w:firstLine="0" w:firstLineChars="0"/>
              <w:jc w:val="center"/>
              <w:rPr>
                <w:rFonts w:ascii="仿宋" w:eastAsia="仿宋"/>
                <w:sz w:val="24"/>
              </w:rPr>
            </w:pPr>
            <w:r>
              <w:rPr>
                <w:rFonts w:ascii="仿宋" w:hAnsi="仿宋" w:eastAsia="仿宋" w:cs="仿宋"/>
                <w:sz w:val="24"/>
              </w:rPr>
              <w:t> </w:t>
            </w:r>
          </w:p>
        </w:tc>
      </w:tr>
      <w:tr w14:paraId="058AA8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8" w:space="0"/>
              <w:right w:val="single" w:color="000000" w:sz="8" w:space="0"/>
            </w:tcBorders>
            <w:noWrap w:val="0"/>
            <w:tcMar>
              <w:top w:w="0" w:type="dxa"/>
              <w:left w:w="28" w:type="dxa"/>
              <w:bottom w:w="0" w:type="dxa"/>
              <w:right w:w="28" w:type="dxa"/>
            </w:tcMar>
            <w:vAlign w:val="center"/>
          </w:tcPr>
          <w:p w14:paraId="6435430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pPr>
            <w:r>
              <w:rPr>
                <w:rFonts w:ascii="仿宋" w:hAnsi="仿宋" w:eastAsia="仿宋" w:cs="仿宋"/>
                <w:sz w:val="24"/>
              </w:rPr>
              <w:t> </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2DDC2C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pPr>
            <w:r>
              <w:rPr>
                <w:rFonts w:ascii="仿宋" w:hAnsi="仿宋" w:eastAsia="仿宋" w:cs="仿宋"/>
                <w:sz w:val="24"/>
              </w:rPr>
              <w:t> </w:t>
            </w:r>
          </w:p>
        </w:tc>
        <w:tc>
          <w:tcPr>
            <w:tcW w:w="1610"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0096705F">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pPr>
            <w:r>
              <w:rPr>
                <w:rFonts w:ascii="仿宋" w:hAnsi="仿宋" w:eastAsia="仿宋" w:cs="仿宋"/>
                <w:sz w:val="24"/>
              </w:rPr>
              <w:t> </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69BF1B8C">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pPr>
            <w:r>
              <w:rPr>
                <w:rFonts w:ascii="仿宋" w:hAnsi="仿宋" w:eastAsia="仿宋" w:cs="仿宋"/>
                <w:sz w:val="24"/>
              </w:rPr>
              <w:t> </w:t>
            </w:r>
          </w:p>
        </w:tc>
        <w:tc>
          <w:tcPr>
            <w:tcW w:w="3854" w:type="dxa"/>
            <w:tcBorders>
              <w:top w:val="single" w:color="000000" w:sz="8" w:space="0"/>
              <w:left w:val="single" w:color="000000" w:sz="8" w:space="0"/>
              <w:bottom w:val="single" w:color="000000" w:sz="8" w:space="0"/>
              <w:right w:val="single" w:color="000000" w:sz="12" w:space="0"/>
            </w:tcBorders>
            <w:noWrap w:val="0"/>
            <w:tcMar>
              <w:top w:w="0" w:type="dxa"/>
              <w:left w:w="28" w:type="dxa"/>
              <w:bottom w:w="0" w:type="dxa"/>
              <w:right w:w="28" w:type="dxa"/>
            </w:tcMar>
            <w:vAlign w:val="center"/>
          </w:tcPr>
          <w:p w14:paraId="403D345D">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pPr>
            <w:r>
              <w:rPr>
                <w:rFonts w:ascii="仿宋" w:hAnsi="仿宋" w:eastAsia="仿宋" w:cs="仿宋"/>
                <w:sz w:val="24"/>
              </w:rPr>
              <w:t> </w:t>
            </w:r>
          </w:p>
        </w:tc>
      </w:tr>
      <w:tr w14:paraId="715238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1609" w:type="dxa"/>
            <w:tcBorders>
              <w:top w:val="single" w:color="000000" w:sz="8" w:space="0"/>
              <w:left w:val="single" w:color="000000" w:sz="12" w:space="0"/>
              <w:bottom w:val="single" w:color="000000" w:sz="12" w:space="0"/>
              <w:right w:val="single" w:color="000000" w:sz="8" w:space="0"/>
            </w:tcBorders>
            <w:noWrap w:val="0"/>
            <w:tcMar>
              <w:top w:w="0" w:type="dxa"/>
              <w:left w:w="28" w:type="dxa"/>
              <w:bottom w:w="0" w:type="dxa"/>
              <w:right w:w="28" w:type="dxa"/>
            </w:tcMar>
            <w:vAlign w:val="center"/>
          </w:tcPr>
          <w:p w14:paraId="045711CB">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w:t>
            </w:r>
          </w:p>
        </w:tc>
        <w:tc>
          <w:tcPr>
            <w:tcW w:w="686" w:type="dxa"/>
            <w:tcBorders>
              <w:top w:val="single" w:color="000000" w:sz="8" w:space="0"/>
              <w:left w:val="single" w:color="000000" w:sz="8" w:space="0"/>
              <w:bottom w:val="single" w:color="000000" w:sz="12" w:space="0"/>
              <w:right w:val="single" w:color="000000" w:sz="8" w:space="0"/>
            </w:tcBorders>
            <w:noWrap w:val="0"/>
            <w:tcMar>
              <w:top w:w="0" w:type="dxa"/>
              <w:left w:w="28" w:type="dxa"/>
              <w:bottom w:w="0" w:type="dxa"/>
              <w:right w:w="28" w:type="dxa"/>
            </w:tcMar>
            <w:vAlign w:val="center"/>
          </w:tcPr>
          <w:p w14:paraId="49E2F9C7">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1610" w:type="dxa"/>
            <w:tcBorders>
              <w:top w:val="single" w:color="000000" w:sz="8" w:space="0"/>
              <w:left w:val="single" w:color="000000" w:sz="8" w:space="0"/>
              <w:bottom w:val="single" w:color="000000" w:sz="12" w:space="0"/>
              <w:right w:val="single" w:color="000000" w:sz="8" w:space="0"/>
            </w:tcBorders>
            <w:noWrap w:val="0"/>
            <w:tcMar>
              <w:top w:w="0" w:type="dxa"/>
              <w:left w:w="28" w:type="dxa"/>
              <w:bottom w:w="0" w:type="dxa"/>
              <w:right w:w="28" w:type="dxa"/>
            </w:tcMar>
            <w:vAlign w:val="center"/>
          </w:tcPr>
          <w:p w14:paraId="645E47D2">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686" w:type="dxa"/>
            <w:tcBorders>
              <w:top w:val="single" w:color="000000" w:sz="8" w:space="0"/>
              <w:left w:val="single" w:color="000000" w:sz="8" w:space="0"/>
              <w:bottom w:val="single" w:color="000000" w:sz="12" w:space="0"/>
              <w:right w:val="single" w:color="000000" w:sz="8" w:space="0"/>
            </w:tcBorders>
            <w:noWrap w:val="0"/>
            <w:tcMar>
              <w:top w:w="0" w:type="dxa"/>
              <w:left w:w="28" w:type="dxa"/>
              <w:bottom w:w="0" w:type="dxa"/>
              <w:right w:w="28" w:type="dxa"/>
            </w:tcMar>
            <w:vAlign w:val="center"/>
          </w:tcPr>
          <w:p w14:paraId="44557984">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c>
          <w:tcPr>
            <w:tcW w:w="3854" w:type="dxa"/>
            <w:tcBorders>
              <w:top w:val="single" w:color="000000" w:sz="8" w:space="0"/>
              <w:left w:val="single" w:color="000000" w:sz="8" w:space="0"/>
              <w:bottom w:val="single" w:color="000000" w:sz="12" w:space="0"/>
              <w:right w:val="single" w:color="000000" w:sz="12" w:space="0"/>
            </w:tcBorders>
            <w:noWrap w:val="0"/>
            <w:tcMar>
              <w:top w:w="0" w:type="dxa"/>
              <w:left w:w="28" w:type="dxa"/>
              <w:bottom w:w="0" w:type="dxa"/>
              <w:right w:w="28" w:type="dxa"/>
            </w:tcMar>
            <w:vAlign w:val="center"/>
          </w:tcPr>
          <w:p w14:paraId="5CBA95C8">
            <w:pPr>
              <w:pBdr>
                <w:top w:val="none" w:color="000000" w:sz="0" w:space="0"/>
                <w:left w:val="none" w:color="000000" w:sz="0" w:space="0"/>
                <w:bottom w:val="none" w:color="000000" w:sz="0" w:space="0"/>
                <w:right w:val="none" w:color="000000" w:sz="0" w:space="0"/>
              </w:pBdr>
              <w:tabs>
                <w:tab w:val="left" w:pos="993"/>
                <w:tab w:val="left" w:pos="1134"/>
              </w:tabs>
              <w:snapToGrid w:val="0"/>
              <w:spacing w:before="200" w:after="200"/>
              <w:ind w:left="0" w:leftChars="0" w:right="0" w:rightChars="0" w:firstLine="0" w:firstLineChars="0"/>
              <w:jc w:val="center"/>
              <w:rPr>
                <w:rFonts w:ascii="仿宋" w:eastAsia="仿宋"/>
                <w:sz w:val="24"/>
              </w:rPr>
            </w:pPr>
            <w:r>
              <w:rPr>
                <w:rFonts w:ascii="仿宋" w:hAnsi="仿宋" w:eastAsia="仿宋" w:cs="仿宋"/>
                <w:sz w:val="24"/>
              </w:rPr>
              <w:t> </w:t>
            </w:r>
          </w:p>
        </w:tc>
      </w:tr>
    </w:tbl>
    <w:p w14:paraId="083E7AB1">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rPr>
        <w:t> </w:t>
      </w:r>
      <w:r>
        <w:rPr>
          <w:rFonts w:hint="eastAsia" w:ascii="仿宋" w:hAnsi="仿宋" w:eastAsia="仿宋" w:cs="仿宋"/>
        </w:rPr>
        <w:t>附件3：廉政协议书</w:t>
      </w:r>
    </w:p>
    <w:p w14:paraId="1BF24488">
      <w:pPr>
        <w:pBdr>
          <w:top w:val="none" w:color="000000" w:sz="0" w:space="0"/>
          <w:left w:val="none" w:color="000000" w:sz="0" w:space="0"/>
          <w:bottom w:val="none" w:color="000000" w:sz="0" w:space="0"/>
          <w:right w:val="none" w:color="000000" w:sz="0" w:space="0"/>
        </w:pBdr>
        <w:spacing w:line="439" w:lineRule="atLeast"/>
        <w:jc w:val="center"/>
        <w:rPr>
          <w:rFonts w:hint="eastAsia" w:ascii="仿宋" w:hAnsi="仿宋" w:eastAsia="仿宋" w:cs="仿宋"/>
        </w:rPr>
      </w:pPr>
      <w:r>
        <w:rPr>
          <w:rFonts w:hint="eastAsia" w:ascii="仿宋" w:hAnsi="仿宋" w:eastAsia="仿宋" w:cs="仿宋"/>
          <w:b/>
        </w:rPr>
        <w:t>廉政协议书</w:t>
      </w:r>
    </w:p>
    <w:p w14:paraId="35877183">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为了确保</w:t>
      </w:r>
      <w:r>
        <w:rPr>
          <w:rFonts w:hint="eastAsia" w:ascii="仿宋" w:hAnsi="仿宋" w:eastAsia="仿宋" w:cs="仿宋"/>
          <w:u w:val="none"/>
        </w:rPr>
        <w:t> </w:t>
      </w:r>
      <w:r>
        <w:rPr>
          <w:rFonts w:hint="eastAsia" w:ascii="仿宋" w:hAnsi="仿宋" w:eastAsia="仿宋" w:cs="仿宋"/>
          <w:u w:val="single"/>
        </w:rPr>
        <w:t>2025年南京市小行小学校舍维修改造项目工程施工</w:t>
      </w:r>
      <w:r>
        <w:rPr>
          <w:rFonts w:hint="eastAsia" w:ascii="仿宋" w:hAnsi="仿宋" w:eastAsia="仿宋" w:cs="仿宋"/>
        </w:rPr>
        <w:t>工程顺利进行，防止各种腐败的发生，根据国家和江苏省、南京市有关建设工程廉政建设的规定，特订立本协议如下：</w:t>
      </w:r>
    </w:p>
    <w:p w14:paraId="76B84F4D">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一、双方应当自觉遵守国家和江苏省、南京市有关建设工程廉政建设的规定。</w:t>
      </w:r>
    </w:p>
    <w:p w14:paraId="1D943FE9">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二、发包人方面（包括建设单位及项目管理单位）：</w:t>
      </w:r>
    </w:p>
    <w:p w14:paraId="66E47069">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1、发包人及其工作人员不得以任何形式向承包人索要和收受回扣等好处。</w:t>
      </w:r>
    </w:p>
    <w:p w14:paraId="2FE004B3">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2、发包人工作人员应当保持与承包人的正常业务交往，不得接受承包人的礼金、有价证券和贵重物品，不得在承包人报销任何应由个人支付的费用。</w:t>
      </w:r>
    </w:p>
    <w:p w14:paraId="0207F44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3、发包人工作人员不得参加可能对公正执行公务有影响的宴请和娱乐活动。</w:t>
      </w:r>
    </w:p>
    <w:p w14:paraId="40B2BD27">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4、发包人工作人员不得要求或者接受承包人为其住房装修、婚丧嫁娶、家属和子女的工作安排、旅游以及出国等提供方便。</w:t>
      </w:r>
    </w:p>
    <w:p w14:paraId="106381C8">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5、发包人工作人员不得向承包人介绍家属或者亲友从事与发包人工程有关的经济活动。</w:t>
      </w:r>
    </w:p>
    <w:p w14:paraId="532BFDE4">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三、承包人方面：</w:t>
      </w:r>
    </w:p>
    <w:p w14:paraId="07AA7C67">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1、承包人应通过正常途径开展相应业务工作，不得向发包人工作人员赠送礼金、有价证券和贵重物品等。</w:t>
      </w:r>
    </w:p>
    <w:p w14:paraId="30AB857B">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2、承包人不得为谋取私利擅自与发包人工作人员就工程承包、工程费用、材料设备供应、工程量变动、工程验收、工程质量问题处理等进行私下商谈或者达成默契。</w:t>
      </w:r>
    </w:p>
    <w:p w14:paraId="69EB1494">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3、承包人不得以任何理由、邀请发包人工作人员外出旅游和进入营业性高档娱乐场所。</w:t>
      </w:r>
    </w:p>
    <w:p w14:paraId="222B2E8B">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4、承包人不得为发包人工作人员购置或者提供通讯工具、交通工具、家电、高档办公用品等物品。</w:t>
      </w:r>
    </w:p>
    <w:p w14:paraId="7106683D">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5、承包人如发现发包人工作人员有违反上述协议者，应向发包人领导或者发包人上级单位举报，发包人不得找任何借口对承包人进行报复，发包人对举报属实和严格遵守廉洁协议的承包人，在同等条件下给予承接后续工程的优先投标权。</w:t>
      </w:r>
    </w:p>
    <w:p w14:paraId="08C4754F">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四、发包人发现承包人有违反本协或者采用任何手段行贿发包人工作人员，发包人根据具体情节和造成的后果追究承包人工程合同造价1%-5%的违约金, 由此给发包人单位造成的损失均由承包人承担。</w:t>
      </w:r>
    </w:p>
    <w:p w14:paraId="3DD2B08C">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发包人（公章或合同专用章）：承包人（公章或合同专用章）：代建人（公章或合同专用章）：</w:t>
      </w:r>
    </w:p>
    <w:p w14:paraId="2829C86A">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法定代表人：法定代表人：法定代表人：</w:t>
      </w:r>
    </w:p>
    <w:p w14:paraId="6948B24C">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日期：年月日</w:t>
      </w:r>
    </w:p>
    <w:p w14:paraId="460000C8">
      <w:pPr>
        <w:pBdr>
          <w:top w:val="none" w:color="000000" w:sz="0" w:space="0"/>
          <w:left w:val="none" w:color="000000" w:sz="0" w:space="0"/>
          <w:bottom w:val="none" w:color="000000" w:sz="0" w:space="0"/>
          <w:right w:val="none" w:color="000000" w:sz="0" w:space="0"/>
        </w:pBdr>
      </w:pPr>
      <w:r>
        <w:rPr/>
        <w:br w:type="page" w:clear="all"/>
      </w:r>
    </w:p>
    <w:p w14:paraId="32752CC2">
      <w:pPr>
        <w:pBdr>
          <w:top w:val="none" w:color="000000" w:sz="0" w:space="0"/>
          <w:left w:val="none" w:color="000000" w:sz="0" w:space="0"/>
          <w:bottom w:val="none" w:color="000000" w:sz="0" w:space="0"/>
          <w:right w:val="none" w:color="000000" w:sz="0" w:space="0"/>
        </w:pBdr>
        <w:spacing w:before="120" w:after="120" w:line="85" w:lineRule="atLeast"/>
        <w:rPr>
          <w:rFonts w:hint="eastAsia" w:ascii="仿宋" w:hAnsi="仿宋" w:eastAsia="仿宋" w:cs="仿宋"/>
        </w:rPr>
      </w:pPr>
      <w:r>
        <w:rPr>
          <w:rFonts w:hint="eastAsia" w:ascii="仿宋" w:hAnsi="仿宋" w:eastAsia="仿宋" w:cs="仿宋"/>
          <w:sz w:val="24"/>
        </w:rPr>
        <w:t>附件4：工程结算承诺书</w:t>
      </w:r>
    </w:p>
    <w:p w14:paraId="34C39CCF">
      <w:pPr>
        <w:pBdr>
          <w:top w:val="none" w:color="000000" w:sz="0" w:space="0"/>
          <w:left w:val="none" w:color="000000" w:sz="0" w:space="0"/>
          <w:bottom w:val="none" w:color="000000" w:sz="0" w:space="0"/>
          <w:right w:val="none" w:color="000000" w:sz="0" w:space="0"/>
        </w:pBdr>
        <w:spacing w:line="439" w:lineRule="atLeast"/>
        <w:jc w:val="center"/>
        <w:rPr>
          <w:rFonts w:hint="eastAsia" w:ascii="仿宋" w:hAnsi="仿宋" w:eastAsia="仿宋" w:cs="仿宋"/>
        </w:rPr>
      </w:pPr>
      <w:r>
        <w:rPr>
          <w:rFonts w:hint="eastAsia" w:ascii="仿宋" w:hAnsi="仿宋" w:eastAsia="仿宋" w:cs="仿宋"/>
          <w:b/>
        </w:rPr>
        <w:t>工程结算承诺书</w:t>
      </w:r>
    </w:p>
    <w:p w14:paraId="5D66F33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致</w:t>
      </w:r>
      <w:r>
        <w:rPr>
          <w:rFonts w:hint="eastAsia" w:ascii="仿宋" w:hAnsi="仿宋" w:eastAsia="仿宋" w:cs="仿宋"/>
          <w:u w:val="single"/>
        </w:rPr>
        <w:t>南京市小行小学（发包人）</w:t>
      </w:r>
      <w:r>
        <w:rPr>
          <w:rFonts w:hint="eastAsia" w:ascii="仿宋" w:hAnsi="仿宋" w:eastAsia="仿宋" w:cs="仿宋"/>
        </w:rPr>
        <w:t>：</w:t>
      </w:r>
    </w:p>
    <w:p w14:paraId="1BCD2A31">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由我单位承建的</w:t>
      </w:r>
      <w:r>
        <w:rPr>
          <w:rFonts w:hint="eastAsia" w:ascii="仿宋" w:hAnsi="仿宋" w:eastAsia="仿宋" w:cs="仿宋"/>
          <w:u w:val="single"/>
        </w:rPr>
        <w:t>2025年南京市小行小学校舍维修改造项目工程施工</w:t>
      </w:r>
      <w:r>
        <w:rPr>
          <w:rFonts w:hint="eastAsia" w:ascii="仿宋" w:hAnsi="仿宋" w:eastAsia="仿宋" w:cs="仿宋"/>
        </w:rPr>
        <w:t>竣工结算现送达贵单位进行审计，本着实事求是的原则现郑重作出如下承诺:</w:t>
      </w:r>
    </w:p>
    <w:p w14:paraId="2AC26425">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一、我单位提供的送审资料是真实、合法、完整、准确的。</w:t>
      </w:r>
    </w:p>
    <w:p w14:paraId="075A8814">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二、我单位承诺以发包人审计的价格为最终审计价。</w:t>
      </w:r>
    </w:p>
    <w:p w14:paraId="54950BA3">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三、若上述工程项目审计核减率为5%及以上的，工程全部审计费用由我单位全额承担。</w:t>
      </w:r>
    </w:p>
    <w:p w14:paraId="44DA7318">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22484170">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142A7431">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承诺单位（公章）：</w:t>
      </w:r>
    </w:p>
    <w:p w14:paraId="58D11777">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法定代表人（签字或盖章）：</w:t>
      </w:r>
    </w:p>
    <w:p w14:paraId="39D7D89E">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日期：年月日</w:t>
      </w:r>
    </w:p>
    <w:p w14:paraId="0F62434F">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5578A07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59EEF2E6">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28DC75B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6594625">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146072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33E227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D03FAAC">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C24D84B">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342A870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2A8F8940">
      <w:pPr>
        <w:pBdr>
          <w:top w:val="none" w:color="000000" w:sz="0" w:space="0"/>
          <w:left w:val="none" w:color="000000" w:sz="0" w:space="0"/>
          <w:bottom w:val="none" w:color="000000" w:sz="0" w:space="0"/>
          <w:right w:val="none" w:color="000000" w:sz="0" w:space="0"/>
        </w:pBdr>
      </w:pPr>
      <w:r>
        <w:rPr/>
        <w:br w:type="page" w:clear="all"/>
      </w:r>
    </w:p>
    <w:p w14:paraId="0075D978">
      <w:pPr>
        <w:pBdr>
          <w:top w:val="none" w:color="000000" w:sz="0" w:space="0"/>
          <w:left w:val="none" w:color="000000" w:sz="0" w:space="0"/>
          <w:bottom w:val="none" w:color="000000" w:sz="0" w:space="0"/>
          <w:right w:val="none" w:color="000000" w:sz="0" w:space="0"/>
        </w:pBdr>
        <w:spacing w:before="120" w:after="120" w:line="85" w:lineRule="atLeast"/>
      </w:pPr>
      <w:r>
        <w:rPr>
          <w:rFonts w:ascii="仿宋" w:hAnsi="仿宋" w:eastAsia="仿宋" w:cs="仿宋"/>
          <w:sz w:val="24"/>
        </w:rPr>
        <w:t>附件5：安全生产责任承诺书</w:t>
      </w:r>
    </w:p>
    <w:p w14:paraId="4537AF85">
      <w:pPr>
        <w:pBdr>
          <w:top w:val="none" w:color="000000" w:sz="0" w:space="0"/>
          <w:left w:val="none" w:color="000000" w:sz="0" w:space="0"/>
          <w:bottom w:val="none" w:color="000000" w:sz="0" w:space="0"/>
          <w:right w:val="none" w:color="000000" w:sz="0" w:space="0"/>
        </w:pBdr>
        <w:spacing w:line="439" w:lineRule="atLeast"/>
        <w:jc w:val="center"/>
      </w:pPr>
      <w:r>
        <w:rPr>
          <w:rFonts w:ascii="仿宋" w:hAnsi="仿宋" w:eastAsia="仿宋" w:cs="仿宋"/>
          <w:b/>
        </w:rPr>
        <w:t>安全生产责任承诺书</w:t>
      </w:r>
    </w:p>
    <w:p w14:paraId="4A3F6218">
      <w:pPr>
        <w:pBdr>
          <w:top w:val="none" w:color="000000" w:sz="0" w:space="0"/>
          <w:left w:val="none" w:color="000000" w:sz="0" w:space="0"/>
          <w:bottom w:val="none" w:color="000000" w:sz="0" w:space="0"/>
          <w:right w:val="none" w:color="000000" w:sz="0" w:space="0"/>
        </w:pBdr>
        <w:spacing w:line="439" w:lineRule="atLeast"/>
        <w:rPr>
          <w:rFonts w:ascii="仿宋" w:hAnsi="仿宋" w:eastAsia="仿宋" w:cs="仿宋"/>
        </w:rPr>
      </w:pPr>
      <w:r>
        <w:rPr>
          <w:rFonts w:ascii="仿宋" w:hAnsi="仿宋" w:eastAsia="仿宋" w:cs="仿宋"/>
        </w:rPr>
        <w:t>致</w:t>
      </w:r>
      <w:r>
        <w:rPr>
          <w:rFonts w:ascii="仿宋" w:hAnsi="仿宋" w:eastAsia="仿宋" w:cs="仿宋"/>
          <w:u w:val="single"/>
        </w:rPr>
        <w:t>南京市小行小学（发包人）</w:t>
      </w:r>
      <w:r>
        <w:rPr>
          <w:rFonts w:ascii="仿宋" w:hAnsi="仿宋" w:eastAsia="仿宋" w:cs="仿宋"/>
        </w:rPr>
        <w:t>：</w:t>
      </w:r>
    </w:p>
    <w:p w14:paraId="6638224C">
      <w:pPr>
        <w:pBdr>
          <w:top w:val="none" w:color="000000" w:sz="0" w:space="0"/>
          <w:left w:val="none" w:color="000000" w:sz="0" w:space="0"/>
          <w:bottom w:val="none" w:color="000000" w:sz="0" w:space="0"/>
          <w:right w:val="none" w:color="000000" w:sz="0" w:space="0"/>
        </w:pBdr>
        <w:spacing w:line="439" w:lineRule="atLeast"/>
        <w:ind w:firstLine="480" w:firstLineChars="200"/>
      </w:pPr>
      <w:r>
        <w:rPr>
          <w:rFonts w:ascii="仿宋" w:hAnsi="仿宋" w:eastAsia="仿宋" w:cs="仿宋"/>
          <w:sz w:val="24"/>
        </w:rPr>
        <w:t>我公司现向贵公司承诺，我公司在工程实施过程中，严格遵守《中华人民共和国安全生产法》（2021年6月修订版）的相关要求，依法履行安全生产方面的义务。保证不发生重大人员伤亡事故，在此工程施工过程中所发生的一切工伤事故，或安全事故，均由我公司承担一切责任。</w:t>
      </w:r>
    </w:p>
    <w:p w14:paraId="37268C5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96A7705">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承诺单位（公章）：</w:t>
      </w:r>
    </w:p>
    <w:p w14:paraId="01D1F6A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54EF6A60">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法定代表人（签字或盖章）：</w:t>
      </w:r>
    </w:p>
    <w:p w14:paraId="1839D4C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282506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项目经理（签字或盖章）：</w:t>
      </w:r>
    </w:p>
    <w:p w14:paraId="37E93A0F">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5B25D4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日期：年月日</w:t>
      </w:r>
    </w:p>
    <w:p w14:paraId="720A1F3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58C0419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2321BB4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6A98A444">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7EE3B9CC">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26A57CE">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58FBE2B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23A5995E">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7D1691F8">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25879717">
      <w:pPr>
        <w:pBdr>
          <w:top w:val="none" w:color="000000" w:sz="0" w:space="0"/>
          <w:left w:val="none" w:color="000000" w:sz="0" w:space="0"/>
          <w:bottom w:val="none" w:color="000000" w:sz="0" w:space="0"/>
          <w:right w:val="none" w:color="000000" w:sz="0" w:space="0"/>
        </w:pBdr>
      </w:pPr>
      <w:r>
        <w:rPr/>
        <w:br w:type="page" w:clear="all"/>
      </w:r>
    </w:p>
    <w:p w14:paraId="07EA3D6A">
      <w:pPr>
        <w:pBdr>
          <w:top w:val="none" w:color="000000" w:sz="0" w:space="0"/>
          <w:left w:val="none" w:color="000000" w:sz="0" w:space="0"/>
          <w:bottom w:val="none" w:color="000000" w:sz="0" w:space="0"/>
          <w:right w:val="none" w:color="000000" w:sz="0" w:space="0"/>
        </w:pBdr>
        <w:spacing w:before="120" w:after="120" w:line="85" w:lineRule="atLeast"/>
        <w:rPr>
          <w:rFonts w:hint="eastAsia" w:ascii="仿宋" w:hAnsi="仿宋" w:eastAsia="仿宋" w:cs="仿宋"/>
        </w:rPr>
      </w:pPr>
      <w:r>
        <w:rPr>
          <w:rFonts w:hint="eastAsia" w:ascii="仿宋" w:hAnsi="仿宋" w:eastAsia="仿宋" w:cs="仿宋"/>
          <w:sz w:val="24"/>
        </w:rPr>
        <w:t>附件6：不拖欠民工工资承诺书</w:t>
      </w:r>
    </w:p>
    <w:p w14:paraId="6C3EA4FC">
      <w:pPr>
        <w:pBdr>
          <w:top w:val="none" w:color="000000" w:sz="0" w:space="0"/>
          <w:left w:val="none" w:color="000000" w:sz="0" w:space="0"/>
          <w:bottom w:val="none" w:color="000000" w:sz="0" w:space="0"/>
          <w:right w:val="none" w:color="000000" w:sz="0" w:space="0"/>
        </w:pBdr>
        <w:spacing w:line="439" w:lineRule="atLeast"/>
        <w:jc w:val="center"/>
        <w:rPr>
          <w:rFonts w:hint="eastAsia" w:ascii="仿宋" w:hAnsi="仿宋" w:eastAsia="仿宋" w:cs="仿宋"/>
        </w:rPr>
      </w:pPr>
      <w:r>
        <w:rPr>
          <w:rFonts w:hint="eastAsia" w:ascii="仿宋" w:hAnsi="仿宋" w:eastAsia="仿宋" w:cs="仿宋"/>
          <w:b/>
        </w:rPr>
        <w:t>不拖欠民工工资承诺书</w:t>
      </w:r>
    </w:p>
    <w:p w14:paraId="713B16E5">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致</w:t>
      </w:r>
      <w:r>
        <w:rPr>
          <w:rFonts w:hint="eastAsia" w:ascii="仿宋" w:hAnsi="仿宋" w:eastAsia="仿宋" w:cs="仿宋"/>
          <w:u w:val="single"/>
        </w:rPr>
        <w:t>南京市小行小学（发包人）</w:t>
      </w:r>
      <w:r>
        <w:rPr>
          <w:rFonts w:hint="eastAsia" w:ascii="仿宋" w:hAnsi="仿宋" w:eastAsia="仿宋" w:cs="仿宋"/>
        </w:rPr>
        <w:t>：</w:t>
      </w:r>
    </w:p>
    <w:p w14:paraId="2E00E9C4">
      <w:pPr>
        <w:pBdr>
          <w:top w:val="none" w:color="000000" w:sz="0" w:space="0"/>
          <w:left w:val="none" w:color="000000" w:sz="0" w:space="0"/>
          <w:bottom w:val="none" w:color="000000" w:sz="0" w:space="0"/>
          <w:right w:val="none" w:color="000000" w:sz="0" w:space="0"/>
        </w:pBdr>
        <w:spacing w:line="439" w:lineRule="atLeast"/>
        <w:ind w:firstLine="420" w:firstLineChars="200"/>
        <w:rPr>
          <w:rFonts w:hint="eastAsia" w:ascii="仿宋" w:hAnsi="仿宋" w:eastAsia="仿宋" w:cs="仿宋"/>
        </w:rPr>
      </w:pPr>
      <w:r>
        <w:rPr>
          <w:rFonts w:hint="eastAsia" w:ascii="仿宋" w:hAnsi="仿宋" w:eastAsia="仿宋" w:cs="仿宋"/>
        </w:rPr>
        <w:t>如我公司中标，在</w:t>
      </w:r>
      <w:r>
        <w:rPr>
          <w:rFonts w:hint="eastAsia" w:ascii="仿宋" w:hAnsi="仿宋" w:eastAsia="仿宋" w:cs="仿宋"/>
          <w:u w:val="none"/>
        </w:rPr>
        <w:t> </w:t>
      </w:r>
      <w:r>
        <w:rPr>
          <w:rFonts w:hint="eastAsia" w:ascii="仿宋" w:hAnsi="仿宋" w:eastAsia="仿宋" w:cs="仿宋"/>
          <w:u w:val="single"/>
        </w:rPr>
        <w:t xml:space="preserve">2025年南京市小行小学校舍维修改造项目工程施工 </w:t>
      </w:r>
      <w:r>
        <w:rPr>
          <w:rFonts w:hint="eastAsia" w:ascii="仿宋" w:hAnsi="仿宋" w:eastAsia="仿宋" w:cs="仿宋"/>
        </w:rPr>
        <w:t>实施期间及竣工验收后，按照有关规定开设农民工工资专用账户，专项用于支付本工程农民工工资。农民工工资拨付周期不超过1个月。如有违反，将承担由此发生的和可能带来的一切后果和费用。</w:t>
      </w:r>
    </w:p>
    <w:p w14:paraId="5811523D">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特此承诺！</w:t>
      </w:r>
    </w:p>
    <w:p w14:paraId="26778B7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69D09A0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2842CB0E">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承诺单位（公章）：</w:t>
      </w:r>
    </w:p>
    <w:p w14:paraId="20153D1B">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368F13DA">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法定代表人（签字或盖章）：</w:t>
      </w:r>
    </w:p>
    <w:p w14:paraId="30D86A7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38D8CE0D">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日期：年月日</w:t>
      </w:r>
    </w:p>
    <w:p w14:paraId="5F68F5F4">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4E93B56F">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5146A08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A57FAF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25CC92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7658FA1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38495049">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C3DE3D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51FA92E8">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3FE042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EA508CB">
      <w:pPr>
        <w:pBdr>
          <w:top w:val="none" w:color="000000" w:sz="0" w:space="0"/>
          <w:left w:val="none" w:color="000000" w:sz="0" w:space="0"/>
          <w:bottom w:val="none" w:color="000000" w:sz="0" w:space="0"/>
          <w:right w:val="none" w:color="000000" w:sz="0" w:space="0"/>
        </w:pBdr>
      </w:pPr>
      <w:r>
        <w:rPr/>
        <w:br w:type="page" w:clear="all"/>
      </w:r>
    </w:p>
    <w:p w14:paraId="0F9B93E3">
      <w:pPr>
        <w:pBdr>
          <w:top w:val="none" w:color="000000" w:sz="0" w:space="0"/>
          <w:left w:val="none" w:color="000000" w:sz="0" w:space="0"/>
          <w:bottom w:val="none" w:color="000000" w:sz="0" w:space="0"/>
          <w:right w:val="none" w:color="000000" w:sz="0" w:space="0"/>
        </w:pBdr>
        <w:spacing w:before="120" w:after="120" w:line="85" w:lineRule="atLeast"/>
      </w:pPr>
      <w:r>
        <w:rPr>
          <w:rFonts w:ascii="仿宋" w:hAnsi="仿宋" w:eastAsia="仿宋" w:cs="仿宋"/>
          <w:sz w:val="24"/>
        </w:rPr>
        <w:t>附件7：工期承诺书</w:t>
      </w:r>
    </w:p>
    <w:p w14:paraId="2A65AE03">
      <w:pPr>
        <w:pBdr>
          <w:top w:val="none" w:color="000000" w:sz="0" w:space="0"/>
          <w:left w:val="none" w:color="000000" w:sz="0" w:space="0"/>
          <w:bottom w:val="none" w:color="000000" w:sz="0" w:space="0"/>
          <w:right w:val="none" w:color="000000" w:sz="0" w:space="0"/>
        </w:pBdr>
        <w:spacing w:line="439" w:lineRule="atLeast"/>
        <w:jc w:val="center"/>
      </w:pPr>
      <w:r>
        <w:rPr>
          <w:rFonts w:ascii="仿宋" w:hAnsi="仿宋" w:eastAsia="仿宋" w:cs="仿宋"/>
          <w:b/>
        </w:rPr>
        <w:t>工期承诺书</w:t>
      </w:r>
    </w:p>
    <w:p w14:paraId="5396DB59">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5A645A88">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致</w:t>
      </w:r>
      <w:r>
        <w:rPr>
          <w:rFonts w:ascii="仿宋" w:hAnsi="仿宋" w:eastAsia="仿宋" w:cs="仿宋"/>
          <w:u w:val="single"/>
        </w:rPr>
        <w:t>南京市小行小学（发包人）</w:t>
      </w:r>
      <w:r>
        <w:rPr>
          <w:rFonts w:ascii="仿宋" w:hAnsi="仿宋" w:eastAsia="仿宋" w:cs="仿宋"/>
        </w:rPr>
        <w:t>：</w:t>
      </w:r>
    </w:p>
    <w:p w14:paraId="596ED0E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如我公司中标，在该项目实施过程中，我们除响应竞争性磋商响应文件中所有的条款及履约合同内容外，并对工程工期达到要求做如下承诺：</w:t>
      </w:r>
    </w:p>
    <w:p w14:paraId="682AA909">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1、保证严格按图纸、相关规范施工。</w:t>
      </w:r>
    </w:p>
    <w:p w14:paraId="236B9B4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2、保证在</w:t>
      </w:r>
      <w:r>
        <w:rPr>
          <w:rFonts w:hint="eastAsia" w:ascii="仿宋" w:hAnsi="仿宋" w:eastAsia="仿宋" w:cs="仿宋"/>
          <w:u w:val="single"/>
          <w:lang w:val="en-US" w:eastAsia="zh-CN"/>
        </w:rPr>
        <w:t>50</w:t>
      </w:r>
      <w:r>
        <w:rPr>
          <w:rFonts w:ascii="仿宋" w:hAnsi="仿宋" w:eastAsia="仿宋" w:cs="仿宋"/>
        </w:rPr>
        <w:t>日历天工期内，安全、保质、高效的完成此次施工任务。</w:t>
      </w:r>
    </w:p>
    <w:p w14:paraId="77E1287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769D08E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A5904DB">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47D90A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承诺单位（公章）：</w:t>
      </w:r>
    </w:p>
    <w:p w14:paraId="0E8A495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27CDF12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法定代表人（签字或盖章）：</w:t>
      </w:r>
    </w:p>
    <w:p w14:paraId="15E8374E">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3B3B2FE5">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日期：年月日</w:t>
      </w:r>
    </w:p>
    <w:p w14:paraId="714C39B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916344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690D9DC">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6AEAFC9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70C22109">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2E64F9BF">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991067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54F7350">
      <w:pPr>
        <w:pBdr>
          <w:top w:val="none" w:color="000000" w:sz="0" w:space="0"/>
          <w:left w:val="none" w:color="000000" w:sz="0" w:space="0"/>
          <w:bottom w:val="none" w:color="000000" w:sz="0" w:space="0"/>
          <w:right w:val="none" w:color="000000" w:sz="0" w:space="0"/>
        </w:pBdr>
      </w:pPr>
      <w:r>
        <w:rPr/>
        <w:br w:type="page" w:clear="all"/>
      </w:r>
    </w:p>
    <w:p w14:paraId="61C7B1D9">
      <w:pPr>
        <w:pBdr>
          <w:top w:val="none" w:color="000000" w:sz="0" w:space="0"/>
          <w:left w:val="none" w:color="000000" w:sz="0" w:space="0"/>
          <w:bottom w:val="none" w:color="000000" w:sz="0" w:space="0"/>
          <w:right w:val="none" w:color="000000" w:sz="0" w:space="0"/>
        </w:pBdr>
        <w:spacing w:before="120" w:after="120" w:line="85" w:lineRule="atLeast"/>
        <w:rPr>
          <w:rFonts w:hint="eastAsia" w:ascii="仿宋" w:hAnsi="仿宋" w:eastAsia="仿宋" w:cs="仿宋"/>
        </w:rPr>
      </w:pPr>
      <w:r>
        <w:rPr>
          <w:rFonts w:hint="eastAsia" w:ascii="仿宋" w:hAnsi="仿宋" w:eastAsia="仿宋" w:cs="仿宋"/>
          <w:sz w:val="24"/>
        </w:rPr>
        <w:t>附件8：项目经理承诺书</w:t>
      </w:r>
    </w:p>
    <w:p w14:paraId="36E5904A">
      <w:pPr>
        <w:pBdr>
          <w:top w:val="none" w:color="000000" w:sz="0" w:space="0"/>
          <w:left w:val="none" w:color="000000" w:sz="0" w:space="0"/>
          <w:bottom w:val="none" w:color="000000" w:sz="0" w:space="0"/>
          <w:right w:val="none" w:color="000000" w:sz="0" w:space="0"/>
        </w:pBdr>
        <w:spacing w:line="439" w:lineRule="atLeast"/>
        <w:jc w:val="center"/>
        <w:rPr>
          <w:rFonts w:hint="eastAsia" w:ascii="仿宋" w:hAnsi="仿宋" w:eastAsia="仿宋" w:cs="仿宋"/>
        </w:rPr>
      </w:pPr>
      <w:r>
        <w:rPr>
          <w:rFonts w:hint="eastAsia" w:ascii="仿宋" w:hAnsi="仿宋" w:eastAsia="仿宋" w:cs="仿宋"/>
          <w:b/>
        </w:rPr>
        <w:t>项目经理承诺书</w:t>
      </w:r>
    </w:p>
    <w:p w14:paraId="040ABD1C">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致</w:t>
      </w:r>
      <w:r>
        <w:rPr>
          <w:rFonts w:hint="eastAsia" w:ascii="仿宋" w:hAnsi="仿宋" w:eastAsia="仿宋" w:cs="仿宋"/>
          <w:u w:val="single"/>
        </w:rPr>
        <w:t>南京市小行小学（发包人）</w:t>
      </w:r>
      <w:r>
        <w:rPr>
          <w:rFonts w:hint="eastAsia" w:ascii="仿宋" w:hAnsi="仿宋" w:eastAsia="仿宋" w:cs="仿宋"/>
        </w:rPr>
        <w:t>：</w:t>
      </w:r>
    </w:p>
    <w:p w14:paraId="0E790B69">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关于</w:t>
      </w:r>
      <w:r>
        <w:rPr>
          <w:rFonts w:hint="eastAsia" w:ascii="仿宋" w:hAnsi="仿宋" w:eastAsia="仿宋" w:cs="仿宋"/>
          <w:u w:val="single"/>
        </w:rPr>
        <w:t> 2025年南京市小行小学校舍维修改造项目工程施工</w:t>
      </w:r>
      <w:r>
        <w:rPr>
          <w:rFonts w:hint="eastAsia" w:ascii="仿宋" w:hAnsi="仿宋" w:eastAsia="仿宋" w:cs="仿宋"/>
        </w:rPr>
        <w:t>，一旦我方中标，我方项目经理及所报的项目管理组成员承诺在现场每周不少于6日，每日不少于8小时。并且，在本项目施工合同期间，除发包人要求外，我方不擅自更换项目经理。如若违反本承诺，愿接受发包人的处罚。</w:t>
      </w:r>
    </w:p>
    <w:p w14:paraId="5D0ACE9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1E369E82">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557E07AB">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承诺单位（公章）：</w:t>
      </w:r>
    </w:p>
    <w:p w14:paraId="5B603407">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法定代表人（签字或盖章）：</w:t>
      </w:r>
    </w:p>
    <w:p w14:paraId="70D1E009">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项目经理（签字或盖章）：</w:t>
      </w:r>
    </w:p>
    <w:p w14:paraId="3BB131DE">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日期：年月日</w:t>
      </w:r>
    </w:p>
    <w:p w14:paraId="12289106">
      <w:pPr>
        <w:pBdr>
          <w:top w:val="none" w:color="000000" w:sz="0" w:space="0"/>
          <w:left w:val="none" w:color="000000" w:sz="0" w:space="0"/>
          <w:bottom w:val="none" w:color="000000" w:sz="0" w:space="0"/>
          <w:right w:val="none" w:color="000000" w:sz="0" w:space="0"/>
        </w:pBdr>
        <w:spacing w:line="439" w:lineRule="atLeast"/>
        <w:rPr>
          <w:rFonts w:hint="eastAsia" w:ascii="仿宋" w:hAnsi="仿宋" w:eastAsia="仿宋" w:cs="仿宋"/>
        </w:rPr>
      </w:pPr>
      <w:r>
        <w:rPr>
          <w:rFonts w:hint="eastAsia" w:ascii="仿宋" w:hAnsi="仿宋" w:eastAsia="仿宋" w:cs="仿宋"/>
        </w:rPr>
        <w:t> </w:t>
      </w:r>
    </w:p>
    <w:p w14:paraId="551F6AD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FA6B07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5BE918F6">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77B0F2E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32F3DE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DC1F719">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83EB7E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598B357">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551AD7D">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7F6477F5">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19DDBA3C">
      <w:pPr>
        <w:pBdr>
          <w:top w:val="none" w:color="000000" w:sz="0" w:space="0"/>
          <w:left w:val="none" w:color="000000" w:sz="0" w:space="0"/>
          <w:bottom w:val="none" w:color="000000" w:sz="0" w:space="0"/>
          <w:right w:val="none" w:color="000000" w:sz="0" w:space="0"/>
        </w:pBdr>
      </w:pPr>
      <w:r>
        <w:rPr/>
        <w:br w:type="page" w:clear="all"/>
      </w:r>
    </w:p>
    <w:p w14:paraId="7E838F4D">
      <w:pPr>
        <w:pBdr>
          <w:top w:val="none" w:color="000000" w:sz="0" w:space="0"/>
          <w:left w:val="none" w:color="000000" w:sz="0" w:space="0"/>
          <w:bottom w:val="none" w:color="000000" w:sz="0" w:space="0"/>
          <w:right w:val="none" w:color="000000" w:sz="0" w:space="0"/>
        </w:pBdr>
        <w:spacing w:before="120" w:after="120" w:line="85" w:lineRule="atLeast"/>
      </w:pPr>
      <w:r>
        <w:rPr>
          <w:rFonts w:ascii="仿宋" w:hAnsi="仿宋" w:eastAsia="仿宋" w:cs="仿宋"/>
          <w:sz w:val="24"/>
        </w:rPr>
        <w:t>附件9：消防安全生产责任书</w:t>
      </w:r>
    </w:p>
    <w:p w14:paraId="7C2A4333">
      <w:pPr>
        <w:pBdr>
          <w:top w:val="none" w:color="000000" w:sz="0" w:space="0"/>
          <w:left w:val="none" w:color="000000" w:sz="0" w:space="0"/>
          <w:bottom w:val="none" w:color="000000" w:sz="0" w:space="0"/>
          <w:right w:val="none" w:color="000000" w:sz="0" w:space="0"/>
        </w:pBdr>
        <w:spacing w:line="439" w:lineRule="atLeast"/>
        <w:jc w:val="center"/>
      </w:pPr>
      <w:r>
        <w:rPr>
          <w:rFonts w:ascii="仿宋" w:hAnsi="仿宋" w:eastAsia="仿宋" w:cs="仿宋"/>
          <w:b/>
        </w:rPr>
        <w:t>消防安全生产责任书</w:t>
      </w:r>
    </w:p>
    <w:p w14:paraId="3553D8A0">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为强化</w:t>
      </w:r>
      <w:r>
        <w:rPr>
          <w:rFonts w:ascii="仿宋" w:hAnsi="仿宋" w:eastAsia="仿宋" w:cs="仿宋"/>
          <w:u w:val="single"/>
        </w:rPr>
        <w:t> 2025年南京市小行小</w:t>
      </w:r>
      <w:r>
        <w:rPr>
          <w:rFonts w:hint="eastAsia" w:ascii="仿宋" w:hAnsi="仿宋" w:eastAsia="仿宋" w:cs="仿宋"/>
          <w:u w:val="single"/>
        </w:rPr>
        <w:t>学校舍维修改造项目工程施工</w:t>
      </w:r>
      <w:r>
        <w:rPr>
          <w:rFonts w:hint="eastAsia" w:ascii="仿宋" w:hAnsi="仿宋" w:eastAsia="仿宋" w:cs="仿宋"/>
        </w:rPr>
        <w:t>的消防安全管理，落实消防安全责任，有效强制工地火灾事故的发生，特与施工单位签订消防安全</w:t>
      </w:r>
      <w:r>
        <w:rPr>
          <w:rFonts w:ascii="仿宋" w:hAnsi="仿宋" w:eastAsia="仿宋" w:cs="仿宋"/>
        </w:rPr>
        <w:t>生产责任书，明确内容如下：</w:t>
      </w:r>
    </w:p>
    <w:p w14:paraId="5F44DB78">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一、承包人必须严格落实《中华人民共和国消防法》、《江苏省消防条例》、《南京市消防条例》等法律法规的规定要求，建立和健全企业内部各项消防安全生产规章制度，明确工地消防责任人，并逐级落实消防安全责任。</w:t>
      </w:r>
    </w:p>
    <w:p w14:paraId="2344DC12">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二、承包人每月要组织一次全面的消防安全检查。并根据工地现场实际情况，加强日常消防安全检查，发现问题及时上报，限期整改。</w:t>
      </w:r>
    </w:p>
    <w:p w14:paraId="3B61A05B">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三、根据消防安全职责，积极开展形式多样的消防安全宣传教育，认真开展“安全生产月”和“消防月”等专项活动，积极营造安全生产氛围，努力提高员工消防安全意识。</w:t>
      </w:r>
    </w:p>
    <w:p w14:paraId="1011F2B8">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四、施工期间承包人必须做好自身消防安全管理工作，必须遵守有关消防安全管理规定和用火、用电等各项防火安全制度。</w:t>
      </w:r>
    </w:p>
    <w:p w14:paraId="5E47E4E0">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五、发包人（或委托管理的物业单位）有权要求承包人整改有关消防安全隐患，承包人必须进行有利的整改。</w:t>
      </w:r>
    </w:p>
    <w:p w14:paraId="307DE381">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六、凡工地内发生火灾事故的，火灾事故造成的发包人经济损失以及发包人（或委托管理的物业单位）承担的给第三方造成的损失全部由承包人承担。</w:t>
      </w:r>
    </w:p>
    <w:p w14:paraId="1FD8EC7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七、承包人责任期间自其进场至承包人将项目全部移交给发包人或发包人指定的第三方止。</w:t>
      </w:r>
    </w:p>
    <w:p w14:paraId="0712B28F">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EA5A613">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发包人（盖章）：</w:t>
      </w:r>
      <w:r>
        <w:rPr>
          <w:rFonts w:hint="eastAsia" w:ascii="仿宋" w:hAnsi="仿宋" w:eastAsia="仿宋" w:cs="仿宋"/>
          <w:lang w:val="en-US" w:eastAsia="zh-CN"/>
        </w:rPr>
        <w:t xml:space="preserve">            </w:t>
      </w:r>
      <w:r>
        <w:rPr>
          <w:rFonts w:ascii="仿宋" w:hAnsi="仿宋" w:eastAsia="仿宋" w:cs="仿宋"/>
        </w:rPr>
        <w:t>承包人（盖章）：</w:t>
      </w:r>
      <w:r>
        <w:rPr>
          <w:rFonts w:hint="eastAsia" w:ascii="仿宋" w:hAnsi="仿宋" w:eastAsia="仿宋" w:cs="仿宋"/>
          <w:lang w:val="en-US" w:eastAsia="zh-CN"/>
        </w:rPr>
        <w:t xml:space="preserve">           </w:t>
      </w:r>
      <w:r>
        <w:rPr>
          <w:rFonts w:ascii="仿宋" w:hAnsi="仿宋" w:eastAsia="仿宋" w:cs="仿宋"/>
        </w:rPr>
        <w:t>代建人（盖章）：</w:t>
      </w:r>
    </w:p>
    <w:p w14:paraId="2734E444">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0A53F38A">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代表人：</w:t>
      </w:r>
      <w:r>
        <w:rPr>
          <w:rFonts w:hint="eastAsia" w:ascii="仿宋" w:hAnsi="仿宋" w:eastAsia="仿宋" w:cs="仿宋"/>
          <w:lang w:val="en-US" w:eastAsia="zh-CN"/>
        </w:rPr>
        <w:t xml:space="preserve">                   </w:t>
      </w:r>
      <w:r>
        <w:rPr>
          <w:rFonts w:ascii="仿宋" w:hAnsi="仿宋" w:eastAsia="仿宋" w:cs="仿宋"/>
        </w:rPr>
        <w:t>代表人：</w:t>
      </w:r>
      <w:r>
        <w:rPr>
          <w:rFonts w:hint="eastAsia" w:ascii="仿宋" w:hAnsi="仿宋" w:eastAsia="仿宋" w:cs="仿宋"/>
          <w:lang w:val="en-US" w:eastAsia="zh-CN"/>
        </w:rPr>
        <w:t xml:space="preserve">                    </w:t>
      </w:r>
      <w:r>
        <w:rPr>
          <w:rFonts w:ascii="仿宋" w:hAnsi="仿宋" w:eastAsia="仿宋" w:cs="仿宋"/>
        </w:rPr>
        <w:t>代表人：</w:t>
      </w:r>
    </w:p>
    <w:p w14:paraId="7150DDAF">
      <w:pPr>
        <w:pBdr>
          <w:top w:val="none" w:color="000000" w:sz="0" w:space="0"/>
          <w:left w:val="none" w:color="000000" w:sz="0" w:space="0"/>
          <w:bottom w:val="none" w:color="000000" w:sz="0" w:space="0"/>
          <w:right w:val="none" w:color="000000" w:sz="0" w:space="0"/>
        </w:pBdr>
        <w:spacing w:line="439" w:lineRule="atLeast"/>
      </w:pPr>
      <w:r>
        <w:rPr>
          <w:rFonts w:ascii="仿宋" w:hAnsi="仿宋" w:eastAsia="仿宋" w:cs="仿宋"/>
        </w:rPr>
        <w:t> </w:t>
      </w:r>
    </w:p>
    <w:p w14:paraId="49CB4B9F">
      <w:pPr>
        <w:pBdr>
          <w:top w:val="none" w:color="000000" w:sz="0" w:space="0"/>
          <w:left w:val="none" w:color="000000" w:sz="0" w:space="0"/>
          <w:bottom w:val="none" w:color="000000" w:sz="0" w:space="0"/>
          <w:right w:val="none" w:color="000000" w:sz="0" w:space="0"/>
        </w:pBdr>
        <w:ind w:firstLine="420" w:firstLineChars="200"/>
      </w:pPr>
      <w:r>
        <w:rPr>
          <w:rFonts w:ascii="仿宋" w:hAnsi="仿宋" w:eastAsia="仿宋" w:cs="仿宋"/>
        </w:rPr>
        <w:t>年</w:t>
      </w:r>
      <w:r>
        <w:rPr>
          <w:rFonts w:hint="eastAsia" w:ascii="仿宋" w:hAnsi="仿宋" w:eastAsia="仿宋" w:cs="仿宋"/>
          <w:lang w:val="en-US" w:eastAsia="zh-CN"/>
        </w:rPr>
        <w:t xml:space="preserve">  </w:t>
      </w:r>
      <w:r>
        <w:rPr>
          <w:rFonts w:ascii="仿宋" w:hAnsi="仿宋" w:eastAsia="仿宋" w:cs="仿宋"/>
        </w:rPr>
        <w:t>月</w:t>
      </w:r>
      <w:r>
        <w:rPr>
          <w:rFonts w:hint="eastAsia" w:ascii="仿宋" w:hAnsi="仿宋" w:eastAsia="仿宋" w:cs="仿宋"/>
          <w:lang w:val="en-US" w:eastAsia="zh-CN"/>
        </w:rPr>
        <w:t xml:space="preserve">  </w:t>
      </w:r>
      <w:r>
        <w:rPr>
          <w:rFonts w:ascii="仿宋" w:hAnsi="仿宋" w:eastAsia="仿宋" w:cs="仿宋"/>
        </w:rPr>
        <w:t>日</w:t>
      </w:r>
      <w:r>
        <w:rPr>
          <w:rFonts w:hint="eastAsia" w:ascii="仿宋" w:hAnsi="仿宋" w:eastAsia="仿宋" w:cs="仿宋"/>
          <w:lang w:val="en-US" w:eastAsia="zh-CN"/>
        </w:rPr>
        <w:t xml:space="preserve">                </w:t>
      </w:r>
      <w:r>
        <w:rPr>
          <w:rFonts w:ascii="仿宋" w:hAnsi="仿宋" w:eastAsia="仿宋" w:cs="仿宋"/>
        </w:rPr>
        <w:t>年</w:t>
      </w:r>
      <w:r>
        <w:rPr>
          <w:rFonts w:hint="eastAsia" w:ascii="仿宋" w:hAnsi="仿宋" w:eastAsia="仿宋" w:cs="仿宋"/>
          <w:lang w:val="en-US" w:eastAsia="zh-CN"/>
        </w:rPr>
        <w:t xml:space="preserve">   </w:t>
      </w:r>
      <w:r>
        <w:rPr>
          <w:rFonts w:ascii="仿宋" w:hAnsi="仿宋" w:eastAsia="仿宋" w:cs="仿宋"/>
        </w:rPr>
        <w:t>月</w:t>
      </w:r>
      <w:r>
        <w:rPr>
          <w:rFonts w:hint="eastAsia" w:ascii="仿宋" w:hAnsi="仿宋" w:eastAsia="仿宋" w:cs="仿宋"/>
          <w:lang w:val="en-US" w:eastAsia="zh-CN"/>
        </w:rPr>
        <w:t xml:space="preserve">   </w:t>
      </w:r>
      <w:r>
        <w:rPr>
          <w:rFonts w:ascii="仿宋" w:hAnsi="仿宋" w:eastAsia="仿宋" w:cs="仿宋"/>
        </w:rPr>
        <w:t>日</w:t>
      </w:r>
      <w:r>
        <w:rPr>
          <w:rFonts w:hint="eastAsia" w:ascii="仿宋" w:hAnsi="仿宋" w:eastAsia="仿宋" w:cs="仿宋"/>
          <w:lang w:val="en-US" w:eastAsia="zh-CN"/>
        </w:rPr>
        <w:t xml:space="preserve">                </w:t>
      </w:r>
      <w:r>
        <w:rPr>
          <w:rFonts w:ascii="仿宋" w:hAnsi="仿宋" w:eastAsia="仿宋" w:cs="仿宋"/>
        </w:rPr>
        <w:t>年</w:t>
      </w:r>
      <w:r>
        <w:rPr>
          <w:rFonts w:hint="eastAsia" w:ascii="仿宋" w:hAnsi="仿宋" w:eastAsia="仿宋" w:cs="仿宋"/>
          <w:lang w:val="en-US" w:eastAsia="zh-CN"/>
        </w:rPr>
        <w:t xml:space="preserve">  </w:t>
      </w:r>
      <w:r>
        <w:rPr>
          <w:rFonts w:ascii="仿宋" w:hAnsi="仿宋" w:eastAsia="仿宋" w:cs="仿宋"/>
        </w:rPr>
        <w:t>月</w:t>
      </w:r>
      <w:r>
        <w:rPr>
          <w:rFonts w:hint="eastAsia" w:ascii="仿宋" w:hAnsi="仿宋" w:eastAsia="仿宋" w:cs="仿宋"/>
          <w:lang w:val="en-US" w:eastAsia="zh-CN"/>
        </w:rPr>
        <w:t xml:space="preserve">  </w:t>
      </w:r>
      <w:r>
        <w:rPr>
          <w:rFonts w:ascii="仿宋" w:hAnsi="仿宋" w:eastAsia="仿宋" w:cs="仿宋"/>
        </w:rPr>
        <w:t>日</w:t>
      </w:r>
    </w:p>
    <w:p w14:paraId="3D0FE112">
      <w:pPr>
        <w:pBdr>
          <w:top w:val="none" w:color="000000" w:sz="0" w:space="0"/>
          <w:left w:val="none" w:color="000000" w:sz="0" w:space="0"/>
          <w:bottom w:val="none" w:color="000000" w:sz="0" w:space="0"/>
          <w:right w:val="none" w:color="000000" w:sz="0" w:space="0"/>
        </w:pBdr>
      </w:pPr>
      <w:r>
        <w:rPr>
          <w:rFonts w:ascii="仿宋" w:hAnsi="仿宋" w:eastAsia="仿宋" w:cs="仿宋"/>
        </w:rPr>
        <w:t> </w:t>
      </w:r>
    </w:p>
    <w:p w14:paraId="45889A95">
      <w:pPr>
        <w:pBdr>
          <w:top w:val="none" w:color="000000" w:sz="0" w:space="0"/>
          <w:left w:val="none" w:color="000000" w:sz="0" w:space="0"/>
          <w:bottom w:val="none" w:color="000000" w:sz="0" w:space="0"/>
          <w:right w:val="none" w:color="000000" w:sz="0" w:space="0"/>
        </w:pBdr>
      </w:pPr>
      <w:r>
        <w:rPr>
          <w:rFonts w:eastAsia="Times New Roman"/>
        </w:rPr>
        <w:t> </w:t>
      </w:r>
    </w:p>
    <w:p w14:paraId="56972E7A">
      <w:pPr>
        <w:pBdr>
          <w:top w:val="none" w:color="000000" w:sz="0" w:space="0"/>
          <w:left w:val="none" w:color="000000" w:sz="0" w:space="0"/>
          <w:bottom w:val="none" w:color="000000" w:sz="0" w:space="0"/>
          <w:right w:val="none" w:color="000000" w:sz="0" w:space="0"/>
        </w:pBdr>
      </w:pPr>
      <w:r>
        <w:rPr>
          <w:rFonts w:eastAsia="Times New Roman"/>
        </w:rPr>
        <w:t> </w:t>
      </w:r>
    </w:p>
    <w:p w14:paraId="4058CDED">
      <w:pPr>
        <w:pBdr>
          <w:top w:val="none" w:color="000000" w:sz="0" w:space="0"/>
          <w:left w:val="none" w:color="000000" w:sz="0" w:space="0"/>
          <w:bottom w:val="none" w:color="000000" w:sz="0" w:space="0"/>
          <w:right w:val="none" w:color="000000" w:sz="0" w:space="0"/>
        </w:pBdr>
      </w:pPr>
      <w:r>
        <w:rPr>
          <w:rFonts w:eastAsia="Times New Roman"/>
        </w:rPr>
        <w:t> </w:t>
      </w:r>
    </w:p>
    <w:p w14:paraId="716213A8">
      <w:pPr>
        <w:pBdr>
          <w:top w:val="none" w:color="000000" w:sz="0" w:space="0"/>
          <w:left w:val="none" w:color="000000" w:sz="0" w:space="0"/>
          <w:bottom w:val="none" w:color="000000" w:sz="0" w:space="0"/>
          <w:right w:val="none" w:color="000000" w:sz="0" w:space="0"/>
        </w:pBdr>
      </w:pPr>
      <w:r>
        <w:rPr>
          <w:rFonts w:eastAsia="Times New Roman"/>
        </w:rPr>
        <w:t> </w:t>
      </w:r>
    </w:p>
    <w:p w14:paraId="018E409C">
      <w:pPr>
        <w:pBdr>
          <w:top w:val="none" w:color="000000" w:sz="0" w:space="0"/>
          <w:left w:val="none" w:color="000000" w:sz="0" w:space="0"/>
          <w:bottom w:val="none" w:color="000000" w:sz="0" w:space="0"/>
          <w:right w:val="none" w:color="000000" w:sz="0" w:space="0"/>
        </w:pBdr>
      </w:pPr>
      <w:r>
        <w:rPr>
          <w:rFonts w:eastAsia="Times New Roman"/>
        </w:rPr>
        <w:t> </w:t>
      </w:r>
    </w:p>
    <w:p w14:paraId="3281383A">
      <w:pPr>
        <w:pBdr>
          <w:top w:val="none" w:color="000000" w:sz="0" w:space="0"/>
          <w:left w:val="none" w:color="000000" w:sz="0" w:space="0"/>
          <w:bottom w:val="none" w:color="000000" w:sz="0" w:space="0"/>
          <w:right w:val="none" w:color="000000" w:sz="0" w:space="0"/>
        </w:pBdr>
      </w:pPr>
      <w:r>
        <w:rPr>
          <w:rFonts w:eastAsia="Times New Roman"/>
        </w:rPr>
        <w:t> </w:t>
      </w:r>
    </w:p>
    <w:p w14:paraId="56C32AA6">
      <w:pPr>
        <w:pBdr>
          <w:top w:val="none" w:color="000000" w:sz="0" w:space="0"/>
          <w:left w:val="none" w:color="000000" w:sz="0" w:space="0"/>
          <w:bottom w:val="none" w:color="000000" w:sz="0" w:space="0"/>
          <w:right w:val="none" w:color="000000" w:sz="0" w:space="0"/>
        </w:pBdr>
      </w:pPr>
      <w:r>
        <w:rPr>
          <w:rFonts w:eastAsia="Times New Roman"/>
        </w:rPr>
        <w:t> </w:t>
      </w:r>
    </w:p>
    <w:p w14:paraId="32D5EA53">
      <w:pPr>
        <w:pBdr>
          <w:top w:val="none" w:color="000000" w:sz="0" w:space="0"/>
          <w:left w:val="none" w:color="000000" w:sz="0" w:space="0"/>
          <w:bottom w:val="none" w:color="000000" w:sz="0" w:space="0"/>
          <w:right w:val="none" w:color="000000" w:sz="0" w:space="0"/>
        </w:pBdr>
      </w:pPr>
      <w:r>
        <w:rPr>
          <w:rFonts w:eastAsia="Times New Roman"/>
        </w:rPr>
        <w:t> </w:t>
      </w:r>
    </w:p>
    <w:p w14:paraId="2AE4CAE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color w:val="auto"/>
          <w:sz w:val="21"/>
        </w:rPr>
        <w:br w:type="page" w:clear="all"/>
      </w:r>
    </w:p>
    <w:p w14:paraId="3FF6452C">
      <w:pPr>
        <w:pBdr>
          <w:top w:val="none" w:color="000000" w:sz="0" w:space="0"/>
          <w:left w:val="none" w:color="000000" w:sz="0" w:space="0"/>
          <w:bottom w:val="none" w:color="000000" w:sz="0" w:space="0"/>
          <w:right w:val="none" w:color="000000" w:sz="0" w:space="0"/>
        </w:pBdr>
        <w:spacing w:before="0" w:after="0"/>
        <w:ind w:left="0" w:right="0" w:firstLine="0"/>
        <w:jc w:val="center"/>
        <w:outlineLvl w:val="0"/>
        <w:rPr>
          <w:rFonts w:hint="eastAsia" w:ascii="仿宋" w:hAnsi="仿宋" w:eastAsia="仿宋" w:cs="仿宋"/>
          <w:color w:val="auto"/>
        </w:rPr>
      </w:pPr>
      <w:r>
        <w:rPr>
          <w:rFonts w:hint="eastAsia" w:ascii="仿宋" w:hAnsi="仿宋" w:eastAsia="仿宋" w:cs="仿宋"/>
          <w:b/>
          <w:color w:val="auto"/>
          <w:sz w:val="44"/>
        </w:rPr>
        <w:t>第四章项目需求</w:t>
      </w:r>
    </w:p>
    <w:p w14:paraId="1EB928CC">
      <w:pPr>
        <w:spacing w:line="360" w:lineRule="auto"/>
        <w:ind w:firstLine="482" w:firstLineChars="200"/>
        <w:rPr>
          <w:rFonts w:ascii="仿宋" w:hAnsi="仿宋" w:eastAsia="仿宋"/>
          <w:b/>
          <w:bCs/>
          <w:sz w:val="24"/>
          <w:szCs w:val="24"/>
        </w:rPr>
      </w:pPr>
      <w:r>
        <w:rPr>
          <w:rFonts w:hint="eastAsia" w:ascii="仿宋" w:hAnsi="仿宋" w:eastAsia="仿宋"/>
          <w:b/>
          <w:bCs/>
          <w:sz w:val="24"/>
          <w:szCs w:val="24"/>
        </w:rPr>
        <w:t>一、项目</w:t>
      </w:r>
      <w:r>
        <w:rPr>
          <w:rFonts w:ascii="仿宋" w:hAnsi="仿宋" w:eastAsia="仿宋"/>
          <w:b/>
          <w:bCs/>
          <w:sz w:val="24"/>
          <w:szCs w:val="24"/>
        </w:rPr>
        <w:t>名称</w:t>
      </w:r>
    </w:p>
    <w:p w14:paraId="633621CC">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2025年南京市小行小学校舍维修改造项目</w:t>
      </w:r>
    </w:p>
    <w:p w14:paraId="419ABDCB">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二、合同履行期限：</w:t>
      </w:r>
      <w:r>
        <w:rPr>
          <w:rFonts w:hint="eastAsia" w:ascii="仿宋" w:hAnsi="仿宋" w:eastAsia="仿宋" w:cs="仿宋"/>
          <w:b/>
          <w:bCs/>
          <w:sz w:val="24"/>
          <w:szCs w:val="24"/>
          <w:lang w:val="en-US" w:eastAsia="zh-CN"/>
        </w:rPr>
        <w:t>50</w:t>
      </w:r>
      <w:r>
        <w:rPr>
          <w:rFonts w:hint="eastAsia" w:ascii="仿宋" w:hAnsi="仿宋" w:eastAsia="仿宋" w:cs="仿宋"/>
          <w:b/>
          <w:bCs/>
          <w:sz w:val="24"/>
          <w:szCs w:val="24"/>
        </w:rPr>
        <w:t>日历天。</w:t>
      </w:r>
    </w:p>
    <w:p w14:paraId="75525684">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三、采购需求</w:t>
      </w:r>
    </w:p>
    <w:p w14:paraId="641C2585">
      <w:pPr>
        <w:spacing w:line="360" w:lineRule="auto"/>
        <w:ind w:firstLine="482" w:firstLineChars="200"/>
        <w:rPr>
          <w:rFonts w:hint="eastAsia" w:ascii="仿宋" w:hAnsi="仿宋" w:eastAsia="仿宋"/>
          <w:sz w:val="24"/>
          <w:szCs w:val="24"/>
        </w:rPr>
      </w:pPr>
      <w:r>
        <w:rPr>
          <w:rFonts w:hint="eastAsia" w:ascii="仿宋" w:hAnsi="仿宋" w:eastAsia="仿宋"/>
          <w:b/>
          <w:bCs/>
          <w:sz w:val="24"/>
          <w:szCs w:val="24"/>
        </w:rPr>
        <w:t>1、采购清单：</w:t>
      </w:r>
      <w:r>
        <w:rPr>
          <w:rFonts w:hint="eastAsia" w:ascii="仿宋" w:hAnsi="仿宋" w:eastAsia="仿宋"/>
          <w:sz w:val="24"/>
          <w:szCs w:val="24"/>
        </w:rPr>
        <w:t>详见附件工程量清单</w:t>
      </w:r>
    </w:p>
    <w:p w14:paraId="062D7427">
      <w:pPr>
        <w:pStyle w:val="361"/>
        <w:ind w:firstLine="480"/>
        <w:rPr>
          <w:rFonts w:hint="eastAsia" w:ascii="仿宋" w:hAnsi="仿宋" w:eastAsia="仿宋"/>
          <w:sz w:val="24"/>
          <w:szCs w:val="24"/>
        </w:rPr>
      </w:pPr>
      <w:r>
        <w:rPr>
          <w:rFonts w:hint="eastAsia" w:ascii="仿宋" w:hAnsi="仿宋" w:eastAsia="仿宋"/>
          <w:sz w:val="24"/>
          <w:szCs w:val="24"/>
        </w:rPr>
        <w:t>2、报价形式</w:t>
      </w:r>
    </w:p>
    <w:p w14:paraId="439E2F77">
      <w:pPr>
        <w:pStyle w:val="361"/>
        <w:ind w:firstLine="480" w:firstLineChars="0"/>
        <w:rPr>
          <w:rFonts w:hint="eastAsia" w:ascii="仿宋" w:hAnsi="仿宋" w:eastAsia="仿宋"/>
          <w:sz w:val="24"/>
          <w:szCs w:val="24"/>
        </w:rPr>
      </w:pPr>
      <w:r>
        <w:rPr>
          <w:rFonts w:hint="eastAsia" w:ascii="仿宋" w:hAnsi="仿宋" w:eastAsia="仿宋"/>
          <w:sz w:val="24"/>
          <w:szCs w:val="24"/>
        </w:rPr>
        <w:t>本工程为工程采购，投标报价分项报价表须提供工程量清单报价格式，并且遵守</w:t>
      </w:r>
      <w:r>
        <w:rPr>
          <w:rFonts w:hint="eastAsia" w:ascii="仿宋" w:hAnsi="仿宋" w:eastAsia="仿宋"/>
          <w:sz w:val="24"/>
          <w:szCs w:val="24"/>
        </w:rPr>
        <w:fldChar w:fldCharType="begin"/>
      </w:r>
      <w:r>
        <w:rPr>
          <w:rFonts w:hint="eastAsia" w:ascii="仿宋" w:hAnsi="仿宋" w:eastAsia="仿宋"/>
          <w:sz w:val="24"/>
          <w:szCs w:val="24"/>
        </w:rPr>
        <w:instrText xml:space="preserve"> HYPERLINK "http://www.baidu.com/link?url=2dMJ3Vbq6Arw6B6jyvi9fLN1vMoDIAv4phOer3uaiDphv3I3H4ZFkrlHfEqWfTj5p-XjIwZYTx8e9_3CCJuhW8bSL843ve4PAaIb-AlfWIyNlUi0t-SQ8OM3sKk_R6jxBo3HqligJEfYJnUqlnNHtVgHBEhjJa4lGiFZik1UVnkOnicWIzjAH_FL2kbpaJ4t1_koGDynToIJU8cvSqO5byHFRkfeibtvldiSItYC63C" \t "https://www.baidu.com/_blank" </w:instrText>
      </w:r>
      <w:r>
        <w:rPr>
          <w:rFonts w:hint="eastAsia" w:ascii="仿宋" w:hAnsi="仿宋" w:eastAsia="仿宋"/>
          <w:sz w:val="24"/>
          <w:szCs w:val="24"/>
        </w:rPr>
        <w:fldChar w:fldCharType="separate"/>
      </w:r>
      <w:r>
        <w:rPr>
          <w:rFonts w:hint="eastAsia" w:ascii="仿宋" w:hAnsi="仿宋" w:eastAsia="仿宋"/>
          <w:sz w:val="24"/>
          <w:szCs w:val="24"/>
        </w:rPr>
        <w:t>建设工程工程量清单计价规</w:t>
      </w:r>
      <w:r>
        <w:rPr>
          <w:rFonts w:hint="eastAsia" w:ascii="仿宋" w:hAnsi="仿宋" w:eastAsia="仿宋"/>
          <w:sz w:val="24"/>
          <w:szCs w:val="24"/>
        </w:rPr>
        <w:fldChar w:fldCharType="end"/>
      </w:r>
      <w:r>
        <w:rPr>
          <w:rFonts w:hint="eastAsia" w:ascii="仿宋" w:hAnsi="仿宋" w:eastAsia="仿宋"/>
          <w:sz w:val="24"/>
          <w:szCs w:val="24"/>
        </w:rPr>
        <w:t>范，否则视为无效响应文件。</w:t>
      </w:r>
    </w:p>
    <w:p w14:paraId="1319E460">
      <w:pPr>
        <w:pStyle w:val="361"/>
        <w:ind w:firstLine="480"/>
        <w:rPr>
          <w:rFonts w:hint="eastAsia" w:ascii="仿宋" w:hAnsi="仿宋" w:eastAsia="仿宋"/>
          <w:sz w:val="24"/>
          <w:szCs w:val="24"/>
        </w:rPr>
      </w:pPr>
      <w:r>
        <w:rPr>
          <w:rFonts w:hint="eastAsia" w:ascii="仿宋" w:hAnsi="仿宋" w:eastAsia="仿宋"/>
          <w:sz w:val="24"/>
          <w:szCs w:val="24"/>
        </w:rPr>
        <w:t>3、本项目施工工程量清单作为投标报价依据，具体工作量以本项目的磋商文件及招标清单以及图纸和现场实际情况为准。</w:t>
      </w:r>
    </w:p>
    <w:p w14:paraId="3F51893D">
      <w:pPr>
        <w:pStyle w:val="361"/>
        <w:ind w:firstLine="480" w:firstLineChars="0"/>
        <w:rPr>
          <w:rFonts w:hint="eastAsia" w:ascii="仿宋" w:hAnsi="仿宋" w:eastAsia="仿宋"/>
          <w:sz w:val="24"/>
          <w:szCs w:val="24"/>
        </w:rPr>
      </w:pPr>
      <w:r>
        <w:rPr>
          <w:rFonts w:hint="eastAsia" w:ascii="仿宋" w:hAnsi="仿宋" w:eastAsia="仿宋"/>
          <w:sz w:val="24"/>
          <w:szCs w:val="24"/>
        </w:rPr>
        <w:t>4、实施期间的供水、供电情况：供应商自行勘察考虑，现场发生水电、相关费用均包含在报价范围。</w:t>
      </w:r>
    </w:p>
    <w:p w14:paraId="13F588E6">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四、现场勘察要求</w:t>
      </w:r>
    </w:p>
    <w:p w14:paraId="287B0B37">
      <w:pPr>
        <w:pStyle w:val="361"/>
        <w:ind w:firstLine="480" w:firstLineChars="0"/>
        <w:rPr>
          <w:rFonts w:ascii="仿宋" w:hAnsi="仿宋" w:eastAsia="仿宋"/>
          <w:sz w:val="24"/>
          <w:szCs w:val="24"/>
        </w:rPr>
      </w:pPr>
      <w:r>
        <w:rPr>
          <w:rFonts w:hint="eastAsia" w:ascii="仿宋" w:hAnsi="仿宋" w:eastAsia="仿宋"/>
          <w:sz w:val="24"/>
          <w:szCs w:val="24"/>
        </w:rPr>
        <w:t>1、</w:t>
      </w:r>
      <w:r>
        <w:rPr>
          <w:rFonts w:hint="eastAsia" w:ascii="仿宋" w:hAnsi="仿宋" w:eastAsia="仿宋"/>
          <w:b/>
          <w:bCs/>
          <w:sz w:val="24"/>
          <w:szCs w:val="24"/>
        </w:rPr>
        <w:t>采购人组织现场集中勘察并做答疑，时间：</w:t>
      </w:r>
      <w:r>
        <w:rPr>
          <w:rFonts w:hint="eastAsia" w:ascii="仿宋" w:hAnsi="仿宋" w:eastAsia="仿宋"/>
          <w:b/>
          <w:bCs/>
          <w:sz w:val="24"/>
          <w:szCs w:val="24"/>
          <w:highlight w:val="yellow"/>
        </w:rPr>
        <w:t>2026年4月10日</w:t>
      </w:r>
      <w:r>
        <w:rPr>
          <w:rFonts w:hint="eastAsia" w:ascii="仿宋" w:hAnsi="仿宋" w:eastAsia="仿宋"/>
          <w:b/>
          <w:bCs/>
          <w:sz w:val="24"/>
          <w:szCs w:val="24"/>
        </w:rPr>
        <w:t>上午9：30分，地点：南京市小行小学南京市雨花台区赛虹桥街道小行路54号，供应商可自行选择是否参与集中勘察，如参与集中勘察请按照规定时间自行前往。</w:t>
      </w:r>
    </w:p>
    <w:p w14:paraId="1D8AFC35">
      <w:pPr>
        <w:pStyle w:val="361"/>
        <w:ind w:firstLine="480" w:firstLineChars="0"/>
        <w:rPr>
          <w:rFonts w:hint="eastAsia" w:ascii="仿宋" w:hAnsi="仿宋" w:eastAsia="仿宋"/>
          <w:sz w:val="24"/>
          <w:szCs w:val="24"/>
        </w:rPr>
      </w:pPr>
      <w:r>
        <w:rPr>
          <w:rFonts w:hint="eastAsia" w:ascii="仿宋" w:hAnsi="仿宋" w:eastAsia="仿宋"/>
          <w:sz w:val="24"/>
          <w:szCs w:val="24"/>
        </w:rPr>
        <w:t>2、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p>
    <w:p w14:paraId="61A1290F">
      <w:pPr>
        <w:pStyle w:val="361"/>
        <w:ind w:firstLine="480" w:firstLineChars="0"/>
        <w:rPr>
          <w:rFonts w:hint="eastAsia" w:ascii="仿宋" w:hAnsi="仿宋" w:eastAsia="仿宋"/>
          <w:sz w:val="24"/>
          <w:szCs w:val="24"/>
        </w:rPr>
      </w:pPr>
      <w:r>
        <w:rPr>
          <w:rFonts w:hint="eastAsia" w:ascii="仿宋" w:hAnsi="仿宋" w:eastAsia="仿宋"/>
          <w:sz w:val="24"/>
          <w:szCs w:val="24"/>
        </w:rPr>
        <w:t>3、供应商应承担在现场勘察过程中，由于自身的行为所造成的人身伤害、财产损失或损坏，并承担由此产生的一切责任。</w:t>
      </w:r>
    </w:p>
    <w:p w14:paraId="5A4E2E8A">
      <w:pPr>
        <w:pStyle w:val="361"/>
        <w:ind w:firstLine="480" w:firstLineChars="0"/>
        <w:rPr>
          <w:rFonts w:hint="eastAsia" w:ascii="仿宋" w:hAnsi="仿宋" w:eastAsia="仿宋"/>
          <w:sz w:val="24"/>
          <w:szCs w:val="24"/>
        </w:rPr>
      </w:pPr>
      <w:r>
        <w:rPr>
          <w:rFonts w:hint="eastAsia" w:ascii="仿宋" w:hAnsi="仿宋" w:eastAsia="仿宋"/>
          <w:sz w:val="24"/>
          <w:szCs w:val="24"/>
        </w:rPr>
        <w:t>4、该项目为既有已投用项目。供应商应充分了解投用校区可施工时段政策及实施条件包括不限于各楼栋施工区域的围挡、成品保护措施（包括施工相邻及使用的成品）等因素。</w:t>
      </w:r>
    </w:p>
    <w:p w14:paraId="0DB1EABA">
      <w:pPr>
        <w:pStyle w:val="361"/>
        <w:ind w:firstLine="480" w:firstLineChars="0"/>
        <w:rPr>
          <w:rFonts w:hint="eastAsia" w:ascii="仿宋" w:hAnsi="仿宋" w:eastAsia="仿宋"/>
          <w:sz w:val="24"/>
          <w:szCs w:val="24"/>
        </w:rPr>
      </w:pPr>
      <w:r>
        <w:rPr>
          <w:rFonts w:hint="eastAsia" w:ascii="仿宋" w:hAnsi="仿宋" w:eastAsia="仿宋"/>
          <w:sz w:val="24"/>
          <w:szCs w:val="24"/>
        </w:rPr>
        <w:t>5、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p>
    <w:p w14:paraId="26FD24EC">
      <w:pPr>
        <w:spacing w:line="360" w:lineRule="auto"/>
        <w:ind w:firstLine="482" w:firstLineChars="200"/>
        <w:rPr>
          <w:rFonts w:hint="eastAsia" w:ascii="仿宋" w:hAnsi="仿宋" w:eastAsia="仿宋" w:cs="仿宋"/>
          <w:b/>
          <w:bCs/>
          <w:sz w:val="24"/>
          <w:szCs w:val="24"/>
          <w:lang w:eastAsia="zh-Hans"/>
        </w:rPr>
      </w:pPr>
      <w:r>
        <w:rPr>
          <w:rFonts w:hint="eastAsia" w:ascii="仿宋" w:hAnsi="仿宋" w:eastAsia="仿宋" w:cs="仿宋"/>
          <w:b/>
          <w:bCs/>
          <w:sz w:val="24"/>
          <w:szCs w:val="24"/>
        </w:rPr>
        <w:t>五</w:t>
      </w:r>
      <w:r>
        <w:rPr>
          <w:rFonts w:hint="eastAsia" w:ascii="仿宋" w:hAnsi="仿宋" w:eastAsia="仿宋" w:cs="仿宋"/>
          <w:b/>
          <w:bCs/>
          <w:sz w:val="24"/>
          <w:szCs w:val="24"/>
          <w:lang w:eastAsia="zh-Hans"/>
        </w:rPr>
        <w:t>、</w:t>
      </w:r>
      <w:r>
        <w:rPr>
          <w:rFonts w:hint="eastAsia" w:ascii="仿宋" w:hAnsi="仿宋" w:eastAsia="仿宋" w:cs="仿宋"/>
          <w:b/>
          <w:bCs/>
          <w:sz w:val="24"/>
          <w:szCs w:val="24"/>
        </w:rPr>
        <w:t>商务</w:t>
      </w:r>
      <w:r>
        <w:rPr>
          <w:rFonts w:hint="eastAsia" w:ascii="仿宋" w:hAnsi="仿宋" w:eastAsia="仿宋" w:cs="仿宋"/>
          <w:b/>
          <w:bCs/>
          <w:sz w:val="24"/>
          <w:szCs w:val="24"/>
          <w:lang w:eastAsia="zh-Hans"/>
        </w:rPr>
        <w:t>要求</w:t>
      </w:r>
    </w:p>
    <w:p w14:paraId="486CAEBC">
      <w:pPr>
        <w:pStyle w:val="361"/>
        <w:ind w:firstLine="480" w:firstLineChars="0"/>
        <w:rPr>
          <w:rFonts w:hint="eastAsia" w:ascii="仿宋" w:hAnsi="仿宋" w:eastAsia="仿宋"/>
          <w:sz w:val="24"/>
          <w:szCs w:val="24"/>
        </w:rPr>
      </w:pPr>
      <w:r>
        <w:rPr>
          <w:rFonts w:hint="eastAsia" w:ascii="仿宋" w:hAnsi="仿宋" w:eastAsia="仿宋"/>
          <w:sz w:val="24"/>
          <w:szCs w:val="24"/>
        </w:rPr>
        <w:t>★1、项目负责人无在建承诺（提供承诺书，格式自拟，不提供作无效标处理。）</w:t>
      </w:r>
    </w:p>
    <w:p w14:paraId="5986852A">
      <w:pPr>
        <w:pStyle w:val="361"/>
        <w:ind w:firstLine="480" w:firstLineChars="0"/>
        <w:rPr>
          <w:rFonts w:hint="eastAsia" w:ascii="仿宋" w:hAnsi="仿宋" w:eastAsia="仿宋"/>
          <w:sz w:val="24"/>
          <w:szCs w:val="24"/>
        </w:rPr>
      </w:pPr>
      <w:r>
        <w:rPr>
          <w:rFonts w:hint="eastAsia" w:ascii="仿宋" w:hAnsi="仿宋" w:eastAsia="仿宋"/>
          <w:sz w:val="24"/>
          <w:szCs w:val="24"/>
        </w:rPr>
        <w:t>★2、施工组织方案，包括但不限制于：实施进度计划编制方案，施工质量保证措施方案，难点、重点及合理化建议方案，安全、文明施工措施方案、技术要求、工艺要求、环保措施、质保期限等，未提供施工方案，作无效标处理。（方案不做评分，进场后需报监理及采购人审批通过，后期作为中标供应商现场实施依据。）</w:t>
      </w:r>
    </w:p>
    <w:p w14:paraId="574E76D4">
      <w:pPr>
        <w:pStyle w:val="361"/>
        <w:ind w:firstLine="480" w:firstLineChars="0"/>
        <w:rPr>
          <w:rFonts w:hint="eastAsia" w:ascii="仿宋" w:hAnsi="仿宋" w:eastAsia="仿宋"/>
          <w:sz w:val="24"/>
          <w:szCs w:val="24"/>
        </w:rPr>
      </w:pPr>
      <w:r>
        <w:rPr>
          <w:rFonts w:hint="eastAsia" w:ascii="仿宋" w:hAnsi="仿宋" w:eastAsia="仿宋"/>
          <w:sz w:val="24"/>
          <w:szCs w:val="24"/>
        </w:rPr>
        <w:t>★3、农民工工资保证承诺：根据工程进度和工程款支付进度，及时足额兑付农民工工资等劳务人员报酬，不拖欠农民工工资。（提供承诺书，格式自拟，不提供作无效标处理）</w:t>
      </w:r>
    </w:p>
    <w:p w14:paraId="36488A87">
      <w:pPr>
        <w:pStyle w:val="361"/>
        <w:ind w:firstLine="480" w:firstLineChars="0"/>
        <w:rPr>
          <w:rFonts w:hint="eastAsia" w:ascii="仿宋" w:hAnsi="仿宋" w:eastAsia="仿宋"/>
          <w:b/>
          <w:bCs/>
          <w:sz w:val="24"/>
          <w:szCs w:val="24"/>
        </w:rPr>
      </w:pPr>
      <w:r>
        <w:rPr>
          <w:rFonts w:hint="eastAsia" w:ascii="仿宋" w:hAnsi="仿宋" w:eastAsia="仿宋"/>
          <w:sz w:val="24"/>
          <w:szCs w:val="24"/>
        </w:rPr>
        <w:t>★4、</w:t>
      </w:r>
      <w:r>
        <w:rPr>
          <w:rFonts w:hint="eastAsia" w:ascii="仿宋" w:hAnsi="仿宋" w:eastAsia="仿宋"/>
          <w:b/>
          <w:bCs/>
          <w:sz w:val="24"/>
          <w:szCs w:val="24"/>
        </w:rPr>
        <w:t>按时完工保证承诺：因本项目为学校暑期工程，为保证学校正常开学，必须在合同工期内完成，如供应商原因导致工期延误，供应商应按合同约定支付违约金，采购人有权解除合同。（提供承诺书，格式自拟，不提供作无效标处理）</w:t>
      </w:r>
    </w:p>
    <w:p w14:paraId="21CFFE71">
      <w:pPr>
        <w:pStyle w:val="361"/>
        <w:ind w:firstLine="480" w:firstLineChars="0"/>
        <w:rPr>
          <w:rFonts w:hint="eastAsia" w:ascii="仿宋" w:hAnsi="仿宋" w:eastAsia="仿宋"/>
          <w:b/>
          <w:bCs/>
          <w:sz w:val="24"/>
          <w:szCs w:val="24"/>
        </w:rPr>
      </w:pPr>
      <w:r>
        <w:rPr>
          <w:rFonts w:hint="eastAsia" w:ascii="仿宋" w:hAnsi="仿宋" w:eastAsia="仿宋"/>
          <w:b/>
          <w:bCs/>
          <w:sz w:val="24"/>
          <w:szCs w:val="24"/>
        </w:rPr>
        <w:t>★5、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文件处理）</w:t>
      </w:r>
    </w:p>
    <w:p w14:paraId="5E3674D2">
      <w:pPr>
        <w:pStyle w:val="361"/>
        <w:ind w:firstLine="480" w:firstLineChars="0"/>
        <w:rPr>
          <w:rFonts w:hint="eastAsia" w:ascii="仿宋" w:hAnsi="仿宋" w:eastAsia="仿宋"/>
          <w:b/>
          <w:bCs/>
          <w:sz w:val="24"/>
          <w:szCs w:val="24"/>
        </w:rPr>
      </w:pPr>
      <w:r>
        <w:rPr>
          <w:rFonts w:hint="eastAsia" w:ascii="仿宋" w:hAnsi="仿宋" w:eastAsia="仿宋"/>
          <w:b/>
          <w:bCs/>
          <w:sz w:val="24"/>
          <w:szCs w:val="24"/>
        </w:rPr>
        <w:t>★6供应商成交后，所有进场管理人员及施工人员须提供无犯罪行为记录证明（提供承诺书，格式自拟，不提供作无效响应文件处理）</w:t>
      </w:r>
    </w:p>
    <w:p w14:paraId="182BDDE8">
      <w:pPr>
        <w:pStyle w:val="361"/>
        <w:numPr>
          <w:ilvl w:val="0"/>
          <w:numId w:val="0"/>
        </w:numPr>
        <w:ind w:left="0" w:leftChars="0" w:firstLine="490" w:firstLineChars="0"/>
        <w:rPr>
          <w:rFonts w:hint="eastAsia" w:ascii="仿宋" w:hAnsi="仿宋" w:eastAsia="仿宋"/>
          <w:sz w:val="24"/>
          <w:szCs w:val="24"/>
        </w:rPr>
      </w:pPr>
      <w:r>
        <w:rPr>
          <w:rFonts w:hint="eastAsia" w:ascii="仿宋" w:hAnsi="仿宋" w:eastAsia="仿宋"/>
          <w:kern w:val="2"/>
          <w:sz w:val="24"/>
          <w:szCs w:val="24"/>
          <w:lang w:val="en-US" w:eastAsia="zh-CN" w:bidi="ar-SA"/>
        </w:rPr>
        <w:t>7、</w:t>
      </w:r>
      <w:r>
        <w:rPr>
          <w:rFonts w:hint="eastAsia" w:ascii="仿宋" w:hAnsi="仿宋" w:eastAsia="仿宋"/>
          <w:sz w:val="24"/>
          <w:szCs w:val="24"/>
        </w:rPr>
        <w:t>校园内不设临时住房等，供应商应在校园外妥善安排工人的临时住房，相关费用由供应商自行承担。</w:t>
      </w:r>
    </w:p>
    <w:p w14:paraId="4DB3A627">
      <w:pPr>
        <w:pStyle w:val="361"/>
        <w:numPr>
          <w:ilvl w:val="0"/>
          <w:numId w:val="0"/>
        </w:numPr>
        <w:ind w:left="0" w:leftChars="0" w:firstLine="490" w:firstLineChars="0"/>
        <w:rPr>
          <w:rFonts w:ascii="仿宋" w:hAnsi="仿宋" w:eastAsia="仿宋"/>
          <w:sz w:val="24"/>
          <w:szCs w:val="24"/>
        </w:rPr>
      </w:pPr>
      <w:r>
        <w:rPr>
          <w:rFonts w:hint="eastAsia" w:ascii="仿宋" w:hAnsi="仿宋" w:eastAsia="仿宋"/>
          <w:kern w:val="2"/>
          <w:sz w:val="24"/>
          <w:szCs w:val="24"/>
          <w:lang w:val="en-US" w:eastAsia="zh-CN" w:bidi="ar-SA"/>
        </w:rPr>
        <w:t>8</w:t>
      </w:r>
      <w:r>
        <w:rPr>
          <w:rFonts w:ascii="仿宋" w:hAnsi="仿宋" w:eastAsia="仿宋"/>
          <w:kern w:val="2"/>
          <w:sz w:val="24"/>
          <w:szCs w:val="24"/>
          <w:lang w:val="en-US" w:eastAsia="zh-CN" w:bidi="ar-SA"/>
        </w:rPr>
        <w:t>、</w:t>
      </w:r>
      <w:r>
        <w:rPr>
          <w:rFonts w:hint="eastAsia" w:ascii="仿宋" w:hAnsi="仿宋" w:eastAsia="仿宋"/>
          <w:sz w:val="24"/>
          <w:szCs w:val="24"/>
        </w:rPr>
        <w:t>成交后供应商应严格约束现场管理人员及施工人员，不得对校园内的环境及生态进行破坏，不得在校园内吸烟，不得赤裸工作，不得随地大小便等。</w:t>
      </w:r>
    </w:p>
    <w:p w14:paraId="4F3D7BD0">
      <w:pPr>
        <w:pStyle w:val="361"/>
        <w:ind w:firstLine="480"/>
        <w:rPr>
          <w:rFonts w:ascii="仿宋" w:hAnsi="仿宋" w:eastAsia="仿宋"/>
          <w:sz w:val="24"/>
          <w:szCs w:val="24"/>
        </w:rPr>
      </w:pPr>
      <w:r>
        <w:rPr>
          <w:rFonts w:hint="eastAsia" w:ascii="仿宋" w:hAnsi="仿宋" w:eastAsia="仿宋"/>
          <w:sz w:val="24"/>
          <w:szCs w:val="24"/>
          <w:lang w:val="en-US" w:eastAsia="zh-CN"/>
        </w:rPr>
        <w:t>9</w:t>
      </w:r>
      <w:r>
        <w:rPr>
          <w:rFonts w:hint="eastAsia" w:ascii="仿宋" w:hAnsi="仿宋" w:eastAsia="仿宋"/>
          <w:sz w:val="24"/>
          <w:szCs w:val="24"/>
        </w:rPr>
        <w:t>、供应商成交</w:t>
      </w:r>
      <w:r>
        <w:rPr>
          <w:rFonts w:ascii="仿宋" w:hAnsi="仿宋" w:eastAsia="仿宋"/>
          <w:sz w:val="24"/>
          <w:szCs w:val="24"/>
        </w:rPr>
        <w:t>后，</w:t>
      </w:r>
      <w:r>
        <w:rPr>
          <w:rFonts w:hint="eastAsia" w:ascii="仿宋" w:hAnsi="仿宋" w:eastAsia="仿宋"/>
          <w:sz w:val="24"/>
          <w:szCs w:val="24"/>
        </w:rPr>
        <w:t>需</w:t>
      </w:r>
      <w:r>
        <w:rPr>
          <w:rFonts w:ascii="仿宋" w:hAnsi="仿宋" w:eastAsia="仿宋"/>
          <w:sz w:val="24"/>
          <w:szCs w:val="24"/>
        </w:rPr>
        <w:t>在两日内向</w:t>
      </w:r>
      <w:r>
        <w:rPr>
          <w:rFonts w:hint="eastAsia" w:ascii="仿宋" w:hAnsi="仿宋" w:eastAsia="仿宋"/>
          <w:sz w:val="24"/>
          <w:szCs w:val="24"/>
        </w:rPr>
        <w:t>采购人</w:t>
      </w:r>
      <w:r>
        <w:rPr>
          <w:rFonts w:ascii="仿宋" w:hAnsi="仿宋" w:eastAsia="仿宋"/>
          <w:sz w:val="24"/>
          <w:szCs w:val="24"/>
        </w:rPr>
        <w:t>免费提供</w:t>
      </w:r>
      <w:r>
        <w:rPr>
          <w:rFonts w:hint="eastAsia" w:ascii="仿宋" w:hAnsi="仿宋" w:eastAsia="仿宋"/>
          <w:sz w:val="24"/>
          <w:szCs w:val="24"/>
        </w:rPr>
        <w:t>叁</w:t>
      </w:r>
      <w:r>
        <w:rPr>
          <w:rFonts w:ascii="仿宋" w:hAnsi="仿宋" w:eastAsia="仿宋"/>
          <w:sz w:val="24"/>
          <w:szCs w:val="24"/>
        </w:rPr>
        <w:t>份（壹正</w:t>
      </w:r>
      <w:r>
        <w:rPr>
          <w:rFonts w:hint="eastAsia" w:ascii="仿宋" w:hAnsi="仿宋" w:eastAsia="仿宋"/>
          <w:sz w:val="24"/>
          <w:szCs w:val="24"/>
        </w:rPr>
        <w:t>贰</w:t>
      </w:r>
      <w:r>
        <w:rPr>
          <w:rFonts w:ascii="仿宋" w:hAnsi="仿宋" w:eastAsia="仿宋"/>
          <w:sz w:val="24"/>
          <w:szCs w:val="24"/>
        </w:rPr>
        <w:t>副）纸质</w:t>
      </w:r>
      <w:r>
        <w:rPr>
          <w:rFonts w:hint="eastAsia" w:ascii="仿宋" w:hAnsi="仿宋" w:eastAsia="仿宋"/>
          <w:sz w:val="24"/>
          <w:szCs w:val="24"/>
        </w:rPr>
        <w:t>响应</w:t>
      </w:r>
      <w:r>
        <w:rPr>
          <w:rFonts w:ascii="仿宋" w:hAnsi="仿宋" w:eastAsia="仿宋"/>
          <w:sz w:val="24"/>
          <w:szCs w:val="24"/>
        </w:rPr>
        <w:t>文件</w:t>
      </w:r>
      <w:r>
        <w:rPr>
          <w:rFonts w:hint="eastAsia" w:ascii="仿宋" w:hAnsi="仿宋" w:eastAsia="仿宋"/>
          <w:sz w:val="24"/>
          <w:szCs w:val="24"/>
        </w:rPr>
        <w:t>，</w:t>
      </w:r>
      <w:r>
        <w:rPr>
          <w:rFonts w:ascii="仿宋" w:hAnsi="仿宋" w:eastAsia="仿宋"/>
          <w:sz w:val="24"/>
          <w:szCs w:val="24"/>
        </w:rPr>
        <w:t>纸质</w:t>
      </w:r>
      <w:r>
        <w:rPr>
          <w:rFonts w:hint="eastAsia" w:ascii="仿宋" w:hAnsi="仿宋" w:eastAsia="仿宋"/>
          <w:sz w:val="24"/>
          <w:szCs w:val="24"/>
        </w:rPr>
        <w:t>响应</w:t>
      </w:r>
      <w:r>
        <w:rPr>
          <w:rFonts w:ascii="仿宋" w:hAnsi="仿宋" w:eastAsia="仿宋"/>
          <w:sz w:val="24"/>
          <w:szCs w:val="24"/>
        </w:rPr>
        <w:t>文件（正、副本）均应加盖</w:t>
      </w:r>
      <w:r>
        <w:rPr>
          <w:rFonts w:hint="eastAsia" w:ascii="仿宋" w:hAnsi="仿宋" w:eastAsia="仿宋"/>
          <w:sz w:val="24"/>
          <w:szCs w:val="24"/>
        </w:rPr>
        <w:t>成交供应商</w:t>
      </w:r>
      <w:r>
        <w:rPr>
          <w:rFonts w:ascii="仿宋" w:hAnsi="仿宋" w:eastAsia="仿宋"/>
          <w:sz w:val="24"/>
          <w:szCs w:val="24"/>
        </w:rPr>
        <w:t>公章，且装订成册（胶装）。同时提供全套纸质文件的电子版（须含软件版的报价文件）。</w:t>
      </w:r>
      <w:r>
        <w:rPr>
          <w:rFonts w:hint="eastAsia" w:ascii="仿宋" w:hAnsi="仿宋" w:eastAsia="仿宋"/>
          <w:sz w:val="24"/>
          <w:szCs w:val="24"/>
        </w:rPr>
        <w:t>响应</w:t>
      </w:r>
      <w:r>
        <w:rPr>
          <w:rFonts w:ascii="仿宋" w:hAnsi="仿宋" w:eastAsia="仿宋"/>
          <w:sz w:val="24"/>
          <w:szCs w:val="24"/>
        </w:rPr>
        <w:t>文件正本需打印投标报价文件、分部分项清单综合单价、综合单价分析表和措施项目费及分析表、其它项目清单及费用组成、</w:t>
      </w:r>
      <w:r>
        <w:rPr>
          <w:rFonts w:hint="eastAsia" w:ascii="仿宋" w:hAnsi="仿宋" w:eastAsia="仿宋"/>
          <w:sz w:val="24"/>
          <w:szCs w:val="24"/>
        </w:rPr>
        <w:t>招标人</w:t>
      </w:r>
      <w:r>
        <w:rPr>
          <w:rFonts w:ascii="仿宋" w:hAnsi="仿宋" w:eastAsia="仿宋"/>
          <w:sz w:val="24"/>
          <w:szCs w:val="24"/>
        </w:rPr>
        <w:t>及承包人供应材料一览表等，副本可不打印综合单价分析表。</w:t>
      </w:r>
      <w:r>
        <w:rPr>
          <w:rFonts w:hint="eastAsia" w:ascii="仿宋" w:hAnsi="仿宋" w:eastAsia="仿宋"/>
          <w:sz w:val="24"/>
          <w:szCs w:val="24"/>
        </w:rPr>
        <w:t>供应商</w:t>
      </w:r>
      <w:r>
        <w:rPr>
          <w:rFonts w:ascii="仿宋" w:hAnsi="仿宋" w:eastAsia="仿宋"/>
          <w:sz w:val="24"/>
          <w:szCs w:val="24"/>
        </w:rPr>
        <w:t>提供的纸质文件与</w:t>
      </w:r>
      <w:r>
        <w:rPr>
          <w:rFonts w:hint="eastAsia" w:ascii="仿宋" w:hAnsi="仿宋" w:eastAsia="仿宋"/>
          <w:sz w:val="24"/>
          <w:szCs w:val="24"/>
        </w:rPr>
        <w:t>响应</w:t>
      </w:r>
      <w:r>
        <w:rPr>
          <w:rFonts w:ascii="仿宋" w:hAnsi="仿宋" w:eastAsia="仿宋"/>
          <w:sz w:val="24"/>
          <w:szCs w:val="24"/>
        </w:rPr>
        <w:t>电子文件必须一致，否则以网上电子</w:t>
      </w:r>
      <w:r>
        <w:rPr>
          <w:rFonts w:hint="eastAsia" w:ascii="仿宋" w:hAnsi="仿宋" w:eastAsia="仿宋"/>
          <w:sz w:val="24"/>
          <w:szCs w:val="24"/>
        </w:rPr>
        <w:t>响应</w:t>
      </w:r>
      <w:r>
        <w:rPr>
          <w:rFonts w:ascii="仿宋" w:hAnsi="仿宋" w:eastAsia="仿宋"/>
          <w:sz w:val="24"/>
          <w:szCs w:val="24"/>
        </w:rPr>
        <w:t>文件为准。</w:t>
      </w:r>
    </w:p>
    <w:p w14:paraId="1AA88E6A">
      <w:pPr>
        <w:pStyle w:val="361"/>
        <w:ind w:firstLine="480"/>
        <w:rPr>
          <w:rFonts w:ascii="仿宋" w:hAnsi="仿宋" w:eastAsia="仿宋"/>
          <w:sz w:val="24"/>
          <w:szCs w:val="24"/>
        </w:rPr>
      </w:pPr>
      <w:r>
        <w:rPr>
          <w:rFonts w:hint="eastAsia" w:ascii="仿宋" w:hAnsi="仿宋" w:eastAsia="仿宋"/>
          <w:sz w:val="24"/>
          <w:szCs w:val="24"/>
          <w:lang w:val="en-US" w:eastAsia="zh-CN"/>
        </w:rPr>
        <w:t>10</w:t>
      </w:r>
      <w:r>
        <w:rPr>
          <w:rFonts w:ascii="仿宋" w:hAnsi="仿宋" w:eastAsia="仿宋"/>
          <w:sz w:val="24"/>
          <w:szCs w:val="24"/>
        </w:rPr>
        <w:t>、</w:t>
      </w:r>
      <w:r>
        <w:rPr>
          <w:rFonts w:hint="eastAsia" w:ascii="仿宋" w:hAnsi="仿宋" w:eastAsia="仿宋"/>
          <w:sz w:val="24"/>
          <w:szCs w:val="24"/>
        </w:rPr>
        <w:t>供应商需</w:t>
      </w:r>
      <w:r>
        <w:rPr>
          <w:rFonts w:ascii="仿宋" w:hAnsi="仿宋" w:eastAsia="仿宋"/>
          <w:sz w:val="24"/>
          <w:szCs w:val="24"/>
        </w:rPr>
        <w:t>对</w:t>
      </w:r>
      <w:r>
        <w:rPr>
          <w:rFonts w:hint="eastAsia" w:ascii="仿宋" w:hAnsi="仿宋" w:eastAsia="仿宋"/>
          <w:sz w:val="24"/>
          <w:szCs w:val="24"/>
        </w:rPr>
        <w:t>磋商</w:t>
      </w:r>
      <w:r>
        <w:rPr>
          <w:rFonts w:ascii="仿宋" w:hAnsi="仿宋" w:eastAsia="仿宋"/>
          <w:sz w:val="24"/>
          <w:szCs w:val="24"/>
        </w:rPr>
        <w:t>文件（含合同专用条款、工程量清单编制说明、工程量清单特征描述、招标图纸等）进行充分的阅读并理解，特别是对投标报价的相关要求进行认真阅读并充分理解，在投标报价中充分考虑相应的费用并计入投标报价中。但对</w:t>
      </w:r>
      <w:r>
        <w:rPr>
          <w:rFonts w:hint="eastAsia" w:ascii="仿宋" w:hAnsi="仿宋" w:eastAsia="仿宋"/>
          <w:sz w:val="24"/>
          <w:szCs w:val="24"/>
        </w:rPr>
        <w:t>磋商</w:t>
      </w:r>
      <w:r>
        <w:rPr>
          <w:rFonts w:ascii="仿宋" w:hAnsi="仿宋" w:eastAsia="仿宋"/>
          <w:sz w:val="24"/>
          <w:szCs w:val="24"/>
        </w:rPr>
        <w:t>文件条款的错误理解，</w:t>
      </w:r>
      <w:r>
        <w:rPr>
          <w:rFonts w:hint="eastAsia" w:ascii="仿宋" w:hAnsi="仿宋" w:eastAsia="仿宋"/>
          <w:sz w:val="24"/>
          <w:szCs w:val="24"/>
        </w:rPr>
        <w:t>采购</w:t>
      </w:r>
      <w:r>
        <w:rPr>
          <w:rFonts w:ascii="仿宋" w:hAnsi="仿宋" w:eastAsia="仿宋"/>
          <w:sz w:val="24"/>
          <w:szCs w:val="24"/>
        </w:rPr>
        <w:t>人不承担任何责任。</w:t>
      </w:r>
    </w:p>
    <w:p w14:paraId="4B6C8ECE">
      <w:pPr>
        <w:pStyle w:val="361"/>
        <w:ind w:firstLine="480"/>
        <w:rPr>
          <w:rFonts w:ascii="仿宋" w:hAnsi="仿宋" w:eastAsia="仿宋"/>
          <w:sz w:val="24"/>
          <w:szCs w:val="24"/>
        </w:rPr>
      </w:pPr>
      <w:r>
        <w:rPr>
          <w:rFonts w:hint="eastAsia" w:ascii="仿宋" w:hAnsi="仿宋" w:eastAsia="仿宋"/>
          <w:sz w:val="24"/>
          <w:szCs w:val="24"/>
          <w:lang w:val="en-US" w:eastAsia="zh-CN"/>
        </w:rPr>
        <w:t>11</w:t>
      </w:r>
      <w:r>
        <w:rPr>
          <w:rFonts w:ascii="仿宋" w:hAnsi="仿宋" w:eastAsia="仿宋"/>
          <w:sz w:val="24"/>
          <w:szCs w:val="24"/>
        </w:rPr>
        <w:t>、</w:t>
      </w:r>
      <w:r>
        <w:rPr>
          <w:rFonts w:hint="eastAsia" w:ascii="仿宋" w:hAnsi="仿宋" w:eastAsia="仿宋"/>
          <w:sz w:val="24"/>
          <w:szCs w:val="24"/>
        </w:rPr>
        <w:t>供应商</w:t>
      </w:r>
      <w:r>
        <w:rPr>
          <w:rFonts w:ascii="仿宋" w:hAnsi="仿宋" w:eastAsia="仿宋"/>
          <w:sz w:val="24"/>
          <w:szCs w:val="24"/>
        </w:rPr>
        <w:t>在认真研读</w:t>
      </w:r>
      <w:r>
        <w:rPr>
          <w:rFonts w:hint="eastAsia" w:ascii="仿宋" w:hAnsi="仿宋" w:eastAsia="仿宋"/>
          <w:sz w:val="24"/>
          <w:szCs w:val="24"/>
        </w:rPr>
        <w:t>磋商</w:t>
      </w:r>
      <w:r>
        <w:rPr>
          <w:rFonts w:ascii="仿宋" w:hAnsi="仿宋" w:eastAsia="仿宋"/>
          <w:sz w:val="24"/>
          <w:szCs w:val="24"/>
        </w:rPr>
        <w:t>文件（含合同专用条款、工程量清单编制说明、工程量清单特征描述、招标图纸等）后，如有任何疑议、不明确或认为存在矛盾内容，请在</w:t>
      </w:r>
      <w:r>
        <w:rPr>
          <w:rFonts w:hint="eastAsia" w:ascii="仿宋" w:hAnsi="仿宋" w:eastAsia="仿宋"/>
          <w:sz w:val="24"/>
          <w:szCs w:val="24"/>
        </w:rPr>
        <w:t>磋商</w:t>
      </w:r>
      <w:r>
        <w:rPr>
          <w:rFonts w:ascii="仿宋" w:hAnsi="仿宋" w:eastAsia="仿宋"/>
          <w:sz w:val="24"/>
          <w:szCs w:val="24"/>
        </w:rPr>
        <w:t>文件规定的答疑截止时间之前，</w:t>
      </w:r>
      <w:r>
        <w:rPr>
          <w:rFonts w:hint="eastAsia" w:ascii="仿宋" w:hAnsi="仿宋" w:eastAsia="仿宋"/>
          <w:sz w:val="24"/>
          <w:szCs w:val="24"/>
        </w:rPr>
        <w:t>向采购代理机构</w:t>
      </w:r>
      <w:r>
        <w:rPr>
          <w:rFonts w:ascii="仿宋" w:hAnsi="仿宋" w:eastAsia="仿宋"/>
          <w:sz w:val="24"/>
          <w:szCs w:val="24"/>
        </w:rPr>
        <w:t>提出</w:t>
      </w:r>
      <w:r>
        <w:rPr>
          <w:rFonts w:hint="eastAsia" w:ascii="仿宋" w:hAnsi="仿宋" w:eastAsia="仿宋"/>
          <w:sz w:val="24"/>
          <w:szCs w:val="24"/>
        </w:rPr>
        <w:t>询问</w:t>
      </w:r>
      <w:r>
        <w:rPr>
          <w:rFonts w:ascii="仿宋" w:hAnsi="仿宋" w:eastAsia="仿宋"/>
          <w:sz w:val="24"/>
          <w:szCs w:val="24"/>
        </w:rPr>
        <w:t>。否则，</w:t>
      </w:r>
      <w:r>
        <w:rPr>
          <w:rFonts w:hint="eastAsia" w:ascii="仿宋" w:hAnsi="仿宋" w:eastAsia="仿宋"/>
          <w:sz w:val="24"/>
          <w:szCs w:val="24"/>
        </w:rPr>
        <w:t>供应商</w:t>
      </w:r>
      <w:r>
        <w:rPr>
          <w:rFonts w:ascii="仿宋" w:hAnsi="仿宋" w:eastAsia="仿宋"/>
          <w:sz w:val="24"/>
          <w:szCs w:val="24"/>
        </w:rPr>
        <w:t>对</w:t>
      </w:r>
      <w:r>
        <w:rPr>
          <w:rFonts w:hint="eastAsia" w:ascii="仿宋" w:hAnsi="仿宋" w:eastAsia="仿宋"/>
          <w:sz w:val="24"/>
          <w:szCs w:val="24"/>
        </w:rPr>
        <w:t>磋商</w:t>
      </w:r>
      <w:r>
        <w:rPr>
          <w:rFonts w:ascii="仿宋" w:hAnsi="仿宋" w:eastAsia="仿宋"/>
          <w:sz w:val="24"/>
          <w:szCs w:val="24"/>
        </w:rPr>
        <w:t>文件的任何错误理解，</w:t>
      </w:r>
      <w:r>
        <w:rPr>
          <w:rFonts w:hint="eastAsia" w:ascii="仿宋" w:hAnsi="仿宋" w:eastAsia="仿宋"/>
          <w:sz w:val="24"/>
          <w:szCs w:val="24"/>
        </w:rPr>
        <w:t>采购人</w:t>
      </w:r>
      <w:r>
        <w:rPr>
          <w:rFonts w:ascii="仿宋" w:hAnsi="仿宋" w:eastAsia="仿宋"/>
          <w:sz w:val="24"/>
          <w:szCs w:val="24"/>
        </w:rPr>
        <w:t>不承担任何责任。</w:t>
      </w:r>
    </w:p>
    <w:p w14:paraId="3B65274A">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六、报价说明</w:t>
      </w:r>
    </w:p>
    <w:p w14:paraId="550A5A45">
      <w:pPr>
        <w:pStyle w:val="361"/>
        <w:ind w:firstLine="480" w:firstLineChars="0"/>
        <w:rPr>
          <w:rFonts w:hint="eastAsia" w:ascii="仿宋" w:hAnsi="仿宋" w:eastAsia="仿宋"/>
          <w:sz w:val="24"/>
          <w:szCs w:val="24"/>
        </w:rPr>
      </w:pPr>
      <w:r>
        <w:rPr>
          <w:rFonts w:hint="eastAsia" w:ascii="仿宋" w:hAnsi="仿宋" w:eastAsia="仿宋"/>
          <w:sz w:val="24"/>
          <w:szCs w:val="24"/>
        </w:rPr>
        <w:t>1、本项目采用固定单价合同，供应商报价时应根据清单、磋商文件、施工图纸、答疑及现场踏勘情况，充分考虑施工期间各类建材的市场风险、政策性调整确定风险系数计入投标报价，合同单价原则上今后不作调整。供应商自行考虑施工过程中可能发生的与采购人、周边单位等的配合协调工作，采购人给予协助，相关费用含在投标报价中。</w:t>
      </w:r>
    </w:p>
    <w:p w14:paraId="4DBF2C37">
      <w:pPr>
        <w:pStyle w:val="361"/>
        <w:ind w:firstLine="480"/>
        <w:rPr>
          <w:rFonts w:hint="eastAsia" w:ascii="仿宋" w:hAnsi="仿宋" w:eastAsia="仿宋"/>
          <w:sz w:val="24"/>
          <w:szCs w:val="24"/>
        </w:rPr>
      </w:pPr>
      <w:r>
        <w:rPr>
          <w:rFonts w:hint="eastAsia" w:ascii="仿宋" w:hAnsi="仿宋" w:eastAsia="仿宋"/>
          <w:sz w:val="24"/>
          <w:szCs w:val="24"/>
        </w:rPr>
        <w:t>2、供应商应进行现场踏勘并结合招标图纸以充分了解工地位置、环境、道路、周边管线、储存空间、装卸限制、相邻建筑物安全、通行协调、赶工措施及其他任何足以影响报价之情况，结合企业自身条件，在投标报价中合理确定各项费用。</w:t>
      </w:r>
    </w:p>
    <w:p w14:paraId="3137A7CD">
      <w:pPr>
        <w:pStyle w:val="361"/>
        <w:ind w:firstLine="480"/>
        <w:rPr>
          <w:rFonts w:hint="eastAsia" w:ascii="仿宋" w:hAnsi="仿宋" w:eastAsia="仿宋"/>
          <w:sz w:val="24"/>
          <w:szCs w:val="24"/>
        </w:rPr>
      </w:pPr>
      <w:r>
        <w:rPr>
          <w:rFonts w:hint="eastAsia" w:ascii="仿宋" w:hAnsi="仿宋" w:eastAsia="仿宋"/>
          <w:sz w:val="24"/>
          <w:szCs w:val="24"/>
        </w:rPr>
        <w:t>3、投标报价应包括招标文件所确定的招标范围内相应图纸的全部内容，以及为完成上述内容所必需的人工费、施工机械使用费、材料费、运杂费、缺陷修复费、保险费、临时设施、现场安全文明、环境保护、符合规范要求的施工围挡、成品保护、移交前场地看护、施工环境及条件、材料二次倒运、交叉配合费、通行、管理费、利润、税金以及合同明示或暗示的风险、责任和义务等为完成本工程项目所涉及的全部费用，上述费用均已包含在投标报价中。</w:t>
      </w:r>
    </w:p>
    <w:p w14:paraId="2C4B5AAC">
      <w:pPr>
        <w:pStyle w:val="361"/>
        <w:ind w:firstLine="480"/>
        <w:rPr>
          <w:rFonts w:hint="eastAsia" w:ascii="仿宋" w:hAnsi="仿宋" w:eastAsia="仿宋"/>
          <w:sz w:val="24"/>
          <w:szCs w:val="24"/>
        </w:rPr>
      </w:pPr>
      <w:r>
        <w:rPr>
          <w:rFonts w:hint="eastAsia" w:ascii="仿宋" w:hAnsi="仿宋" w:eastAsia="仿宋"/>
          <w:sz w:val="24"/>
          <w:szCs w:val="24"/>
        </w:rPr>
        <w:t>4、本工程量清单，是根据采购人提供的施工图纸（设计变更）、相关规范、现场勘察情况、工程经验等，为保证工程量清单完整性而编制，部分子项在本项目实施过程中可能不会发生，采购人保留根据工程实际情况及设计变更增减工程量的权利，采购人有权对未发生的子项进行删减或取消，供应商不得以该子项利润率高等任何理由要求采购人对此进行费用补偿。</w:t>
      </w:r>
    </w:p>
    <w:p w14:paraId="1D82FA04">
      <w:pPr>
        <w:pStyle w:val="361"/>
        <w:ind w:firstLine="480"/>
        <w:rPr>
          <w:rFonts w:hint="eastAsia" w:ascii="仿宋" w:hAnsi="仿宋" w:eastAsia="仿宋"/>
          <w:sz w:val="24"/>
          <w:szCs w:val="24"/>
        </w:rPr>
      </w:pPr>
      <w:r>
        <w:rPr>
          <w:rFonts w:hint="eastAsia" w:ascii="仿宋" w:hAnsi="仿宋" w:eastAsia="仿宋"/>
          <w:sz w:val="24"/>
          <w:szCs w:val="24"/>
        </w:rPr>
        <w:t>5、报价中分部分项工程量清单计价表中相同子目（项目名称、计量单位与项目特征相同）综合单价应保持一致，相同分部分项工程量清单（项目名称、计量单位与项目特征相同）综合单价如有不一致的，结算时按单价最低者计取。</w:t>
      </w:r>
    </w:p>
    <w:p w14:paraId="4B7DACB9">
      <w:pPr>
        <w:pStyle w:val="361"/>
        <w:ind w:firstLine="480"/>
        <w:rPr>
          <w:rFonts w:hint="eastAsia" w:ascii="仿宋" w:hAnsi="仿宋" w:eastAsia="仿宋"/>
          <w:sz w:val="24"/>
          <w:szCs w:val="24"/>
        </w:rPr>
      </w:pPr>
      <w:r>
        <w:rPr>
          <w:rFonts w:hint="eastAsia" w:ascii="仿宋" w:hAnsi="仿宋" w:eastAsia="仿宋"/>
          <w:sz w:val="24"/>
          <w:szCs w:val="24"/>
        </w:rPr>
        <w:t>6、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p>
    <w:p w14:paraId="12E317BB">
      <w:pPr>
        <w:pStyle w:val="361"/>
        <w:ind w:firstLine="480"/>
        <w:rPr>
          <w:rFonts w:hint="eastAsia" w:ascii="仿宋" w:hAnsi="仿宋" w:eastAsia="仿宋"/>
          <w:sz w:val="24"/>
          <w:szCs w:val="24"/>
        </w:rPr>
      </w:pPr>
      <w:r>
        <w:rPr>
          <w:rFonts w:hint="eastAsia" w:ascii="仿宋" w:hAnsi="仿宋" w:eastAsia="仿宋"/>
          <w:sz w:val="24"/>
          <w:szCs w:val="24"/>
        </w:rPr>
        <w:t xml:space="preserve">7、供应商应充分了解本项目的实际情况，供应商在报价中应充分考虑施工人员的管理、临时住房、管理用房、临时卫生设施、工地临时的排污措施、所有为实体施工而建设的临时建筑物和构筑物等的拆除、建筑垃圾的外运等一切非实体项目的临时设施费用，施工过程中不得提出任何附加条件及增加相关费用。   </w:t>
      </w:r>
    </w:p>
    <w:p w14:paraId="520ECFA8">
      <w:pPr>
        <w:pStyle w:val="361"/>
        <w:ind w:firstLine="480"/>
        <w:rPr>
          <w:rFonts w:hint="eastAsia" w:ascii="仿宋" w:hAnsi="仿宋" w:eastAsia="仿宋"/>
          <w:sz w:val="24"/>
          <w:szCs w:val="24"/>
        </w:rPr>
      </w:pPr>
      <w:r>
        <w:rPr>
          <w:rFonts w:hint="eastAsia" w:ascii="仿宋" w:hAnsi="仿宋" w:eastAsia="仿宋"/>
          <w:sz w:val="24"/>
          <w:szCs w:val="24"/>
        </w:rPr>
        <w:t>8、地上、地下管线设施及相邻建筑物的临时保护措施费，供应商须在总价措施项目费用中自行考虑，合理报价；其中地下管线、设施保护工作，请各供应商重视，该类工作包括但不限于，管线设施挖洞、探槽、围挡保护费、盖板遮盖费、安全警示标识费、裸露管线设施临时性包裹及临时性支撑费、专人值守专人指挥费、加强安全教育培训费、机械及人工降效费等所有非实体类的费用，结算时不做任何调整。对于部分地下管线设施，如需进行永久性加固保护、迁移的，承包人在施工前须编制专项方案，并报采购单位、监理单位审批，审批合格后方可实施。</w:t>
      </w:r>
    </w:p>
    <w:p w14:paraId="4932490C">
      <w:pPr>
        <w:pStyle w:val="361"/>
        <w:ind w:firstLine="480"/>
        <w:rPr>
          <w:rFonts w:hint="eastAsia" w:ascii="仿宋" w:hAnsi="仿宋" w:eastAsia="仿宋"/>
          <w:sz w:val="24"/>
          <w:szCs w:val="24"/>
        </w:rPr>
      </w:pPr>
      <w:r>
        <w:rPr>
          <w:rFonts w:hint="eastAsia" w:ascii="仿宋" w:hAnsi="仿宋" w:eastAsia="仿宋"/>
          <w:sz w:val="24"/>
          <w:szCs w:val="24"/>
        </w:rPr>
        <w:t>9、供应商的报价中，应将施工期间各类建材的市场价格风险、机械费用等风险考虑到报价内。除招标文件或施工合同条款中另有规定，上述风险费用今后不作调整。</w:t>
      </w:r>
    </w:p>
    <w:p w14:paraId="43BD3C58">
      <w:pPr>
        <w:pStyle w:val="361"/>
        <w:ind w:firstLine="480"/>
        <w:rPr>
          <w:rFonts w:hint="eastAsia" w:ascii="仿宋" w:hAnsi="仿宋" w:eastAsia="仿宋"/>
          <w:sz w:val="24"/>
          <w:szCs w:val="24"/>
        </w:rPr>
      </w:pPr>
      <w:r>
        <w:rPr>
          <w:rFonts w:hint="eastAsia" w:ascii="仿宋" w:hAnsi="仿宋" w:eastAsia="仿宋"/>
          <w:sz w:val="24"/>
          <w:szCs w:val="24"/>
        </w:rPr>
        <w:t xml:space="preserve">10、施工过程中不能损坏周边及校区道路、人行道、路牙、绿化及相关配套设施，如有损坏需负责修复并承担相关费用。由承包人负责沿线道路保洁工作。上述费用均由供应商考虑在报价中，结算时不予调整。 </w:t>
      </w:r>
    </w:p>
    <w:p w14:paraId="02BF8722">
      <w:pPr>
        <w:pStyle w:val="361"/>
        <w:ind w:firstLine="480"/>
        <w:rPr>
          <w:rFonts w:hint="eastAsia" w:ascii="仿宋" w:hAnsi="仿宋" w:eastAsia="仿宋"/>
          <w:sz w:val="24"/>
          <w:szCs w:val="24"/>
        </w:rPr>
      </w:pPr>
      <w:r>
        <w:rPr>
          <w:rFonts w:hint="eastAsia" w:ascii="仿宋" w:hAnsi="仿宋" w:eastAsia="仿宋"/>
          <w:sz w:val="24"/>
          <w:szCs w:val="24"/>
        </w:rPr>
        <w:t xml:space="preserve">11、本工程供应商需负责项目移交前场地的看护，相关费用应考虑在报价中，结算时不予调整。 </w:t>
      </w:r>
    </w:p>
    <w:p w14:paraId="6D1FB520">
      <w:pPr>
        <w:pStyle w:val="361"/>
        <w:ind w:firstLine="480"/>
        <w:rPr>
          <w:rFonts w:hint="eastAsia" w:ascii="仿宋" w:hAnsi="仿宋" w:eastAsia="仿宋"/>
          <w:sz w:val="24"/>
          <w:szCs w:val="24"/>
        </w:rPr>
      </w:pPr>
      <w:r>
        <w:rPr>
          <w:rFonts w:hint="eastAsia" w:ascii="仿宋" w:hAnsi="仿宋" w:eastAsia="仿宋"/>
          <w:sz w:val="24"/>
          <w:szCs w:val="24"/>
        </w:rPr>
        <w:t xml:space="preserve">12、供应商要考虑施工过程中的安全风险，由于自身原因发生的安全事故不仅要承担本次事故的所有处理费用，还应当承担采购方全部的损失费。 </w:t>
      </w:r>
    </w:p>
    <w:p w14:paraId="7F0A5FDF">
      <w:pPr>
        <w:pStyle w:val="361"/>
        <w:ind w:firstLine="480"/>
        <w:rPr>
          <w:rFonts w:hint="eastAsia" w:ascii="仿宋" w:hAnsi="仿宋" w:eastAsia="仿宋"/>
          <w:sz w:val="24"/>
          <w:szCs w:val="24"/>
        </w:rPr>
      </w:pPr>
      <w:r>
        <w:rPr>
          <w:rFonts w:hint="eastAsia" w:ascii="仿宋" w:hAnsi="仿宋" w:eastAsia="仿宋"/>
          <w:sz w:val="24"/>
          <w:szCs w:val="24"/>
        </w:rPr>
        <w:t>13、成交后，必须提供项目主要管理人员名单（详见合同附件：承包人主要施工管理人员表）项目部的管理人员要配备齐全，除项目负责人外，项目管理机构组成至少还须包括技术负责人、施工员、安全员、质量员等。</w:t>
      </w:r>
    </w:p>
    <w:p w14:paraId="4A24843B">
      <w:pPr>
        <w:pStyle w:val="361"/>
        <w:ind w:firstLine="480"/>
        <w:rPr>
          <w:rFonts w:hint="eastAsia" w:ascii="仿宋" w:hAnsi="仿宋" w:eastAsia="仿宋"/>
          <w:sz w:val="24"/>
          <w:szCs w:val="24"/>
        </w:rPr>
      </w:pPr>
      <w:r>
        <w:rPr>
          <w:rFonts w:hint="eastAsia" w:ascii="仿宋" w:hAnsi="仿宋" w:eastAsia="仿宋"/>
          <w:sz w:val="24"/>
          <w:szCs w:val="24"/>
        </w:rPr>
        <w:t>14、现场提供水电接入点，生活及施工所需水、电相关接入费用由供应商自行考虑并承担；施工所需的水、电费由供应商承担。无论供应商是否在投标报价中单独列示，采购人均认为上述费用已包含在签约合同价款中，不再另行支付。</w:t>
      </w:r>
    </w:p>
    <w:p w14:paraId="554BC79E">
      <w:pPr>
        <w:pStyle w:val="361"/>
        <w:ind w:firstLine="480"/>
        <w:rPr>
          <w:rFonts w:ascii="仿宋" w:hAnsi="仿宋" w:eastAsia="仿宋"/>
          <w:sz w:val="24"/>
          <w:szCs w:val="24"/>
        </w:rPr>
      </w:pPr>
      <w:r>
        <w:rPr>
          <w:rFonts w:hint="eastAsia" w:ascii="仿宋" w:hAnsi="仿宋" w:eastAsia="仿宋"/>
          <w:sz w:val="24"/>
          <w:szCs w:val="24"/>
        </w:rPr>
        <w:t>15、因校园内不具备放置办公室、宿舍集装箱条件，故采购人不提供临时设施搭设场地，不允许设置食堂开火、不允许设置宿舍住人等，供应商须自行考虑。</w:t>
      </w:r>
    </w:p>
    <w:p w14:paraId="297BC394">
      <w:pPr>
        <w:pStyle w:val="361"/>
        <w:ind w:firstLine="480"/>
        <w:rPr>
          <w:rFonts w:hint="eastAsia" w:ascii="仿宋" w:hAnsi="仿宋" w:eastAsia="仿宋"/>
          <w:sz w:val="24"/>
          <w:szCs w:val="24"/>
        </w:rPr>
      </w:pPr>
      <w:r>
        <w:rPr>
          <w:rFonts w:hint="eastAsia" w:ascii="仿宋" w:hAnsi="仿宋" w:eastAsia="仿宋"/>
          <w:sz w:val="24"/>
          <w:szCs w:val="24"/>
        </w:rPr>
        <w:t>16、本项目采购人如采用数字化管理平台管理项目，中标人必须按照采购人要求使用数字化管理平台并承担账号开通及使用所发生的一切费用。（包括但不限于按要求办理企业及项目参与人员CA，开通项目管理指定银行账户及相关授权，按照采购人要求使用等，具体以采购人指令为准）。</w:t>
      </w:r>
    </w:p>
    <w:p w14:paraId="48010604">
      <w:pPr>
        <w:pStyle w:val="361"/>
        <w:ind w:firstLine="480"/>
        <w:rPr>
          <w:rFonts w:ascii="仿宋" w:hAnsi="仿宋" w:eastAsia="仿宋"/>
          <w:sz w:val="24"/>
          <w:szCs w:val="24"/>
        </w:rPr>
      </w:pPr>
      <w:r>
        <w:rPr>
          <w:rFonts w:hint="eastAsia" w:ascii="仿宋" w:hAnsi="仿宋" w:eastAsia="仿宋"/>
          <w:sz w:val="24"/>
          <w:szCs w:val="24"/>
        </w:rPr>
        <w:t>17、本项目拟报质量监督及施工许可，供应商需无条件配合，过程中所涉及的相关费用由供应商综合考虑在报价中，结算不调整。</w:t>
      </w:r>
    </w:p>
    <w:p w14:paraId="40006E59">
      <w:pPr>
        <w:pStyle w:val="361"/>
        <w:ind w:firstLine="480"/>
        <w:rPr>
          <w:rFonts w:hint="eastAsia" w:ascii="仿宋" w:hAnsi="仿宋" w:eastAsia="仿宋"/>
          <w:sz w:val="24"/>
          <w:szCs w:val="24"/>
        </w:rPr>
      </w:pPr>
      <w:r>
        <w:rPr>
          <w:rFonts w:hint="eastAsia" w:ascii="仿宋" w:hAnsi="仿宋" w:eastAsia="仿宋"/>
          <w:sz w:val="24"/>
          <w:szCs w:val="24"/>
        </w:rPr>
        <w:t>18、供应商准备和参加投标活动发生的费用自理。</w:t>
      </w:r>
    </w:p>
    <w:p w14:paraId="7DDAEA33">
      <w:pPr>
        <w:pStyle w:val="361"/>
        <w:ind w:firstLine="480"/>
        <w:rPr>
          <w:rFonts w:hint="eastAsia" w:ascii="仿宋" w:hAnsi="仿宋" w:eastAsia="仿宋"/>
          <w:sz w:val="24"/>
          <w:szCs w:val="24"/>
        </w:rPr>
      </w:pPr>
      <w:r>
        <w:rPr>
          <w:rFonts w:hint="eastAsia" w:ascii="仿宋" w:hAnsi="仿宋" w:eastAsia="仿宋"/>
          <w:sz w:val="24"/>
          <w:szCs w:val="24"/>
        </w:rPr>
        <w:t>19、外立面涂料及真石漆均须样板先行，（样板不小于1平方，位置由发包人指定）待确认后方可全面展开施工。</w:t>
      </w:r>
    </w:p>
    <w:p w14:paraId="4E906812">
      <w:pPr>
        <w:pStyle w:val="361"/>
        <w:ind w:firstLine="480"/>
        <w:rPr>
          <w:rFonts w:hint="eastAsia" w:ascii="仿宋" w:hAnsi="仿宋" w:eastAsia="仿宋"/>
          <w:sz w:val="24"/>
          <w:szCs w:val="24"/>
        </w:rPr>
      </w:pPr>
      <w:r>
        <w:rPr>
          <w:rFonts w:hint="eastAsia" w:ascii="仿宋" w:hAnsi="仿宋" w:eastAsia="仿宋"/>
          <w:sz w:val="24"/>
          <w:szCs w:val="24"/>
        </w:rPr>
        <w:t>20、本项目实施过程中可能涉及对校园文化设施及厨房设施（包括不限于已设的楼宇标牌、文化栏、外挂花池、地面花箱及绿化、厨具设施）</w:t>
      </w:r>
      <w:r>
        <w:rPr>
          <w:rFonts w:hint="eastAsia" w:ascii="仿宋" w:hAnsi="仿宋" w:eastAsia="仿宋"/>
          <w:sz w:val="24"/>
          <w:szCs w:val="24"/>
          <w:lang w:val="en-US" w:eastAsia="zh-CN"/>
        </w:rPr>
        <w:t>按采购人要求</w:t>
      </w:r>
      <w:r>
        <w:rPr>
          <w:rFonts w:hint="eastAsia" w:ascii="仿宋" w:hAnsi="仿宋" w:eastAsia="仿宋"/>
          <w:sz w:val="24"/>
          <w:szCs w:val="24"/>
        </w:rPr>
        <w:t>进行临时拆除、移位及原状恢复等工作，涉及的相关费用供应商均须充分考虑在本次报价中，结算不调整。</w:t>
      </w:r>
    </w:p>
    <w:p w14:paraId="789532CD">
      <w:pPr>
        <w:pStyle w:val="361"/>
        <w:ind w:firstLine="480"/>
        <w:rPr>
          <w:rFonts w:hint="eastAsia" w:ascii="仿宋" w:hAnsi="仿宋" w:eastAsia="仿宋"/>
          <w:sz w:val="24"/>
          <w:szCs w:val="24"/>
        </w:rPr>
      </w:pPr>
      <w:r>
        <w:rPr>
          <w:rFonts w:hint="eastAsia" w:ascii="仿宋" w:hAnsi="仿宋" w:eastAsia="仿宋"/>
          <w:sz w:val="24"/>
          <w:szCs w:val="24"/>
        </w:rPr>
        <w:t>21、校区内楼栋外立面周边景观绿化可能影响维修改造施工条件，须供应商充分考虑在本次报价中，结算不调整。</w:t>
      </w:r>
    </w:p>
    <w:p w14:paraId="0239C125">
      <w:pPr>
        <w:pStyle w:val="361"/>
        <w:ind w:firstLine="480"/>
        <w:rPr>
          <w:rFonts w:hint="eastAsia" w:ascii="仿宋" w:hAnsi="仿宋" w:eastAsia="仿宋"/>
          <w:sz w:val="24"/>
          <w:szCs w:val="24"/>
        </w:rPr>
      </w:pPr>
      <w:r>
        <w:rPr>
          <w:rFonts w:hint="eastAsia" w:ascii="仿宋" w:hAnsi="仿宋" w:eastAsia="仿宋" w:cs="Times New Roman"/>
          <w:sz w:val="24"/>
          <w:szCs w:val="24"/>
          <w:u w:val="none"/>
          <w:lang w:val="en-US" w:eastAsia="zh-CN"/>
        </w:rPr>
        <w:t>22、外立面周边景观绿化影响维修改造施工条件的，维修施工破坏的及校舍北侧绿化已出现稀疏需补种的，供应商均需充分考虑在本次报价中，结算不调整。</w:t>
      </w:r>
    </w:p>
    <w:p w14:paraId="65B8D176">
      <w:pPr>
        <w:pStyle w:val="361"/>
        <w:ind w:firstLine="480"/>
        <w:rPr>
          <w:rFonts w:ascii="仿宋" w:hAnsi="仿宋" w:eastAsia="仿宋"/>
          <w:sz w:val="24"/>
          <w:szCs w:val="24"/>
        </w:rPr>
      </w:pPr>
      <w:r>
        <w:rPr>
          <w:rFonts w:hint="eastAsia" w:ascii="仿宋" w:hAnsi="仿宋" w:eastAsia="仿宋"/>
          <w:sz w:val="24"/>
          <w:szCs w:val="24"/>
          <w:lang w:val="en-US" w:eastAsia="zh-CN"/>
        </w:rPr>
        <w:t>23</w:t>
      </w:r>
      <w:r>
        <w:rPr>
          <w:rFonts w:hint="eastAsia" w:ascii="仿宋" w:hAnsi="仿宋" w:eastAsia="仿宋"/>
          <w:sz w:val="24"/>
          <w:szCs w:val="24"/>
        </w:rPr>
        <w:t>、供应商施工车辆及材料运输车辆载重须满足校园内部道路限载要求及道路保护措施，如出现损坏需无条件复原，费用自理。</w:t>
      </w:r>
    </w:p>
    <w:p w14:paraId="30476994">
      <w:pPr>
        <w:pStyle w:val="361"/>
        <w:ind w:firstLine="480"/>
        <w:rPr>
          <w:rFonts w:hint="eastAsia" w:ascii="仿宋" w:hAnsi="仿宋" w:eastAsia="仿宋"/>
          <w:sz w:val="24"/>
          <w:szCs w:val="24"/>
        </w:rPr>
      </w:pPr>
      <w:r>
        <w:rPr>
          <w:rFonts w:hint="eastAsia" w:ascii="仿宋" w:hAnsi="仿宋" w:eastAsia="仿宋"/>
          <w:sz w:val="24"/>
          <w:szCs w:val="24"/>
        </w:rPr>
        <w:t>24、本项目如需组织专家评审，涉及费用无论采购人是否单列均已包含在报价内，须供应商充分考虑。</w:t>
      </w:r>
    </w:p>
    <w:p w14:paraId="72EC8530">
      <w:pPr>
        <w:pStyle w:val="361"/>
        <w:ind w:firstLine="480"/>
        <w:rPr>
          <w:rFonts w:hint="default" w:ascii="仿宋" w:hAnsi="仿宋" w:eastAsia="仿宋"/>
          <w:sz w:val="24"/>
          <w:szCs w:val="24"/>
          <w:lang w:val="en-US" w:eastAsia="zh-CN"/>
        </w:rPr>
      </w:pPr>
      <w:r>
        <w:rPr>
          <w:rFonts w:hint="eastAsia" w:ascii="仿宋" w:hAnsi="仿宋" w:eastAsia="仿宋"/>
          <w:sz w:val="24"/>
          <w:szCs w:val="24"/>
          <w:lang w:val="en-US" w:eastAsia="zh-CN"/>
        </w:rPr>
        <w:t>25、本项目为既有项目的维修改造，供应商在踏勘现场时需充分了解现场实施条件，包括但不限于对实施、使用区域的成品保护措施，搭设学校大门处至运动场/操场的安全防护通道，相关费用需供应商综合考虑在报价中，结算不调整。</w:t>
      </w:r>
    </w:p>
    <w:p w14:paraId="1B239ED6">
      <w:pPr>
        <w:pStyle w:val="361"/>
        <w:ind w:firstLine="480"/>
        <w:rPr>
          <w:rFonts w:hint="eastAsia" w:ascii="仿宋" w:hAnsi="仿宋" w:eastAsia="仿宋"/>
          <w:sz w:val="24"/>
          <w:szCs w:val="24"/>
        </w:rPr>
      </w:pPr>
      <w:r>
        <w:rPr>
          <w:rFonts w:hint="eastAsia" w:ascii="仿宋" w:hAnsi="仿宋" w:eastAsia="仿宋"/>
          <w:sz w:val="24"/>
          <w:szCs w:val="24"/>
          <w:lang w:val="en-US" w:eastAsia="zh-CN"/>
        </w:rPr>
        <w:t>26</w:t>
      </w:r>
      <w:r>
        <w:rPr>
          <w:rFonts w:hint="eastAsia" w:ascii="仿宋" w:hAnsi="仿宋" w:eastAsia="仿宋"/>
          <w:sz w:val="24"/>
          <w:szCs w:val="24"/>
        </w:rPr>
        <w:t>、其他详见合同、工程量清单及编制说明。</w:t>
      </w:r>
    </w:p>
    <w:p w14:paraId="0B4298FF">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七、质量要求</w:t>
      </w:r>
    </w:p>
    <w:p w14:paraId="40073558">
      <w:pPr>
        <w:spacing w:line="360" w:lineRule="auto"/>
        <w:ind w:firstLine="480" w:firstLineChars="200"/>
        <w:rPr>
          <w:rFonts w:hint="eastAsia" w:ascii="仿宋" w:hAnsi="仿宋" w:eastAsia="仿宋" w:cs="仿宋"/>
          <w:sz w:val="24"/>
        </w:rPr>
      </w:pPr>
      <w:r>
        <w:rPr>
          <w:rFonts w:hint="eastAsia" w:ascii="仿宋" w:hAnsi="仿宋" w:eastAsia="仿宋" w:cs="仿宋"/>
          <w:sz w:val="24"/>
        </w:rPr>
        <w:t>工程质量符合</w:t>
      </w:r>
      <w:r>
        <w:rPr>
          <w:rFonts w:hint="eastAsia" w:ascii="仿宋" w:hAnsi="仿宋" w:eastAsia="仿宋" w:cs="仿宋"/>
          <w:sz w:val="24"/>
          <w:u w:val="single"/>
        </w:rPr>
        <w:t>国家工程质量验收标准及相关规范并达到合格（工程施工质量标准：施工质量符合设计图纸、国家及行业有关标准规范要求，工程质量达到国家及行业现行施工验收规范合格标准。物资采购质量标准：工程所有物资（设备、材料等）采购质量需符合现行国家标准及行业标准要求，合格率达到 100%。）</w:t>
      </w:r>
      <w:r>
        <w:rPr>
          <w:rFonts w:hint="eastAsia" w:ascii="仿宋" w:hAnsi="仿宋" w:eastAsia="仿宋" w:cs="仿宋"/>
          <w:sz w:val="24"/>
        </w:rPr>
        <w:t>标准。</w:t>
      </w:r>
    </w:p>
    <w:p w14:paraId="6C5EEA0E">
      <w:pPr>
        <w:pStyle w:val="361"/>
        <w:ind w:firstLine="480" w:firstLineChars="0"/>
        <w:rPr>
          <w:rFonts w:hint="eastAsia" w:ascii="仿宋" w:hAnsi="仿宋" w:eastAsia="仿宋" w:cs="仿宋"/>
          <w:b/>
          <w:bCs/>
          <w:sz w:val="24"/>
          <w:szCs w:val="24"/>
        </w:rPr>
      </w:pPr>
      <w:r>
        <w:rPr>
          <w:rFonts w:hint="eastAsia" w:ascii="仿宋" w:hAnsi="仿宋" w:eastAsia="仿宋"/>
          <w:sz w:val="24"/>
          <w:szCs w:val="24"/>
        </w:rPr>
        <w:t xml:space="preserve"> </w:t>
      </w:r>
      <w:r>
        <w:rPr>
          <w:rFonts w:hint="eastAsia" w:ascii="仿宋" w:hAnsi="仿宋" w:eastAsia="仿宋" w:cs="仿宋"/>
          <w:b/>
          <w:bCs/>
          <w:sz w:val="24"/>
          <w:szCs w:val="24"/>
        </w:rPr>
        <w:t>八、</w:t>
      </w:r>
      <w:r>
        <w:rPr>
          <w:rFonts w:hint="eastAsia" w:ascii="仿宋" w:hAnsi="仿宋" w:eastAsia="仿宋" w:cs="仿宋"/>
          <w:b/>
          <w:bCs/>
          <w:sz w:val="24"/>
          <w:szCs w:val="24"/>
          <w:lang w:val="en-US" w:eastAsia="zh-CN"/>
        </w:rPr>
        <w:t>材料</w:t>
      </w:r>
      <w:r>
        <w:rPr>
          <w:rFonts w:hint="eastAsia" w:ascii="仿宋" w:hAnsi="仿宋" w:eastAsia="仿宋" w:cs="仿宋"/>
          <w:b/>
          <w:bCs/>
          <w:sz w:val="24"/>
          <w:szCs w:val="24"/>
        </w:rPr>
        <w:t>要求</w:t>
      </w:r>
    </w:p>
    <w:p w14:paraId="0D437052">
      <w:pPr>
        <w:pStyle w:val="361"/>
        <w:ind w:firstLine="480" w:firstLineChars="0"/>
        <w:rPr>
          <w:rFonts w:hint="eastAsia" w:ascii="仿宋" w:hAnsi="仿宋" w:eastAsia="仿宋"/>
          <w:sz w:val="24"/>
          <w:szCs w:val="24"/>
        </w:rPr>
      </w:pPr>
      <w:r>
        <w:rPr>
          <w:rFonts w:hint="eastAsia" w:ascii="仿宋" w:hAnsi="仿宋" w:eastAsia="仿宋"/>
          <w:sz w:val="24"/>
          <w:szCs w:val="24"/>
        </w:rPr>
        <w:t>在施工过程中采购人有权对供应商进场材料进行随机抽检。若进场材料检测不合格达到两次，采购人将立即终止合同并保留追究供应商责任的权利。</w:t>
      </w:r>
    </w:p>
    <w:p w14:paraId="670BCEDD">
      <w:pPr>
        <w:pStyle w:val="361"/>
        <w:ind w:firstLine="480" w:firstLineChars="0"/>
        <w:rPr>
          <w:rFonts w:hint="eastAsia" w:ascii="仿宋" w:hAnsi="仿宋" w:eastAsia="仿宋" w:cs="仿宋"/>
          <w:b/>
          <w:bCs/>
          <w:sz w:val="24"/>
          <w:szCs w:val="24"/>
        </w:rPr>
      </w:pPr>
      <w:r>
        <w:rPr>
          <w:rFonts w:hint="eastAsia" w:ascii="仿宋" w:hAnsi="仿宋" w:eastAsia="仿宋" w:cs="仿宋"/>
          <w:b/>
          <w:bCs/>
          <w:sz w:val="24"/>
          <w:szCs w:val="24"/>
        </w:rPr>
        <w:t>九、图纸及工程量清单</w:t>
      </w:r>
    </w:p>
    <w:p w14:paraId="74BC8E46">
      <w:pPr>
        <w:pStyle w:val="361"/>
        <w:ind w:firstLine="0" w:firstLineChars="0"/>
        <w:rPr>
          <w:rFonts w:ascii="仿宋" w:hAnsi="仿宋" w:eastAsia="仿宋"/>
          <w:sz w:val="24"/>
          <w:szCs w:val="24"/>
        </w:rPr>
      </w:pPr>
      <w:r>
        <w:rPr>
          <w:rFonts w:hint="eastAsia" w:ascii="仿宋" w:hAnsi="仿宋" w:eastAsia="仿宋"/>
          <w:sz w:val="24"/>
          <w:szCs w:val="24"/>
        </w:rPr>
        <w:t xml:space="preserve">    本项目招标图纸及清单请自行前往网盘链接: </w:t>
      </w:r>
      <w:r>
        <w:rPr>
          <w:rFonts w:hint="eastAsia" w:ascii="仿宋" w:hAnsi="仿宋" w:eastAsia="仿宋"/>
          <w:sz w:val="24"/>
          <w:szCs w:val="24"/>
          <w:highlight w:val="yellow"/>
        </w:rPr>
        <w:t>https://pan.baidu.com/s/1jC9DWDF5A_9yUXR88m5s8A?pwd=trh2 提取码: trh2</w:t>
      </w:r>
      <w:r>
        <w:rPr>
          <w:rFonts w:hint="eastAsia" w:ascii="仿宋" w:hAnsi="仿宋" w:eastAsia="仿宋"/>
          <w:sz w:val="24"/>
          <w:szCs w:val="24"/>
        </w:rPr>
        <w:t xml:space="preserve"> 进行下载，链接中包含招标图纸及工程量清单编制说明、工程量清单表格，如获取过程中遇到困难，请联系采购代理单位。</w:t>
      </w:r>
    </w:p>
    <w:p w14:paraId="49E7F4BF">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特别说明：</w:t>
      </w:r>
    </w:p>
    <w:p w14:paraId="1524050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sz w:val="24"/>
          <w:szCs w:val="24"/>
        </w:rPr>
        <w:t>本章带★均为实质性要求，不允许负偏离，否则作为无效报价。</w:t>
      </w:r>
      <w:r>
        <w:rPr>
          <w:rFonts w:hint="eastAsia" w:ascii="仿宋" w:hAnsi="仿宋" w:eastAsia="仿宋" w:cs="仿宋"/>
          <w:color w:val="auto"/>
          <w:sz w:val="21"/>
        </w:rPr>
        <w:t> </w:t>
      </w:r>
    </w:p>
    <w:p w14:paraId="603EEBA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02E713C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1ABDC4A4">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44AD0D4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495DAD2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6278004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3A87C14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528E40B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2F46CC0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3F49060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34E37D4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26ACBAE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3F2DC98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405B388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2ABEF7C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20FF4B1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7947BAC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718462D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4FC233A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5D9AF0B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7201CC9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7E7BE9B4">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1AA0294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2CB8686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50D13D6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3EBF64B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60A1C73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746C593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56CF7E65">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r>
        <w:rPr>
          <w:rFonts w:hint="eastAsia" w:ascii="仿宋" w:hAnsi="仿宋" w:eastAsia="仿宋" w:cs="仿宋"/>
          <w:color w:val="auto"/>
        </w:rPr>
        <w:t xml:space="preserve">      </w:t>
      </w:r>
    </w:p>
    <w:p w14:paraId="45C2E5CE">
      <w:pPr>
        <w:rPr>
          <w:rFonts w:hint="eastAsia" w:ascii="仿宋" w:hAnsi="仿宋" w:eastAsia="仿宋" w:cs="仿宋"/>
          <w:color w:val="auto"/>
        </w:rPr>
      </w:pPr>
      <w:r>
        <w:rPr>
          <w:rFonts w:hint="eastAsia" w:ascii="仿宋" w:hAnsi="仿宋" w:eastAsia="仿宋" w:cs="仿宋"/>
          <w:color w:val="auto"/>
        </w:rPr>
        <w:br w:type="page"/>
      </w:r>
    </w:p>
    <w:p w14:paraId="42D6DE1B">
      <w:pPr>
        <w:pBdr>
          <w:top w:val="none" w:color="000000" w:sz="0" w:space="0"/>
          <w:left w:val="none" w:color="000000" w:sz="0" w:space="0"/>
          <w:bottom w:val="none" w:color="000000" w:sz="0" w:space="0"/>
          <w:right w:val="none" w:color="000000" w:sz="0" w:space="0"/>
        </w:pBdr>
        <w:spacing w:before="0" w:after="0"/>
        <w:ind w:left="0" w:right="0" w:firstLine="0"/>
        <w:jc w:val="center"/>
        <w:outlineLvl w:val="0"/>
        <w:rPr>
          <w:rFonts w:hint="eastAsia" w:ascii="仿宋" w:hAnsi="仿宋" w:eastAsia="仿宋" w:cs="仿宋"/>
          <w:color w:val="auto"/>
        </w:rPr>
      </w:pPr>
      <w:r>
        <w:rPr>
          <w:rFonts w:hint="eastAsia" w:ascii="仿宋" w:hAnsi="仿宋" w:eastAsia="仿宋" w:cs="仿宋"/>
          <w:b/>
          <w:color w:val="auto"/>
          <w:sz w:val="44"/>
        </w:rPr>
        <w:t>第五章 评审方法及评审标准</w:t>
      </w:r>
    </w:p>
    <w:p w14:paraId="328D92AB">
      <w:pPr>
        <w:spacing w:line="360" w:lineRule="auto"/>
        <w:outlineLvl w:val="2"/>
        <w:rPr>
          <w:rFonts w:ascii="仿宋" w:hAnsi="仿宋" w:eastAsia="仿宋" w:cs="仿宋"/>
          <w:b/>
          <w:bCs/>
          <w:sz w:val="24"/>
          <w:szCs w:val="24"/>
        </w:rPr>
      </w:pPr>
      <w:bookmarkStart w:id="8" w:name="_Toc25000"/>
      <w:bookmarkStart w:id="9" w:name="_Toc28919"/>
      <w:bookmarkStart w:id="10" w:name="_Toc11299"/>
      <w:bookmarkStart w:id="11" w:name="_Toc49171542"/>
      <w:r>
        <w:rPr>
          <w:rFonts w:hint="eastAsia" w:ascii="仿宋" w:hAnsi="仿宋" w:eastAsia="仿宋" w:cs="仿宋"/>
          <w:b/>
          <w:bCs/>
          <w:sz w:val="24"/>
          <w:szCs w:val="24"/>
        </w:rPr>
        <w:t>一、评审办法</w:t>
      </w:r>
      <w:bookmarkEnd w:id="8"/>
      <w:bookmarkEnd w:id="9"/>
      <w:bookmarkEnd w:id="10"/>
      <w:bookmarkEnd w:id="11"/>
    </w:p>
    <w:p w14:paraId="01EE1B9A">
      <w:pPr>
        <w:autoSpaceDE w:val="0"/>
        <w:autoSpaceDN w:val="0"/>
        <w:adjustRightIn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本次评审采用综合评分法，评分统计方法采用百分制（满分100分），小数点后保留2位。按评审后得分由高到低顺序排列，评审得分相同的，按最后磋商报价由低到高顺序排列，评审得分且磋商报价相同的，由</w:t>
      </w:r>
      <w:r>
        <w:rPr>
          <w:rFonts w:hint="eastAsia" w:ascii="仿宋" w:hAnsi="仿宋" w:eastAsia="仿宋" w:cs="仿宋"/>
          <w:sz w:val="24"/>
          <w:szCs w:val="24"/>
          <w:lang w:val="en-US" w:eastAsia="zh-CN"/>
        </w:rPr>
        <w:t>磋商小组抽签</w:t>
      </w:r>
      <w:r>
        <w:rPr>
          <w:rFonts w:hint="eastAsia" w:ascii="仿宋" w:hAnsi="仿宋" w:eastAsia="仿宋" w:cs="仿宋"/>
          <w:sz w:val="24"/>
          <w:szCs w:val="24"/>
        </w:rPr>
        <w:t>确定中标供应商排序。</w:t>
      </w:r>
    </w:p>
    <w:p w14:paraId="6D8D09F5">
      <w:pPr>
        <w:spacing w:line="360" w:lineRule="auto"/>
        <w:outlineLvl w:val="2"/>
        <w:rPr>
          <w:rFonts w:ascii="仿宋" w:hAnsi="仿宋" w:eastAsia="仿宋" w:cs="仿宋"/>
          <w:b/>
          <w:bCs/>
          <w:sz w:val="24"/>
          <w:szCs w:val="24"/>
        </w:rPr>
      </w:pPr>
      <w:bookmarkStart w:id="12" w:name="_Toc6654"/>
      <w:bookmarkStart w:id="13" w:name="_Toc29145"/>
      <w:bookmarkStart w:id="14" w:name="_Toc49171543"/>
      <w:bookmarkStart w:id="15" w:name="_Toc28248"/>
      <w:r>
        <w:rPr>
          <w:rFonts w:hint="eastAsia" w:ascii="仿宋" w:hAnsi="仿宋" w:eastAsia="仿宋" w:cs="仿宋"/>
          <w:b/>
          <w:bCs/>
          <w:sz w:val="24"/>
          <w:szCs w:val="24"/>
        </w:rPr>
        <w:t>二、资格性审查方法</w:t>
      </w:r>
      <w:bookmarkEnd w:id="12"/>
      <w:bookmarkEnd w:id="13"/>
      <w:bookmarkEnd w:id="14"/>
      <w:bookmarkEnd w:id="15"/>
    </w:p>
    <w:p w14:paraId="594C5FE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竞争性磋商采购项目响应文件开启结束后，采购人或者代理机构依据法律、法规及采购文件的规定，对供应商的资格进行审查，以确定供应商资格是否合格。</w:t>
      </w:r>
    </w:p>
    <w:p w14:paraId="1037B714">
      <w:pPr>
        <w:spacing w:line="360" w:lineRule="auto"/>
        <w:outlineLvl w:val="2"/>
        <w:rPr>
          <w:rFonts w:ascii="仿宋" w:hAnsi="仿宋" w:eastAsia="仿宋" w:cs="仿宋"/>
          <w:b/>
          <w:bCs/>
          <w:sz w:val="24"/>
          <w:szCs w:val="24"/>
        </w:rPr>
      </w:pPr>
      <w:bookmarkStart w:id="16" w:name="_Toc32591"/>
      <w:r>
        <w:rPr>
          <w:rFonts w:hint="eastAsia" w:ascii="仿宋" w:hAnsi="仿宋" w:eastAsia="仿宋" w:cs="仿宋"/>
          <w:b/>
          <w:bCs/>
          <w:sz w:val="24"/>
          <w:szCs w:val="24"/>
        </w:rPr>
        <w:t>三、评分标准</w:t>
      </w:r>
      <w:bookmarkEnd w:id="16"/>
    </w:p>
    <w:tbl>
      <w:tblPr>
        <w:tblStyle w:val="33"/>
        <w:tblW w:w="8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78"/>
        <w:gridCol w:w="5567"/>
        <w:gridCol w:w="738"/>
      </w:tblGrid>
      <w:tr w14:paraId="1725A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blHeader/>
        </w:trPr>
        <w:tc>
          <w:tcPr>
            <w:tcW w:w="696" w:type="dxa"/>
            <w:tcBorders>
              <w:top w:val="single" w:color="auto" w:sz="4" w:space="0"/>
              <w:left w:val="single" w:color="auto" w:sz="4" w:space="0"/>
              <w:bottom w:val="single" w:color="auto" w:sz="4" w:space="0"/>
              <w:right w:val="single" w:color="auto" w:sz="4" w:space="0"/>
            </w:tcBorders>
            <w:noWrap w:val="0"/>
            <w:vAlign w:val="center"/>
          </w:tcPr>
          <w:p w14:paraId="37DE8933">
            <w:pPr>
              <w:spacing w:line="360" w:lineRule="auto"/>
              <w:rPr>
                <w:rFonts w:hint="eastAsia" w:ascii="仿宋" w:hAnsi="仿宋" w:eastAsia="仿宋" w:cs="仿宋"/>
                <w:sz w:val="24"/>
                <w:szCs w:val="24"/>
              </w:rPr>
            </w:pPr>
            <w:r>
              <w:rPr>
                <w:rFonts w:hint="eastAsia" w:ascii="仿宋" w:hAnsi="仿宋" w:eastAsia="仿宋" w:cs="仿宋"/>
                <w:sz w:val="24"/>
                <w:szCs w:val="24"/>
              </w:rPr>
              <w:t>序号</w:t>
            </w: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F1BC9A5">
            <w:pPr>
              <w:spacing w:line="360" w:lineRule="auto"/>
              <w:rPr>
                <w:rFonts w:hint="eastAsia" w:ascii="仿宋" w:hAnsi="仿宋" w:eastAsia="仿宋" w:cs="仿宋"/>
                <w:sz w:val="24"/>
                <w:szCs w:val="24"/>
              </w:rPr>
            </w:pPr>
            <w:r>
              <w:rPr>
                <w:rFonts w:hint="eastAsia" w:ascii="仿宋" w:hAnsi="仿宋" w:eastAsia="仿宋" w:cs="仿宋"/>
                <w:sz w:val="24"/>
                <w:szCs w:val="24"/>
              </w:rPr>
              <w:t>评分因素</w:t>
            </w:r>
          </w:p>
        </w:tc>
        <w:tc>
          <w:tcPr>
            <w:tcW w:w="5567" w:type="dxa"/>
            <w:tcBorders>
              <w:top w:val="single" w:color="auto" w:sz="4" w:space="0"/>
              <w:left w:val="single" w:color="auto" w:sz="4" w:space="0"/>
              <w:bottom w:val="single" w:color="auto" w:sz="4" w:space="0"/>
              <w:right w:val="single" w:color="auto" w:sz="4" w:space="0"/>
            </w:tcBorders>
            <w:noWrap w:val="0"/>
            <w:vAlign w:val="center"/>
          </w:tcPr>
          <w:p w14:paraId="3256717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评审标准</w:t>
            </w:r>
          </w:p>
        </w:tc>
        <w:tc>
          <w:tcPr>
            <w:tcW w:w="738" w:type="dxa"/>
            <w:tcBorders>
              <w:top w:val="single" w:color="auto" w:sz="4" w:space="0"/>
              <w:left w:val="single" w:color="auto" w:sz="4" w:space="0"/>
              <w:bottom w:val="single" w:color="auto" w:sz="4" w:space="0"/>
              <w:right w:val="single" w:color="auto" w:sz="4" w:space="0"/>
            </w:tcBorders>
            <w:noWrap w:val="0"/>
            <w:vAlign w:val="center"/>
          </w:tcPr>
          <w:p w14:paraId="1808ABFF">
            <w:pPr>
              <w:spacing w:line="360" w:lineRule="auto"/>
              <w:rPr>
                <w:rFonts w:hint="eastAsia" w:ascii="仿宋" w:hAnsi="仿宋" w:eastAsia="仿宋" w:cs="仿宋"/>
                <w:sz w:val="24"/>
                <w:szCs w:val="24"/>
              </w:rPr>
            </w:pPr>
            <w:r>
              <w:rPr>
                <w:rFonts w:hint="eastAsia" w:ascii="仿宋" w:hAnsi="仿宋" w:eastAsia="仿宋" w:cs="仿宋"/>
                <w:sz w:val="24"/>
                <w:szCs w:val="24"/>
              </w:rPr>
              <w:t>分值</w:t>
            </w:r>
          </w:p>
        </w:tc>
      </w:tr>
      <w:tr w14:paraId="4FDC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5" w:hRule="atLeast"/>
          <w:tblHeader/>
        </w:trPr>
        <w:tc>
          <w:tcPr>
            <w:tcW w:w="696" w:type="dxa"/>
            <w:tcBorders>
              <w:top w:val="single" w:color="auto" w:sz="4" w:space="0"/>
              <w:left w:val="single" w:color="auto" w:sz="4" w:space="0"/>
              <w:bottom w:val="single" w:color="auto" w:sz="4" w:space="0"/>
              <w:right w:val="single" w:color="auto" w:sz="4" w:space="0"/>
            </w:tcBorders>
            <w:noWrap w:val="0"/>
            <w:vAlign w:val="center"/>
          </w:tcPr>
          <w:p w14:paraId="6F42A801">
            <w:pPr>
              <w:spacing w:line="360" w:lineRule="auto"/>
              <w:rPr>
                <w:rFonts w:hint="eastAsia" w:ascii="仿宋" w:hAnsi="仿宋" w:eastAsia="仿宋" w:cs="仿宋"/>
                <w:sz w:val="22"/>
              </w:rPr>
            </w:pPr>
            <w:r>
              <w:rPr>
                <w:rFonts w:hint="eastAsia" w:ascii="仿宋" w:hAnsi="仿宋" w:eastAsia="仿宋" w:cs="仿宋"/>
                <w:sz w:val="22"/>
              </w:rPr>
              <w:t>1</w:t>
            </w:r>
          </w:p>
        </w:tc>
        <w:tc>
          <w:tcPr>
            <w:tcW w:w="1178" w:type="dxa"/>
            <w:tcBorders>
              <w:top w:val="single" w:color="auto" w:sz="4" w:space="0"/>
              <w:left w:val="single" w:color="auto" w:sz="4" w:space="0"/>
              <w:right w:val="single" w:color="auto" w:sz="4" w:space="0"/>
            </w:tcBorders>
            <w:noWrap w:val="0"/>
            <w:vAlign w:val="center"/>
          </w:tcPr>
          <w:p w14:paraId="4256AD81">
            <w:pPr>
              <w:spacing w:line="360" w:lineRule="auto"/>
              <w:rPr>
                <w:rFonts w:hint="eastAsia" w:ascii="仿宋" w:hAnsi="仿宋" w:eastAsia="仿宋" w:cs="仿宋"/>
                <w:sz w:val="22"/>
              </w:rPr>
            </w:pPr>
            <w:r>
              <w:rPr>
                <w:rFonts w:hint="eastAsia" w:ascii="仿宋" w:hAnsi="仿宋" w:eastAsia="仿宋" w:cs="仿宋"/>
                <w:sz w:val="22"/>
              </w:rPr>
              <w:t>价格</w:t>
            </w:r>
          </w:p>
        </w:tc>
        <w:tc>
          <w:tcPr>
            <w:tcW w:w="5567" w:type="dxa"/>
            <w:tcBorders>
              <w:top w:val="single" w:color="auto" w:sz="4" w:space="0"/>
              <w:left w:val="single" w:color="auto" w:sz="4" w:space="0"/>
              <w:bottom w:val="single" w:color="auto" w:sz="4" w:space="0"/>
              <w:right w:val="single" w:color="auto" w:sz="4" w:space="0"/>
            </w:tcBorders>
            <w:noWrap w:val="0"/>
            <w:vAlign w:val="center"/>
          </w:tcPr>
          <w:p w14:paraId="519AEDCA">
            <w:pPr>
              <w:spacing w:line="360" w:lineRule="auto"/>
              <w:rPr>
                <w:rFonts w:hint="eastAsia" w:ascii="仿宋" w:hAnsi="仿宋" w:eastAsia="仿宋" w:cs="仿宋"/>
                <w:sz w:val="22"/>
              </w:rPr>
            </w:pPr>
            <w:r>
              <w:rPr>
                <w:rFonts w:hint="eastAsia" w:ascii="仿宋" w:hAnsi="仿宋" w:eastAsia="仿宋" w:cs="仿宋"/>
                <w:sz w:val="22"/>
              </w:rPr>
              <w:t>采用低价优先法计算，即满足竞争性磋商文件要求且价格最低的报价为评审基准价，其价格分为满分。</w:t>
            </w:r>
          </w:p>
          <w:p w14:paraId="0388F692">
            <w:pPr>
              <w:spacing w:line="360" w:lineRule="auto"/>
              <w:rPr>
                <w:rFonts w:hint="eastAsia" w:ascii="仿宋" w:hAnsi="仿宋" w:eastAsia="仿宋" w:cs="仿宋"/>
                <w:sz w:val="22"/>
              </w:rPr>
            </w:pPr>
            <w:r>
              <w:rPr>
                <w:rFonts w:hint="eastAsia" w:ascii="仿宋" w:hAnsi="仿宋" w:eastAsia="仿宋" w:cs="仿宋"/>
                <w:sz w:val="22"/>
              </w:rPr>
              <w:t>其他供应商的价格分统一按照下列公式计算：</w:t>
            </w:r>
          </w:p>
          <w:p w14:paraId="53AED73E">
            <w:pPr>
              <w:spacing w:line="360" w:lineRule="auto"/>
              <w:rPr>
                <w:rFonts w:hint="eastAsia" w:ascii="仿宋" w:hAnsi="仿宋" w:eastAsia="仿宋" w:cs="仿宋"/>
                <w:sz w:val="22"/>
              </w:rPr>
            </w:pPr>
            <w:r>
              <w:rPr>
                <w:rFonts w:hint="eastAsia" w:ascii="仿宋" w:hAnsi="仿宋" w:eastAsia="仿宋" w:cs="仿宋"/>
                <w:sz w:val="22"/>
              </w:rPr>
              <w:t>报价得分=(评审基准价/报价)×70（小数点保留两位）</w:t>
            </w:r>
          </w:p>
          <w:p w14:paraId="07994DE2">
            <w:pPr>
              <w:spacing w:line="360" w:lineRule="auto"/>
              <w:rPr>
                <w:rFonts w:hint="eastAsia" w:ascii="仿宋" w:hAnsi="仿宋" w:eastAsia="仿宋" w:cs="仿宋"/>
                <w:sz w:val="22"/>
              </w:rPr>
            </w:pPr>
            <w:r>
              <w:rPr>
                <w:rFonts w:hint="eastAsia" w:ascii="仿宋" w:hAnsi="仿宋" w:eastAsia="仿宋" w:cs="仿宋"/>
                <w:sz w:val="22"/>
              </w:rPr>
              <w:t>（各供应商最后报价结束后,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文件处理。）</w:t>
            </w:r>
          </w:p>
        </w:tc>
        <w:tc>
          <w:tcPr>
            <w:tcW w:w="738" w:type="dxa"/>
            <w:tcBorders>
              <w:top w:val="single" w:color="auto" w:sz="4" w:space="0"/>
              <w:left w:val="single" w:color="auto" w:sz="4" w:space="0"/>
              <w:bottom w:val="single" w:color="auto" w:sz="4" w:space="0"/>
              <w:right w:val="single" w:color="auto" w:sz="4" w:space="0"/>
            </w:tcBorders>
            <w:noWrap w:val="0"/>
            <w:vAlign w:val="center"/>
          </w:tcPr>
          <w:p w14:paraId="798F3BFD">
            <w:pPr>
              <w:spacing w:line="360" w:lineRule="auto"/>
              <w:rPr>
                <w:rFonts w:hint="eastAsia" w:ascii="仿宋" w:hAnsi="仿宋" w:eastAsia="仿宋" w:cs="仿宋"/>
                <w:sz w:val="22"/>
              </w:rPr>
            </w:pPr>
            <w:r>
              <w:rPr>
                <w:rFonts w:hint="eastAsia" w:ascii="仿宋" w:hAnsi="仿宋" w:eastAsia="仿宋" w:cs="仿宋"/>
                <w:sz w:val="22"/>
              </w:rPr>
              <w:t>70分</w:t>
            </w:r>
          </w:p>
        </w:tc>
      </w:tr>
      <w:tr w14:paraId="0A98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3" w:hRule="atLeast"/>
          <w:tblHeader/>
        </w:trPr>
        <w:tc>
          <w:tcPr>
            <w:tcW w:w="696" w:type="dxa"/>
            <w:tcBorders>
              <w:top w:val="single" w:color="auto" w:sz="4" w:space="0"/>
              <w:left w:val="single" w:color="auto" w:sz="4" w:space="0"/>
              <w:bottom w:val="single" w:color="auto" w:sz="4" w:space="0"/>
              <w:right w:val="single" w:color="auto" w:sz="4" w:space="0"/>
            </w:tcBorders>
            <w:noWrap w:val="0"/>
            <w:vAlign w:val="center"/>
          </w:tcPr>
          <w:p w14:paraId="675AFF47">
            <w:pPr>
              <w:spacing w:line="360" w:lineRule="auto"/>
              <w:rPr>
                <w:rFonts w:hint="eastAsia" w:ascii="仿宋" w:hAnsi="仿宋" w:eastAsia="仿宋" w:cs="仿宋"/>
                <w:sz w:val="22"/>
              </w:rPr>
            </w:pPr>
            <w:r>
              <w:rPr>
                <w:rFonts w:hint="eastAsia" w:ascii="仿宋" w:hAnsi="仿宋" w:eastAsia="仿宋" w:cs="仿宋"/>
                <w:sz w:val="22"/>
              </w:rPr>
              <w:t>2</w:t>
            </w:r>
          </w:p>
        </w:tc>
        <w:tc>
          <w:tcPr>
            <w:tcW w:w="1178" w:type="dxa"/>
            <w:tcBorders>
              <w:top w:val="single" w:color="auto" w:sz="4" w:space="0"/>
              <w:left w:val="single" w:color="auto" w:sz="4" w:space="0"/>
              <w:right w:val="single" w:color="auto" w:sz="4" w:space="0"/>
            </w:tcBorders>
            <w:noWrap w:val="0"/>
            <w:vAlign w:val="center"/>
          </w:tcPr>
          <w:p w14:paraId="3D763EA1">
            <w:pPr>
              <w:spacing w:line="360" w:lineRule="auto"/>
              <w:rPr>
                <w:rFonts w:hint="eastAsia" w:ascii="仿宋" w:hAnsi="仿宋" w:eastAsia="仿宋" w:cs="仿宋"/>
                <w:sz w:val="22"/>
              </w:rPr>
            </w:pPr>
            <w:r>
              <w:rPr>
                <w:rFonts w:hint="eastAsia" w:ascii="仿宋" w:hAnsi="仿宋" w:eastAsia="仿宋" w:cs="仿宋"/>
                <w:sz w:val="22"/>
              </w:rPr>
              <w:t>业绩</w:t>
            </w:r>
          </w:p>
        </w:tc>
        <w:tc>
          <w:tcPr>
            <w:tcW w:w="5567" w:type="dxa"/>
            <w:tcBorders>
              <w:top w:val="single" w:color="auto" w:sz="4" w:space="0"/>
              <w:left w:val="single" w:color="auto" w:sz="4" w:space="0"/>
              <w:bottom w:val="single" w:color="auto" w:sz="4" w:space="0"/>
              <w:right w:val="single" w:color="auto" w:sz="4" w:space="0"/>
            </w:tcBorders>
            <w:noWrap w:val="0"/>
            <w:vAlign w:val="center"/>
          </w:tcPr>
          <w:p w14:paraId="057FFAD5">
            <w:pPr>
              <w:spacing w:line="360" w:lineRule="auto"/>
              <w:rPr>
                <w:rFonts w:hint="eastAsia" w:ascii="仿宋" w:hAnsi="仿宋" w:eastAsia="仿宋" w:cs="仿宋"/>
                <w:sz w:val="22"/>
              </w:rPr>
            </w:pPr>
            <w:r>
              <w:rPr>
                <w:rFonts w:hint="eastAsia" w:ascii="仿宋" w:hAnsi="仿宋" w:eastAsia="仿宋" w:cs="仿宋"/>
                <w:sz w:val="22"/>
              </w:rPr>
              <w:t>2021年</w:t>
            </w:r>
            <w:r>
              <w:rPr>
                <w:rFonts w:hint="eastAsia" w:ascii="仿宋" w:hAnsi="仿宋" w:eastAsia="仿宋" w:cs="仿宋"/>
                <w:sz w:val="22"/>
                <w:lang w:val="en-US" w:eastAsia="zh-CN"/>
              </w:rPr>
              <w:t>5</w:t>
            </w:r>
            <w:r>
              <w:rPr>
                <w:rFonts w:hint="eastAsia" w:ascii="仿宋" w:hAnsi="仿宋" w:eastAsia="仿宋" w:cs="仿宋"/>
                <w:sz w:val="22"/>
              </w:rPr>
              <w:t>月1日以来，供应商完成过类似项目施工业绩的，每提供一个得6分，满分18分。时间以项目合同签订时间为准，提供项目合同及项目验收材料，两者缺一不可，以上材料必须能反映相关数据，提供材料复印件加盖公章放置响应文件中，否则视为未提供。</w:t>
            </w:r>
          </w:p>
        </w:tc>
        <w:tc>
          <w:tcPr>
            <w:tcW w:w="738" w:type="dxa"/>
            <w:tcBorders>
              <w:top w:val="single" w:color="auto" w:sz="4" w:space="0"/>
              <w:left w:val="single" w:color="auto" w:sz="4" w:space="0"/>
              <w:bottom w:val="single" w:color="auto" w:sz="4" w:space="0"/>
              <w:right w:val="single" w:color="auto" w:sz="4" w:space="0"/>
            </w:tcBorders>
            <w:noWrap w:val="0"/>
            <w:vAlign w:val="center"/>
          </w:tcPr>
          <w:p w14:paraId="584432BD">
            <w:pPr>
              <w:spacing w:line="360" w:lineRule="auto"/>
              <w:rPr>
                <w:rFonts w:hint="eastAsia" w:ascii="仿宋" w:hAnsi="仿宋" w:eastAsia="仿宋" w:cs="仿宋"/>
                <w:sz w:val="22"/>
              </w:rPr>
            </w:pPr>
            <w:r>
              <w:rPr>
                <w:rFonts w:hint="eastAsia" w:ascii="仿宋" w:hAnsi="仿宋" w:eastAsia="仿宋" w:cs="仿宋"/>
                <w:sz w:val="22"/>
              </w:rPr>
              <w:t>18分</w:t>
            </w:r>
          </w:p>
        </w:tc>
      </w:tr>
      <w:tr w14:paraId="0ED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3" w:hRule="atLeast"/>
          <w:tblHeader/>
        </w:trPr>
        <w:tc>
          <w:tcPr>
            <w:tcW w:w="696" w:type="dxa"/>
            <w:tcBorders>
              <w:top w:val="single" w:color="auto" w:sz="4" w:space="0"/>
              <w:left w:val="single" w:color="auto" w:sz="4" w:space="0"/>
              <w:bottom w:val="single" w:color="auto" w:sz="4" w:space="0"/>
              <w:right w:val="single" w:color="auto" w:sz="4" w:space="0"/>
            </w:tcBorders>
            <w:noWrap w:val="0"/>
            <w:vAlign w:val="center"/>
          </w:tcPr>
          <w:p w14:paraId="41A14685">
            <w:pPr>
              <w:spacing w:line="360" w:lineRule="auto"/>
              <w:rPr>
                <w:rFonts w:hint="eastAsia" w:ascii="仿宋" w:hAnsi="仿宋" w:eastAsia="仿宋" w:cs="仿宋"/>
                <w:sz w:val="22"/>
              </w:rPr>
            </w:pPr>
            <w:r>
              <w:rPr>
                <w:rFonts w:hint="eastAsia" w:ascii="仿宋" w:hAnsi="仿宋" w:eastAsia="仿宋" w:cs="仿宋"/>
                <w:sz w:val="22"/>
              </w:rPr>
              <w:t>3</w:t>
            </w:r>
          </w:p>
        </w:tc>
        <w:tc>
          <w:tcPr>
            <w:tcW w:w="1178" w:type="dxa"/>
            <w:tcBorders>
              <w:top w:val="single" w:color="auto" w:sz="4" w:space="0"/>
              <w:left w:val="single" w:color="auto" w:sz="4" w:space="0"/>
              <w:right w:val="single" w:color="auto" w:sz="4" w:space="0"/>
            </w:tcBorders>
            <w:noWrap w:val="0"/>
            <w:vAlign w:val="center"/>
          </w:tcPr>
          <w:p w14:paraId="168D8E16">
            <w:pPr>
              <w:spacing w:line="360" w:lineRule="auto"/>
              <w:rPr>
                <w:rFonts w:hint="eastAsia" w:ascii="仿宋" w:hAnsi="仿宋" w:eastAsia="仿宋" w:cs="仿宋"/>
                <w:sz w:val="22"/>
              </w:rPr>
            </w:pPr>
            <w:r>
              <w:rPr>
                <w:rFonts w:hint="eastAsia" w:ascii="仿宋" w:hAnsi="仿宋" w:eastAsia="仿宋" w:cs="仿宋"/>
                <w:sz w:val="22"/>
              </w:rPr>
              <w:t>技术力量配置</w:t>
            </w:r>
          </w:p>
        </w:tc>
        <w:tc>
          <w:tcPr>
            <w:tcW w:w="5567" w:type="dxa"/>
            <w:tcBorders>
              <w:top w:val="single" w:color="auto" w:sz="4" w:space="0"/>
              <w:left w:val="single" w:color="auto" w:sz="4" w:space="0"/>
              <w:bottom w:val="single" w:color="auto" w:sz="4" w:space="0"/>
              <w:right w:val="single" w:color="auto" w:sz="4" w:space="0"/>
            </w:tcBorders>
            <w:noWrap w:val="0"/>
            <w:vAlign w:val="center"/>
          </w:tcPr>
          <w:p w14:paraId="3BD47468">
            <w:pPr>
              <w:spacing w:line="360" w:lineRule="auto"/>
              <w:rPr>
                <w:rFonts w:hint="eastAsia" w:ascii="仿宋" w:hAnsi="仿宋" w:eastAsia="仿宋" w:cs="仿宋"/>
                <w:sz w:val="22"/>
              </w:rPr>
            </w:pPr>
            <w:r>
              <w:rPr>
                <w:rFonts w:hint="eastAsia" w:ascii="仿宋" w:hAnsi="仿宋" w:eastAsia="仿宋" w:cs="仿宋"/>
                <w:sz w:val="22"/>
              </w:rPr>
              <w:t>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p>
          <w:p w14:paraId="6EE47300">
            <w:pPr>
              <w:spacing w:line="360" w:lineRule="auto"/>
              <w:rPr>
                <w:rFonts w:hint="eastAsia" w:ascii="仿宋" w:hAnsi="仿宋" w:eastAsia="仿宋" w:cs="仿宋"/>
                <w:sz w:val="22"/>
              </w:rPr>
            </w:pPr>
            <w:r>
              <w:rPr>
                <w:rFonts w:hint="eastAsia" w:ascii="仿宋" w:hAnsi="仿宋" w:eastAsia="仿宋" w:cs="仿宋"/>
                <w:sz w:val="22"/>
              </w:rPr>
              <w:t>以上人员均须提供</w:t>
            </w:r>
            <w:r>
              <w:rPr>
                <w:rFonts w:hint="eastAsia" w:ascii="仿宋" w:hAnsi="仿宋" w:eastAsia="仿宋" w:cs="仿宋"/>
                <w:sz w:val="22"/>
                <w:lang w:bidi="zh-CN"/>
              </w:rPr>
              <w:t>有效证书</w:t>
            </w:r>
            <w:r>
              <w:rPr>
                <w:rFonts w:hint="eastAsia" w:ascii="仿宋" w:hAnsi="仿宋" w:eastAsia="仿宋" w:cs="仿宋"/>
                <w:sz w:val="22"/>
                <w:lang w:val="zh-CN" w:bidi="zh-CN"/>
              </w:rPr>
              <w:t>复印件加盖公章，</w:t>
            </w:r>
            <w:r>
              <w:rPr>
                <w:rFonts w:hint="eastAsia" w:ascii="仿宋" w:hAnsi="仿宋" w:eastAsia="仿宋" w:cs="仿宋"/>
                <w:sz w:val="22"/>
              </w:rPr>
              <w:t>采购活动前近半年（2025年</w:t>
            </w:r>
            <w:r>
              <w:rPr>
                <w:rFonts w:hint="eastAsia" w:ascii="仿宋" w:hAnsi="仿宋" w:eastAsia="仿宋" w:cs="仿宋"/>
                <w:sz w:val="22"/>
                <w:lang w:val="en-US" w:eastAsia="zh-CN"/>
              </w:rPr>
              <w:t>11</w:t>
            </w:r>
            <w:r>
              <w:rPr>
                <w:rFonts w:hint="eastAsia" w:ascii="仿宋" w:hAnsi="仿宋" w:eastAsia="仿宋" w:cs="仿宋"/>
                <w:sz w:val="22"/>
              </w:rPr>
              <w:t>月-</w:t>
            </w:r>
            <w:r>
              <w:rPr>
                <w:rFonts w:hint="eastAsia" w:ascii="仿宋" w:hAnsi="仿宋" w:eastAsia="仿宋" w:cs="仿宋"/>
                <w:sz w:val="22"/>
                <w:lang w:val="zh-CN" w:bidi="zh-CN"/>
              </w:rPr>
              <w:t>202</w:t>
            </w:r>
            <w:r>
              <w:rPr>
                <w:rFonts w:hint="eastAsia" w:ascii="仿宋" w:hAnsi="仿宋" w:eastAsia="仿宋" w:cs="仿宋"/>
                <w:sz w:val="22"/>
                <w:lang w:bidi="zh-CN"/>
              </w:rPr>
              <w:t>6</w:t>
            </w:r>
            <w:r>
              <w:rPr>
                <w:rFonts w:hint="eastAsia" w:ascii="仿宋" w:hAnsi="仿宋" w:eastAsia="仿宋" w:cs="仿宋"/>
                <w:sz w:val="22"/>
                <w:lang w:val="zh-CN" w:bidi="zh-CN"/>
              </w:rPr>
              <w:t>年</w:t>
            </w:r>
            <w:r>
              <w:rPr>
                <w:rFonts w:hint="eastAsia" w:ascii="仿宋" w:hAnsi="仿宋" w:eastAsia="仿宋" w:cs="仿宋"/>
                <w:sz w:val="22"/>
                <w:lang w:val="en-US" w:bidi="zh-CN"/>
              </w:rPr>
              <w:t>04</w:t>
            </w:r>
            <w:r>
              <w:rPr>
                <w:rFonts w:hint="eastAsia" w:ascii="仿宋" w:hAnsi="仿宋" w:eastAsia="仿宋" w:cs="仿宋"/>
                <w:sz w:val="22"/>
                <w:lang w:val="zh-CN" w:bidi="zh-CN"/>
              </w:rPr>
              <w:t>月）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p>
        </w:tc>
        <w:tc>
          <w:tcPr>
            <w:tcW w:w="738" w:type="dxa"/>
            <w:tcBorders>
              <w:top w:val="single" w:color="auto" w:sz="4" w:space="0"/>
              <w:left w:val="single" w:color="auto" w:sz="4" w:space="0"/>
              <w:bottom w:val="single" w:color="auto" w:sz="4" w:space="0"/>
              <w:right w:val="single" w:color="auto" w:sz="4" w:space="0"/>
            </w:tcBorders>
            <w:noWrap w:val="0"/>
            <w:vAlign w:val="center"/>
          </w:tcPr>
          <w:p w14:paraId="1BF3E9C0">
            <w:pPr>
              <w:spacing w:line="360" w:lineRule="auto"/>
              <w:rPr>
                <w:rFonts w:hint="eastAsia" w:ascii="仿宋" w:hAnsi="仿宋" w:eastAsia="仿宋" w:cs="仿宋"/>
                <w:sz w:val="22"/>
              </w:rPr>
            </w:pPr>
            <w:r>
              <w:rPr>
                <w:rFonts w:hint="eastAsia" w:ascii="仿宋" w:hAnsi="仿宋" w:eastAsia="仿宋" w:cs="仿宋"/>
                <w:sz w:val="22"/>
              </w:rPr>
              <w:t>4分</w:t>
            </w:r>
          </w:p>
        </w:tc>
      </w:tr>
      <w:tr w14:paraId="5A70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8" w:hRule="atLeast"/>
          <w:tblHeader/>
        </w:trPr>
        <w:tc>
          <w:tcPr>
            <w:tcW w:w="696" w:type="dxa"/>
            <w:tcBorders>
              <w:top w:val="single" w:color="auto" w:sz="4" w:space="0"/>
              <w:left w:val="single" w:color="auto" w:sz="4" w:space="0"/>
              <w:right w:val="single" w:color="auto" w:sz="4" w:space="0"/>
            </w:tcBorders>
            <w:noWrap w:val="0"/>
            <w:vAlign w:val="center"/>
          </w:tcPr>
          <w:p w14:paraId="30A8810B">
            <w:pPr>
              <w:spacing w:line="360" w:lineRule="auto"/>
              <w:rPr>
                <w:rFonts w:hint="eastAsia" w:ascii="仿宋" w:hAnsi="仿宋" w:eastAsia="仿宋" w:cs="仿宋"/>
                <w:sz w:val="22"/>
              </w:rPr>
            </w:pPr>
            <w:r>
              <w:rPr>
                <w:rFonts w:hint="eastAsia" w:ascii="仿宋" w:hAnsi="仿宋" w:eastAsia="仿宋" w:cs="仿宋"/>
                <w:sz w:val="22"/>
              </w:rPr>
              <w:t>4</w:t>
            </w:r>
          </w:p>
        </w:tc>
        <w:tc>
          <w:tcPr>
            <w:tcW w:w="1178" w:type="dxa"/>
            <w:tcBorders>
              <w:top w:val="single" w:color="auto" w:sz="4" w:space="0"/>
              <w:left w:val="single" w:color="auto" w:sz="4" w:space="0"/>
              <w:right w:val="single" w:color="auto" w:sz="4" w:space="0"/>
            </w:tcBorders>
            <w:noWrap w:val="0"/>
            <w:vAlign w:val="center"/>
          </w:tcPr>
          <w:p w14:paraId="30F7C647">
            <w:pPr>
              <w:spacing w:line="360" w:lineRule="auto"/>
              <w:rPr>
                <w:rFonts w:hint="eastAsia" w:ascii="仿宋" w:hAnsi="仿宋" w:eastAsia="仿宋" w:cs="仿宋"/>
                <w:sz w:val="22"/>
              </w:rPr>
            </w:pPr>
            <w:r>
              <w:rPr>
                <w:rFonts w:hint="eastAsia" w:ascii="仿宋" w:hAnsi="仿宋" w:eastAsia="仿宋" w:cs="仿宋"/>
                <w:sz w:val="22"/>
              </w:rPr>
              <w:t>项目负责人</w:t>
            </w:r>
          </w:p>
        </w:tc>
        <w:tc>
          <w:tcPr>
            <w:tcW w:w="5567" w:type="dxa"/>
            <w:tcBorders>
              <w:top w:val="single" w:color="auto" w:sz="4" w:space="0"/>
              <w:left w:val="single" w:color="auto" w:sz="4" w:space="0"/>
              <w:bottom w:val="single" w:color="auto" w:sz="4" w:space="0"/>
              <w:right w:val="single" w:color="auto" w:sz="4" w:space="0"/>
            </w:tcBorders>
            <w:noWrap w:val="0"/>
            <w:vAlign w:val="center"/>
          </w:tcPr>
          <w:p w14:paraId="6EA003AD">
            <w:pPr>
              <w:spacing w:line="360" w:lineRule="auto"/>
              <w:rPr>
                <w:rFonts w:hint="eastAsia" w:ascii="仿宋" w:hAnsi="仿宋" w:eastAsia="仿宋" w:cs="仿宋"/>
                <w:sz w:val="22"/>
              </w:rPr>
            </w:pPr>
            <w:r>
              <w:rPr>
                <w:rFonts w:hint="eastAsia" w:ascii="仿宋" w:hAnsi="仿宋" w:eastAsia="仿宋" w:cs="仿宋"/>
                <w:sz w:val="22"/>
              </w:rPr>
              <w:t>项目负责人具有建设工程类中级及以上职称的得4分。（须提供</w:t>
            </w:r>
            <w:r>
              <w:rPr>
                <w:rFonts w:hint="eastAsia" w:ascii="仿宋" w:hAnsi="仿宋" w:eastAsia="仿宋" w:cs="仿宋"/>
                <w:sz w:val="22"/>
                <w:lang w:bidi="zh-CN"/>
              </w:rPr>
              <w:t>有效证书</w:t>
            </w:r>
            <w:r>
              <w:rPr>
                <w:rFonts w:hint="eastAsia" w:ascii="仿宋" w:hAnsi="仿宋" w:eastAsia="仿宋" w:cs="仿宋"/>
                <w:sz w:val="22"/>
                <w:lang w:val="zh-CN" w:bidi="zh-CN"/>
              </w:rPr>
              <w:t>复印件加盖公章，</w:t>
            </w:r>
            <w:r>
              <w:rPr>
                <w:rFonts w:hint="eastAsia" w:ascii="仿宋" w:hAnsi="仿宋" w:eastAsia="仿宋" w:cs="仿宋"/>
                <w:sz w:val="22"/>
              </w:rPr>
              <w:t>采购活动前近半</w:t>
            </w:r>
            <w:r>
              <w:rPr>
                <w:rFonts w:hint="eastAsia" w:ascii="仿宋" w:hAnsi="仿宋" w:eastAsia="仿宋" w:cs="仿宋"/>
                <w:sz w:val="22"/>
                <w:lang w:val="zh-CN" w:bidi="zh-CN"/>
              </w:rPr>
              <w:t>年（</w:t>
            </w:r>
            <w:r>
              <w:rPr>
                <w:rFonts w:hint="eastAsia" w:ascii="仿宋" w:hAnsi="仿宋" w:eastAsia="仿宋" w:cs="仿宋"/>
                <w:sz w:val="22"/>
              </w:rPr>
              <w:t>2025年</w:t>
            </w:r>
            <w:r>
              <w:rPr>
                <w:rFonts w:hint="eastAsia" w:ascii="仿宋" w:hAnsi="仿宋" w:eastAsia="仿宋" w:cs="仿宋"/>
                <w:sz w:val="22"/>
                <w:lang w:val="en-US" w:eastAsia="zh-CN"/>
              </w:rPr>
              <w:t>11</w:t>
            </w:r>
            <w:r>
              <w:rPr>
                <w:rFonts w:hint="eastAsia" w:ascii="仿宋" w:hAnsi="仿宋" w:eastAsia="仿宋" w:cs="仿宋"/>
                <w:sz w:val="22"/>
              </w:rPr>
              <w:t>月-</w:t>
            </w:r>
            <w:r>
              <w:rPr>
                <w:rFonts w:hint="eastAsia" w:ascii="仿宋" w:hAnsi="仿宋" w:eastAsia="仿宋" w:cs="仿宋"/>
                <w:sz w:val="22"/>
                <w:lang w:val="zh-CN" w:bidi="zh-CN"/>
              </w:rPr>
              <w:t>202</w:t>
            </w:r>
            <w:r>
              <w:rPr>
                <w:rFonts w:hint="eastAsia" w:ascii="仿宋" w:hAnsi="仿宋" w:eastAsia="仿宋" w:cs="仿宋"/>
                <w:sz w:val="22"/>
                <w:lang w:bidi="zh-CN"/>
              </w:rPr>
              <w:t>6</w:t>
            </w:r>
            <w:r>
              <w:rPr>
                <w:rFonts w:hint="eastAsia" w:ascii="仿宋" w:hAnsi="仿宋" w:eastAsia="仿宋" w:cs="仿宋"/>
                <w:sz w:val="22"/>
                <w:lang w:val="zh-CN" w:bidi="zh-CN"/>
              </w:rPr>
              <w:t>年</w:t>
            </w:r>
            <w:r>
              <w:rPr>
                <w:rFonts w:hint="eastAsia" w:ascii="仿宋" w:hAnsi="仿宋" w:eastAsia="仿宋" w:cs="仿宋"/>
                <w:sz w:val="22"/>
                <w:lang w:val="en-US" w:bidi="zh-CN"/>
              </w:rPr>
              <w:t>04</w:t>
            </w:r>
            <w:r>
              <w:rPr>
                <w:rFonts w:hint="eastAsia" w:ascii="仿宋" w:hAnsi="仿宋" w:eastAsia="仿宋" w:cs="仿宋"/>
                <w:sz w:val="22"/>
                <w:lang w:val="zh-CN" w:bidi="zh-CN"/>
              </w:rPr>
              <w:t>月）供应商为其缴纳的养老保险</w:t>
            </w:r>
            <w:r>
              <w:rPr>
                <w:rFonts w:hint="eastAsia" w:ascii="仿宋" w:hAnsi="仿宋" w:eastAsia="仿宋" w:cs="仿宋"/>
                <w:sz w:val="22"/>
              </w:rPr>
              <w:t>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p>
        </w:tc>
        <w:tc>
          <w:tcPr>
            <w:tcW w:w="738" w:type="dxa"/>
            <w:tcBorders>
              <w:top w:val="single" w:color="auto" w:sz="4" w:space="0"/>
              <w:left w:val="single" w:color="auto" w:sz="4" w:space="0"/>
              <w:bottom w:val="single" w:color="auto" w:sz="4" w:space="0"/>
              <w:right w:val="single" w:color="auto" w:sz="4" w:space="0"/>
            </w:tcBorders>
            <w:noWrap w:val="0"/>
            <w:vAlign w:val="center"/>
          </w:tcPr>
          <w:p w14:paraId="022F9D68">
            <w:pPr>
              <w:spacing w:line="360" w:lineRule="auto"/>
              <w:rPr>
                <w:rFonts w:hint="eastAsia" w:ascii="仿宋" w:hAnsi="仿宋" w:eastAsia="仿宋" w:cs="仿宋"/>
                <w:sz w:val="22"/>
              </w:rPr>
            </w:pPr>
            <w:r>
              <w:rPr>
                <w:rFonts w:hint="eastAsia" w:ascii="仿宋" w:hAnsi="仿宋" w:eastAsia="仿宋" w:cs="仿宋"/>
                <w:sz w:val="22"/>
              </w:rPr>
              <w:t>4分</w:t>
            </w:r>
          </w:p>
        </w:tc>
      </w:tr>
      <w:tr w14:paraId="790F2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8" w:hRule="atLeast"/>
          <w:tblHeader/>
        </w:trPr>
        <w:tc>
          <w:tcPr>
            <w:tcW w:w="696" w:type="dxa"/>
            <w:tcBorders>
              <w:top w:val="single" w:color="auto" w:sz="4" w:space="0"/>
              <w:left w:val="single" w:color="auto" w:sz="4" w:space="0"/>
              <w:right w:val="single" w:color="auto" w:sz="4" w:space="0"/>
            </w:tcBorders>
            <w:noWrap w:val="0"/>
            <w:vAlign w:val="center"/>
          </w:tcPr>
          <w:p w14:paraId="1F07CBF1">
            <w:pPr>
              <w:spacing w:line="360" w:lineRule="auto"/>
              <w:rPr>
                <w:rFonts w:hint="eastAsia" w:ascii="仿宋" w:hAnsi="仿宋" w:eastAsia="仿宋" w:cs="仿宋"/>
                <w:sz w:val="22"/>
              </w:rPr>
            </w:pPr>
            <w:r>
              <w:rPr>
                <w:rFonts w:hint="eastAsia" w:ascii="仿宋" w:hAnsi="仿宋" w:eastAsia="仿宋" w:cs="仿宋"/>
                <w:sz w:val="22"/>
              </w:rPr>
              <w:t>5</w:t>
            </w:r>
          </w:p>
        </w:tc>
        <w:tc>
          <w:tcPr>
            <w:tcW w:w="1178" w:type="dxa"/>
            <w:tcBorders>
              <w:top w:val="single" w:color="auto" w:sz="4" w:space="0"/>
              <w:left w:val="single" w:color="auto" w:sz="4" w:space="0"/>
              <w:right w:val="single" w:color="auto" w:sz="4" w:space="0"/>
            </w:tcBorders>
            <w:noWrap w:val="0"/>
            <w:vAlign w:val="center"/>
          </w:tcPr>
          <w:p w14:paraId="5FA0BB35">
            <w:pPr>
              <w:spacing w:line="360" w:lineRule="auto"/>
              <w:rPr>
                <w:rFonts w:hint="eastAsia" w:ascii="仿宋" w:hAnsi="仿宋" w:eastAsia="仿宋" w:cs="仿宋"/>
                <w:sz w:val="22"/>
              </w:rPr>
            </w:pPr>
            <w:r>
              <w:rPr>
                <w:rFonts w:hint="eastAsia" w:ascii="仿宋" w:hAnsi="仿宋" w:eastAsia="仿宋" w:cs="仿宋"/>
                <w:sz w:val="22"/>
              </w:rPr>
              <w:t>项目技术</w:t>
            </w:r>
          </w:p>
          <w:p w14:paraId="42C54F9A">
            <w:pPr>
              <w:spacing w:line="360" w:lineRule="auto"/>
              <w:rPr>
                <w:rFonts w:hint="eastAsia" w:ascii="仿宋" w:hAnsi="仿宋" w:eastAsia="仿宋" w:cs="仿宋"/>
                <w:sz w:val="22"/>
              </w:rPr>
            </w:pPr>
            <w:r>
              <w:rPr>
                <w:rFonts w:hint="eastAsia" w:ascii="仿宋" w:hAnsi="仿宋" w:eastAsia="仿宋" w:cs="仿宋"/>
                <w:sz w:val="22"/>
              </w:rPr>
              <w:t>负责人</w:t>
            </w:r>
          </w:p>
        </w:tc>
        <w:tc>
          <w:tcPr>
            <w:tcW w:w="5567" w:type="dxa"/>
            <w:tcBorders>
              <w:top w:val="single" w:color="auto" w:sz="4" w:space="0"/>
              <w:left w:val="single" w:color="auto" w:sz="4" w:space="0"/>
              <w:bottom w:val="single" w:color="auto" w:sz="4" w:space="0"/>
              <w:right w:val="single" w:color="auto" w:sz="4" w:space="0"/>
            </w:tcBorders>
            <w:noWrap w:val="0"/>
            <w:vAlign w:val="center"/>
          </w:tcPr>
          <w:p w14:paraId="7A9A3892">
            <w:pPr>
              <w:spacing w:line="360" w:lineRule="auto"/>
              <w:rPr>
                <w:rFonts w:ascii="仿宋" w:hAnsi="仿宋" w:eastAsia="仿宋" w:cs="仿宋"/>
                <w:sz w:val="22"/>
              </w:rPr>
            </w:pPr>
            <w:r>
              <w:rPr>
                <w:rFonts w:hint="eastAsia" w:ascii="仿宋" w:hAnsi="仿宋" w:eastAsia="仿宋" w:cs="仿宋"/>
                <w:sz w:val="22"/>
              </w:rPr>
              <w:t>项目技术负责人具有建设工程类中级及以上职称的得4分。（须提供</w:t>
            </w:r>
            <w:r>
              <w:rPr>
                <w:rFonts w:hint="eastAsia" w:ascii="仿宋" w:hAnsi="仿宋" w:eastAsia="仿宋" w:cs="仿宋"/>
                <w:sz w:val="22"/>
                <w:lang w:bidi="zh-CN"/>
              </w:rPr>
              <w:t>有效证书</w:t>
            </w:r>
            <w:r>
              <w:rPr>
                <w:rFonts w:hint="eastAsia" w:ascii="仿宋" w:hAnsi="仿宋" w:eastAsia="仿宋" w:cs="仿宋"/>
                <w:sz w:val="22"/>
                <w:lang w:val="zh-CN" w:bidi="zh-CN"/>
              </w:rPr>
              <w:t>复印件加盖公章，</w:t>
            </w:r>
            <w:r>
              <w:rPr>
                <w:rFonts w:hint="eastAsia" w:ascii="仿宋" w:hAnsi="仿宋" w:eastAsia="仿宋" w:cs="仿宋"/>
                <w:sz w:val="22"/>
              </w:rPr>
              <w:t>采购活动前近半年（2025年</w:t>
            </w:r>
            <w:r>
              <w:rPr>
                <w:rFonts w:hint="eastAsia" w:ascii="仿宋" w:hAnsi="仿宋" w:eastAsia="仿宋" w:cs="仿宋"/>
                <w:sz w:val="22"/>
                <w:lang w:val="en-US" w:eastAsia="zh-CN"/>
              </w:rPr>
              <w:t>11</w:t>
            </w:r>
            <w:r>
              <w:rPr>
                <w:rFonts w:hint="eastAsia" w:ascii="仿宋" w:hAnsi="仿宋" w:eastAsia="仿宋" w:cs="仿宋"/>
                <w:sz w:val="22"/>
              </w:rPr>
              <w:t>月-</w:t>
            </w:r>
            <w:r>
              <w:rPr>
                <w:rFonts w:hint="eastAsia" w:ascii="仿宋" w:hAnsi="仿宋" w:eastAsia="仿宋" w:cs="仿宋"/>
                <w:sz w:val="22"/>
                <w:lang w:val="zh-CN" w:bidi="zh-CN"/>
              </w:rPr>
              <w:t>202</w:t>
            </w:r>
            <w:r>
              <w:rPr>
                <w:rFonts w:hint="eastAsia" w:ascii="仿宋" w:hAnsi="仿宋" w:eastAsia="仿宋" w:cs="仿宋"/>
                <w:sz w:val="22"/>
                <w:lang w:bidi="zh-CN"/>
              </w:rPr>
              <w:t>6</w:t>
            </w:r>
            <w:r>
              <w:rPr>
                <w:rFonts w:hint="eastAsia" w:ascii="仿宋" w:hAnsi="仿宋" w:eastAsia="仿宋" w:cs="仿宋"/>
                <w:sz w:val="22"/>
                <w:lang w:val="zh-CN" w:bidi="zh-CN"/>
              </w:rPr>
              <w:t>年</w:t>
            </w:r>
            <w:r>
              <w:rPr>
                <w:rFonts w:hint="eastAsia" w:ascii="仿宋" w:hAnsi="仿宋" w:eastAsia="仿宋" w:cs="仿宋"/>
                <w:sz w:val="22"/>
                <w:lang w:val="en-US" w:bidi="zh-CN"/>
              </w:rPr>
              <w:t>04</w:t>
            </w:r>
            <w:r>
              <w:rPr>
                <w:rFonts w:hint="eastAsia" w:ascii="仿宋" w:hAnsi="仿宋" w:eastAsia="仿宋" w:cs="仿宋"/>
                <w:sz w:val="22"/>
                <w:lang w:val="zh-CN" w:bidi="zh-CN"/>
              </w:rPr>
              <w:t>月</w:t>
            </w:r>
            <w:r>
              <w:rPr>
                <w:rFonts w:hint="eastAsia" w:ascii="仿宋" w:hAnsi="仿宋" w:eastAsia="仿宋" w:cs="仿宋"/>
                <w:sz w:val="22"/>
              </w:rPr>
              <w:t>）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p>
        </w:tc>
        <w:tc>
          <w:tcPr>
            <w:tcW w:w="738" w:type="dxa"/>
            <w:tcBorders>
              <w:top w:val="single" w:color="auto" w:sz="4" w:space="0"/>
              <w:left w:val="single" w:color="auto" w:sz="4" w:space="0"/>
              <w:bottom w:val="single" w:color="auto" w:sz="4" w:space="0"/>
              <w:right w:val="single" w:color="auto" w:sz="4" w:space="0"/>
            </w:tcBorders>
            <w:noWrap w:val="0"/>
            <w:vAlign w:val="center"/>
          </w:tcPr>
          <w:p w14:paraId="1E799CEB">
            <w:pPr>
              <w:spacing w:line="360" w:lineRule="auto"/>
              <w:rPr>
                <w:rFonts w:hint="eastAsia" w:ascii="仿宋" w:hAnsi="仿宋" w:eastAsia="仿宋" w:cs="仿宋"/>
                <w:sz w:val="22"/>
              </w:rPr>
            </w:pPr>
            <w:r>
              <w:rPr>
                <w:rFonts w:hint="eastAsia" w:ascii="仿宋" w:hAnsi="仿宋" w:eastAsia="仿宋" w:cs="仿宋"/>
                <w:sz w:val="22"/>
              </w:rPr>
              <w:t>4分</w:t>
            </w:r>
          </w:p>
        </w:tc>
      </w:tr>
      <w:tr w14:paraId="0011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trPr>
        <w:tc>
          <w:tcPr>
            <w:tcW w:w="696" w:type="dxa"/>
            <w:tcBorders>
              <w:top w:val="single" w:color="auto" w:sz="4" w:space="0"/>
              <w:left w:val="single" w:color="auto" w:sz="4" w:space="0"/>
              <w:bottom w:val="single" w:color="auto" w:sz="4" w:space="0"/>
              <w:right w:val="single" w:color="auto" w:sz="4" w:space="0"/>
            </w:tcBorders>
            <w:noWrap w:val="0"/>
            <w:vAlign w:val="center"/>
          </w:tcPr>
          <w:p w14:paraId="77EFCFE8">
            <w:pPr>
              <w:spacing w:line="360" w:lineRule="auto"/>
              <w:rPr>
                <w:rFonts w:hint="eastAsia" w:ascii="仿宋" w:hAnsi="仿宋" w:eastAsia="仿宋" w:cs="仿宋"/>
                <w:sz w:val="22"/>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2D86B06">
            <w:pPr>
              <w:spacing w:line="360" w:lineRule="auto"/>
              <w:rPr>
                <w:rFonts w:hint="eastAsia" w:ascii="仿宋" w:hAnsi="仿宋" w:eastAsia="仿宋" w:cs="仿宋"/>
                <w:sz w:val="22"/>
              </w:rPr>
            </w:pPr>
            <w:r>
              <w:rPr>
                <w:rFonts w:hint="eastAsia" w:ascii="仿宋" w:hAnsi="仿宋" w:eastAsia="仿宋" w:cs="仿宋"/>
                <w:sz w:val="22"/>
              </w:rPr>
              <w:t>合计</w:t>
            </w:r>
          </w:p>
        </w:tc>
        <w:tc>
          <w:tcPr>
            <w:tcW w:w="5567" w:type="dxa"/>
            <w:tcBorders>
              <w:top w:val="single" w:color="auto" w:sz="4" w:space="0"/>
              <w:left w:val="single" w:color="auto" w:sz="4" w:space="0"/>
              <w:bottom w:val="single" w:color="auto" w:sz="4" w:space="0"/>
              <w:right w:val="single" w:color="auto" w:sz="4" w:space="0"/>
            </w:tcBorders>
            <w:noWrap w:val="0"/>
            <w:vAlign w:val="center"/>
          </w:tcPr>
          <w:p w14:paraId="3F3D486F">
            <w:pPr>
              <w:spacing w:line="360" w:lineRule="auto"/>
              <w:rPr>
                <w:rFonts w:hint="eastAsia" w:ascii="仿宋" w:hAnsi="仿宋" w:eastAsia="仿宋" w:cs="仿宋"/>
                <w:sz w:val="22"/>
              </w:rPr>
            </w:pPr>
          </w:p>
        </w:tc>
        <w:tc>
          <w:tcPr>
            <w:tcW w:w="738" w:type="dxa"/>
            <w:tcBorders>
              <w:top w:val="single" w:color="auto" w:sz="4" w:space="0"/>
              <w:left w:val="single" w:color="auto" w:sz="4" w:space="0"/>
              <w:bottom w:val="single" w:color="auto" w:sz="4" w:space="0"/>
              <w:right w:val="single" w:color="auto" w:sz="4" w:space="0"/>
            </w:tcBorders>
            <w:noWrap w:val="0"/>
            <w:vAlign w:val="center"/>
          </w:tcPr>
          <w:p w14:paraId="5DE4D156">
            <w:pPr>
              <w:spacing w:line="360" w:lineRule="auto"/>
              <w:rPr>
                <w:rFonts w:hint="eastAsia" w:ascii="仿宋" w:hAnsi="仿宋" w:eastAsia="仿宋" w:cs="仿宋"/>
                <w:sz w:val="22"/>
              </w:rPr>
            </w:pPr>
            <w:r>
              <w:rPr>
                <w:rFonts w:hint="eastAsia" w:ascii="仿宋" w:hAnsi="仿宋" w:eastAsia="仿宋" w:cs="仿宋"/>
                <w:sz w:val="22"/>
              </w:rPr>
              <w:t>100</w:t>
            </w:r>
          </w:p>
        </w:tc>
      </w:tr>
    </w:tbl>
    <w:p w14:paraId="1EC324B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rPr>
      </w:pPr>
      <w:r>
        <w:rPr>
          <w:rFonts w:hint="eastAsia" w:ascii="仿宋" w:hAnsi="仿宋" w:eastAsia="仿宋" w:cs="仿宋"/>
          <w:b/>
          <w:color w:val="auto"/>
          <w:sz w:val="20"/>
        </w:rPr>
        <w:t> </w:t>
      </w:r>
    </w:p>
    <w:p w14:paraId="2233FF58">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仿宋" w:hAnsi="仿宋" w:eastAsia="仿宋" w:cs="仿宋"/>
          <w:color w:val="auto"/>
          <w:sz w:val="24"/>
          <w:szCs w:val="24"/>
        </w:rPr>
      </w:pPr>
      <w:r>
        <w:rPr>
          <w:rFonts w:hint="eastAsia" w:ascii="仿宋" w:hAnsi="仿宋" w:eastAsia="仿宋" w:cs="仿宋"/>
          <w:b/>
          <w:color w:val="auto"/>
          <w:sz w:val="24"/>
          <w:szCs w:val="24"/>
        </w:rPr>
        <w:t>说明：</w:t>
      </w:r>
    </w:p>
    <w:p w14:paraId="64BC4E18">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11E4A45F">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2.小微企业的价格扣除 </w:t>
      </w:r>
    </w:p>
    <w:p w14:paraId="2F6D93CD">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2.1 对于未预留份额专门面向中小企业采购的采购项目或预留份额项目中的非预留部分采购包，给予小微企业报价5%的扣除，用扣除后的价格参加评审。</w:t>
      </w:r>
    </w:p>
    <w:p w14:paraId="7EFB22F2">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2.2 价格扣除比例或者价格分加分比例对小型企业和微型企业同等对待，不作区分。 </w:t>
      </w:r>
    </w:p>
    <w:p w14:paraId="18F52AE4">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3.监狱和戒毒企业的价格扣除。</w:t>
      </w:r>
    </w:p>
    <w:p w14:paraId="6F4946C6">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3.1. 本项目对监狱和戒毒企业（简称监狱企业），给予5%的价格扣除，用扣除后的价格参与评审。</w:t>
      </w:r>
    </w:p>
    <w:p w14:paraId="420B3B3E">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3.2. 监狱企业需提供由省级以上监狱管理局、戒毒管理局（含新疆生产建设兵团）出具的属于监狱企业的证明文件。</w:t>
      </w:r>
    </w:p>
    <w:p w14:paraId="0354F706">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3.3. 监狱企业标准请参照《关于政府采购支持监狱企业发展有关问题的通知》（财库[2014]68号）。</w:t>
      </w:r>
    </w:p>
    <w:p w14:paraId="1684A83F">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4.残疾人福利性单位的价格扣除。</w:t>
      </w:r>
    </w:p>
    <w:p w14:paraId="6CB8FEB9">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4.1 本项目对残疾人福利性单位，给予5%的价格扣除，用扣除后的价格参与评审。</w:t>
      </w:r>
    </w:p>
    <w:p w14:paraId="32D23CDD">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4.2 残疾人福利单位需按照采购文件的要求提供《残疾人福利性单位声明函》。</w:t>
      </w:r>
    </w:p>
    <w:p w14:paraId="5D503456">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4.3 残疾人福利单位标准请参照《关于促进残疾人就业政府采购政策的通知》（财库〔2017〕141号）。</w:t>
      </w:r>
    </w:p>
    <w:p w14:paraId="0A8251C1">
      <w:pPr>
        <w:pBdr>
          <w:top w:val="none" w:color="000000" w:sz="0" w:space="0"/>
          <w:left w:val="none" w:color="000000" w:sz="0" w:space="0"/>
          <w:bottom w:val="none" w:color="000000" w:sz="0" w:space="0"/>
          <w:right w:val="none" w:color="000000" w:sz="0" w:space="0"/>
        </w:pBdr>
        <w:spacing w:before="0" w:after="0" w:line="85" w:lineRule="atLeast"/>
        <w:ind w:left="0" w:right="0" w:firstLine="440"/>
        <w:jc w:val="both"/>
        <w:rPr>
          <w:rFonts w:hint="eastAsia" w:ascii="仿宋" w:hAnsi="仿宋" w:eastAsia="仿宋" w:cs="仿宋"/>
          <w:color w:val="auto"/>
          <w:sz w:val="24"/>
          <w:szCs w:val="24"/>
        </w:rPr>
      </w:pPr>
      <w:r>
        <w:rPr>
          <w:rFonts w:hint="eastAsia" w:ascii="仿宋" w:hAnsi="仿宋" w:eastAsia="仿宋" w:cs="仿宋"/>
          <w:color w:val="auto"/>
          <w:sz w:val="24"/>
          <w:szCs w:val="24"/>
        </w:rPr>
        <w:t>5.监狱企业、残疾人福利单位属于小型、微型企业的，不重复享受政策。</w:t>
      </w:r>
    </w:p>
    <w:p w14:paraId="00D32123">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sz w:val="24"/>
          <w:szCs w:val="24"/>
        </w:rPr>
      </w:pPr>
      <w:r>
        <w:rPr>
          <w:rFonts w:hint="eastAsia" w:ascii="仿宋" w:hAnsi="仿宋" w:eastAsia="仿宋" w:cs="仿宋"/>
          <w:b/>
          <w:color w:val="auto"/>
          <w:sz w:val="24"/>
          <w:szCs w:val="24"/>
        </w:rPr>
        <w:t>6.上述评分办法均以响应文件、</w:t>
      </w:r>
      <w:r>
        <w:rPr>
          <w:rFonts w:hint="eastAsia" w:ascii="仿宋" w:hAnsi="仿宋" w:eastAsia="仿宋" w:cs="仿宋"/>
          <w:b/>
          <w:color w:val="auto"/>
          <w:sz w:val="24"/>
          <w:szCs w:val="24"/>
          <w:lang w:val="en-US" w:eastAsia="zh-CN"/>
        </w:rPr>
        <w:t>磋商小组</w:t>
      </w:r>
      <w:r>
        <w:rPr>
          <w:rFonts w:hint="eastAsia" w:ascii="仿宋" w:hAnsi="仿宋" w:eastAsia="仿宋" w:cs="仿宋"/>
          <w:b/>
          <w:color w:val="auto"/>
          <w:sz w:val="24"/>
          <w:szCs w:val="24"/>
        </w:rPr>
        <w:t>的判断为准。</w:t>
      </w:r>
    </w:p>
    <w:p w14:paraId="696E3637">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sz w:val="24"/>
          <w:szCs w:val="24"/>
        </w:rPr>
      </w:pPr>
      <w:r>
        <w:rPr>
          <w:rFonts w:hint="eastAsia" w:ascii="仿宋" w:hAnsi="仿宋" w:eastAsia="仿宋" w:cs="仿宋"/>
          <w:b/>
          <w:color w:val="auto"/>
          <w:sz w:val="24"/>
          <w:szCs w:val="24"/>
        </w:rPr>
        <w:t>7.磋商小组不保证有效报价最低的供应商成交。</w:t>
      </w:r>
    </w:p>
    <w:p w14:paraId="5268C59A">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sz w:val="24"/>
          <w:szCs w:val="24"/>
        </w:rPr>
      </w:pPr>
      <w:r>
        <w:rPr>
          <w:rFonts w:hint="eastAsia" w:ascii="仿宋" w:hAnsi="仿宋" w:eastAsia="仿宋" w:cs="仿宋"/>
          <w:b/>
          <w:color w:val="auto"/>
          <w:sz w:val="24"/>
          <w:szCs w:val="24"/>
        </w:rPr>
        <w:t>8.若供应商提供虚假资料，一经查实作无效响应文件处理。</w:t>
      </w:r>
    </w:p>
    <w:p w14:paraId="34F76068">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63C3E2B9">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6A0A7E72">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090B42AA">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164C78A0">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163A0440">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34A5CA63">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6D87727C">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7FDB0E3F">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542FAB18">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223BAFEB">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5145FF04">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420D663C">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1AA67869">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4944C2AB">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2F5AAC25">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467627B5">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160D2A18">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01E20D8B">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436385DB">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52A930D2">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5528E7FC">
      <w:pPr>
        <w:pBdr>
          <w:top w:val="none" w:color="000000" w:sz="0" w:space="0"/>
          <w:left w:val="none" w:color="000000" w:sz="0" w:space="0"/>
          <w:bottom w:val="none" w:color="000000" w:sz="0" w:space="0"/>
          <w:right w:val="none" w:color="000000" w:sz="0" w:space="0"/>
        </w:pBdr>
        <w:spacing w:before="0" w:after="0" w:line="85" w:lineRule="atLeast"/>
        <w:ind w:left="0" w:right="0" w:firstLine="442"/>
        <w:jc w:val="both"/>
        <w:rPr>
          <w:rFonts w:hint="eastAsia" w:ascii="仿宋" w:hAnsi="仿宋" w:eastAsia="仿宋" w:cs="仿宋"/>
          <w:color w:val="auto"/>
        </w:rPr>
      </w:pPr>
      <w:r>
        <w:rPr>
          <w:rFonts w:hint="eastAsia" w:ascii="仿宋" w:hAnsi="仿宋" w:eastAsia="仿宋" w:cs="仿宋"/>
          <w:b/>
          <w:color w:val="auto"/>
          <w:sz w:val="22"/>
        </w:rPr>
        <w:t> </w:t>
      </w:r>
    </w:p>
    <w:p w14:paraId="5E1C7A6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2"/>
        </w:rPr>
        <w:t> </w:t>
      </w:r>
    </w:p>
    <w:p w14:paraId="5E0456DE">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outlineLvl w:val="0"/>
        <w:rPr>
          <w:rFonts w:hint="eastAsia" w:ascii="仿宋" w:hAnsi="仿宋" w:eastAsia="仿宋" w:cs="仿宋"/>
          <w:color w:val="auto"/>
        </w:rPr>
      </w:pPr>
      <w:r>
        <w:rPr>
          <w:rFonts w:hint="eastAsia" w:ascii="仿宋" w:hAnsi="仿宋" w:eastAsia="仿宋" w:cs="仿宋"/>
          <w:b/>
          <w:color w:val="auto"/>
          <w:sz w:val="44"/>
        </w:rPr>
        <w:t>第六章 竞争性磋商响应文件格式</w:t>
      </w:r>
    </w:p>
    <w:p w14:paraId="35D63A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2"/>
        </w:rPr>
        <w:t> </w:t>
      </w:r>
    </w:p>
    <w:p w14:paraId="42A58B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72"/>
        </w:rPr>
        <w:t>竞争性磋商响应文件</w:t>
      </w:r>
    </w:p>
    <w:p w14:paraId="5BDF63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72"/>
        </w:rPr>
        <w:t> </w:t>
      </w:r>
    </w:p>
    <w:p w14:paraId="07F9CF8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36"/>
        </w:rPr>
        <w:t> </w:t>
      </w:r>
    </w:p>
    <w:p w14:paraId="79BE97CE">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center"/>
        <w:rPr>
          <w:rFonts w:hint="eastAsia" w:ascii="仿宋" w:hAnsi="仿宋" w:eastAsia="仿宋" w:cs="仿宋"/>
          <w:color w:val="auto"/>
        </w:rPr>
      </w:pPr>
      <w:r>
        <w:rPr>
          <w:rFonts w:hint="eastAsia" w:ascii="仿宋" w:hAnsi="仿宋" w:eastAsia="仿宋" w:cs="仿宋"/>
          <w:b/>
          <w:color w:val="auto"/>
          <w:sz w:val="36"/>
        </w:rPr>
        <w:t> </w:t>
      </w:r>
    </w:p>
    <w:p w14:paraId="6BB7A76E">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both"/>
        <w:rPr>
          <w:rFonts w:hint="eastAsia" w:ascii="仿宋" w:hAnsi="仿宋" w:eastAsia="仿宋" w:cs="仿宋"/>
          <w:color w:val="auto"/>
        </w:rPr>
      </w:pPr>
      <w:r>
        <w:rPr>
          <w:rFonts w:hint="eastAsia" w:ascii="仿宋" w:hAnsi="仿宋" w:eastAsia="仿宋" w:cs="仿宋"/>
          <w:b/>
          <w:color w:val="auto"/>
          <w:sz w:val="36"/>
        </w:rPr>
        <w:t>项 目 名 称：</w:t>
      </w:r>
      <w:r>
        <w:rPr>
          <w:rFonts w:hint="eastAsia" w:ascii="仿宋" w:hAnsi="仿宋" w:eastAsia="仿宋" w:cs="仿宋"/>
          <w:b/>
          <w:color w:val="auto"/>
          <w:sz w:val="36"/>
          <w:u w:val="single"/>
        </w:rPr>
        <w:t>                   </w:t>
      </w:r>
    </w:p>
    <w:p w14:paraId="4BC4B486">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both"/>
        <w:rPr>
          <w:rFonts w:hint="eastAsia" w:ascii="仿宋" w:hAnsi="仿宋" w:eastAsia="仿宋" w:cs="仿宋"/>
          <w:color w:val="auto"/>
        </w:rPr>
      </w:pPr>
      <w:r>
        <w:rPr>
          <w:rFonts w:hint="eastAsia" w:ascii="仿宋" w:hAnsi="仿宋" w:eastAsia="仿宋" w:cs="仿宋"/>
          <w:b/>
          <w:color w:val="auto"/>
          <w:sz w:val="36"/>
        </w:rPr>
        <w:t>项 目 编 号：</w:t>
      </w:r>
      <w:r>
        <w:rPr>
          <w:rFonts w:hint="eastAsia" w:ascii="仿宋" w:hAnsi="仿宋" w:eastAsia="仿宋" w:cs="仿宋"/>
          <w:b/>
          <w:color w:val="auto"/>
          <w:sz w:val="36"/>
          <w:u w:val="single"/>
        </w:rPr>
        <w:t>                   </w:t>
      </w:r>
    </w:p>
    <w:p w14:paraId="338C7721">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both"/>
        <w:rPr>
          <w:rFonts w:hint="eastAsia" w:ascii="仿宋" w:hAnsi="仿宋" w:eastAsia="仿宋" w:cs="仿宋"/>
          <w:color w:val="auto"/>
        </w:rPr>
      </w:pPr>
      <w:r>
        <w:rPr>
          <w:rFonts w:hint="eastAsia" w:ascii="仿宋" w:hAnsi="仿宋" w:eastAsia="仿宋" w:cs="仿宋"/>
          <w:b/>
          <w:color w:val="auto"/>
          <w:sz w:val="36"/>
        </w:rPr>
        <w:t>供应商名称 ：</w:t>
      </w:r>
      <w:r>
        <w:rPr>
          <w:rFonts w:hint="eastAsia" w:ascii="仿宋" w:hAnsi="仿宋" w:eastAsia="仿宋" w:cs="仿宋"/>
          <w:b/>
          <w:color w:val="auto"/>
          <w:sz w:val="36"/>
          <w:u w:val="single"/>
        </w:rPr>
        <w:t>               </w:t>
      </w:r>
    </w:p>
    <w:p w14:paraId="05AAA569">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both"/>
        <w:rPr>
          <w:rFonts w:hint="eastAsia" w:ascii="仿宋" w:hAnsi="仿宋" w:eastAsia="仿宋" w:cs="仿宋"/>
          <w:color w:val="auto"/>
        </w:rPr>
      </w:pPr>
      <w:r>
        <w:rPr>
          <w:rFonts w:hint="eastAsia" w:ascii="仿宋" w:hAnsi="仿宋" w:eastAsia="仿宋" w:cs="仿宋"/>
          <w:b/>
          <w:color w:val="auto"/>
          <w:sz w:val="36"/>
          <w:u w:val="none"/>
        </w:rPr>
        <w:t>联系人:</w:t>
      </w:r>
      <w:r>
        <w:rPr>
          <w:rFonts w:hint="eastAsia" w:ascii="仿宋" w:hAnsi="仿宋" w:eastAsia="仿宋" w:cs="仿宋"/>
          <w:b/>
          <w:color w:val="auto"/>
          <w:sz w:val="36"/>
          <w:u w:val="single"/>
        </w:rPr>
        <w:t xml:space="preserve">                     </w:t>
      </w:r>
    </w:p>
    <w:p w14:paraId="7F8371C5">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both"/>
        <w:rPr>
          <w:rFonts w:hint="eastAsia" w:ascii="仿宋" w:hAnsi="仿宋" w:eastAsia="仿宋" w:cs="仿宋"/>
          <w:b/>
          <w:color w:val="auto"/>
          <w:sz w:val="36"/>
          <w:u w:val="single"/>
        </w:rPr>
      </w:pPr>
      <w:r>
        <w:rPr>
          <w:rFonts w:hint="eastAsia" w:ascii="仿宋" w:hAnsi="仿宋" w:eastAsia="仿宋" w:cs="仿宋"/>
          <w:b/>
          <w:color w:val="auto"/>
          <w:sz w:val="36"/>
          <w:u w:val="none"/>
        </w:rPr>
        <w:t>联 系 方 式：</w:t>
      </w:r>
      <w:r>
        <w:rPr>
          <w:rFonts w:hint="eastAsia" w:ascii="仿宋" w:hAnsi="仿宋" w:eastAsia="仿宋" w:cs="仿宋"/>
          <w:color w:val="auto"/>
          <w:u w:val="single"/>
          <w:lang w:val="en-US" w:eastAsia="zh-CN"/>
        </w:rPr>
        <w:t xml:space="preserve"> </w:t>
      </w:r>
      <w:r>
        <w:rPr>
          <w:rFonts w:hint="eastAsia" w:ascii="仿宋" w:hAnsi="仿宋" w:eastAsia="仿宋" w:cs="仿宋"/>
          <w:b/>
          <w:color w:val="auto"/>
          <w:sz w:val="36"/>
          <w:u w:val="single"/>
        </w:rPr>
        <w:t>              </w:t>
      </w:r>
    </w:p>
    <w:p w14:paraId="1AEE824A">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both"/>
        <w:rPr>
          <w:rFonts w:hint="eastAsia" w:ascii="仿宋" w:hAnsi="仿宋" w:eastAsia="仿宋" w:cs="仿宋"/>
          <w:color w:val="auto"/>
        </w:rPr>
      </w:pPr>
      <w:r>
        <w:rPr>
          <w:rFonts w:hint="eastAsia" w:ascii="仿宋" w:hAnsi="仿宋" w:eastAsia="仿宋" w:cs="仿宋"/>
          <w:b/>
          <w:color w:val="auto"/>
          <w:sz w:val="36"/>
        </w:rPr>
        <w:t>日期 ：</w:t>
      </w:r>
      <w:r>
        <w:rPr>
          <w:rFonts w:hint="eastAsia" w:ascii="仿宋" w:hAnsi="仿宋" w:eastAsia="仿宋" w:cs="仿宋"/>
          <w:b/>
          <w:color w:val="auto"/>
          <w:sz w:val="36"/>
          <w:u w:val="single"/>
        </w:rPr>
        <w:t>                   </w:t>
      </w:r>
    </w:p>
    <w:p w14:paraId="16776B7C">
      <w:pPr>
        <w:pBdr>
          <w:top w:val="none" w:color="000000" w:sz="0" w:space="0"/>
          <w:left w:val="none" w:color="000000" w:sz="0" w:space="0"/>
          <w:bottom w:val="none" w:color="000000" w:sz="0" w:space="0"/>
          <w:right w:val="none" w:color="000000" w:sz="0" w:space="0"/>
        </w:pBdr>
        <w:spacing w:before="0" w:after="0" w:line="85" w:lineRule="atLeast"/>
        <w:ind w:left="0" w:leftChars="0" w:right="0" w:firstLine="842" w:firstLineChars="233"/>
        <w:jc w:val="both"/>
        <w:rPr>
          <w:rFonts w:hint="eastAsia" w:ascii="仿宋" w:hAnsi="仿宋" w:eastAsia="仿宋" w:cs="仿宋"/>
          <w:color w:val="auto"/>
        </w:rPr>
      </w:pPr>
      <w:r>
        <w:rPr>
          <w:rFonts w:hint="eastAsia" w:ascii="仿宋" w:hAnsi="仿宋" w:eastAsia="仿宋" w:cs="仿宋"/>
          <w:b/>
          <w:color w:val="auto"/>
          <w:sz w:val="36"/>
        </w:rPr>
        <w:t>供应商：</w:t>
      </w:r>
      <w:r>
        <w:rPr>
          <w:rFonts w:hint="eastAsia" w:ascii="仿宋" w:hAnsi="仿宋" w:eastAsia="仿宋" w:cs="仿宋"/>
          <w:b/>
          <w:color w:val="auto"/>
          <w:sz w:val="36"/>
          <w:u w:val="single"/>
        </w:rPr>
        <w:t>         </w:t>
      </w:r>
      <w:r>
        <w:rPr>
          <w:rFonts w:hint="eastAsia" w:ascii="仿宋" w:hAnsi="仿宋" w:eastAsia="仿宋" w:cs="仿宋"/>
          <w:b/>
          <w:color w:val="auto"/>
          <w:sz w:val="36"/>
        </w:rPr>
        <w:t>（电子签章）</w:t>
      </w:r>
    </w:p>
    <w:p w14:paraId="0AB96D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14F8F0E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outlineLvl w:val="1"/>
        <w:rPr>
          <w:rFonts w:hint="eastAsia" w:ascii="仿宋" w:hAnsi="仿宋" w:eastAsia="仿宋" w:cs="仿宋"/>
          <w:color w:val="auto"/>
        </w:rPr>
      </w:pPr>
      <w:r>
        <w:rPr>
          <w:rFonts w:hint="eastAsia" w:ascii="仿宋" w:hAnsi="仿宋" w:eastAsia="仿宋" w:cs="仿宋"/>
          <w:b/>
          <w:color w:val="auto"/>
          <w:sz w:val="32"/>
        </w:rPr>
        <w:t>磋商主要文件目录</w:t>
      </w:r>
    </w:p>
    <w:p w14:paraId="24D434B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32"/>
        </w:rPr>
        <w:t> </w:t>
      </w:r>
    </w:p>
    <w:p w14:paraId="1FBB295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仿宋" w:hAnsi="仿宋" w:eastAsia="仿宋" w:cs="仿宋"/>
          <w:color w:val="auto"/>
        </w:rPr>
      </w:pPr>
      <w:r>
        <w:rPr>
          <w:rFonts w:hint="eastAsia" w:ascii="仿宋" w:hAnsi="仿宋" w:eastAsia="仿宋" w:cs="仿宋"/>
          <w:color w:val="auto"/>
          <w:sz w:val="24"/>
        </w:rPr>
        <w:t>一、资格审查响应对照表</w:t>
      </w:r>
    </w:p>
    <w:p w14:paraId="3533CB8B">
      <w:pPr>
        <w:pBdr>
          <w:top w:val="none" w:color="000000" w:sz="0" w:space="0"/>
          <w:left w:val="none" w:color="000000" w:sz="0" w:space="0"/>
          <w:bottom w:val="none" w:color="000000" w:sz="0" w:space="0"/>
          <w:right w:val="none" w:color="000000" w:sz="0" w:space="0"/>
        </w:pBdr>
        <w:spacing w:before="0" w:after="0" w:line="85" w:lineRule="atLeast"/>
        <w:ind w:left="480" w:right="0" w:firstLine="0"/>
        <w:jc w:val="both"/>
        <w:rPr>
          <w:rFonts w:hint="eastAsia" w:ascii="仿宋" w:hAnsi="仿宋" w:eastAsia="仿宋" w:cs="仿宋"/>
          <w:color w:val="auto"/>
        </w:rPr>
      </w:pPr>
      <w:r>
        <w:rPr>
          <w:rFonts w:hint="eastAsia" w:ascii="仿宋" w:hAnsi="仿宋" w:eastAsia="仿宋" w:cs="仿宋"/>
          <w:color w:val="auto"/>
          <w:sz w:val="24"/>
        </w:rPr>
        <w:t>二、符合性审查响应对照表</w:t>
      </w:r>
    </w:p>
    <w:p w14:paraId="49E08595">
      <w:pPr>
        <w:pBdr>
          <w:top w:val="none" w:color="000000" w:sz="0" w:space="0"/>
          <w:left w:val="none" w:color="000000" w:sz="0" w:space="0"/>
          <w:bottom w:val="none" w:color="000000" w:sz="0" w:space="0"/>
          <w:right w:val="none" w:color="000000" w:sz="0" w:space="0"/>
        </w:pBdr>
        <w:spacing w:before="0" w:after="0" w:line="85" w:lineRule="atLeast"/>
        <w:ind w:left="480" w:right="0" w:firstLine="0"/>
        <w:jc w:val="both"/>
        <w:rPr>
          <w:rFonts w:hint="eastAsia" w:ascii="仿宋" w:hAnsi="仿宋" w:eastAsia="仿宋" w:cs="仿宋"/>
          <w:color w:val="auto"/>
        </w:rPr>
      </w:pPr>
      <w:r>
        <w:rPr>
          <w:rFonts w:hint="eastAsia" w:ascii="仿宋" w:hAnsi="仿宋" w:eastAsia="仿宋" w:cs="仿宋"/>
          <w:color w:val="auto"/>
          <w:sz w:val="24"/>
        </w:rPr>
        <w:t>三、</w:t>
      </w:r>
      <w:r>
        <w:rPr>
          <w:rFonts w:hint="eastAsia" w:ascii="仿宋" w:hAnsi="仿宋" w:eastAsia="仿宋" w:cs="仿宋"/>
          <w:i/>
          <w:color w:val="auto"/>
          <w:sz w:val="24"/>
          <w:u w:val="single"/>
        </w:rPr>
        <w:t>磋商响应报价表</w:t>
      </w:r>
    </w:p>
    <w:p w14:paraId="2010F3B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仿宋" w:hAnsi="仿宋" w:eastAsia="仿宋" w:cs="仿宋"/>
          <w:color w:val="auto"/>
        </w:rPr>
      </w:pPr>
      <w:r>
        <w:rPr>
          <w:rFonts w:hint="eastAsia" w:ascii="仿宋" w:hAnsi="仿宋" w:eastAsia="仿宋" w:cs="仿宋"/>
          <w:color w:val="auto"/>
          <w:sz w:val="24"/>
        </w:rPr>
        <w:t>四、技术参数响应及偏离表</w:t>
      </w:r>
    </w:p>
    <w:p w14:paraId="0CEAF13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仿宋" w:hAnsi="仿宋" w:eastAsia="仿宋" w:cs="仿宋"/>
          <w:color w:val="auto"/>
        </w:rPr>
      </w:pPr>
      <w:r>
        <w:rPr>
          <w:rFonts w:hint="eastAsia" w:ascii="仿宋" w:hAnsi="仿宋" w:eastAsia="仿宋" w:cs="仿宋"/>
          <w:color w:val="auto"/>
          <w:sz w:val="24"/>
        </w:rPr>
        <w:t>五、商务条款响应及偏离表</w:t>
      </w:r>
    </w:p>
    <w:p w14:paraId="16764EB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仿宋" w:hAnsi="仿宋" w:eastAsia="仿宋" w:cs="仿宋"/>
          <w:color w:val="auto"/>
        </w:rPr>
      </w:pPr>
      <w:r>
        <w:rPr>
          <w:rFonts w:hint="eastAsia" w:ascii="仿宋" w:hAnsi="仿宋" w:eastAsia="仿宋" w:cs="仿宋"/>
          <w:color w:val="auto"/>
          <w:sz w:val="24"/>
        </w:rPr>
        <w:t>六、拟参与本项目人员一览表</w:t>
      </w:r>
    </w:p>
    <w:p w14:paraId="3E7A897C">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仿宋" w:hAnsi="仿宋" w:eastAsia="仿宋" w:cs="仿宋"/>
          <w:color w:val="auto"/>
        </w:rPr>
      </w:pPr>
      <w:r>
        <w:rPr>
          <w:rFonts w:hint="eastAsia" w:ascii="仿宋" w:hAnsi="仿宋" w:eastAsia="仿宋" w:cs="仿宋"/>
          <w:color w:val="auto"/>
          <w:sz w:val="24"/>
        </w:rPr>
        <w:t>七、类似业绩情况表</w:t>
      </w:r>
    </w:p>
    <w:p w14:paraId="66D4453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仿宋" w:hAnsi="仿宋" w:eastAsia="仿宋" w:cs="仿宋"/>
          <w:color w:val="auto"/>
        </w:rPr>
      </w:pPr>
      <w:r>
        <w:rPr>
          <w:rFonts w:hint="eastAsia" w:ascii="仿宋" w:hAnsi="仿宋" w:eastAsia="仿宋" w:cs="仿宋"/>
          <w:color w:val="auto"/>
          <w:sz w:val="24"/>
        </w:rPr>
        <w:t>八、施工组织方案</w:t>
      </w:r>
    </w:p>
    <w:p w14:paraId="50AA19D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仿宋" w:hAnsi="仿宋" w:eastAsia="仿宋" w:cs="仿宋"/>
          <w:color w:val="auto"/>
        </w:rPr>
      </w:pPr>
      <w:r>
        <w:rPr>
          <w:rFonts w:hint="eastAsia" w:ascii="仿宋" w:hAnsi="仿宋" w:eastAsia="仿宋" w:cs="仿宋"/>
          <w:color w:val="auto"/>
          <w:sz w:val="24"/>
        </w:rPr>
        <w:t>九、其他供应商认为有必要的证明材料 （如承诺函等，供应商认为有必要提供的声明和文件，如有自拟并自行添加）</w:t>
      </w:r>
    </w:p>
    <w:p w14:paraId="309093C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仿宋" w:hAnsi="仿宋" w:eastAsia="仿宋" w:cs="仿宋"/>
          <w:color w:val="auto"/>
        </w:rPr>
      </w:pPr>
      <w:r>
        <w:rPr>
          <w:rFonts w:hint="eastAsia" w:ascii="仿宋" w:hAnsi="仿宋" w:eastAsia="仿宋" w:cs="仿宋"/>
          <w:color w:val="auto"/>
        </w:rPr>
        <w:br w:type="page" w:clear="all"/>
      </w:r>
    </w:p>
    <w:p w14:paraId="70A1152C">
      <w:pPr>
        <w:pBdr>
          <w:top w:val="none" w:color="000000" w:sz="0" w:space="0"/>
          <w:left w:val="none" w:color="000000" w:sz="0" w:space="0"/>
          <w:bottom w:val="none" w:color="000000" w:sz="0" w:space="0"/>
          <w:right w:val="none" w:color="000000" w:sz="0" w:space="0"/>
        </w:pBdr>
        <w:spacing w:before="0" w:after="0" w:line="85" w:lineRule="atLeast"/>
        <w:ind w:left="0" w:right="0" w:firstLine="480"/>
        <w:outlineLvl w:val="1"/>
        <w:rPr>
          <w:rFonts w:hint="eastAsia" w:ascii="仿宋" w:hAnsi="仿宋" w:eastAsia="仿宋" w:cs="仿宋"/>
          <w:color w:val="auto"/>
        </w:rPr>
      </w:pPr>
      <w:r>
        <w:rPr>
          <w:rFonts w:hint="eastAsia" w:ascii="仿宋" w:hAnsi="仿宋" w:eastAsia="仿宋" w:cs="仿宋"/>
          <w:b/>
          <w:color w:val="auto"/>
          <w:sz w:val="32"/>
        </w:rPr>
        <w:t>一、资格审查响应对照表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06"/>
        <w:gridCol w:w="5580"/>
        <w:gridCol w:w="1824"/>
      </w:tblGrid>
      <w:tr w14:paraId="6D6C2A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7" w:hRule="atLeast"/>
        </w:trPr>
        <w:tc>
          <w:tcPr>
            <w:tcW w:w="7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95B78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序号</w:t>
            </w:r>
          </w:p>
        </w:tc>
        <w:tc>
          <w:tcPr>
            <w:tcW w:w="55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2D29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资格审查响应内容</w:t>
            </w:r>
          </w:p>
        </w:tc>
        <w:tc>
          <w:tcPr>
            <w:tcW w:w="182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B0EE6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是否响应</w:t>
            </w:r>
          </w:p>
          <w:p w14:paraId="119D5F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（填是或者否）</w:t>
            </w:r>
          </w:p>
        </w:tc>
      </w:tr>
      <w:tr w14:paraId="03D2C0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8110"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87C5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资格条件</w:t>
            </w:r>
          </w:p>
        </w:tc>
      </w:tr>
      <w:tr w14:paraId="64B5E0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1" w:hRule="atLeast"/>
        </w:trPr>
        <w:tc>
          <w:tcPr>
            <w:tcW w:w="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C4F0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1</w:t>
            </w:r>
          </w:p>
        </w:tc>
        <w:tc>
          <w:tcPr>
            <w:tcW w:w="55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DC9D5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587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 </w:t>
            </w:r>
          </w:p>
        </w:tc>
      </w:tr>
      <w:tr w14:paraId="63E5BA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0EAB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2</w:t>
            </w:r>
          </w:p>
        </w:tc>
        <w:tc>
          <w:tcPr>
            <w:tcW w:w="5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D6FB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3657A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47C42A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FE72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3</w:t>
            </w:r>
          </w:p>
        </w:tc>
        <w:tc>
          <w:tcPr>
            <w:tcW w:w="5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1B1A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26557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196DD0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2" w:hRule="atLeast"/>
        </w:trPr>
        <w:tc>
          <w:tcPr>
            <w:tcW w:w="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2A56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4</w:t>
            </w:r>
          </w:p>
        </w:tc>
        <w:tc>
          <w:tcPr>
            <w:tcW w:w="5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EBCA6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8439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41B1B9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0" w:hRule="atLeast"/>
        </w:trPr>
        <w:tc>
          <w:tcPr>
            <w:tcW w:w="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D577E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5</w:t>
            </w:r>
          </w:p>
        </w:tc>
        <w:tc>
          <w:tcPr>
            <w:tcW w:w="5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44496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778DB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19E65C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0" w:hRule="atLeast"/>
        </w:trPr>
        <w:tc>
          <w:tcPr>
            <w:tcW w:w="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3A131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6</w:t>
            </w:r>
          </w:p>
        </w:tc>
        <w:tc>
          <w:tcPr>
            <w:tcW w:w="5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2BC37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w:t>
            </w:r>
          </w:p>
        </w:tc>
        <w:tc>
          <w:tcPr>
            <w:tcW w:w="18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9094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bl>
    <w:p w14:paraId="032B3EBC">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1BD3704">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11718E55">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具有独立承担民事责任的能力（提供法人或者其他组织的营业执照等证明文件加盖供应商公章；供应商为自然人的，提供其身份证正反面扫描件）；</w:t>
      </w:r>
    </w:p>
    <w:p w14:paraId="7F7D8C8C">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3A3368C4">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E7F92D0">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11AA146">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5D83E33">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1C73C962">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86849E4">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p>
    <w:p w14:paraId="37BE0687">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B34158F">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78EDE05">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343CF8B">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4EFA95D">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具有良好的商业信誉和健全的财务会计制度（提供2024年度或2025年度经审计的财务报告，或投标截止时间前六个月内银行出具的资信证明，成立不满一年的无须提供）</w:t>
      </w:r>
    </w:p>
    <w:p w14:paraId="620A9431">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6F56FE6A">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19715892">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39DA9719">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73971176">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445A242C">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728DC0E1">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45B031DE">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0D935C12">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16D8A4D0">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4"/>
        </w:rPr>
        <w:t> </w:t>
      </w:r>
    </w:p>
    <w:p w14:paraId="5A7902CD">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346C19B9">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A03FD98">
      <w:pPr>
        <w:rPr>
          <w:rFonts w:hint="eastAsia" w:ascii="仿宋" w:hAnsi="仿宋" w:eastAsia="仿宋" w:cs="仿宋"/>
          <w:b/>
          <w:color w:val="auto"/>
          <w:sz w:val="21"/>
        </w:rPr>
      </w:pPr>
      <w:r>
        <w:rPr>
          <w:rFonts w:hint="eastAsia" w:ascii="仿宋" w:hAnsi="仿宋" w:eastAsia="仿宋" w:cs="仿宋"/>
          <w:b/>
          <w:color w:val="auto"/>
          <w:sz w:val="21"/>
        </w:rPr>
        <w:br w:type="page"/>
      </w:r>
    </w:p>
    <w:p w14:paraId="2E6CA52E">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具有履行合同所必需的设备和专业技术能力（供应商根据履行采购项目合同需要，提供履行合同所必需的设备和专业技术能力的声明函或证明材料）</w:t>
      </w:r>
    </w:p>
    <w:p w14:paraId="185DF50B">
      <w:pPr>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具有履行合同所必需的设备和专业技术能力的声明</w:t>
      </w:r>
    </w:p>
    <w:p w14:paraId="54FA5132">
      <w:pPr>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rFonts w:hint="eastAsia" w:ascii="仿宋" w:hAnsi="仿宋" w:eastAsia="仿宋" w:cs="仿宋"/>
          <w:color w:val="auto"/>
        </w:rPr>
      </w:pPr>
      <w:r>
        <w:rPr>
          <w:rFonts w:hint="eastAsia" w:ascii="仿宋" w:hAnsi="仿宋" w:eastAsia="仿宋" w:cs="仿宋"/>
          <w:color w:val="auto"/>
          <w:sz w:val="21"/>
        </w:rPr>
        <w:t>我单位郑重声明：我单位具备履行本项采购合同所必需的设备和专业技术能力，为履行本项采购合同我公司具备如下主要设备和主要专业技术能力：</w:t>
      </w:r>
    </w:p>
    <w:p w14:paraId="7D920A37">
      <w:pPr>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rFonts w:hint="eastAsia" w:ascii="仿宋" w:hAnsi="仿宋" w:eastAsia="仿宋" w:cs="仿宋"/>
          <w:color w:val="auto"/>
        </w:rPr>
      </w:pPr>
      <w:r>
        <w:rPr>
          <w:rFonts w:hint="eastAsia" w:ascii="仿宋" w:hAnsi="仿宋" w:eastAsia="仿宋" w:cs="仿宋"/>
          <w:color w:val="auto"/>
          <w:sz w:val="21"/>
        </w:rPr>
        <w:t>主要设备有：</w:t>
      </w:r>
      <w:r>
        <w:rPr>
          <w:rFonts w:hint="eastAsia" w:ascii="仿宋" w:hAnsi="仿宋" w:eastAsia="仿宋" w:cs="仿宋"/>
          <w:color w:val="auto"/>
          <w:sz w:val="21"/>
          <w:u w:val="single"/>
        </w:rPr>
        <w:t>  </w:t>
      </w:r>
      <w:r>
        <w:rPr>
          <w:rFonts w:hint="eastAsia" w:ascii="仿宋" w:hAnsi="仿宋" w:eastAsia="仿宋" w:cs="仿宋"/>
          <w:color w:val="auto"/>
          <w:sz w:val="21"/>
        </w:rPr>
        <w:t>。</w:t>
      </w:r>
    </w:p>
    <w:p w14:paraId="0D99C258">
      <w:pPr>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rFonts w:hint="eastAsia" w:ascii="仿宋" w:hAnsi="仿宋" w:eastAsia="仿宋" w:cs="仿宋"/>
          <w:color w:val="auto"/>
        </w:rPr>
      </w:pPr>
      <w:r>
        <w:rPr>
          <w:rFonts w:hint="eastAsia" w:ascii="仿宋" w:hAnsi="仿宋" w:eastAsia="仿宋" w:cs="仿宋"/>
          <w:color w:val="auto"/>
          <w:sz w:val="21"/>
        </w:rPr>
        <w:t>主要专业技术能力有：</w:t>
      </w:r>
      <w:r>
        <w:rPr>
          <w:rFonts w:hint="eastAsia" w:ascii="仿宋" w:hAnsi="仿宋" w:eastAsia="仿宋" w:cs="仿宋"/>
          <w:color w:val="auto"/>
          <w:sz w:val="21"/>
          <w:u w:val="single"/>
        </w:rPr>
        <w:t>   </w:t>
      </w:r>
      <w:r>
        <w:rPr>
          <w:rFonts w:hint="eastAsia" w:ascii="仿宋" w:hAnsi="仿宋" w:eastAsia="仿宋" w:cs="仿宋"/>
          <w:color w:val="auto"/>
          <w:sz w:val="21"/>
        </w:rPr>
        <w:t>。</w:t>
      </w:r>
    </w:p>
    <w:p w14:paraId="4AE8D58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6C8E6A3D">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rFonts w:hint="eastAsia" w:ascii="仿宋" w:hAnsi="仿宋" w:eastAsia="仿宋" w:cs="仿宋"/>
          <w:color w:val="auto"/>
        </w:rPr>
      </w:pPr>
      <w:r>
        <w:rPr>
          <w:rFonts w:hint="eastAsia" w:ascii="仿宋" w:hAnsi="仿宋" w:eastAsia="仿宋" w:cs="仿宋"/>
          <w:color w:val="auto"/>
          <w:sz w:val="21"/>
        </w:rPr>
        <w:t>  供应商名称（公章）：</w:t>
      </w:r>
    </w:p>
    <w:p w14:paraId="48884A9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日期：______年    月    日</w:t>
      </w:r>
    </w:p>
    <w:p w14:paraId="4C51CED3">
      <w:pPr>
        <w:pBdr>
          <w:top w:val="none" w:color="000000" w:sz="0" w:space="0"/>
          <w:left w:val="none" w:color="000000" w:sz="0" w:space="0"/>
          <w:bottom w:val="none" w:color="000000" w:sz="0" w:space="0"/>
          <w:right w:val="none" w:color="000000" w:sz="0" w:space="0"/>
        </w:pBdr>
        <w:spacing w:before="0" w:after="0" w:line="78" w:lineRule="atLeast"/>
        <w:ind w:left="0" w:right="0" w:firstLine="0"/>
        <w:jc w:val="both"/>
        <w:rPr>
          <w:rFonts w:hint="eastAsia" w:ascii="仿宋" w:hAnsi="仿宋" w:eastAsia="仿宋" w:cs="仿宋"/>
          <w:color w:val="auto"/>
        </w:rPr>
      </w:pPr>
      <w:r>
        <w:rPr>
          <w:rFonts w:hint="eastAsia" w:ascii="仿宋" w:hAnsi="仿宋" w:eastAsia="仿宋" w:cs="仿宋"/>
          <w:color w:val="auto"/>
        </w:rPr>
        <w:br w:type="page" w:clear="all"/>
      </w:r>
    </w:p>
    <w:p w14:paraId="4FD2DDEA">
      <w:pPr>
        <w:pBdr>
          <w:top w:val="none" w:color="000000" w:sz="0" w:space="0"/>
          <w:left w:val="none" w:color="000000" w:sz="0" w:space="0"/>
          <w:bottom w:val="none" w:color="000000" w:sz="0" w:space="0"/>
          <w:right w:val="none" w:color="000000" w:sz="0" w:space="0"/>
        </w:pBdr>
        <w:spacing w:before="0" w:after="0" w:line="78"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有依法缴纳税收和社会保障资金的良好记录（提供2025年10月至今）中任一月份的依法缴纳税收和社会保险费的相关材料（提供相关主管部门证明或银行代扣证明的复印件，根据国家相关政策免缴或迟缴的需提供相关证明材料）</w:t>
      </w:r>
    </w:p>
    <w:p w14:paraId="49C0684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36C9BA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3CE2EF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A48044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A14D2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280FB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7C53F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71EA5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806116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12510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85346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2F1930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45EBC5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E0241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1E9F5E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CBA73B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F7132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CFF56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16E8A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3A843C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DD898A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1F3841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77E98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764D3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3C700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FF36D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07D24A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70BC4D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7AEFE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F7BF03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7ACB76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450A0FA">
      <w:pPr>
        <w:rPr>
          <w:rFonts w:hint="eastAsia" w:ascii="仿宋" w:hAnsi="仿宋" w:eastAsia="仿宋" w:cs="仿宋"/>
          <w:b/>
          <w:color w:val="auto"/>
          <w:sz w:val="21"/>
        </w:rPr>
      </w:pPr>
      <w:r>
        <w:rPr>
          <w:rFonts w:hint="eastAsia" w:ascii="仿宋" w:hAnsi="仿宋" w:eastAsia="仿宋" w:cs="仿宋"/>
          <w:b/>
          <w:color w:val="auto"/>
          <w:sz w:val="21"/>
        </w:rPr>
        <w:br w:type="page"/>
      </w:r>
    </w:p>
    <w:p w14:paraId="4F5C591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参加政府采购活动前 3 年内在经营活动中没有重大违法记录的书面声明</w:t>
      </w:r>
    </w:p>
    <w:p w14:paraId="64088B3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22DDB249">
      <w:pPr>
        <w:pBdr>
          <w:top w:val="none" w:color="000000" w:sz="0" w:space="0"/>
          <w:left w:val="none" w:color="000000" w:sz="0" w:space="0"/>
          <w:bottom w:val="none" w:color="000000" w:sz="0" w:space="0"/>
          <w:right w:val="none" w:color="000000" w:sz="0" w:space="0"/>
        </w:pBdr>
        <w:spacing w:before="0" w:after="312"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声明</w:t>
      </w:r>
    </w:p>
    <w:p w14:paraId="2D5CF7A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    </w:t>
      </w:r>
      <w:r>
        <w:rPr>
          <w:rFonts w:hint="eastAsia" w:ascii="仿宋" w:hAnsi="仿宋" w:eastAsia="仿宋" w:cs="仿宋"/>
          <w:color w:val="auto"/>
          <w:sz w:val="21"/>
        </w:rPr>
        <w:t>我公司郑重声明：参加本次政府采购活动前 3 年内，我公司在经营活动中没有因违法经营受到刑事处罚或者责令停产停业、吊销许可证或者执照、较大数额罚款等行政处罚。</w:t>
      </w:r>
    </w:p>
    <w:p w14:paraId="21389F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0F4A791F">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rFonts w:hint="eastAsia" w:ascii="仿宋" w:hAnsi="仿宋" w:eastAsia="仿宋" w:cs="仿宋"/>
          <w:color w:val="auto"/>
        </w:rPr>
      </w:pPr>
      <w:r>
        <w:rPr>
          <w:rFonts w:hint="eastAsia" w:ascii="仿宋" w:hAnsi="仿宋" w:eastAsia="仿宋" w:cs="仿宋"/>
          <w:color w:val="auto"/>
          <w:sz w:val="21"/>
        </w:rPr>
        <w:t>供应商名称（公章）：</w:t>
      </w:r>
    </w:p>
    <w:p w14:paraId="3EFE775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68456A8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日期：______年    月    日</w:t>
      </w:r>
    </w:p>
    <w:p w14:paraId="75962B44">
      <w:pPr>
        <w:pBdr>
          <w:top w:val="none" w:color="000000" w:sz="0" w:space="0"/>
          <w:left w:val="none" w:color="000000" w:sz="0" w:space="0"/>
          <w:bottom w:val="none" w:color="000000" w:sz="0" w:space="0"/>
          <w:right w:val="none" w:color="000000" w:sz="0" w:space="0"/>
        </w:pBdr>
        <w:spacing w:before="0" w:after="0"/>
        <w:ind w:left="0" w:right="0" w:firstLine="0"/>
        <w:rPr>
          <w:rFonts w:hint="eastAsia" w:ascii="仿宋" w:hAnsi="仿宋" w:eastAsia="仿宋" w:cs="仿宋"/>
          <w:color w:val="auto"/>
        </w:rPr>
      </w:pPr>
      <w:r>
        <w:rPr>
          <w:rFonts w:hint="eastAsia" w:ascii="仿宋" w:hAnsi="仿宋" w:eastAsia="仿宋" w:cs="仿宋"/>
          <w:color w:val="auto"/>
        </w:rPr>
        <w:br w:type="page" w:clear="all"/>
      </w:r>
    </w:p>
    <w:p w14:paraId="0415368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法律、行政法规规定的其他条件</w:t>
      </w:r>
    </w:p>
    <w:p w14:paraId="033585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7783BA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ACBF34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A97B39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121DD3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DA2530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5C608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476DD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6B9860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EA1302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38CB8C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FC9183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99D368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11DF114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4B540D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03DDB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D633A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45948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DE51D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89FFB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E41846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7BEC6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AAA16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F6307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0ABFB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55A1CF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11D5FA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36A3AA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361C8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774CD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7A1C7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50F13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22AEB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CA274EB">
      <w:pPr>
        <w:rPr>
          <w:rFonts w:hint="eastAsia" w:ascii="仿宋" w:hAnsi="仿宋" w:eastAsia="仿宋" w:cs="仿宋"/>
          <w:b/>
          <w:bCs/>
          <w:sz w:val="32"/>
          <w:szCs w:val="32"/>
        </w:rPr>
      </w:pPr>
      <w:r>
        <w:rPr>
          <w:rFonts w:hint="eastAsia" w:ascii="仿宋" w:hAnsi="仿宋" w:eastAsia="仿宋" w:cs="仿宋"/>
          <w:b/>
          <w:bCs/>
          <w:sz w:val="32"/>
          <w:szCs w:val="32"/>
        </w:rPr>
        <w:br w:type="page"/>
      </w:r>
    </w:p>
    <w:p w14:paraId="018955FB">
      <w:pPr>
        <w:pStyle w:val="41"/>
        <w:spacing w:line="360" w:lineRule="auto"/>
        <w:ind w:left="0" w:leftChars="0" w:firstLine="0" w:firstLineChars="0"/>
        <w:jc w:val="center"/>
        <w:rPr>
          <w:rFonts w:hint="eastAsia" w:ascii="仿宋" w:hAnsi="仿宋" w:eastAsia="仿宋" w:cs="仿宋"/>
          <w:b/>
          <w:bCs/>
          <w:sz w:val="32"/>
          <w:szCs w:val="32"/>
        </w:rPr>
      </w:pPr>
      <w:r>
        <w:rPr>
          <w:rFonts w:hint="eastAsia" w:ascii="仿宋" w:hAnsi="仿宋" w:eastAsia="仿宋" w:cs="仿宋"/>
          <w:b/>
          <w:bCs/>
          <w:sz w:val="32"/>
          <w:szCs w:val="32"/>
        </w:rPr>
        <w:t>供应商信用承诺函</w:t>
      </w:r>
    </w:p>
    <w:p w14:paraId="7B021A73">
      <w:pPr>
        <w:spacing w:line="274" w:lineRule="exact"/>
        <w:ind w:right="60"/>
        <w:jc w:val="left"/>
        <w:rPr>
          <w:rFonts w:hint="eastAsia" w:ascii="仿宋" w:hAnsi="仿宋" w:eastAsia="仿宋" w:cs="仿宋"/>
          <w:w w:val="99"/>
          <w:sz w:val="24"/>
        </w:rPr>
      </w:pPr>
      <w:r>
        <w:rPr>
          <w:rFonts w:hint="eastAsia" w:ascii="仿宋" w:hAnsi="仿宋" w:eastAsia="仿宋" w:cs="仿宋"/>
          <w:b/>
          <w:sz w:val="24"/>
          <w:szCs w:val="21"/>
          <w:lang w:val="zh-CN"/>
        </w:rPr>
        <w:t>南京市小行小学</w:t>
      </w:r>
      <w:r>
        <w:rPr>
          <w:rFonts w:hint="eastAsia" w:ascii="仿宋" w:hAnsi="仿宋" w:eastAsia="仿宋" w:cs="仿宋"/>
          <w:sz w:val="24"/>
        </w:rPr>
        <w:t>：</w:t>
      </w:r>
    </w:p>
    <w:p w14:paraId="7DB15F42">
      <w:pPr>
        <w:tabs>
          <w:tab w:val="left" w:pos="193"/>
        </w:tabs>
        <w:spacing w:before="101" w:line="306" w:lineRule="auto"/>
        <w:ind w:left="36" w:right="230" w:firstLine="640"/>
        <w:rPr>
          <w:rFonts w:hint="eastAsia" w:ascii="仿宋" w:hAnsi="仿宋" w:eastAsia="仿宋" w:cs="仿宋"/>
          <w:spacing w:val="8"/>
          <w:sz w:val="24"/>
          <w:szCs w:val="24"/>
        </w:rPr>
      </w:pPr>
      <w:r>
        <w:rPr>
          <w:rFonts w:hint="eastAsia" w:ascii="仿宋" w:hAnsi="仿宋" w:eastAsia="仿宋" w:cs="仿宋"/>
          <w:spacing w:val="8"/>
          <w:sz w:val="24"/>
          <w:szCs w:val="24"/>
        </w:rPr>
        <w:t>我公司自愿参加贵中心（公司）组织的本次采购活动，严格遵守《中华人民政府采购法》及相关法律法规，坚守公开、公平、公正和诚实信用的原则，依法诚信经营，无条件遵守本次政府采购活动的各项规定。我们郑重承诺：</w:t>
      </w:r>
    </w:p>
    <w:p w14:paraId="53738C0D">
      <w:pPr>
        <w:tabs>
          <w:tab w:val="left" w:pos="193"/>
        </w:tabs>
        <w:spacing w:before="101" w:line="306" w:lineRule="auto"/>
        <w:ind w:left="36" w:right="230" w:firstLine="384"/>
        <w:rPr>
          <w:rFonts w:hint="eastAsia" w:ascii="仿宋" w:hAnsi="仿宋" w:eastAsia="仿宋" w:cs="仿宋"/>
          <w:spacing w:val="8"/>
          <w:sz w:val="24"/>
          <w:szCs w:val="24"/>
        </w:rPr>
      </w:pPr>
      <w:r>
        <w:rPr>
          <w:rFonts w:hint="eastAsia" w:ascii="仿宋" w:hAnsi="仿宋" w:eastAsia="仿宋" w:cs="仿宋"/>
          <w:spacing w:val="8"/>
          <w:sz w:val="24"/>
          <w:szCs w:val="24"/>
        </w:rPr>
        <w:t>1、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p>
    <w:p w14:paraId="744C607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本公司未被信用中国网站、中国政府采购网站列入失信被执行人名单、重大税收违法案件当事人名单、政府采购严重违法失信行为记录名单；我公司无《南京市政府采购供应商信用管理工作暂行办法》宁财规〔2018〕10 号第十一条、十二条所列严重失信行为；</w:t>
      </w:r>
    </w:p>
    <w:p w14:paraId="3689234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3、我公司非为本采购项目提供整体设计、规范编制或者项目管理、监理、检测等服务的供应商；</w:t>
      </w:r>
    </w:p>
    <w:p w14:paraId="562ADBBE">
      <w:pPr>
        <w:tabs>
          <w:tab w:val="left" w:pos="193"/>
        </w:tabs>
        <w:spacing w:before="101" w:line="306" w:lineRule="auto"/>
        <w:ind w:left="36" w:right="230" w:firstLine="384"/>
        <w:rPr>
          <w:rFonts w:hint="eastAsia" w:ascii="仿宋" w:hAnsi="仿宋" w:eastAsia="仿宋" w:cs="仿宋"/>
          <w:spacing w:val="8"/>
          <w:sz w:val="24"/>
          <w:szCs w:val="24"/>
        </w:rPr>
      </w:pPr>
      <w:r>
        <w:rPr>
          <w:rFonts w:hint="eastAsia" w:ascii="仿宋" w:hAnsi="仿宋" w:eastAsia="仿宋" w:cs="仿宋"/>
          <w:spacing w:val="8"/>
          <w:sz w:val="24"/>
          <w:szCs w:val="24"/>
        </w:rPr>
        <w:t>如有弄虚作假或其他违法违规行为，愿承担一切法律责任，接受各级政府采购监管部门和有权机关的审查和处罚。</w:t>
      </w:r>
    </w:p>
    <w:p w14:paraId="0524FE43">
      <w:pPr>
        <w:spacing w:line="251" w:lineRule="exact"/>
        <w:ind w:left="20"/>
        <w:jc w:val="center"/>
        <w:rPr>
          <w:rFonts w:hint="eastAsia" w:ascii="仿宋" w:hAnsi="仿宋" w:eastAsia="仿宋" w:cs="仿宋"/>
          <w:sz w:val="24"/>
        </w:rPr>
      </w:pPr>
    </w:p>
    <w:p w14:paraId="751D97A9">
      <w:pPr>
        <w:spacing w:line="251" w:lineRule="exact"/>
        <w:ind w:left="20"/>
        <w:jc w:val="center"/>
        <w:rPr>
          <w:rFonts w:hint="eastAsia" w:ascii="仿宋" w:hAnsi="仿宋" w:eastAsia="仿宋" w:cs="仿宋"/>
          <w:sz w:val="24"/>
        </w:rPr>
      </w:pPr>
    </w:p>
    <w:p w14:paraId="52B51E73">
      <w:pPr>
        <w:spacing w:line="251" w:lineRule="exact"/>
        <w:ind w:left="20"/>
        <w:jc w:val="center"/>
        <w:rPr>
          <w:rFonts w:hint="eastAsia" w:ascii="仿宋" w:hAnsi="仿宋" w:eastAsia="仿宋" w:cs="仿宋"/>
          <w:sz w:val="24"/>
        </w:rPr>
      </w:pPr>
    </w:p>
    <w:p w14:paraId="5EAF7E10">
      <w:pPr>
        <w:spacing w:line="274" w:lineRule="exact"/>
        <w:ind w:left="23"/>
        <w:jc w:val="center"/>
        <w:rPr>
          <w:rFonts w:hint="eastAsia" w:ascii="仿宋" w:hAnsi="仿宋" w:eastAsia="仿宋" w:cs="仿宋"/>
          <w:sz w:val="24"/>
        </w:rPr>
      </w:pPr>
      <w:r>
        <w:rPr>
          <w:rFonts w:hint="eastAsia" w:ascii="仿宋" w:hAnsi="仿宋" w:eastAsia="仿宋" w:cs="仿宋"/>
          <w:sz w:val="24"/>
        </w:rPr>
        <w:t xml:space="preserve">         供应商名称（盖章）：</w:t>
      </w:r>
    </w:p>
    <w:p w14:paraId="1EB5DF51">
      <w:pPr>
        <w:spacing w:line="274" w:lineRule="exact"/>
        <w:ind w:left="23"/>
        <w:jc w:val="center"/>
        <w:rPr>
          <w:rFonts w:hint="eastAsia" w:ascii="仿宋" w:hAnsi="仿宋" w:eastAsia="仿宋" w:cs="仿宋"/>
          <w:sz w:val="24"/>
        </w:rPr>
      </w:pPr>
      <w:r>
        <w:rPr>
          <w:rFonts w:hint="eastAsia" w:ascii="仿宋" w:hAnsi="仿宋" w:eastAsia="仿宋" w:cs="仿宋"/>
          <w:sz w:val="24"/>
        </w:rPr>
        <w:t xml:space="preserve">         法定代表人（签字）：</w:t>
      </w:r>
    </w:p>
    <w:p w14:paraId="5CA72F38">
      <w:pPr>
        <w:spacing w:line="360" w:lineRule="auto"/>
        <w:jc w:val="center"/>
        <w:rPr>
          <w:rFonts w:hint="eastAsia" w:ascii="仿宋" w:hAnsi="仿宋" w:eastAsia="仿宋" w:cs="仿宋"/>
          <w:b/>
          <w:bCs/>
          <w:sz w:val="20"/>
        </w:rPr>
      </w:pPr>
      <w:r>
        <w:rPr>
          <w:rFonts w:hint="eastAsia" w:ascii="仿宋" w:hAnsi="仿宋" w:eastAsia="仿宋" w:cs="仿宋"/>
          <w:sz w:val="24"/>
        </w:rPr>
        <w:t xml:space="preserve">        二〇   年  月    日</w:t>
      </w:r>
    </w:p>
    <w:p w14:paraId="35F7005E">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173713B7">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3D50E3BD">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728568CA">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1701508F">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4F8BB79B">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3C4C5772">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43E52168">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4E9DF04F">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6170FDCD">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18FD2F10">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1673351C">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0231D21F">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0B3CAB96">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3FD9FE88">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p>
    <w:p w14:paraId="0F4D2C67">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仿宋" w:hAnsi="仿宋" w:eastAsia="仿宋" w:cs="仿宋"/>
          <w:color w:val="auto"/>
        </w:rPr>
      </w:pPr>
      <w:r>
        <w:rPr>
          <w:rFonts w:hint="eastAsia" w:ascii="仿宋" w:hAnsi="仿宋" w:eastAsia="仿宋" w:cs="仿宋"/>
          <w:color w:val="auto"/>
          <w:sz w:val="22"/>
        </w:rPr>
        <w:t> </w:t>
      </w:r>
      <w:r>
        <w:rPr>
          <w:rFonts w:hint="eastAsia" w:ascii="仿宋" w:hAnsi="仿宋" w:eastAsia="仿宋" w:cs="仿宋"/>
          <w:b/>
          <w:color w:val="auto"/>
          <w:sz w:val="32"/>
        </w:rPr>
        <w:t> </w:t>
      </w:r>
    </w:p>
    <w:p w14:paraId="6DD603D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b/>
          <w:color w:val="auto"/>
          <w:sz w:val="32"/>
        </w:rPr>
        <w:t>本项目的特定资格要求：</w:t>
      </w:r>
    </w:p>
    <w:p w14:paraId="726659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b/>
          <w:color w:val="auto"/>
          <w:sz w:val="32"/>
        </w:rPr>
        <w:t> </w:t>
      </w:r>
    </w:p>
    <w:p w14:paraId="2BEDB2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（1）供应商须具有：施工总承包建筑工程三级(含)以上资质，同时具有国家行政主管部门核发的安全生产许可证 (提供有效的证书复印件加盖公章)；</w:t>
      </w:r>
    </w:p>
    <w:p w14:paraId="6E594C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供应商拟委派项目负责人须具有：注册建造师证建筑工程二级(含)以上，且提供有效期内的安全生产考核B类证。供应商必须提供社保机构出具的近半年（2025年10月-2026年3月）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p>
    <w:p w14:paraId="5B4849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（3）项目负责人必须满足下列条件（符合并提供加盖公章的承诺书）： </w:t>
      </w:r>
    </w:p>
    <w:p w14:paraId="5049DE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1）项目负责人不得同时在两个或者两个以上单位受聘或者执业；</w:t>
      </w:r>
    </w:p>
    <w:p w14:paraId="290FDF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7C48A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3）项目负责人无行贿犯罪行为记录；或者有行贿犯罪行为记录，但自记录之日起已超过5年的。</w:t>
      </w:r>
    </w:p>
    <w:p w14:paraId="7A3A681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185A31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9740E6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8FD1B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6723623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556017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7FB9C9F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78923F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30047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6350D5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1ABD61B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41BCA0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1C383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B7D9A8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B33115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2F76A4F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09FD9AE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 </w:t>
      </w:r>
    </w:p>
    <w:p w14:paraId="50ED79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磋商响应函</w:t>
      </w:r>
    </w:p>
    <w:p w14:paraId="2602CF9A">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lang w:eastAsia="zh-CN"/>
        </w:rPr>
      </w:pPr>
      <w:r>
        <w:rPr>
          <w:rFonts w:hint="eastAsia" w:ascii="仿宋" w:hAnsi="仿宋" w:eastAsia="仿宋" w:cs="仿宋"/>
          <w:color w:val="auto"/>
          <w:sz w:val="21"/>
        </w:rPr>
        <w:t>致：</w:t>
      </w:r>
      <w:r>
        <w:rPr>
          <w:rFonts w:hint="eastAsia" w:ascii="仿宋" w:hAnsi="仿宋" w:eastAsia="仿宋" w:cs="仿宋"/>
          <w:color w:val="auto"/>
          <w:sz w:val="21"/>
          <w:lang w:eastAsia="zh-CN"/>
        </w:rPr>
        <w:t>南京佳涵工程咨询有限公司</w:t>
      </w:r>
    </w:p>
    <w:p w14:paraId="667BBC0D">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根据贵方的</w:t>
      </w:r>
      <w:r>
        <w:rPr>
          <w:rFonts w:hint="eastAsia" w:ascii="仿宋" w:hAnsi="仿宋" w:eastAsia="仿宋" w:cs="仿宋"/>
          <w:color w:val="auto"/>
          <w:sz w:val="21"/>
          <w:u w:val="single"/>
        </w:rPr>
        <w:t>       </w:t>
      </w:r>
      <w:r>
        <w:rPr>
          <w:rFonts w:hint="eastAsia" w:ascii="仿宋" w:hAnsi="仿宋" w:eastAsia="仿宋" w:cs="仿宋"/>
          <w:color w:val="auto"/>
          <w:sz w:val="21"/>
        </w:rPr>
        <w:t>号磋商文件，正式授权下述签字人_________ (姓名和职务)代表我方______________（供应商的名称），全权处理本次项目磋商采购的有关事宜。</w:t>
      </w:r>
    </w:p>
    <w:p w14:paraId="56909F82">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据此函，__________（签字人）兹宣布同意如下：</w:t>
      </w:r>
    </w:p>
    <w:p w14:paraId="1219BE5F">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1.按磋商文件规定的各项要求，向买方提供所需服务。</w:t>
      </w:r>
    </w:p>
    <w:p w14:paraId="004288B0">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2.我们已详细审核全部磋商文件及其有效补充文件，我们知道必须放弃提出含糊不清或误解问题的权利。</w:t>
      </w:r>
    </w:p>
    <w:p w14:paraId="0CD79BA2">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3.我们同意从规定的响应文件接收截止时间起遵循本响应文件，并在规定的磋商有效期期满之前均具有约束力。</w:t>
      </w:r>
    </w:p>
    <w:p w14:paraId="51E5482B">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4.同意向贵方提供贵方可能另外要求的与磋商采购有关的任何证据或资料，并保证我方已提供和将要提供的文件是真实的、准确的。</w:t>
      </w:r>
    </w:p>
    <w:p w14:paraId="12FC6E4F">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5.一旦我方成交，我方将根据磋商文件的规定，严格履行合同的责任和义务，并保证在磋商文件规定的时间完成项目，交付买方验收、使用。</w:t>
      </w:r>
    </w:p>
    <w:p w14:paraId="1E8C0EEA">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6.遵守磋商文件中要求的收费项目和标准。</w:t>
      </w:r>
    </w:p>
    <w:p w14:paraId="32C463AA">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7.与本磋商采购有关的正式通讯地址为：</w:t>
      </w:r>
    </w:p>
    <w:p w14:paraId="457C5155">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地 址：邮 编：</w:t>
      </w:r>
    </w:p>
    <w:p w14:paraId="3A45414F">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电 话：传 真：</w:t>
      </w:r>
    </w:p>
    <w:p w14:paraId="60951696">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 xml:space="preserve">供应商开户行：账 户： </w:t>
      </w:r>
    </w:p>
    <w:p w14:paraId="3431649A">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法定代表人姓名（签字或盖章）：联系电话：</w:t>
      </w:r>
    </w:p>
    <w:p w14:paraId="285FFC35">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供应商名称（公章）：</w:t>
      </w:r>
    </w:p>
    <w:p w14:paraId="67A8894B">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日 期：________年____月____日</w:t>
      </w:r>
    </w:p>
    <w:p w14:paraId="5E0E3E48">
      <w:pPr>
        <w:pStyle w:val="5"/>
        <w:pBdr>
          <w:top w:val="none" w:color="000000" w:sz="0" w:space="0"/>
          <w:left w:val="none" w:color="000000" w:sz="0" w:space="0"/>
          <w:right w:val="none" w:color="000000" w:sz="0" w:space="0"/>
        </w:pBdr>
        <w:spacing w:before="0" w:after="0"/>
        <w:ind w:left="0" w:right="0"/>
        <w:jc w:val="center"/>
        <w:rPr>
          <w:rFonts w:hint="eastAsia" w:ascii="仿宋" w:hAnsi="仿宋" w:eastAsia="仿宋" w:cs="仿宋"/>
          <w:color w:val="auto"/>
        </w:rPr>
      </w:pPr>
      <w:r>
        <w:rPr>
          <w:rFonts w:hint="eastAsia" w:ascii="仿宋" w:hAnsi="仿宋" w:eastAsia="仿宋" w:cs="仿宋"/>
          <w:color w:val="auto"/>
        </w:rPr>
        <w:br w:type="page" w:clear="all"/>
      </w:r>
    </w:p>
    <w:p w14:paraId="433E1191">
      <w:pPr>
        <w:pStyle w:val="5"/>
        <w:pBdr>
          <w:top w:val="none" w:color="000000" w:sz="0" w:space="0"/>
          <w:left w:val="none" w:color="000000" w:sz="0" w:space="0"/>
          <w:right w:val="none" w:color="000000" w:sz="0" w:space="0"/>
        </w:pBdr>
        <w:spacing w:before="0" w:after="0"/>
        <w:ind w:left="0" w:right="0"/>
        <w:jc w:val="center"/>
        <w:rPr>
          <w:rFonts w:hint="eastAsia" w:ascii="仿宋" w:hAnsi="仿宋" w:eastAsia="仿宋" w:cs="仿宋"/>
          <w:color w:val="auto"/>
        </w:rPr>
      </w:pPr>
      <w:r>
        <w:rPr>
          <w:rFonts w:hint="eastAsia" w:ascii="仿宋" w:hAnsi="仿宋" w:eastAsia="仿宋" w:cs="仿宋"/>
          <w:b/>
          <w:color w:val="auto"/>
          <w:sz w:val="21"/>
        </w:rPr>
        <w:t>法定代表人身份证明书</w:t>
      </w:r>
    </w:p>
    <w:p w14:paraId="748F2C71">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17C5CC06">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兹证明</w:t>
      </w:r>
      <w:r>
        <w:rPr>
          <w:rFonts w:hint="eastAsia" w:ascii="仿宋" w:hAnsi="仿宋" w:eastAsia="仿宋" w:cs="仿宋"/>
          <w:b/>
          <w:color w:val="auto"/>
          <w:sz w:val="22"/>
          <w:u w:val="single"/>
        </w:rPr>
        <w:t>×××（）姓名</w:t>
      </w:r>
      <w:r>
        <w:rPr>
          <w:rFonts w:hint="eastAsia" w:ascii="仿宋" w:hAnsi="仿宋" w:eastAsia="仿宋" w:cs="仿宋"/>
          <w:color w:val="auto"/>
          <w:sz w:val="24"/>
        </w:rPr>
        <w:t>同志，性别</w:t>
      </w:r>
      <w:r>
        <w:rPr>
          <w:rFonts w:hint="eastAsia" w:ascii="仿宋" w:hAnsi="仿宋" w:eastAsia="仿宋" w:cs="仿宋"/>
          <w:b/>
          <w:color w:val="auto"/>
          <w:sz w:val="22"/>
          <w:u w:val="single"/>
        </w:rPr>
        <w:t>×××</w:t>
      </w:r>
      <w:r>
        <w:rPr>
          <w:rFonts w:hint="eastAsia" w:ascii="仿宋" w:hAnsi="仿宋" w:eastAsia="仿宋" w:cs="仿宋"/>
          <w:color w:val="auto"/>
          <w:sz w:val="24"/>
        </w:rPr>
        <w:t>，居民身份证号</w:t>
      </w:r>
      <w:r>
        <w:rPr>
          <w:rFonts w:hint="eastAsia" w:ascii="仿宋" w:hAnsi="仿宋" w:eastAsia="仿宋" w:cs="仿宋"/>
          <w:b/>
          <w:color w:val="auto"/>
          <w:sz w:val="22"/>
          <w:u w:val="single"/>
        </w:rPr>
        <w:t>×××</w:t>
      </w:r>
      <w:r>
        <w:rPr>
          <w:rFonts w:hint="eastAsia" w:ascii="仿宋" w:hAnsi="仿宋" w:eastAsia="仿宋" w:cs="仿宋"/>
          <w:color w:val="auto"/>
          <w:sz w:val="24"/>
        </w:rPr>
        <w:t>，在我单位任</w:t>
      </w:r>
      <w:r>
        <w:rPr>
          <w:rFonts w:hint="eastAsia" w:ascii="仿宋" w:hAnsi="仿宋" w:eastAsia="仿宋" w:cs="仿宋"/>
          <w:color w:val="auto"/>
          <w:sz w:val="24"/>
          <w:u w:val="single"/>
        </w:rPr>
        <w:t>               </w:t>
      </w:r>
      <w:r>
        <w:rPr>
          <w:rFonts w:hint="eastAsia" w:ascii="仿宋" w:hAnsi="仿宋" w:eastAsia="仿宋" w:cs="仿宋"/>
          <w:color w:val="auto"/>
          <w:sz w:val="24"/>
        </w:rPr>
        <w:t>职务，系我单位主要负责人即法定代表人。</w:t>
      </w:r>
    </w:p>
    <w:p w14:paraId="0907D4A9">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6F0A59D1">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单位地址：</w:t>
      </w:r>
    </w:p>
    <w:p w14:paraId="69CBCA23">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13FDC0F6">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电话：</w:t>
      </w:r>
    </w:p>
    <w:p w14:paraId="09E7DF98">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71E75EBA">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xml:space="preserve">单位全称： </w:t>
      </w:r>
    </w:p>
    <w:p w14:paraId="43298825">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19D710E6">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xml:space="preserve">公章： </w:t>
      </w:r>
    </w:p>
    <w:p w14:paraId="07913E7B">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0F08ED06">
      <w:pPr>
        <w:pBdr>
          <w:top w:val="none" w:color="000000" w:sz="0" w:space="0"/>
          <w:left w:val="none" w:color="000000" w:sz="0" w:space="0"/>
          <w:bottom w:val="none" w:color="000000" w:sz="0" w:space="0"/>
          <w:right w:val="none" w:color="000000" w:sz="0" w:space="0"/>
        </w:pBdr>
        <w:spacing w:before="0" w:after="0"/>
        <w:ind w:left="0" w:right="0" w:firstLine="560"/>
        <w:jc w:val="right"/>
        <w:rPr>
          <w:rFonts w:hint="eastAsia" w:ascii="仿宋" w:hAnsi="仿宋" w:eastAsia="仿宋" w:cs="仿宋"/>
          <w:color w:val="auto"/>
        </w:rPr>
      </w:pPr>
      <w:r>
        <w:rPr>
          <w:rFonts w:hint="eastAsia" w:ascii="仿宋" w:hAnsi="仿宋" w:eastAsia="仿宋" w:cs="仿宋"/>
          <w:color w:val="auto"/>
          <w:sz w:val="24"/>
        </w:rPr>
        <w:t>年月日</w:t>
      </w:r>
    </w:p>
    <w:p w14:paraId="39FFFE5C">
      <w:pPr>
        <w:pBdr>
          <w:top w:val="none" w:color="000000" w:sz="0" w:space="0"/>
          <w:left w:val="none" w:color="000000" w:sz="0" w:space="0"/>
          <w:bottom w:val="none" w:color="000000" w:sz="0" w:space="0"/>
          <w:right w:val="none" w:color="000000" w:sz="0" w:space="0"/>
        </w:pBdr>
        <w:spacing w:before="0" w:after="0"/>
        <w:ind w:left="0" w:right="0" w:firstLine="643"/>
        <w:jc w:val="both"/>
        <w:rPr>
          <w:rFonts w:hint="eastAsia" w:ascii="仿宋" w:hAnsi="仿宋" w:eastAsia="仿宋" w:cs="仿宋"/>
          <w:color w:val="auto"/>
        </w:rPr>
      </w:pPr>
      <w:r>
        <w:rPr>
          <w:rFonts w:hint="eastAsia" w:ascii="仿宋" w:hAnsi="仿宋" w:eastAsia="仿宋" w:cs="仿宋"/>
          <w:b/>
          <w:color w:val="auto"/>
          <w:sz w:val="28"/>
        </w:rPr>
        <w:t> </w:t>
      </w:r>
    </w:p>
    <w:p w14:paraId="6C274E3E">
      <w:pPr>
        <w:pBdr>
          <w:top w:val="none" w:color="000000" w:sz="0" w:space="0"/>
          <w:left w:val="none" w:color="000000" w:sz="0" w:space="0"/>
          <w:bottom w:val="none" w:color="000000" w:sz="0" w:space="0"/>
          <w:right w:val="none" w:color="000000" w:sz="0" w:space="0"/>
        </w:pBdr>
        <w:spacing w:before="0" w:after="0"/>
        <w:ind w:left="0" w:right="0" w:firstLine="643"/>
        <w:jc w:val="both"/>
        <w:rPr>
          <w:rFonts w:hint="eastAsia" w:ascii="仿宋" w:hAnsi="仿宋" w:eastAsia="仿宋" w:cs="仿宋"/>
          <w:color w:val="auto"/>
        </w:rPr>
      </w:pPr>
      <w:r>
        <w:rPr>
          <w:rFonts w:hint="eastAsia" w:ascii="仿宋" w:hAnsi="仿宋" w:eastAsia="仿宋" w:cs="仿宋"/>
          <w:b/>
          <w:color w:val="auto"/>
          <w:sz w:val="28"/>
        </w:rPr>
        <w:t> </w:t>
      </w:r>
    </w:p>
    <w:p w14:paraId="1B19D8CE">
      <w:pPr>
        <w:pBdr>
          <w:top w:val="none" w:color="000000" w:sz="0" w:space="0"/>
          <w:left w:val="none" w:color="000000" w:sz="0" w:space="0"/>
          <w:bottom w:val="none" w:color="000000" w:sz="0" w:space="0"/>
          <w:right w:val="none" w:color="000000" w:sz="0" w:space="0"/>
        </w:pBdr>
        <w:spacing w:before="0" w:after="0"/>
        <w:ind w:left="0" w:right="0" w:firstLine="643"/>
        <w:jc w:val="both"/>
        <w:rPr>
          <w:rFonts w:hint="eastAsia" w:ascii="仿宋" w:hAnsi="仿宋" w:eastAsia="仿宋" w:cs="仿宋"/>
          <w:color w:val="auto"/>
        </w:rPr>
      </w:pPr>
      <w:r>
        <w:rPr>
          <w:rFonts w:hint="eastAsia" w:ascii="仿宋" w:hAnsi="仿宋" w:eastAsia="仿宋" w:cs="仿宋"/>
          <w:b/>
          <w:color w:val="auto"/>
          <w:sz w:val="24"/>
        </w:rPr>
        <w:t>附：法定代表人居民身份证扫描件（正反面）</w:t>
      </w:r>
    </w:p>
    <w:p w14:paraId="0EFA3AE8">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2"/>
          <w:u w:val="single"/>
        </w:rPr>
        <w:t>注：1.“法定代表人”直接参加响应活动的仅需填写本身份证明</w:t>
      </w:r>
      <w:r>
        <w:rPr>
          <w:rFonts w:hint="eastAsia" w:ascii="仿宋" w:hAnsi="仿宋" w:eastAsia="仿宋" w:cs="仿宋"/>
          <w:color w:val="auto"/>
          <w:sz w:val="22"/>
        </w:rPr>
        <w:t>。</w:t>
      </w:r>
    </w:p>
    <w:p w14:paraId="7AA991D1">
      <w:pPr>
        <w:pBdr>
          <w:top w:val="none" w:color="000000" w:sz="0" w:space="0"/>
          <w:left w:val="none" w:color="000000" w:sz="0" w:space="0"/>
          <w:bottom w:val="none" w:color="000000" w:sz="0" w:space="0"/>
          <w:right w:val="none" w:color="000000" w:sz="0" w:space="0"/>
        </w:pBdr>
        <w:spacing w:before="0" w:after="0"/>
        <w:ind w:left="0" w:right="0" w:firstLine="562"/>
        <w:jc w:val="both"/>
        <w:rPr>
          <w:rFonts w:hint="eastAsia" w:ascii="仿宋" w:hAnsi="仿宋" w:eastAsia="仿宋" w:cs="仿宋"/>
          <w:color w:val="auto"/>
        </w:rPr>
      </w:pPr>
      <w:r>
        <w:rPr>
          <w:rFonts w:hint="eastAsia" w:ascii="仿宋" w:hAnsi="仿宋" w:eastAsia="仿宋" w:cs="仿宋"/>
          <w:b/>
          <w:color w:val="auto"/>
          <w:sz w:val="22"/>
          <w:u w:val="single"/>
        </w:rPr>
        <w:t>2.供应商属于非法人组织的，按照法律、行政法规规定能够对外代表其从事民事活动的主要负责人，视同法定代表人。</w:t>
      </w:r>
    </w:p>
    <w:p w14:paraId="0CC1C00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rPr>
        <w:br w:type="page" w:clear="all"/>
      </w:r>
    </w:p>
    <w:p w14:paraId="45764618">
      <w:pPr>
        <w:pStyle w:val="5"/>
        <w:pBdr>
          <w:top w:val="none" w:color="000000" w:sz="0" w:space="0"/>
          <w:left w:val="none" w:color="000000" w:sz="0" w:space="0"/>
          <w:right w:val="none" w:color="000000" w:sz="0" w:space="0"/>
        </w:pBdr>
        <w:spacing w:before="0" w:after="0"/>
        <w:ind w:left="0" w:right="0"/>
        <w:jc w:val="center"/>
        <w:rPr>
          <w:rFonts w:hint="eastAsia" w:ascii="仿宋" w:hAnsi="仿宋" w:eastAsia="仿宋" w:cs="仿宋"/>
          <w:color w:val="auto"/>
        </w:rPr>
      </w:pPr>
      <w:r>
        <w:rPr>
          <w:rFonts w:hint="eastAsia" w:ascii="仿宋" w:hAnsi="仿宋" w:eastAsia="仿宋" w:cs="仿宋"/>
          <w:b/>
          <w:color w:val="auto"/>
          <w:sz w:val="21"/>
        </w:rPr>
        <w:t>法定代表人授权委托书</w:t>
      </w:r>
    </w:p>
    <w:p w14:paraId="29CE03A1">
      <w:pPr>
        <w:pBdr>
          <w:top w:val="none" w:color="000000" w:sz="0" w:space="0"/>
          <w:left w:val="none" w:color="000000" w:sz="0" w:space="0"/>
          <w:bottom w:val="none" w:color="000000" w:sz="0" w:space="0"/>
          <w:right w:val="none" w:color="000000" w:sz="0" w:space="0"/>
        </w:pBdr>
        <w:spacing w:before="0" w:after="0"/>
        <w:ind w:left="0" w:right="420" w:firstLine="560"/>
        <w:jc w:val="both"/>
        <w:rPr>
          <w:rFonts w:hint="eastAsia" w:ascii="仿宋" w:hAnsi="仿宋" w:eastAsia="仿宋" w:cs="仿宋"/>
          <w:color w:val="auto"/>
        </w:rPr>
      </w:pPr>
      <w:r>
        <w:rPr>
          <w:rFonts w:hint="eastAsia" w:ascii="仿宋" w:hAnsi="仿宋" w:eastAsia="仿宋" w:cs="仿宋"/>
          <w:color w:val="auto"/>
          <w:sz w:val="24"/>
        </w:rPr>
        <w:t>本授权书声明：</w:t>
      </w:r>
      <w:r>
        <w:rPr>
          <w:rFonts w:hint="eastAsia" w:ascii="仿宋" w:hAnsi="仿宋" w:eastAsia="仿宋" w:cs="仿宋"/>
          <w:b/>
          <w:color w:val="auto"/>
          <w:sz w:val="22"/>
          <w:u w:val="single"/>
        </w:rPr>
        <w:t>×××（供应商名称）</w:t>
      </w:r>
      <w:r>
        <w:rPr>
          <w:rFonts w:hint="eastAsia" w:ascii="仿宋" w:hAnsi="仿宋" w:eastAsia="仿宋" w:cs="仿宋"/>
          <w:color w:val="auto"/>
          <w:sz w:val="24"/>
          <w:u w:val="single"/>
        </w:rPr>
        <w:t> </w:t>
      </w:r>
      <w:r>
        <w:rPr>
          <w:rFonts w:hint="eastAsia" w:ascii="仿宋" w:hAnsi="仿宋" w:eastAsia="仿宋" w:cs="仿宋"/>
          <w:color w:val="auto"/>
          <w:sz w:val="24"/>
        </w:rPr>
        <w:t>法定代表人</w:t>
      </w:r>
      <w:r>
        <w:rPr>
          <w:rFonts w:hint="eastAsia" w:ascii="仿宋" w:hAnsi="仿宋" w:eastAsia="仿宋" w:cs="仿宋"/>
          <w:b/>
          <w:color w:val="auto"/>
          <w:sz w:val="22"/>
          <w:u w:val="single"/>
        </w:rPr>
        <w:t xml:space="preserve">×××（姓名） </w:t>
      </w:r>
      <w:r>
        <w:rPr>
          <w:rFonts w:hint="eastAsia" w:ascii="仿宋" w:hAnsi="仿宋" w:eastAsia="仿宋" w:cs="仿宋"/>
          <w:color w:val="auto"/>
          <w:sz w:val="24"/>
        </w:rPr>
        <w:t>授权</w:t>
      </w:r>
      <w:r>
        <w:rPr>
          <w:rFonts w:hint="eastAsia" w:ascii="仿宋" w:hAnsi="仿宋" w:eastAsia="仿宋" w:cs="仿宋"/>
          <w:b/>
          <w:color w:val="auto"/>
          <w:sz w:val="22"/>
          <w:u w:val="single"/>
        </w:rPr>
        <w:t>×××（委托代理人的姓名、身份证号）</w:t>
      </w:r>
      <w:r>
        <w:rPr>
          <w:rFonts w:hint="eastAsia" w:ascii="仿宋" w:hAnsi="仿宋" w:eastAsia="仿宋" w:cs="仿宋"/>
          <w:color w:val="auto"/>
          <w:sz w:val="24"/>
        </w:rPr>
        <w:t>为我方就</w:t>
      </w:r>
      <w:r>
        <w:rPr>
          <w:rFonts w:hint="eastAsia" w:ascii="仿宋" w:hAnsi="仿宋" w:eastAsia="仿宋" w:cs="仿宋"/>
          <w:b/>
          <w:color w:val="auto"/>
          <w:sz w:val="22"/>
          <w:u w:val="single"/>
        </w:rPr>
        <w:t>××××（代理机构）代理的××××（项目编号）</w:t>
      </w:r>
      <w:r>
        <w:rPr>
          <w:rFonts w:hint="eastAsia" w:ascii="仿宋" w:hAnsi="仿宋" w:eastAsia="仿宋" w:cs="仿宋"/>
          <w:color w:val="auto"/>
          <w:sz w:val="24"/>
        </w:rPr>
        <w:t>项目的采购活动的合法代理人，以本公司名义全权处理一切与该项目磋商有关的事务（含合同签订）。</w:t>
      </w:r>
    </w:p>
    <w:p w14:paraId="30836742">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本授权书于</w:t>
      </w:r>
      <w:r>
        <w:rPr>
          <w:rFonts w:hint="eastAsia" w:ascii="仿宋" w:hAnsi="仿宋" w:eastAsia="仿宋" w:cs="仿宋"/>
          <w:color w:val="auto"/>
          <w:sz w:val="24"/>
          <w:u w:val="single"/>
        </w:rPr>
        <w:t>  </w:t>
      </w:r>
      <w:r>
        <w:rPr>
          <w:rFonts w:hint="eastAsia" w:ascii="仿宋" w:hAnsi="仿宋" w:eastAsia="仿宋" w:cs="仿宋"/>
          <w:color w:val="auto"/>
          <w:sz w:val="24"/>
        </w:rPr>
        <w:t>年</w:t>
      </w:r>
      <w:r>
        <w:rPr>
          <w:rFonts w:hint="eastAsia" w:ascii="仿宋" w:hAnsi="仿宋" w:eastAsia="仿宋" w:cs="仿宋"/>
          <w:color w:val="auto"/>
          <w:sz w:val="24"/>
          <w:u w:val="single"/>
        </w:rPr>
        <w:t>  </w:t>
      </w:r>
      <w:r>
        <w:rPr>
          <w:rFonts w:hint="eastAsia" w:ascii="仿宋" w:hAnsi="仿宋" w:eastAsia="仿宋" w:cs="仿宋"/>
          <w:color w:val="auto"/>
          <w:sz w:val="24"/>
        </w:rPr>
        <w:t>月</w:t>
      </w:r>
      <w:r>
        <w:rPr>
          <w:rFonts w:hint="eastAsia" w:ascii="仿宋" w:hAnsi="仿宋" w:eastAsia="仿宋" w:cs="仿宋"/>
          <w:color w:val="auto"/>
          <w:sz w:val="24"/>
          <w:u w:val="single"/>
        </w:rPr>
        <w:t>  </w:t>
      </w:r>
      <w:r>
        <w:rPr>
          <w:rFonts w:hint="eastAsia" w:ascii="仿宋" w:hAnsi="仿宋" w:eastAsia="仿宋" w:cs="仿宋"/>
          <w:color w:val="auto"/>
          <w:sz w:val="24"/>
        </w:rPr>
        <w:t>日签字生效，特此声明。</w:t>
      </w:r>
    </w:p>
    <w:p w14:paraId="7ED59ADA">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委托代理人身份证号码：</w:t>
      </w:r>
      <w:r>
        <w:rPr>
          <w:rFonts w:hint="eastAsia" w:ascii="仿宋" w:hAnsi="仿宋" w:eastAsia="仿宋" w:cs="仿宋"/>
          <w:color w:val="auto"/>
          <w:sz w:val="24"/>
          <w:u w:val="single"/>
        </w:rPr>
        <w:t>                        </w:t>
      </w:r>
    </w:p>
    <w:p w14:paraId="59B81592">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委托代理人联系电话：（手机）</w:t>
      </w:r>
      <w:r>
        <w:rPr>
          <w:rFonts w:hint="eastAsia" w:ascii="仿宋" w:hAnsi="仿宋" w:eastAsia="仿宋" w:cs="仿宋"/>
          <w:color w:val="auto"/>
          <w:sz w:val="24"/>
          <w:u w:val="single"/>
        </w:rPr>
        <w:t>                        </w:t>
      </w:r>
    </w:p>
    <w:p w14:paraId="1AE42BE5">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7FD41036">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法定代表人签字或盖章：</w:t>
      </w:r>
    </w:p>
    <w:p w14:paraId="2C305F96">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34172C8D">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供应商名称（公章）：</w:t>
      </w:r>
    </w:p>
    <w:p w14:paraId="5C762EF2">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日期：</w:t>
      </w:r>
    </w:p>
    <w:p w14:paraId="062FEFA5">
      <w:pPr>
        <w:pBdr>
          <w:top w:val="none" w:color="000000" w:sz="0" w:space="0"/>
          <w:left w:val="none" w:color="000000" w:sz="0" w:space="0"/>
          <w:bottom w:val="none" w:color="000000" w:sz="0" w:space="0"/>
          <w:right w:val="none" w:color="000000" w:sz="0" w:space="0"/>
        </w:pBdr>
        <w:spacing w:before="0" w:after="0"/>
        <w:ind w:left="0" w:right="0" w:firstLine="560"/>
        <w:jc w:val="both"/>
        <w:rPr>
          <w:rFonts w:hint="eastAsia" w:ascii="仿宋" w:hAnsi="仿宋" w:eastAsia="仿宋" w:cs="仿宋"/>
          <w:color w:val="auto"/>
        </w:rPr>
      </w:pPr>
      <w:r>
        <w:rPr>
          <w:rFonts w:hint="eastAsia" w:ascii="仿宋" w:hAnsi="仿宋" w:eastAsia="仿宋" w:cs="仿宋"/>
          <w:color w:val="auto"/>
          <w:sz w:val="24"/>
        </w:rPr>
        <w:t> </w:t>
      </w:r>
    </w:p>
    <w:p w14:paraId="7B2E7B7F">
      <w:pPr>
        <w:pBdr>
          <w:top w:val="none" w:color="000000" w:sz="0" w:space="0"/>
          <w:left w:val="none" w:color="000000" w:sz="0" w:space="0"/>
          <w:bottom w:val="none" w:color="000000" w:sz="0" w:space="0"/>
          <w:right w:val="none" w:color="000000" w:sz="0" w:space="0"/>
        </w:pBdr>
        <w:spacing w:before="0" w:after="0"/>
        <w:ind w:left="0" w:right="0" w:firstLine="643"/>
        <w:jc w:val="both"/>
        <w:rPr>
          <w:rFonts w:hint="eastAsia" w:ascii="仿宋" w:hAnsi="仿宋" w:eastAsia="仿宋" w:cs="仿宋"/>
          <w:color w:val="auto"/>
        </w:rPr>
      </w:pPr>
      <w:r>
        <w:rPr>
          <w:rFonts w:hint="eastAsia" w:ascii="仿宋" w:hAnsi="仿宋" w:eastAsia="仿宋" w:cs="仿宋"/>
          <w:b/>
          <w:color w:val="auto"/>
          <w:sz w:val="28"/>
        </w:rPr>
        <w:t>附：委托代理人居民身份证扫描件（正反面）</w:t>
      </w:r>
    </w:p>
    <w:p w14:paraId="773C517B">
      <w:pPr>
        <w:pStyle w:val="4"/>
        <w:pBdr>
          <w:top w:val="none" w:color="000000" w:sz="0" w:space="0"/>
          <w:left w:val="none" w:color="000000" w:sz="0" w:space="0"/>
          <w:right w:val="none" w:color="000000" w:sz="0" w:space="0"/>
        </w:pBdr>
        <w:spacing w:before="260" w:after="260"/>
        <w:ind w:left="0" w:right="0"/>
        <w:jc w:val="both"/>
        <w:rPr>
          <w:rFonts w:hint="eastAsia" w:ascii="仿宋" w:hAnsi="仿宋" w:eastAsia="仿宋" w:cs="仿宋"/>
          <w:color w:val="auto"/>
        </w:rPr>
      </w:pPr>
      <w:r>
        <w:rPr>
          <w:rFonts w:hint="eastAsia" w:ascii="仿宋" w:hAnsi="仿宋" w:eastAsia="仿宋" w:cs="仿宋"/>
          <w:b/>
          <w:color w:val="auto"/>
          <w:sz w:val="22"/>
          <w:u w:val="single"/>
        </w:rPr>
        <w:t>注：“法定代表人”授权其他人（必须为供应商正式员工，证明材料：近半年内至少一个月社会保险缴纳材料附后）参加磋商的，须填写法定代表人身份证明书和本委托书</w:t>
      </w:r>
      <w:r>
        <w:rPr>
          <w:rFonts w:hint="eastAsia" w:ascii="仿宋" w:hAnsi="仿宋" w:eastAsia="仿宋" w:cs="仿宋"/>
          <w:b/>
          <w:color w:val="auto"/>
          <w:sz w:val="22"/>
        </w:rPr>
        <w:t>。</w:t>
      </w:r>
    </w:p>
    <w:p w14:paraId="59FC63C3">
      <w:pPr>
        <w:pBdr>
          <w:top w:val="none" w:color="000000" w:sz="0" w:space="0"/>
          <w:left w:val="none" w:color="000000" w:sz="0" w:space="0"/>
          <w:bottom w:val="none" w:color="000000" w:sz="0" w:space="0"/>
          <w:right w:val="none" w:color="000000" w:sz="0" w:space="0"/>
        </w:pBdr>
        <w:spacing w:before="0" w:after="0"/>
        <w:ind w:left="0" w:right="0" w:firstLine="0"/>
        <w:rPr>
          <w:rFonts w:hint="eastAsia" w:ascii="仿宋" w:hAnsi="仿宋" w:eastAsia="仿宋" w:cs="仿宋"/>
          <w:color w:val="auto"/>
        </w:rPr>
      </w:pPr>
      <w:r>
        <w:rPr>
          <w:rFonts w:hint="eastAsia" w:ascii="仿宋" w:hAnsi="仿宋" w:eastAsia="仿宋" w:cs="仿宋"/>
          <w:color w:val="auto"/>
        </w:rPr>
        <w:br w:type="page" w:clear="all"/>
      </w:r>
    </w:p>
    <w:p w14:paraId="7E48C111">
      <w:pPr>
        <w:numPr>
          <w:ilvl w:val="0"/>
          <w:numId w:val="6"/>
        </w:numPr>
        <w:pBdr>
          <w:top w:val="none" w:color="000000" w:sz="0" w:space="0"/>
          <w:left w:val="none" w:color="000000" w:sz="0" w:space="0"/>
          <w:bottom w:val="none" w:color="000000" w:sz="0" w:space="0"/>
          <w:right w:val="none" w:color="000000" w:sz="0" w:space="0"/>
        </w:pBdr>
        <w:spacing w:before="0" w:after="0" w:line="85" w:lineRule="atLeast"/>
        <w:jc w:val="center"/>
        <w:rPr>
          <w:rFonts w:hint="eastAsia" w:ascii="仿宋" w:hAnsi="仿宋" w:eastAsia="仿宋" w:cs="仿宋"/>
          <w:color w:val="auto"/>
        </w:rPr>
      </w:pPr>
      <w:r>
        <w:rPr>
          <w:rFonts w:hint="eastAsia" w:ascii="仿宋" w:hAnsi="仿宋" w:eastAsia="仿宋" w:cs="仿宋"/>
          <w:b/>
          <w:color w:val="auto"/>
          <w:sz w:val="32"/>
        </w:rPr>
        <w:t>符合性审查响应对照表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26"/>
        <w:gridCol w:w="4644"/>
        <w:gridCol w:w="1943"/>
        <w:gridCol w:w="1306"/>
      </w:tblGrid>
      <w:tr w14:paraId="6FCCB6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FDDF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序号</w:t>
            </w:r>
          </w:p>
        </w:tc>
        <w:tc>
          <w:tcPr>
            <w:tcW w:w="464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3BAD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符合性审查响应内容</w:t>
            </w:r>
          </w:p>
        </w:tc>
        <w:tc>
          <w:tcPr>
            <w:tcW w:w="19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D22D5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是否响应</w:t>
            </w:r>
          </w:p>
          <w:p w14:paraId="49630C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（填是或者否）</w:t>
            </w:r>
          </w:p>
        </w:tc>
        <w:tc>
          <w:tcPr>
            <w:tcW w:w="13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56EB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响应情况</w:t>
            </w:r>
          </w:p>
        </w:tc>
      </w:tr>
      <w:tr w14:paraId="1342D1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DF8B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w:t>
            </w:r>
          </w:p>
        </w:tc>
        <w:tc>
          <w:tcPr>
            <w:tcW w:w="4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763E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采购需求中必须满足的实质性要求</w:t>
            </w:r>
          </w:p>
        </w:tc>
        <w:tc>
          <w:tcPr>
            <w:tcW w:w="19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E0F7E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 </w:t>
            </w:r>
          </w:p>
        </w:tc>
        <w:tc>
          <w:tcPr>
            <w:tcW w:w="13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D817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 </w:t>
            </w:r>
          </w:p>
        </w:tc>
      </w:tr>
      <w:tr w14:paraId="5CE19A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A7D2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2</w:t>
            </w:r>
          </w:p>
        </w:tc>
        <w:tc>
          <w:tcPr>
            <w:tcW w:w="4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6117A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49D4D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3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F0B49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2A2399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B42E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3</w:t>
            </w:r>
          </w:p>
        </w:tc>
        <w:tc>
          <w:tcPr>
            <w:tcW w:w="4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F2674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566F9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3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7B00A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597C6E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6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5A32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4</w:t>
            </w:r>
          </w:p>
        </w:tc>
        <w:tc>
          <w:tcPr>
            <w:tcW w:w="4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5A52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3163A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3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91530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4C1FE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0" w:hRule="atLeast"/>
        </w:trPr>
        <w:tc>
          <w:tcPr>
            <w:tcW w:w="6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30BCC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5</w:t>
            </w:r>
          </w:p>
        </w:tc>
        <w:tc>
          <w:tcPr>
            <w:tcW w:w="46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869F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w:t>
            </w:r>
          </w:p>
        </w:tc>
        <w:tc>
          <w:tcPr>
            <w:tcW w:w="19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03680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3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C14A4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bl>
    <w:p w14:paraId="6FAF12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391C86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中小企业声明函</w:t>
      </w:r>
    </w:p>
    <w:p w14:paraId="2F7D3D01">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本公司（联合体）郑重声明，根据《政府采购促进中小企业发展管理办法》（财库﹝2020﹞46 号）的规定，本公司（联合体）参加</w:t>
      </w:r>
      <w:r>
        <w:rPr>
          <w:rFonts w:hint="eastAsia" w:ascii="仿宋" w:hAnsi="仿宋" w:eastAsia="仿宋" w:cs="仿宋"/>
          <w:color w:val="auto"/>
          <w:sz w:val="21"/>
          <w:u w:val="single"/>
        </w:rPr>
        <w:t>（单位名称）</w:t>
      </w:r>
      <w:r>
        <w:rPr>
          <w:rFonts w:hint="eastAsia" w:ascii="仿宋" w:hAnsi="仿宋" w:eastAsia="仿宋" w:cs="仿宋"/>
          <w:color w:val="auto"/>
          <w:sz w:val="21"/>
        </w:rPr>
        <w:t>的</w:t>
      </w:r>
      <w:r>
        <w:rPr>
          <w:rFonts w:hint="eastAsia" w:ascii="仿宋" w:hAnsi="仿宋" w:eastAsia="仿宋" w:cs="仿宋"/>
          <w:color w:val="auto"/>
          <w:sz w:val="21"/>
          <w:u w:val="single"/>
        </w:rPr>
        <w:t>（项目名称）</w:t>
      </w:r>
      <w:r>
        <w:rPr>
          <w:rFonts w:hint="eastAsia" w:ascii="仿宋" w:hAnsi="仿宋" w:eastAsia="仿宋" w:cs="仿宋"/>
          <w:color w:val="auto"/>
          <w:sz w:val="21"/>
        </w:rPr>
        <w:t>采购活动，工程的施工单位全部为符合政策要求的中小企业（或者：服务全部由符合政策要求的中小企业承接）。相关企业（含联合体中的中小企业、签订分包意向协议的中小企业）的具体情况如下：</w:t>
      </w:r>
    </w:p>
    <w:p w14:paraId="6F4F5E0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 xml:space="preserve">1. </w:t>
      </w:r>
      <w:r>
        <w:rPr>
          <w:rFonts w:hint="eastAsia" w:ascii="仿宋" w:hAnsi="仿宋" w:eastAsia="仿宋" w:cs="仿宋"/>
          <w:color w:val="auto"/>
          <w:sz w:val="21"/>
          <w:u w:val="single"/>
        </w:rPr>
        <w:t xml:space="preserve">（标的名称） </w:t>
      </w:r>
      <w:r>
        <w:rPr>
          <w:rFonts w:hint="eastAsia" w:ascii="仿宋" w:hAnsi="仿宋" w:eastAsia="仿宋" w:cs="仿宋"/>
          <w:color w:val="auto"/>
          <w:sz w:val="21"/>
        </w:rPr>
        <w:t>，属于</w:t>
      </w:r>
      <w:r>
        <w:rPr>
          <w:rFonts w:hint="eastAsia" w:ascii="仿宋" w:hAnsi="仿宋" w:eastAsia="仿宋" w:cs="仿宋"/>
          <w:color w:val="auto"/>
          <w:sz w:val="21"/>
          <w:u w:val="single"/>
        </w:rPr>
        <w:t>建筑业</w:t>
      </w:r>
      <w:r>
        <w:rPr>
          <w:rFonts w:hint="eastAsia" w:ascii="仿宋" w:hAnsi="仿宋" w:eastAsia="仿宋" w:cs="仿宋"/>
          <w:color w:val="auto"/>
          <w:sz w:val="21"/>
        </w:rPr>
        <w:t>（</w:t>
      </w:r>
      <w:r>
        <w:rPr>
          <w:rFonts w:hint="eastAsia" w:ascii="仿宋" w:hAnsi="仿宋" w:eastAsia="仿宋" w:cs="仿宋"/>
          <w:color w:val="auto"/>
          <w:sz w:val="21"/>
          <w:u w:val="single"/>
        </w:rPr>
        <w:t>该行业类别不可修改）</w:t>
      </w:r>
      <w:r>
        <w:rPr>
          <w:rFonts w:hint="eastAsia" w:ascii="仿宋" w:hAnsi="仿宋" w:eastAsia="仿宋" w:cs="仿宋"/>
          <w:color w:val="auto"/>
          <w:sz w:val="21"/>
        </w:rPr>
        <w:t>；承建（承接）企业为</w:t>
      </w:r>
      <w:r>
        <w:rPr>
          <w:rFonts w:hint="eastAsia" w:ascii="仿宋" w:hAnsi="仿宋" w:eastAsia="仿宋" w:cs="仿宋"/>
          <w:color w:val="auto"/>
          <w:sz w:val="21"/>
          <w:u w:val="single"/>
        </w:rPr>
        <w:t>（企业名称）</w:t>
      </w:r>
      <w:r>
        <w:rPr>
          <w:rFonts w:hint="eastAsia" w:ascii="仿宋" w:hAnsi="仿宋" w:eastAsia="仿宋" w:cs="仿宋"/>
          <w:color w:val="auto"/>
          <w:sz w:val="21"/>
        </w:rPr>
        <w:t>，从业人员</w:t>
      </w:r>
      <w:r>
        <w:rPr>
          <w:rFonts w:hint="eastAsia" w:ascii="仿宋" w:hAnsi="仿宋" w:eastAsia="仿宋" w:cs="仿宋"/>
          <w:color w:val="auto"/>
          <w:sz w:val="21"/>
          <w:u w:val="single"/>
        </w:rPr>
        <w:t>      </w:t>
      </w:r>
      <w:r>
        <w:rPr>
          <w:rFonts w:hint="eastAsia" w:ascii="仿宋" w:hAnsi="仿宋" w:eastAsia="仿宋" w:cs="仿宋"/>
          <w:color w:val="auto"/>
          <w:sz w:val="21"/>
        </w:rPr>
        <w:t>人，营业收入为</w:t>
      </w:r>
      <w:r>
        <w:rPr>
          <w:rFonts w:hint="eastAsia" w:ascii="仿宋" w:hAnsi="仿宋" w:eastAsia="仿宋" w:cs="仿宋"/>
          <w:color w:val="auto"/>
          <w:sz w:val="21"/>
          <w:u w:val="single"/>
        </w:rPr>
        <w:t>      </w:t>
      </w:r>
      <w:r>
        <w:rPr>
          <w:rFonts w:hint="eastAsia" w:ascii="仿宋" w:hAnsi="仿宋" w:eastAsia="仿宋" w:cs="仿宋"/>
          <w:color w:val="auto"/>
          <w:sz w:val="21"/>
        </w:rPr>
        <w:t>万元，资产总额为</w:t>
      </w:r>
      <w:r>
        <w:rPr>
          <w:rFonts w:hint="eastAsia" w:ascii="仿宋" w:hAnsi="仿宋" w:eastAsia="仿宋" w:cs="仿宋"/>
          <w:color w:val="auto"/>
          <w:sz w:val="21"/>
          <w:u w:val="single"/>
        </w:rPr>
        <w:t>       </w:t>
      </w:r>
      <w:r>
        <w:rPr>
          <w:rFonts w:hint="eastAsia" w:ascii="仿宋" w:hAnsi="仿宋" w:eastAsia="仿宋" w:cs="仿宋"/>
          <w:color w:val="auto"/>
          <w:sz w:val="21"/>
        </w:rPr>
        <w:t>万元</w:t>
      </w:r>
      <w:r>
        <w:rPr>
          <w:rFonts w:hint="eastAsia" w:ascii="仿宋" w:hAnsi="仿宋" w:eastAsia="仿宋" w:cs="仿宋"/>
        </w:rPr>
        <w:fldChar w:fldCharType="begin"/>
      </w:r>
      <w:r>
        <w:rPr>
          <w:rFonts w:hint="eastAsia" w:ascii="仿宋" w:hAnsi="仿宋" w:eastAsia="仿宋" w:cs="仿宋"/>
        </w:rPr>
        <w:instrText xml:space="preserve"> HYPERLINK "http://jszfcg.jsczt.cn/jszc/onlyoffice/7.2.1-34/web-apps/apps/documenteditor/main/index_loader.html?_dc=7.2.1-34&amp;lang=zh&amp;customer=%20&amp;logo=%20&amp;headerlogo=%2Ffavicon.ico&amp;frameEditorId=iframePage&amp;compact=true&amp;parentOrigin=http://jszfcg.jsczt.cn#br1" \o "http://jszfcg.jsczt.cn/jszc/onlyoffice/7.2.1-34/web-apps/apps/documenteditor/main/index_loader.html?_dc=7.2.1-34&amp;lang=zh&amp;customer=%20&amp;logo=%20&amp;headerlogo=%2Ffavicon.ico&amp;frameEditorId=iframePage&amp;compact=true&amp;parentOrigin=http://jszfcg.jsczt.cn#br1" </w:instrText>
      </w:r>
      <w:r>
        <w:rPr>
          <w:rFonts w:hint="eastAsia" w:ascii="仿宋" w:hAnsi="仿宋" w:eastAsia="仿宋" w:cs="仿宋"/>
        </w:rPr>
        <w:fldChar w:fldCharType="separate"/>
      </w:r>
      <w:r>
        <w:rPr>
          <w:rStyle w:val="108"/>
          <w:rFonts w:hint="eastAsia" w:ascii="仿宋" w:hAnsi="仿宋" w:eastAsia="仿宋" w:cs="仿宋"/>
          <w:color w:val="auto"/>
          <w:spacing w:val="-1"/>
          <w:sz w:val="21"/>
          <w:u w:val="single"/>
          <w:vertAlign w:val="superscript"/>
        </w:rPr>
        <w:t>1</w:t>
      </w:r>
      <w:r>
        <w:rPr>
          <w:rStyle w:val="108"/>
          <w:rFonts w:hint="eastAsia" w:ascii="仿宋" w:hAnsi="仿宋" w:eastAsia="仿宋" w:cs="仿宋"/>
          <w:color w:val="auto"/>
          <w:spacing w:val="-1"/>
          <w:sz w:val="21"/>
          <w:u w:val="single"/>
          <w:vertAlign w:val="superscript"/>
        </w:rPr>
        <w:fldChar w:fldCharType="end"/>
      </w:r>
      <w:r>
        <w:rPr>
          <w:rFonts w:hint="eastAsia" w:ascii="仿宋" w:hAnsi="仿宋" w:eastAsia="仿宋" w:cs="仿宋"/>
          <w:color w:val="auto"/>
          <w:sz w:val="21"/>
        </w:rPr>
        <w:t>，属于</w:t>
      </w:r>
      <w:r>
        <w:rPr>
          <w:rFonts w:hint="eastAsia" w:ascii="仿宋" w:hAnsi="仿宋" w:eastAsia="仿宋" w:cs="仿宋"/>
          <w:color w:val="auto"/>
          <w:sz w:val="21"/>
          <w:u w:val="single"/>
        </w:rPr>
        <w:t>（中型企业、小型企业、微型企业）；</w:t>
      </w:r>
    </w:p>
    <w:p w14:paraId="3753DC63">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 xml:space="preserve">2. </w:t>
      </w:r>
      <w:r>
        <w:rPr>
          <w:rFonts w:hint="eastAsia" w:ascii="仿宋" w:hAnsi="仿宋" w:eastAsia="仿宋" w:cs="仿宋"/>
          <w:color w:val="auto"/>
          <w:sz w:val="21"/>
          <w:u w:val="single"/>
        </w:rPr>
        <w:t>（标的名称）</w:t>
      </w:r>
      <w:r>
        <w:rPr>
          <w:rFonts w:hint="eastAsia" w:ascii="仿宋" w:hAnsi="仿宋" w:eastAsia="仿宋" w:cs="仿宋"/>
          <w:color w:val="auto"/>
          <w:sz w:val="21"/>
        </w:rPr>
        <w:t> ，属于</w:t>
      </w:r>
      <w:r>
        <w:rPr>
          <w:rFonts w:hint="eastAsia" w:ascii="仿宋" w:hAnsi="仿宋" w:eastAsia="仿宋" w:cs="仿宋"/>
          <w:color w:val="auto"/>
          <w:sz w:val="21"/>
          <w:u w:val="single"/>
        </w:rPr>
        <w:t>（采购文件中明确的所属行业）（该行业类别不可修改）</w:t>
      </w:r>
      <w:r>
        <w:rPr>
          <w:rFonts w:hint="eastAsia" w:ascii="仿宋" w:hAnsi="仿宋" w:eastAsia="仿宋" w:cs="仿宋"/>
          <w:color w:val="auto"/>
          <w:sz w:val="21"/>
        </w:rPr>
        <w:t>；承建（承接）企业为</w:t>
      </w:r>
      <w:r>
        <w:rPr>
          <w:rFonts w:hint="eastAsia" w:ascii="仿宋" w:hAnsi="仿宋" w:eastAsia="仿宋" w:cs="仿宋"/>
          <w:color w:val="auto"/>
          <w:sz w:val="21"/>
          <w:u w:val="single"/>
        </w:rPr>
        <w:t>（企业名称）</w:t>
      </w:r>
      <w:r>
        <w:rPr>
          <w:rFonts w:hint="eastAsia" w:ascii="仿宋" w:hAnsi="仿宋" w:eastAsia="仿宋" w:cs="仿宋"/>
          <w:color w:val="auto"/>
          <w:sz w:val="21"/>
        </w:rPr>
        <w:t>，从业人员</w:t>
      </w:r>
      <w:r>
        <w:rPr>
          <w:rFonts w:hint="eastAsia" w:ascii="仿宋" w:hAnsi="仿宋" w:eastAsia="仿宋" w:cs="仿宋"/>
          <w:color w:val="auto"/>
          <w:sz w:val="21"/>
          <w:u w:val="single"/>
        </w:rPr>
        <w:t>      </w:t>
      </w:r>
      <w:r>
        <w:rPr>
          <w:rFonts w:hint="eastAsia" w:ascii="仿宋" w:hAnsi="仿宋" w:eastAsia="仿宋" w:cs="仿宋"/>
          <w:color w:val="auto"/>
          <w:sz w:val="21"/>
        </w:rPr>
        <w:t>人，营业收入为</w:t>
      </w:r>
      <w:r>
        <w:rPr>
          <w:rFonts w:hint="eastAsia" w:ascii="仿宋" w:hAnsi="仿宋" w:eastAsia="仿宋" w:cs="仿宋"/>
          <w:color w:val="auto"/>
          <w:sz w:val="21"/>
          <w:u w:val="single"/>
        </w:rPr>
        <w:t>      </w:t>
      </w:r>
      <w:r>
        <w:rPr>
          <w:rFonts w:hint="eastAsia" w:ascii="仿宋" w:hAnsi="仿宋" w:eastAsia="仿宋" w:cs="仿宋"/>
          <w:color w:val="auto"/>
          <w:sz w:val="21"/>
        </w:rPr>
        <w:t>万元，资产总额为</w:t>
      </w:r>
      <w:r>
        <w:rPr>
          <w:rFonts w:hint="eastAsia" w:ascii="仿宋" w:hAnsi="仿宋" w:eastAsia="仿宋" w:cs="仿宋"/>
          <w:color w:val="auto"/>
          <w:sz w:val="21"/>
          <w:u w:val="single"/>
        </w:rPr>
        <w:t>       </w:t>
      </w:r>
      <w:r>
        <w:rPr>
          <w:rFonts w:hint="eastAsia" w:ascii="仿宋" w:hAnsi="仿宋" w:eastAsia="仿宋" w:cs="仿宋"/>
          <w:color w:val="auto"/>
          <w:sz w:val="21"/>
        </w:rPr>
        <w:t>万元，属于</w:t>
      </w:r>
      <w:r>
        <w:rPr>
          <w:rFonts w:hint="eastAsia" w:ascii="仿宋" w:hAnsi="仿宋" w:eastAsia="仿宋" w:cs="仿宋"/>
          <w:color w:val="auto"/>
          <w:sz w:val="21"/>
          <w:u w:val="single"/>
        </w:rPr>
        <w:t>（中型企业、小型企业、微型企业）；</w:t>
      </w:r>
    </w:p>
    <w:p w14:paraId="3CB172D5">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w:t>
      </w:r>
    </w:p>
    <w:p w14:paraId="72B7D447">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以上企业，不属于大企业的分支机构，不存在控股股东为大企业的情形，也不存在与大企业的负责人为同一人的情形。</w:t>
      </w:r>
    </w:p>
    <w:p w14:paraId="24400CFB">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本企业对上述声明内容的真实性负责。如有虚假，将依法承担相应责任。</w:t>
      </w:r>
    </w:p>
    <w:p w14:paraId="409A475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注</w:t>
      </w:r>
      <w:r>
        <w:rPr>
          <w:rFonts w:hint="eastAsia" w:ascii="仿宋" w:hAnsi="仿宋" w:eastAsia="仿宋" w:cs="仿宋"/>
          <w:color w:val="auto"/>
          <w:sz w:val="21"/>
        </w:rPr>
        <w:t>：1、从业人员（不仅指在职职工）、营业收入、资产总额填报上一年度数据，无上一年度数据的新成立企业可不填报。</w:t>
      </w:r>
    </w:p>
    <w:p w14:paraId="4DD0526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2、供应商如不提供此声明函，价格将不做相应扣除。</w:t>
      </w:r>
    </w:p>
    <w:p w14:paraId="1E31C1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3、企业声明函请完整填写，成交后将公示。</w:t>
      </w:r>
    </w:p>
    <w:p w14:paraId="42268232">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49AA22D3">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5、中小企业不得属于大企业的分支机构，不得存在控股股东为大企业的情形，不得存在与大企业的负责人为同一人的情形。</w:t>
      </w:r>
    </w:p>
    <w:p w14:paraId="4C47C739">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eastAsia" w:ascii="仿宋" w:hAnsi="仿宋" w:eastAsia="仿宋" w:cs="仿宋"/>
          <w:color w:val="auto"/>
        </w:rPr>
      </w:pPr>
      <w:r>
        <w:rPr>
          <w:rFonts w:hint="eastAsia" w:ascii="仿宋" w:hAnsi="仿宋" w:eastAsia="仿宋" w:cs="仿宋"/>
          <w:color w:val="auto"/>
          <w:sz w:val="21"/>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57A274F8">
      <w:pPr>
        <w:pBdr>
          <w:top w:val="none" w:color="000000" w:sz="0" w:space="0"/>
          <w:left w:val="none" w:color="000000" w:sz="0" w:space="0"/>
          <w:bottom w:val="none" w:color="000000" w:sz="0" w:space="0"/>
          <w:right w:val="none" w:color="000000" w:sz="0" w:space="0"/>
        </w:pBdr>
        <w:spacing w:before="0" w:after="0" w:line="85" w:lineRule="atLeast"/>
        <w:ind w:left="0" w:right="0" w:firstLine="4620"/>
        <w:rPr>
          <w:rFonts w:hint="eastAsia" w:ascii="仿宋" w:hAnsi="仿宋" w:eastAsia="仿宋" w:cs="仿宋"/>
          <w:color w:val="auto"/>
        </w:rPr>
      </w:pPr>
      <w:r>
        <w:rPr>
          <w:rFonts w:hint="eastAsia" w:ascii="仿宋" w:hAnsi="仿宋" w:eastAsia="仿宋" w:cs="仿宋"/>
          <w:color w:val="auto"/>
          <w:sz w:val="21"/>
        </w:rPr>
        <w:t>企业名称（盖章）：</w:t>
      </w:r>
    </w:p>
    <w:p w14:paraId="15683CEE">
      <w:pPr>
        <w:pBdr>
          <w:top w:val="none" w:color="000000" w:sz="0" w:space="0"/>
          <w:left w:val="none" w:color="000000" w:sz="0" w:space="0"/>
          <w:bottom w:val="none" w:color="000000" w:sz="0" w:space="0"/>
          <w:right w:val="none" w:color="000000" w:sz="0" w:space="0"/>
        </w:pBdr>
        <w:spacing w:before="0" w:after="0" w:line="85" w:lineRule="atLeast"/>
        <w:ind w:left="0" w:right="0" w:firstLine="4620"/>
        <w:rPr>
          <w:rFonts w:hint="eastAsia" w:ascii="仿宋" w:hAnsi="仿宋" w:eastAsia="仿宋" w:cs="仿宋"/>
          <w:color w:val="auto"/>
        </w:rPr>
      </w:pPr>
      <w:r>
        <w:rPr>
          <w:rFonts w:hint="eastAsia" w:ascii="仿宋" w:hAnsi="仿宋" w:eastAsia="仿宋" w:cs="仿宋"/>
          <w:color w:val="auto"/>
          <w:sz w:val="21"/>
        </w:rPr>
        <w:t>日 期：</w:t>
      </w:r>
    </w:p>
    <w:p w14:paraId="7D414E15">
      <w:pPr>
        <w:pBdr>
          <w:top w:val="none" w:color="000000" w:sz="0" w:space="0"/>
          <w:left w:val="none" w:color="000000" w:sz="0" w:space="0"/>
          <w:bottom w:val="none" w:color="000000" w:sz="0" w:space="0"/>
          <w:right w:val="none" w:color="000000" w:sz="0" w:space="0"/>
        </w:pBdr>
        <w:spacing w:before="0" w:after="0" w:line="85" w:lineRule="atLeast"/>
        <w:ind w:left="0" w:right="0" w:firstLine="4620"/>
        <w:rPr>
          <w:rFonts w:hint="eastAsia" w:ascii="仿宋" w:hAnsi="仿宋" w:eastAsia="仿宋" w:cs="仿宋"/>
          <w:color w:val="auto"/>
        </w:rPr>
      </w:pPr>
      <w:r>
        <w:rPr>
          <w:rFonts w:hint="eastAsia" w:ascii="仿宋" w:hAnsi="仿宋" w:eastAsia="仿宋" w:cs="仿宋"/>
          <w:color w:val="auto"/>
          <w:sz w:val="21"/>
        </w:rPr>
        <w:t> </w:t>
      </w:r>
    </w:p>
    <w:p w14:paraId="282274D8">
      <w:pPr>
        <w:pBdr>
          <w:top w:val="none" w:color="000000" w:sz="0" w:space="0"/>
          <w:left w:val="none" w:color="000000" w:sz="0" w:space="0"/>
          <w:bottom w:val="none" w:color="000000" w:sz="0" w:space="0"/>
          <w:right w:val="none" w:color="000000" w:sz="0" w:space="0"/>
        </w:pBdr>
        <w:spacing w:before="300" w:after="3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中小微企业划型标准 </w:t>
      </w:r>
    </w:p>
    <w:p w14:paraId="5DB27753">
      <w:pPr>
        <w:pBdr>
          <w:top w:val="none" w:color="000000" w:sz="0" w:space="0"/>
          <w:left w:val="none" w:color="000000" w:sz="0" w:space="0"/>
          <w:bottom w:val="none" w:color="000000" w:sz="0" w:space="0"/>
          <w:right w:val="none" w:color="000000" w:sz="0" w:space="0"/>
        </w:pBdr>
        <w:spacing w:before="300" w:after="452" w:line="85" w:lineRule="atLeast"/>
        <w:ind w:left="0" w:right="0" w:firstLine="420"/>
        <w:rPr>
          <w:rFonts w:hint="eastAsia" w:ascii="仿宋" w:hAnsi="仿宋" w:eastAsia="仿宋" w:cs="仿宋"/>
          <w:color w:val="auto"/>
        </w:rPr>
      </w:pPr>
      <w:r>
        <w:rPr>
          <w:rFonts w:hint="eastAsia" w:ascii="仿宋" w:hAnsi="仿宋" w:eastAsia="仿宋" w:cs="仿宋"/>
          <w:b/>
          <w:color w:val="auto"/>
          <w:sz w:val="21"/>
        </w:rPr>
        <w:t>中小微企业划型标准如下：</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25"/>
        <w:gridCol w:w="1618"/>
        <w:gridCol w:w="448"/>
        <w:gridCol w:w="1949"/>
        <w:gridCol w:w="1590"/>
        <w:gridCol w:w="1376"/>
      </w:tblGrid>
      <w:tr w14:paraId="083439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1325" w:type="dxa"/>
            <w:tcBorders>
              <w:top w:val="nil"/>
              <w:left w:val="nil"/>
              <w:bottom w:val="nil"/>
              <w:right w:val="nil"/>
            </w:tcBorders>
            <w:noWrap w:val="0"/>
            <w:tcMar>
              <w:top w:w="0" w:type="dxa"/>
              <w:left w:w="105" w:type="dxa"/>
              <w:bottom w:w="0" w:type="dxa"/>
              <w:right w:w="105" w:type="dxa"/>
            </w:tcMar>
            <w:vAlign w:val="center"/>
          </w:tcPr>
          <w:p w14:paraId="4102FF87">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行业名称</w:t>
            </w:r>
          </w:p>
        </w:tc>
        <w:tc>
          <w:tcPr>
            <w:tcW w:w="1618" w:type="dxa"/>
            <w:tcBorders>
              <w:top w:val="nil"/>
              <w:left w:val="nil"/>
              <w:bottom w:val="nil"/>
              <w:right w:val="nil"/>
            </w:tcBorders>
            <w:noWrap w:val="0"/>
            <w:tcMar>
              <w:top w:w="0" w:type="dxa"/>
              <w:left w:w="105" w:type="dxa"/>
              <w:bottom w:w="0" w:type="dxa"/>
              <w:right w:w="105" w:type="dxa"/>
            </w:tcMar>
            <w:vAlign w:val="center"/>
          </w:tcPr>
          <w:p w14:paraId="541F6EA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指标名称</w:t>
            </w:r>
          </w:p>
        </w:tc>
        <w:tc>
          <w:tcPr>
            <w:tcW w:w="448" w:type="dxa"/>
            <w:tcBorders>
              <w:top w:val="nil"/>
              <w:left w:val="nil"/>
              <w:bottom w:val="nil"/>
              <w:right w:val="nil"/>
            </w:tcBorders>
            <w:noWrap w:val="0"/>
            <w:tcMar>
              <w:top w:w="0" w:type="dxa"/>
              <w:left w:w="105" w:type="dxa"/>
              <w:bottom w:w="0" w:type="dxa"/>
              <w:right w:w="105" w:type="dxa"/>
            </w:tcMar>
            <w:vAlign w:val="center"/>
          </w:tcPr>
          <w:p w14:paraId="30A64EE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计量单位</w:t>
            </w:r>
          </w:p>
        </w:tc>
        <w:tc>
          <w:tcPr>
            <w:tcW w:w="1949" w:type="dxa"/>
            <w:tcBorders>
              <w:top w:val="nil"/>
              <w:left w:val="nil"/>
              <w:bottom w:val="nil"/>
              <w:right w:val="nil"/>
            </w:tcBorders>
            <w:noWrap w:val="0"/>
            <w:tcMar>
              <w:top w:w="0" w:type="dxa"/>
              <w:left w:w="105" w:type="dxa"/>
              <w:bottom w:w="0" w:type="dxa"/>
              <w:right w:w="105" w:type="dxa"/>
            </w:tcMar>
            <w:vAlign w:val="center"/>
          </w:tcPr>
          <w:p w14:paraId="7AA7F90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中型</w:t>
            </w:r>
          </w:p>
        </w:tc>
        <w:tc>
          <w:tcPr>
            <w:tcW w:w="1590" w:type="dxa"/>
            <w:tcBorders>
              <w:top w:val="nil"/>
              <w:left w:val="nil"/>
              <w:bottom w:val="nil"/>
              <w:right w:val="nil"/>
            </w:tcBorders>
            <w:noWrap w:val="0"/>
            <w:tcMar>
              <w:top w:w="0" w:type="dxa"/>
              <w:left w:w="105" w:type="dxa"/>
              <w:bottom w:w="0" w:type="dxa"/>
              <w:right w:w="105" w:type="dxa"/>
            </w:tcMar>
            <w:vAlign w:val="center"/>
          </w:tcPr>
          <w:p w14:paraId="1E19FE1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小型</w:t>
            </w:r>
          </w:p>
        </w:tc>
        <w:tc>
          <w:tcPr>
            <w:tcW w:w="1376" w:type="dxa"/>
            <w:tcBorders>
              <w:top w:val="nil"/>
              <w:left w:val="nil"/>
              <w:bottom w:val="nil"/>
              <w:right w:val="nil"/>
            </w:tcBorders>
            <w:noWrap w:val="0"/>
            <w:tcMar>
              <w:top w:w="0" w:type="dxa"/>
              <w:left w:w="105" w:type="dxa"/>
              <w:bottom w:w="0" w:type="dxa"/>
              <w:right w:w="105" w:type="dxa"/>
            </w:tcMar>
            <w:vAlign w:val="center"/>
          </w:tcPr>
          <w:p w14:paraId="1CDB534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微型</w:t>
            </w:r>
          </w:p>
        </w:tc>
      </w:tr>
      <w:tr w14:paraId="4F4EF4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tcBorders>
              <w:top w:val="nil"/>
              <w:left w:val="nil"/>
              <w:bottom w:val="nil"/>
              <w:right w:val="nil"/>
            </w:tcBorders>
            <w:noWrap w:val="0"/>
            <w:tcMar>
              <w:top w:w="0" w:type="dxa"/>
              <w:left w:w="105" w:type="dxa"/>
              <w:bottom w:w="0" w:type="dxa"/>
              <w:right w:w="105" w:type="dxa"/>
            </w:tcMar>
            <w:vAlign w:val="center"/>
          </w:tcPr>
          <w:p w14:paraId="5CBF57B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农、林、牧、渔</w:t>
            </w:r>
          </w:p>
        </w:tc>
        <w:tc>
          <w:tcPr>
            <w:tcW w:w="1618" w:type="dxa"/>
            <w:tcBorders>
              <w:top w:val="nil"/>
              <w:left w:val="nil"/>
              <w:bottom w:val="nil"/>
              <w:right w:val="nil"/>
            </w:tcBorders>
            <w:noWrap w:val="0"/>
            <w:tcMar>
              <w:top w:w="0" w:type="dxa"/>
              <w:left w:w="105" w:type="dxa"/>
              <w:bottom w:w="0" w:type="dxa"/>
              <w:right w:w="105" w:type="dxa"/>
            </w:tcMar>
            <w:vAlign w:val="center"/>
          </w:tcPr>
          <w:p w14:paraId="1ED06C27">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44B18AB8">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5F7ED99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500≤Y＜20000</w:t>
            </w:r>
          </w:p>
        </w:tc>
        <w:tc>
          <w:tcPr>
            <w:tcW w:w="1590" w:type="dxa"/>
            <w:tcBorders>
              <w:top w:val="nil"/>
              <w:left w:val="nil"/>
              <w:bottom w:val="nil"/>
              <w:right w:val="nil"/>
            </w:tcBorders>
            <w:noWrap w:val="0"/>
            <w:tcMar>
              <w:top w:w="0" w:type="dxa"/>
              <w:left w:w="105" w:type="dxa"/>
              <w:bottom w:w="0" w:type="dxa"/>
              <w:right w:w="105" w:type="dxa"/>
            </w:tcMar>
            <w:vAlign w:val="center"/>
          </w:tcPr>
          <w:p w14:paraId="0A025BE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50≤Y＜500</w:t>
            </w:r>
          </w:p>
        </w:tc>
        <w:tc>
          <w:tcPr>
            <w:tcW w:w="1376" w:type="dxa"/>
            <w:tcBorders>
              <w:top w:val="nil"/>
              <w:left w:val="nil"/>
              <w:bottom w:val="nil"/>
              <w:right w:val="nil"/>
            </w:tcBorders>
            <w:noWrap w:val="0"/>
            <w:tcMar>
              <w:top w:w="0" w:type="dxa"/>
              <w:left w:w="105" w:type="dxa"/>
              <w:bottom w:w="0" w:type="dxa"/>
              <w:right w:w="105" w:type="dxa"/>
            </w:tcMar>
            <w:vAlign w:val="center"/>
          </w:tcPr>
          <w:p w14:paraId="647B6A1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Y＜50</w:t>
            </w:r>
          </w:p>
        </w:tc>
      </w:tr>
      <w:tr w14:paraId="1EAF2F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61498D3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工业</w:t>
            </w:r>
          </w:p>
        </w:tc>
        <w:tc>
          <w:tcPr>
            <w:tcW w:w="1618" w:type="dxa"/>
            <w:tcBorders>
              <w:top w:val="nil"/>
              <w:left w:val="nil"/>
              <w:bottom w:val="nil"/>
              <w:right w:val="nil"/>
            </w:tcBorders>
            <w:noWrap w:val="0"/>
            <w:tcMar>
              <w:top w:w="0" w:type="dxa"/>
              <w:left w:w="105" w:type="dxa"/>
              <w:bottom w:w="0" w:type="dxa"/>
              <w:right w:w="105" w:type="dxa"/>
            </w:tcMar>
            <w:vAlign w:val="center"/>
          </w:tcPr>
          <w:p w14:paraId="660F57D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2231F602">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71CF221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300≤X＜1000</w:t>
            </w:r>
          </w:p>
        </w:tc>
        <w:tc>
          <w:tcPr>
            <w:tcW w:w="1590" w:type="dxa"/>
            <w:tcBorders>
              <w:top w:val="nil"/>
              <w:left w:val="nil"/>
              <w:bottom w:val="nil"/>
              <w:right w:val="nil"/>
            </w:tcBorders>
            <w:noWrap w:val="0"/>
            <w:tcMar>
              <w:top w:w="0" w:type="dxa"/>
              <w:left w:w="105" w:type="dxa"/>
              <w:bottom w:w="0" w:type="dxa"/>
              <w:right w:w="105" w:type="dxa"/>
            </w:tcMar>
            <w:vAlign w:val="center"/>
          </w:tcPr>
          <w:p w14:paraId="119CA7C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20≤X＜300</w:t>
            </w:r>
          </w:p>
        </w:tc>
        <w:tc>
          <w:tcPr>
            <w:tcW w:w="1376" w:type="dxa"/>
            <w:tcBorders>
              <w:top w:val="nil"/>
              <w:left w:val="nil"/>
              <w:bottom w:val="nil"/>
              <w:right w:val="nil"/>
            </w:tcBorders>
            <w:noWrap w:val="0"/>
            <w:tcMar>
              <w:top w:w="0" w:type="dxa"/>
              <w:left w:w="105" w:type="dxa"/>
              <w:bottom w:w="0" w:type="dxa"/>
              <w:right w:w="105" w:type="dxa"/>
            </w:tcMar>
            <w:vAlign w:val="center"/>
          </w:tcPr>
          <w:p w14:paraId="39FE407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X＜20</w:t>
            </w:r>
          </w:p>
        </w:tc>
      </w:tr>
      <w:tr w14:paraId="6F0D26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25C4EAA6">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71BF91C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69294198">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1BC69DF0">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2000≤Y＜40000</w:t>
            </w:r>
          </w:p>
        </w:tc>
        <w:tc>
          <w:tcPr>
            <w:tcW w:w="1590" w:type="dxa"/>
            <w:tcBorders>
              <w:top w:val="nil"/>
              <w:left w:val="nil"/>
              <w:bottom w:val="nil"/>
              <w:right w:val="nil"/>
            </w:tcBorders>
            <w:noWrap w:val="0"/>
            <w:tcMar>
              <w:top w:w="0" w:type="dxa"/>
              <w:left w:w="105" w:type="dxa"/>
              <w:bottom w:w="0" w:type="dxa"/>
              <w:right w:w="105" w:type="dxa"/>
            </w:tcMar>
            <w:vAlign w:val="center"/>
          </w:tcPr>
          <w:p w14:paraId="4C70A777">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300≤Y＜2000</w:t>
            </w:r>
          </w:p>
        </w:tc>
        <w:tc>
          <w:tcPr>
            <w:tcW w:w="1376" w:type="dxa"/>
            <w:tcBorders>
              <w:top w:val="nil"/>
              <w:left w:val="nil"/>
              <w:bottom w:val="nil"/>
              <w:right w:val="nil"/>
            </w:tcBorders>
            <w:noWrap w:val="0"/>
            <w:tcMar>
              <w:top w:w="0" w:type="dxa"/>
              <w:left w:w="105" w:type="dxa"/>
              <w:bottom w:w="0" w:type="dxa"/>
              <w:right w:w="105" w:type="dxa"/>
            </w:tcMar>
            <w:vAlign w:val="center"/>
          </w:tcPr>
          <w:p w14:paraId="197F77B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Y＜300</w:t>
            </w:r>
          </w:p>
        </w:tc>
      </w:tr>
      <w:tr w14:paraId="043735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36D6F8E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建筑业</w:t>
            </w:r>
          </w:p>
        </w:tc>
        <w:tc>
          <w:tcPr>
            <w:tcW w:w="1618" w:type="dxa"/>
            <w:tcBorders>
              <w:top w:val="nil"/>
              <w:left w:val="nil"/>
              <w:bottom w:val="nil"/>
              <w:right w:val="nil"/>
            </w:tcBorders>
            <w:noWrap w:val="0"/>
            <w:tcMar>
              <w:top w:w="0" w:type="dxa"/>
              <w:left w:w="105" w:type="dxa"/>
              <w:bottom w:w="0" w:type="dxa"/>
              <w:right w:w="105" w:type="dxa"/>
            </w:tcMar>
            <w:vAlign w:val="center"/>
          </w:tcPr>
          <w:p w14:paraId="07AAAEB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5B552983">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25974AB4">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6000≤Y＜80000</w:t>
            </w:r>
          </w:p>
        </w:tc>
        <w:tc>
          <w:tcPr>
            <w:tcW w:w="1590" w:type="dxa"/>
            <w:tcBorders>
              <w:top w:val="nil"/>
              <w:left w:val="nil"/>
              <w:bottom w:val="nil"/>
              <w:right w:val="nil"/>
            </w:tcBorders>
            <w:noWrap w:val="0"/>
            <w:tcMar>
              <w:top w:w="0" w:type="dxa"/>
              <w:left w:w="105" w:type="dxa"/>
              <w:bottom w:w="0" w:type="dxa"/>
              <w:right w:w="105" w:type="dxa"/>
            </w:tcMar>
            <w:vAlign w:val="center"/>
          </w:tcPr>
          <w:p w14:paraId="015A2BC7">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300≤Y＜6000</w:t>
            </w:r>
          </w:p>
        </w:tc>
        <w:tc>
          <w:tcPr>
            <w:tcW w:w="1376" w:type="dxa"/>
            <w:tcBorders>
              <w:top w:val="nil"/>
              <w:left w:val="nil"/>
              <w:bottom w:val="nil"/>
              <w:right w:val="nil"/>
            </w:tcBorders>
            <w:noWrap w:val="0"/>
            <w:tcMar>
              <w:top w:w="0" w:type="dxa"/>
              <w:left w:w="105" w:type="dxa"/>
              <w:bottom w:w="0" w:type="dxa"/>
              <w:right w:w="105" w:type="dxa"/>
            </w:tcMar>
            <w:vAlign w:val="center"/>
          </w:tcPr>
          <w:p w14:paraId="6819CA8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Y＜300</w:t>
            </w:r>
          </w:p>
        </w:tc>
      </w:tr>
      <w:tr w14:paraId="1279DF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08532160">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7401B5AE">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资产总额（Z）</w:t>
            </w:r>
          </w:p>
        </w:tc>
        <w:tc>
          <w:tcPr>
            <w:tcW w:w="448" w:type="dxa"/>
            <w:tcBorders>
              <w:top w:val="nil"/>
              <w:left w:val="nil"/>
              <w:bottom w:val="nil"/>
              <w:right w:val="nil"/>
            </w:tcBorders>
            <w:noWrap w:val="0"/>
            <w:tcMar>
              <w:top w:w="0" w:type="dxa"/>
              <w:left w:w="105" w:type="dxa"/>
              <w:bottom w:w="0" w:type="dxa"/>
              <w:right w:w="105" w:type="dxa"/>
            </w:tcMar>
            <w:vAlign w:val="center"/>
          </w:tcPr>
          <w:p w14:paraId="157A50FD">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3A9D9A8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5000≤Z＜80000</w:t>
            </w:r>
          </w:p>
        </w:tc>
        <w:tc>
          <w:tcPr>
            <w:tcW w:w="1590" w:type="dxa"/>
            <w:tcBorders>
              <w:top w:val="nil"/>
              <w:left w:val="nil"/>
              <w:bottom w:val="nil"/>
              <w:right w:val="nil"/>
            </w:tcBorders>
            <w:noWrap w:val="0"/>
            <w:tcMar>
              <w:top w:w="0" w:type="dxa"/>
              <w:left w:w="105" w:type="dxa"/>
              <w:bottom w:w="0" w:type="dxa"/>
              <w:right w:w="105" w:type="dxa"/>
            </w:tcMar>
            <w:vAlign w:val="center"/>
          </w:tcPr>
          <w:p w14:paraId="7F15635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300≤Z＜5000</w:t>
            </w:r>
          </w:p>
        </w:tc>
        <w:tc>
          <w:tcPr>
            <w:tcW w:w="1376" w:type="dxa"/>
            <w:tcBorders>
              <w:top w:val="nil"/>
              <w:left w:val="nil"/>
              <w:bottom w:val="nil"/>
              <w:right w:val="nil"/>
            </w:tcBorders>
            <w:noWrap w:val="0"/>
            <w:tcMar>
              <w:top w:w="0" w:type="dxa"/>
              <w:left w:w="105" w:type="dxa"/>
              <w:bottom w:w="0" w:type="dxa"/>
              <w:right w:w="105" w:type="dxa"/>
            </w:tcMar>
            <w:vAlign w:val="center"/>
          </w:tcPr>
          <w:p w14:paraId="10748DC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Z＜300</w:t>
            </w:r>
          </w:p>
        </w:tc>
      </w:tr>
      <w:tr w14:paraId="5E35A6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6E81099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批发业</w:t>
            </w:r>
          </w:p>
        </w:tc>
        <w:tc>
          <w:tcPr>
            <w:tcW w:w="1618" w:type="dxa"/>
            <w:tcBorders>
              <w:top w:val="nil"/>
              <w:left w:val="nil"/>
              <w:bottom w:val="nil"/>
              <w:right w:val="nil"/>
            </w:tcBorders>
            <w:noWrap w:val="0"/>
            <w:tcMar>
              <w:top w:w="0" w:type="dxa"/>
              <w:left w:w="105" w:type="dxa"/>
              <w:bottom w:w="0" w:type="dxa"/>
              <w:right w:w="105" w:type="dxa"/>
            </w:tcMar>
            <w:vAlign w:val="center"/>
          </w:tcPr>
          <w:p w14:paraId="3AADB3DC">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60788AFA">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3A7886F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20≤X＜200</w:t>
            </w:r>
          </w:p>
        </w:tc>
        <w:tc>
          <w:tcPr>
            <w:tcW w:w="1590" w:type="dxa"/>
            <w:tcBorders>
              <w:top w:val="nil"/>
              <w:left w:val="nil"/>
              <w:bottom w:val="nil"/>
              <w:right w:val="nil"/>
            </w:tcBorders>
            <w:noWrap w:val="0"/>
            <w:tcMar>
              <w:top w:w="0" w:type="dxa"/>
              <w:left w:w="105" w:type="dxa"/>
              <w:bottom w:w="0" w:type="dxa"/>
              <w:right w:w="105" w:type="dxa"/>
            </w:tcMar>
            <w:vAlign w:val="center"/>
          </w:tcPr>
          <w:p w14:paraId="403C8A7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5≤X＜20</w:t>
            </w:r>
          </w:p>
        </w:tc>
        <w:tc>
          <w:tcPr>
            <w:tcW w:w="1376" w:type="dxa"/>
            <w:tcBorders>
              <w:top w:val="nil"/>
              <w:left w:val="nil"/>
              <w:bottom w:val="nil"/>
              <w:right w:val="nil"/>
            </w:tcBorders>
            <w:noWrap w:val="0"/>
            <w:tcMar>
              <w:top w:w="0" w:type="dxa"/>
              <w:left w:w="105" w:type="dxa"/>
              <w:bottom w:w="0" w:type="dxa"/>
              <w:right w:w="105" w:type="dxa"/>
            </w:tcMar>
            <w:vAlign w:val="center"/>
          </w:tcPr>
          <w:p w14:paraId="2A089A5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X＜5</w:t>
            </w:r>
          </w:p>
        </w:tc>
      </w:tr>
      <w:tr w14:paraId="136AE0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ABA9B44">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365643A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5F5AB1EC">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67EFD43E">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5000≤Y＜40000</w:t>
            </w:r>
          </w:p>
        </w:tc>
        <w:tc>
          <w:tcPr>
            <w:tcW w:w="1590" w:type="dxa"/>
            <w:tcBorders>
              <w:top w:val="nil"/>
              <w:left w:val="nil"/>
              <w:bottom w:val="nil"/>
              <w:right w:val="nil"/>
            </w:tcBorders>
            <w:noWrap w:val="0"/>
            <w:tcMar>
              <w:top w:w="0" w:type="dxa"/>
              <w:left w:w="105" w:type="dxa"/>
              <w:bottom w:w="0" w:type="dxa"/>
              <w:right w:w="105" w:type="dxa"/>
            </w:tcMar>
            <w:vAlign w:val="center"/>
          </w:tcPr>
          <w:p w14:paraId="365439F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1000≤Y＜5000</w:t>
            </w:r>
          </w:p>
        </w:tc>
        <w:tc>
          <w:tcPr>
            <w:tcW w:w="1376" w:type="dxa"/>
            <w:tcBorders>
              <w:top w:val="nil"/>
              <w:left w:val="nil"/>
              <w:bottom w:val="nil"/>
              <w:right w:val="nil"/>
            </w:tcBorders>
            <w:noWrap w:val="0"/>
            <w:tcMar>
              <w:top w:w="0" w:type="dxa"/>
              <w:left w:w="105" w:type="dxa"/>
              <w:bottom w:w="0" w:type="dxa"/>
              <w:right w:w="105" w:type="dxa"/>
            </w:tcMar>
            <w:vAlign w:val="center"/>
          </w:tcPr>
          <w:p w14:paraId="318433A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Y＜1000</w:t>
            </w:r>
          </w:p>
        </w:tc>
      </w:tr>
      <w:tr w14:paraId="25E5F7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4AE5A940">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零售业</w:t>
            </w:r>
          </w:p>
        </w:tc>
        <w:tc>
          <w:tcPr>
            <w:tcW w:w="1618" w:type="dxa"/>
            <w:tcBorders>
              <w:top w:val="nil"/>
              <w:left w:val="nil"/>
              <w:bottom w:val="nil"/>
              <w:right w:val="nil"/>
            </w:tcBorders>
            <w:noWrap w:val="0"/>
            <w:tcMar>
              <w:top w:w="0" w:type="dxa"/>
              <w:left w:w="105" w:type="dxa"/>
              <w:bottom w:w="0" w:type="dxa"/>
              <w:right w:w="105" w:type="dxa"/>
            </w:tcMar>
            <w:vAlign w:val="center"/>
          </w:tcPr>
          <w:p w14:paraId="14D08F5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5FD21E34">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1DE60D9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50≤X＜300</w:t>
            </w:r>
          </w:p>
        </w:tc>
        <w:tc>
          <w:tcPr>
            <w:tcW w:w="1590" w:type="dxa"/>
            <w:tcBorders>
              <w:top w:val="nil"/>
              <w:left w:val="nil"/>
              <w:bottom w:val="nil"/>
              <w:right w:val="nil"/>
            </w:tcBorders>
            <w:noWrap w:val="0"/>
            <w:tcMar>
              <w:top w:w="0" w:type="dxa"/>
              <w:left w:w="105" w:type="dxa"/>
              <w:bottom w:w="0" w:type="dxa"/>
              <w:right w:w="105" w:type="dxa"/>
            </w:tcMar>
            <w:vAlign w:val="center"/>
          </w:tcPr>
          <w:p w14:paraId="5F2DBBA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10≤X＜50</w:t>
            </w:r>
          </w:p>
        </w:tc>
        <w:tc>
          <w:tcPr>
            <w:tcW w:w="1376" w:type="dxa"/>
            <w:tcBorders>
              <w:top w:val="nil"/>
              <w:left w:val="nil"/>
              <w:bottom w:val="nil"/>
              <w:right w:val="nil"/>
            </w:tcBorders>
            <w:noWrap w:val="0"/>
            <w:tcMar>
              <w:top w:w="0" w:type="dxa"/>
              <w:left w:w="105" w:type="dxa"/>
              <w:bottom w:w="0" w:type="dxa"/>
              <w:right w:w="105" w:type="dxa"/>
            </w:tcMar>
            <w:vAlign w:val="center"/>
          </w:tcPr>
          <w:p w14:paraId="4F3C5D9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w:t>
            </w:r>
          </w:p>
        </w:tc>
      </w:tr>
      <w:tr w14:paraId="2F720D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1A98ACB2">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5336E67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65CA76F8">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058A3A6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500≤Y＜20000</w:t>
            </w:r>
          </w:p>
        </w:tc>
        <w:tc>
          <w:tcPr>
            <w:tcW w:w="1590" w:type="dxa"/>
            <w:tcBorders>
              <w:top w:val="nil"/>
              <w:left w:val="nil"/>
              <w:bottom w:val="nil"/>
              <w:right w:val="nil"/>
            </w:tcBorders>
            <w:noWrap w:val="0"/>
            <w:tcMar>
              <w:top w:w="0" w:type="dxa"/>
              <w:left w:w="105" w:type="dxa"/>
              <w:bottom w:w="0" w:type="dxa"/>
              <w:right w:w="105" w:type="dxa"/>
            </w:tcMar>
            <w:vAlign w:val="center"/>
          </w:tcPr>
          <w:p w14:paraId="345741D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100≤Y＜500</w:t>
            </w:r>
          </w:p>
        </w:tc>
        <w:tc>
          <w:tcPr>
            <w:tcW w:w="1376" w:type="dxa"/>
            <w:tcBorders>
              <w:top w:val="nil"/>
              <w:left w:val="nil"/>
              <w:bottom w:val="nil"/>
              <w:right w:val="nil"/>
            </w:tcBorders>
            <w:noWrap w:val="0"/>
            <w:tcMar>
              <w:top w:w="0" w:type="dxa"/>
              <w:left w:w="105" w:type="dxa"/>
              <w:bottom w:w="0" w:type="dxa"/>
              <w:right w:w="105" w:type="dxa"/>
            </w:tcMar>
            <w:vAlign w:val="center"/>
          </w:tcPr>
          <w:p w14:paraId="49F5A6D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w:t>
            </w:r>
          </w:p>
        </w:tc>
      </w:tr>
      <w:tr w14:paraId="310A8B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47F0CF3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交通运输业</w:t>
            </w:r>
          </w:p>
        </w:tc>
        <w:tc>
          <w:tcPr>
            <w:tcW w:w="1618" w:type="dxa"/>
            <w:tcBorders>
              <w:top w:val="nil"/>
              <w:left w:val="nil"/>
              <w:bottom w:val="nil"/>
              <w:right w:val="nil"/>
            </w:tcBorders>
            <w:noWrap w:val="0"/>
            <w:tcMar>
              <w:top w:w="0" w:type="dxa"/>
              <w:left w:w="105" w:type="dxa"/>
              <w:bottom w:w="0" w:type="dxa"/>
              <w:right w:w="105" w:type="dxa"/>
            </w:tcMar>
            <w:vAlign w:val="center"/>
          </w:tcPr>
          <w:p w14:paraId="5B31A51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02CBAC71">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6F7637BC">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300≤X＜1000</w:t>
            </w:r>
          </w:p>
        </w:tc>
        <w:tc>
          <w:tcPr>
            <w:tcW w:w="1590" w:type="dxa"/>
            <w:tcBorders>
              <w:top w:val="nil"/>
              <w:left w:val="nil"/>
              <w:bottom w:val="nil"/>
              <w:right w:val="nil"/>
            </w:tcBorders>
            <w:noWrap w:val="0"/>
            <w:tcMar>
              <w:top w:w="0" w:type="dxa"/>
              <w:left w:w="105" w:type="dxa"/>
              <w:bottom w:w="0" w:type="dxa"/>
              <w:right w:w="105" w:type="dxa"/>
            </w:tcMar>
            <w:vAlign w:val="center"/>
          </w:tcPr>
          <w:p w14:paraId="230B5F3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20≤X＜300</w:t>
            </w:r>
          </w:p>
        </w:tc>
        <w:tc>
          <w:tcPr>
            <w:tcW w:w="1376" w:type="dxa"/>
            <w:tcBorders>
              <w:top w:val="nil"/>
              <w:left w:val="nil"/>
              <w:bottom w:val="nil"/>
              <w:right w:val="nil"/>
            </w:tcBorders>
            <w:noWrap w:val="0"/>
            <w:tcMar>
              <w:top w:w="0" w:type="dxa"/>
              <w:left w:w="105" w:type="dxa"/>
              <w:bottom w:w="0" w:type="dxa"/>
              <w:right w:w="105" w:type="dxa"/>
            </w:tcMar>
            <w:vAlign w:val="center"/>
          </w:tcPr>
          <w:p w14:paraId="2E1B877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X＜20</w:t>
            </w:r>
          </w:p>
        </w:tc>
      </w:tr>
      <w:tr w14:paraId="73B1B9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E53606A">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4206E9B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12608810">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217EBEF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3000≤Y＜30000</w:t>
            </w:r>
          </w:p>
        </w:tc>
        <w:tc>
          <w:tcPr>
            <w:tcW w:w="1590" w:type="dxa"/>
            <w:tcBorders>
              <w:top w:val="nil"/>
              <w:left w:val="nil"/>
              <w:bottom w:val="nil"/>
              <w:right w:val="nil"/>
            </w:tcBorders>
            <w:noWrap w:val="0"/>
            <w:tcMar>
              <w:top w:w="0" w:type="dxa"/>
              <w:left w:w="105" w:type="dxa"/>
              <w:bottom w:w="0" w:type="dxa"/>
              <w:right w:w="105" w:type="dxa"/>
            </w:tcMar>
            <w:vAlign w:val="center"/>
          </w:tcPr>
          <w:p w14:paraId="10E1AF5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200≤Y＜3000</w:t>
            </w:r>
          </w:p>
        </w:tc>
        <w:tc>
          <w:tcPr>
            <w:tcW w:w="1376" w:type="dxa"/>
            <w:tcBorders>
              <w:top w:val="nil"/>
              <w:left w:val="nil"/>
              <w:bottom w:val="nil"/>
              <w:right w:val="nil"/>
            </w:tcBorders>
            <w:noWrap w:val="0"/>
            <w:tcMar>
              <w:top w:w="0" w:type="dxa"/>
              <w:left w:w="105" w:type="dxa"/>
              <w:bottom w:w="0" w:type="dxa"/>
              <w:right w:w="105" w:type="dxa"/>
            </w:tcMar>
            <w:vAlign w:val="center"/>
          </w:tcPr>
          <w:p w14:paraId="3B6886B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Y＜200</w:t>
            </w:r>
          </w:p>
        </w:tc>
      </w:tr>
      <w:tr w14:paraId="306585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75D31F1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仓储业</w:t>
            </w:r>
          </w:p>
        </w:tc>
        <w:tc>
          <w:tcPr>
            <w:tcW w:w="1618" w:type="dxa"/>
            <w:tcBorders>
              <w:top w:val="nil"/>
              <w:left w:val="nil"/>
              <w:bottom w:val="nil"/>
              <w:right w:val="nil"/>
            </w:tcBorders>
            <w:noWrap w:val="0"/>
            <w:tcMar>
              <w:top w:w="0" w:type="dxa"/>
              <w:left w:w="105" w:type="dxa"/>
              <w:bottom w:w="0" w:type="dxa"/>
              <w:right w:w="105" w:type="dxa"/>
            </w:tcMar>
            <w:vAlign w:val="center"/>
          </w:tcPr>
          <w:p w14:paraId="0F691F7E">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50402779">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18B88B5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100≤X＜200</w:t>
            </w:r>
          </w:p>
        </w:tc>
        <w:tc>
          <w:tcPr>
            <w:tcW w:w="1590" w:type="dxa"/>
            <w:tcBorders>
              <w:top w:val="nil"/>
              <w:left w:val="nil"/>
              <w:bottom w:val="nil"/>
              <w:right w:val="nil"/>
            </w:tcBorders>
            <w:noWrap w:val="0"/>
            <w:tcMar>
              <w:top w:w="0" w:type="dxa"/>
              <w:left w:w="105" w:type="dxa"/>
              <w:bottom w:w="0" w:type="dxa"/>
              <w:right w:w="105" w:type="dxa"/>
            </w:tcMar>
            <w:vAlign w:val="center"/>
          </w:tcPr>
          <w:p w14:paraId="43734D1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20≤X＜100</w:t>
            </w:r>
          </w:p>
        </w:tc>
        <w:tc>
          <w:tcPr>
            <w:tcW w:w="1376" w:type="dxa"/>
            <w:tcBorders>
              <w:top w:val="nil"/>
              <w:left w:val="nil"/>
              <w:bottom w:val="nil"/>
              <w:right w:val="nil"/>
            </w:tcBorders>
            <w:noWrap w:val="0"/>
            <w:tcMar>
              <w:top w:w="0" w:type="dxa"/>
              <w:left w:w="105" w:type="dxa"/>
              <w:bottom w:w="0" w:type="dxa"/>
              <w:right w:w="105" w:type="dxa"/>
            </w:tcMar>
            <w:vAlign w:val="center"/>
          </w:tcPr>
          <w:p w14:paraId="0471EEE4">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X＜20</w:t>
            </w:r>
          </w:p>
        </w:tc>
      </w:tr>
      <w:tr w14:paraId="6B2EE6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70D098DB">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6CDAE2C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495C517A">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169D914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1000≤Y＜30000</w:t>
            </w:r>
          </w:p>
        </w:tc>
        <w:tc>
          <w:tcPr>
            <w:tcW w:w="1590" w:type="dxa"/>
            <w:tcBorders>
              <w:top w:val="nil"/>
              <w:left w:val="nil"/>
              <w:bottom w:val="nil"/>
              <w:right w:val="nil"/>
            </w:tcBorders>
            <w:noWrap w:val="0"/>
            <w:tcMar>
              <w:top w:w="0" w:type="dxa"/>
              <w:left w:w="105" w:type="dxa"/>
              <w:bottom w:w="0" w:type="dxa"/>
              <w:right w:w="105" w:type="dxa"/>
            </w:tcMar>
            <w:vAlign w:val="center"/>
          </w:tcPr>
          <w:p w14:paraId="4A2B822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100≤Y＜1000</w:t>
            </w:r>
          </w:p>
        </w:tc>
        <w:tc>
          <w:tcPr>
            <w:tcW w:w="1376" w:type="dxa"/>
            <w:tcBorders>
              <w:top w:val="nil"/>
              <w:left w:val="nil"/>
              <w:bottom w:val="nil"/>
              <w:right w:val="nil"/>
            </w:tcBorders>
            <w:noWrap w:val="0"/>
            <w:tcMar>
              <w:top w:w="0" w:type="dxa"/>
              <w:left w:w="105" w:type="dxa"/>
              <w:bottom w:w="0" w:type="dxa"/>
              <w:right w:w="105" w:type="dxa"/>
            </w:tcMar>
            <w:vAlign w:val="center"/>
          </w:tcPr>
          <w:p w14:paraId="2AED4A0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w:t>
            </w:r>
          </w:p>
        </w:tc>
      </w:tr>
      <w:tr w14:paraId="231230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16DAB0A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邮政业</w:t>
            </w:r>
          </w:p>
        </w:tc>
        <w:tc>
          <w:tcPr>
            <w:tcW w:w="1618" w:type="dxa"/>
            <w:tcBorders>
              <w:top w:val="nil"/>
              <w:left w:val="nil"/>
              <w:bottom w:val="nil"/>
              <w:right w:val="nil"/>
            </w:tcBorders>
            <w:noWrap w:val="0"/>
            <w:tcMar>
              <w:top w:w="0" w:type="dxa"/>
              <w:left w:w="105" w:type="dxa"/>
              <w:bottom w:w="0" w:type="dxa"/>
              <w:right w:w="105" w:type="dxa"/>
            </w:tcMar>
            <w:vAlign w:val="center"/>
          </w:tcPr>
          <w:p w14:paraId="6B363580">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257133CE">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41CF2FF3">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300≤X＜1000</w:t>
            </w:r>
          </w:p>
        </w:tc>
        <w:tc>
          <w:tcPr>
            <w:tcW w:w="1590" w:type="dxa"/>
            <w:tcBorders>
              <w:top w:val="nil"/>
              <w:left w:val="nil"/>
              <w:bottom w:val="nil"/>
              <w:right w:val="nil"/>
            </w:tcBorders>
            <w:noWrap w:val="0"/>
            <w:tcMar>
              <w:top w:w="0" w:type="dxa"/>
              <w:left w:w="105" w:type="dxa"/>
              <w:bottom w:w="0" w:type="dxa"/>
              <w:right w:w="105" w:type="dxa"/>
            </w:tcMar>
            <w:vAlign w:val="center"/>
          </w:tcPr>
          <w:p w14:paraId="07369DD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20≤X＜300</w:t>
            </w:r>
          </w:p>
        </w:tc>
        <w:tc>
          <w:tcPr>
            <w:tcW w:w="1376" w:type="dxa"/>
            <w:tcBorders>
              <w:top w:val="nil"/>
              <w:left w:val="nil"/>
              <w:bottom w:val="nil"/>
              <w:right w:val="nil"/>
            </w:tcBorders>
            <w:noWrap w:val="0"/>
            <w:tcMar>
              <w:top w:w="0" w:type="dxa"/>
              <w:left w:w="105" w:type="dxa"/>
              <w:bottom w:w="0" w:type="dxa"/>
              <w:right w:w="105" w:type="dxa"/>
            </w:tcMar>
            <w:vAlign w:val="center"/>
          </w:tcPr>
          <w:p w14:paraId="259E35C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X＜20</w:t>
            </w:r>
          </w:p>
        </w:tc>
      </w:tr>
      <w:tr w14:paraId="6B666F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13FD110">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2BBB8E8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711CB358">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5B39BAF4">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2000≤Y＜30000</w:t>
            </w:r>
          </w:p>
        </w:tc>
        <w:tc>
          <w:tcPr>
            <w:tcW w:w="1590" w:type="dxa"/>
            <w:tcBorders>
              <w:top w:val="nil"/>
              <w:left w:val="nil"/>
              <w:bottom w:val="nil"/>
              <w:right w:val="nil"/>
            </w:tcBorders>
            <w:noWrap w:val="0"/>
            <w:tcMar>
              <w:top w:w="0" w:type="dxa"/>
              <w:left w:w="105" w:type="dxa"/>
              <w:bottom w:w="0" w:type="dxa"/>
              <w:right w:w="105" w:type="dxa"/>
            </w:tcMar>
            <w:vAlign w:val="center"/>
          </w:tcPr>
          <w:p w14:paraId="252DCAA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100≤Y＜2000</w:t>
            </w:r>
          </w:p>
        </w:tc>
        <w:tc>
          <w:tcPr>
            <w:tcW w:w="1376" w:type="dxa"/>
            <w:tcBorders>
              <w:top w:val="nil"/>
              <w:left w:val="nil"/>
              <w:bottom w:val="nil"/>
              <w:right w:val="nil"/>
            </w:tcBorders>
            <w:noWrap w:val="0"/>
            <w:tcMar>
              <w:top w:w="0" w:type="dxa"/>
              <w:left w:w="105" w:type="dxa"/>
              <w:bottom w:w="0" w:type="dxa"/>
              <w:right w:w="105" w:type="dxa"/>
            </w:tcMar>
            <w:vAlign w:val="center"/>
          </w:tcPr>
          <w:p w14:paraId="511B715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w:t>
            </w:r>
          </w:p>
        </w:tc>
      </w:tr>
      <w:tr w14:paraId="168C1796">
        <w:tblPrEx>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2D0A735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住宿业</w:t>
            </w:r>
          </w:p>
        </w:tc>
        <w:tc>
          <w:tcPr>
            <w:tcW w:w="1618" w:type="dxa"/>
            <w:tcBorders>
              <w:top w:val="nil"/>
              <w:left w:val="nil"/>
              <w:bottom w:val="nil"/>
              <w:right w:val="nil"/>
            </w:tcBorders>
            <w:noWrap w:val="0"/>
            <w:tcMar>
              <w:top w:w="0" w:type="dxa"/>
              <w:left w:w="105" w:type="dxa"/>
              <w:bottom w:w="0" w:type="dxa"/>
              <w:right w:w="105" w:type="dxa"/>
            </w:tcMar>
            <w:vAlign w:val="center"/>
          </w:tcPr>
          <w:p w14:paraId="67E4CCF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32681D20">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2F650B4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100≤X＜300</w:t>
            </w:r>
          </w:p>
        </w:tc>
        <w:tc>
          <w:tcPr>
            <w:tcW w:w="1590" w:type="dxa"/>
            <w:tcBorders>
              <w:top w:val="nil"/>
              <w:left w:val="nil"/>
              <w:bottom w:val="nil"/>
              <w:right w:val="nil"/>
            </w:tcBorders>
            <w:noWrap w:val="0"/>
            <w:tcMar>
              <w:top w:w="0" w:type="dxa"/>
              <w:left w:w="105" w:type="dxa"/>
              <w:bottom w:w="0" w:type="dxa"/>
              <w:right w:w="105" w:type="dxa"/>
            </w:tcMar>
            <w:vAlign w:val="center"/>
          </w:tcPr>
          <w:p w14:paraId="4BAE1C3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10≤X＜100</w:t>
            </w:r>
          </w:p>
        </w:tc>
        <w:tc>
          <w:tcPr>
            <w:tcW w:w="1376" w:type="dxa"/>
            <w:tcBorders>
              <w:top w:val="nil"/>
              <w:left w:val="nil"/>
              <w:bottom w:val="nil"/>
              <w:right w:val="nil"/>
            </w:tcBorders>
            <w:noWrap w:val="0"/>
            <w:tcMar>
              <w:top w:w="0" w:type="dxa"/>
              <w:left w:w="105" w:type="dxa"/>
              <w:bottom w:w="0" w:type="dxa"/>
              <w:right w:w="105" w:type="dxa"/>
            </w:tcMar>
            <w:vAlign w:val="center"/>
          </w:tcPr>
          <w:p w14:paraId="3AAD32A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w:t>
            </w:r>
          </w:p>
        </w:tc>
      </w:tr>
      <w:tr w14:paraId="02D480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79887685">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60CF4FE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4C653728">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4F0BA4B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2000≤Y＜10000</w:t>
            </w:r>
          </w:p>
        </w:tc>
        <w:tc>
          <w:tcPr>
            <w:tcW w:w="1590" w:type="dxa"/>
            <w:tcBorders>
              <w:top w:val="nil"/>
              <w:left w:val="nil"/>
              <w:bottom w:val="nil"/>
              <w:right w:val="nil"/>
            </w:tcBorders>
            <w:noWrap w:val="0"/>
            <w:tcMar>
              <w:top w:w="0" w:type="dxa"/>
              <w:left w:w="105" w:type="dxa"/>
              <w:bottom w:w="0" w:type="dxa"/>
              <w:right w:w="105" w:type="dxa"/>
            </w:tcMar>
            <w:vAlign w:val="center"/>
          </w:tcPr>
          <w:p w14:paraId="53CCACF7">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100≤Y＜2000</w:t>
            </w:r>
          </w:p>
        </w:tc>
        <w:tc>
          <w:tcPr>
            <w:tcW w:w="1376" w:type="dxa"/>
            <w:tcBorders>
              <w:top w:val="nil"/>
              <w:left w:val="nil"/>
              <w:bottom w:val="nil"/>
              <w:right w:val="nil"/>
            </w:tcBorders>
            <w:noWrap w:val="0"/>
            <w:tcMar>
              <w:top w:w="0" w:type="dxa"/>
              <w:left w:w="105" w:type="dxa"/>
              <w:bottom w:w="0" w:type="dxa"/>
              <w:right w:w="105" w:type="dxa"/>
            </w:tcMar>
            <w:vAlign w:val="center"/>
          </w:tcPr>
          <w:p w14:paraId="527BB4A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w:t>
            </w:r>
          </w:p>
        </w:tc>
      </w:tr>
      <w:tr w14:paraId="3AAD3E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282F1D6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餐饮业</w:t>
            </w:r>
          </w:p>
        </w:tc>
        <w:tc>
          <w:tcPr>
            <w:tcW w:w="1618" w:type="dxa"/>
            <w:tcBorders>
              <w:top w:val="nil"/>
              <w:left w:val="nil"/>
              <w:bottom w:val="nil"/>
              <w:right w:val="nil"/>
            </w:tcBorders>
            <w:noWrap w:val="0"/>
            <w:tcMar>
              <w:top w:w="0" w:type="dxa"/>
              <w:left w:w="105" w:type="dxa"/>
              <w:bottom w:w="0" w:type="dxa"/>
              <w:right w:w="105" w:type="dxa"/>
            </w:tcMar>
            <w:vAlign w:val="center"/>
          </w:tcPr>
          <w:p w14:paraId="23A34BC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070F1C87">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548ABB1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100≤X＜300</w:t>
            </w:r>
          </w:p>
        </w:tc>
        <w:tc>
          <w:tcPr>
            <w:tcW w:w="1590" w:type="dxa"/>
            <w:tcBorders>
              <w:top w:val="nil"/>
              <w:left w:val="nil"/>
              <w:bottom w:val="nil"/>
              <w:right w:val="nil"/>
            </w:tcBorders>
            <w:noWrap w:val="0"/>
            <w:tcMar>
              <w:top w:w="0" w:type="dxa"/>
              <w:left w:w="105" w:type="dxa"/>
              <w:bottom w:w="0" w:type="dxa"/>
              <w:right w:w="105" w:type="dxa"/>
            </w:tcMar>
            <w:vAlign w:val="center"/>
          </w:tcPr>
          <w:p w14:paraId="117EA250">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10≤X＜100</w:t>
            </w:r>
          </w:p>
        </w:tc>
        <w:tc>
          <w:tcPr>
            <w:tcW w:w="1376" w:type="dxa"/>
            <w:tcBorders>
              <w:top w:val="nil"/>
              <w:left w:val="nil"/>
              <w:bottom w:val="nil"/>
              <w:right w:val="nil"/>
            </w:tcBorders>
            <w:noWrap w:val="0"/>
            <w:tcMar>
              <w:top w:w="0" w:type="dxa"/>
              <w:left w:w="105" w:type="dxa"/>
              <w:bottom w:w="0" w:type="dxa"/>
              <w:right w:w="105" w:type="dxa"/>
            </w:tcMar>
            <w:vAlign w:val="center"/>
          </w:tcPr>
          <w:p w14:paraId="7D934E2C">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w:t>
            </w:r>
          </w:p>
        </w:tc>
      </w:tr>
      <w:tr w14:paraId="669167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5FFC3080">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3F8110B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632C69D8">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0F817B7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2000≤Y＜10000</w:t>
            </w:r>
          </w:p>
        </w:tc>
        <w:tc>
          <w:tcPr>
            <w:tcW w:w="1590" w:type="dxa"/>
            <w:tcBorders>
              <w:top w:val="nil"/>
              <w:left w:val="nil"/>
              <w:bottom w:val="nil"/>
              <w:right w:val="nil"/>
            </w:tcBorders>
            <w:noWrap w:val="0"/>
            <w:tcMar>
              <w:top w:w="0" w:type="dxa"/>
              <w:left w:w="105" w:type="dxa"/>
              <w:bottom w:w="0" w:type="dxa"/>
              <w:right w:w="105" w:type="dxa"/>
            </w:tcMar>
            <w:vAlign w:val="center"/>
          </w:tcPr>
          <w:p w14:paraId="5F215654">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100≤Y＜2000</w:t>
            </w:r>
          </w:p>
        </w:tc>
        <w:tc>
          <w:tcPr>
            <w:tcW w:w="1376" w:type="dxa"/>
            <w:tcBorders>
              <w:top w:val="nil"/>
              <w:left w:val="nil"/>
              <w:bottom w:val="nil"/>
              <w:right w:val="nil"/>
            </w:tcBorders>
            <w:noWrap w:val="0"/>
            <w:tcMar>
              <w:top w:w="0" w:type="dxa"/>
              <w:left w:w="105" w:type="dxa"/>
              <w:bottom w:w="0" w:type="dxa"/>
              <w:right w:w="105" w:type="dxa"/>
            </w:tcMar>
            <w:vAlign w:val="center"/>
          </w:tcPr>
          <w:p w14:paraId="1D2AA25C">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w:t>
            </w:r>
          </w:p>
        </w:tc>
      </w:tr>
      <w:tr w14:paraId="47A629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67453E9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信息传输业</w:t>
            </w:r>
          </w:p>
        </w:tc>
        <w:tc>
          <w:tcPr>
            <w:tcW w:w="1618" w:type="dxa"/>
            <w:tcBorders>
              <w:top w:val="nil"/>
              <w:left w:val="nil"/>
              <w:bottom w:val="nil"/>
              <w:right w:val="nil"/>
            </w:tcBorders>
            <w:noWrap w:val="0"/>
            <w:tcMar>
              <w:top w:w="0" w:type="dxa"/>
              <w:left w:w="105" w:type="dxa"/>
              <w:bottom w:w="0" w:type="dxa"/>
              <w:right w:w="105" w:type="dxa"/>
            </w:tcMar>
            <w:vAlign w:val="center"/>
          </w:tcPr>
          <w:p w14:paraId="450265E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399BD54E">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5691D93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100≤X＜2000</w:t>
            </w:r>
          </w:p>
        </w:tc>
        <w:tc>
          <w:tcPr>
            <w:tcW w:w="1590" w:type="dxa"/>
            <w:tcBorders>
              <w:top w:val="nil"/>
              <w:left w:val="nil"/>
              <w:bottom w:val="nil"/>
              <w:right w:val="nil"/>
            </w:tcBorders>
            <w:noWrap w:val="0"/>
            <w:tcMar>
              <w:top w:w="0" w:type="dxa"/>
              <w:left w:w="105" w:type="dxa"/>
              <w:bottom w:w="0" w:type="dxa"/>
              <w:right w:w="105" w:type="dxa"/>
            </w:tcMar>
            <w:vAlign w:val="center"/>
          </w:tcPr>
          <w:p w14:paraId="2C64E5C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10≤X＜100</w:t>
            </w:r>
          </w:p>
        </w:tc>
        <w:tc>
          <w:tcPr>
            <w:tcW w:w="1376" w:type="dxa"/>
            <w:tcBorders>
              <w:top w:val="nil"/>
              <w:left w:val="nil"/>
              <w:bottom w:val="nil"/>
              <w:right w:val="nil"/>
            </w:tcBorders>
            <w:noWrap w:val="0"/>
            <w:tcMar>
              <w:top w:w="0" w:type="dxa"/>
              <w:left w:w="105" w:type="dxa"/>
              <w:bottom w:w="0" w:type="dxa"/>
              <w:right w:w="105" w:type="dxa"/>
            </w:tcMar>
            <w:vAlign w:val="center"/>
          </w:tcPr>
          <w:p w14:paraId="2AB64C24">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w:t>
            </w:r>
          </w:p>
        </w:tc>
      </w:tr>
      <w:tr w14:paraId="6FF56D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0B6936A2">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65F057F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2E094F6A">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442E225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1000≤Y＜100000</w:t>
            </w:r>
          </w:p>
        </w:tc>
        <w:tc>
          <w:tcPr>
            <w:tcW w:w="1590" w:type="dxa"/>
            <w:tcBorders>
              <w:top w:val="nil"/>
              <w:left w:val="nil"/>
              <w:bottom w:val="nil"/>
              <w:right w:val="nil"/>
            </w:tcBorders>
            <w:noWrap w:val="0"/>
            <w:tcMar>
              <w:top w:w="0" w:type="dxa"/>
              <w:left w:w="105" w:type="dxa"/>
              <w:bottom w:w="0" w:type="dxa"/>
              <w:right w:w="105" w:type="dxa"/>
            </w:tcMar>
            <w:vAlign w:val="center"/>
          </w:tcPr>
          <w:p w14:paraId="143F133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100≤Y＜1000</w:t>
            </w:r>
          </w:p>
        </w:tc>
        <w:tc>
          <w:tcPr>
            <w:tcW w:w="1376" w:type="dxa"/>
            <w:tcBorders>
              <w:top w:val="nil"/>
              <w:left w:val="nil"/>
              <w:bottom w:val="nil"/>
              <w:right w:val="nil"/>
            </w:tcBorders>
            <w:noWrap w:val="0"/>
            <w:tcMar>
              <w:top w:w="0" w:type="dxa"/>
              <w:left w:w="105" w:type="dxa"/>
              <w:bottom w:w="0" w:type="dxa"/>
              <w:right w:w="105" w:type="dxa"/>
            </w:tcMar>
            <w:vAlign w:val="center"/>
          </w:tcPr>
          <w:p w14:paraId="5B094B2C">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w:t>
            </w:r>
          </w:p>
        </w:tc>
      </w:tr>
      <w:tr w14:paraId="414334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00FEE3A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软件和信息技术服务业</w:t>
            </w:r>
          </w:p>
        </w:tc>
        <w:tc>
          <w:tcPr>
            <w:tcW w:w="1618" w:type="dxa"/>
            <w:tcBorders>
              <w:top w:val="nil"/>
              <w:left w:val="nil"/>
              <w:bottom w:val="nil"/>
              <w:right w:val="nil"/>
            </w:tcBorders>
            <w:noWrap w:val="0"/>
            <w:tcMar>
              <w:top w:w="0" w:type="dxa"/>
              <w:left w:w="105" w:type="dxa"/>
              <w:bottom w:w="0" w:type="dxa"/>
              <w:right w:w="105" w:type="dxa"/>
            </w:tcMar>
            <w:vAlign w:val="center"/>
          </w:tcPr>
          <w:p w14:paraId="30E1DA1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4E464F15">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00B47B5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100≤X＜300</w:t>
            </w:r>
          </w:p>
        </w:tc>
        <w:tc>
          <w:tcPr>
            <w:tcW w:w="1590" w:type="dxa"/>
            <w:tcBorders>
              <w:top w:val="nil"/>
              <w:left w:val="nil"/>
              <w:bottom w:val="nil"/>
              <w:right w:val="nil"/>
            </w:tcBorders>
            <w:noWrap w:val="0"/>
            <w:tcMar>
              <w:top w:w="0" w:type="dxa"/>
              <w:left w:w="105" w:type="dxa"/>
              <w:bottom w:w="0" w:type="dxa"/>
              <w:right w:w="105" w:type="dxa"/>
            </w:tcMar>
            <w:vAlign w:val="center"/>
          </w:tcPr>
          <w:p w14:paraId="6FCEF8B4">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10≤X＜100</w:t>
            </w:r>
          </w:p>
        </w:tc>
        <w:tc>
          <w:tcPr>
            <w:tcW w:w="1376" w:type="dxa"/>
            <w:tcBorders>
              <w:top w:val="nil"/>
              <w:left w:val="nil"/>
              <w:bottom w:val="nil"/>
              <w:right w:val="nil"/>
            </w:tcBorders>
            <w:noWrap w:val="0"/>
            <w:tcMar>
              <w:top w:w="0" w:type="dxa"/>
              <w:left w:w="105" w:type="dxa"/>
              <w:bottom w:w="0" w:type="dxa"/>
              <w:right w:w="105" w:type="dxa"/>
            </w:tcMar>
            <w:vAlign w:val="center"/>
          </w:tcPr>
          <w:p w14:paraId="21E3D07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w:t>
            </w:r>
          </w:p>
        </w:tc>
      </w:tr>
      <w:tr w14:paraId="2984EA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E600F3B">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31C9F80D">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7CFE5CF7">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066387A3">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1000≤Y＜10000</w:t>
            </w:r>
          </w:p>
        </w:tc>
        <w:tc>
          <w:tcPr>
            <w:tcW w:w="1590" w:type="dxa"/>
            <w:tcBorders>
              <w:top w:val="nil"/>
              <w:left w:val="nil"/>
              <w:bottom w:val="nil"/>
              <w:right w:val="nil"/>
            </w:tcBorders>
            <w:noWrap w:val="0"/>
            <w:tcMar>
              <w:top w:w="0" w:type="dxa"/>
              <w:left w:w="105" w:type="dxa"/>
              <w:bottom w:w="0" w:type="dxa"/>
              <w:right w:w="105" w:type="dxa"/>
            </w:tcMar>
            <w:vAlign w:val="center"/>
          </w:tcPr>
          <w:p w14:paraId="1F30BE5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50≤Y＜1000</w:t>
            </w:r>
          </w:p>
        </w:tc>
        <w:tc>
          <w:tcPr>
            <w:tcW w:w="1376" w:type="dxa"/>
            <w:tcBorders>
              <w:top w:val="nil"/>
              <w:left w:val="nil"/>
              <w:bottom w:val="nil"/>
              <w:right w:val="nil"/>
            </w:tcBorders>
            <w:noWrap w:val="0"/>
            <w:tcMar>
              <w:top w:w="0" w:type="dxa"/>
              <w:left w:w="105" w:type="dxa"/>
              <w:bottom w:w="0" w:type="dxa"/>
              <w:right w:w="105" w:type="dxa"/>
            </w:tcMar>
            <w:vAlign w:val="center"/>
          </w:tcPr>
          <w:p w14:paraId="55B7B14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Y＜50</w:t>
            </w:r>
          </w:p>
        </w:tc>
      </w:tr>
      <w:tr w14:paraId="24F8CF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37238F5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房地产开发经营</w:t>
            </w:r>
          </w:p>
        </w:tc>
        <w:tc>
          <w:tcPr>
            <w:tcW w:w="1618" w:type="dxa"/>
            <w:tcBorders>
              <w:top w:val="nil"/>
              <w:left w:val="nil"/>
              <w:bottom w:val="nil"/>
              <w:right w:val="nil"/>
            </w:tcBorders>
            <w:noWrap w:val="0"/>
            <w:tcMar>
              <w:top w:w="0" w:type="dxa"/>
              <w:left w:w="105" w:type="dxa"/>
              <w:bottom w:w="0" w:type="dxa"/>
              <w:right w:w="105" w:type="dxa"/>
            </w:tcMar>
            <w:vAlign w:val="center"/>
          </w:tcPr>
          <w:p w14:paraId="4AC5A6D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5553C1DA">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353BF22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1000≤Y＜200000</w:t>
            </w:r>
          </w:p>
        </w:tc>
        <w:tc>
          <w:tcPr>
            <w:tcW w:w="1590" w:type="dxa"/>
            <w:tcBorders>
              <w:top w:val="nil"/>
              <w:left w:val="nil"/>
              <w:bottom w:val="nil"/>
              <w:right w:val="nil"/>
            </w:tcBorders>
            <w:noWrap w:val="0"/>
            <w:tcMar>
              <w:top w:w="0" w:type="dxa"/>
              <w:left w:w="105" w:type="dxa"/>
              <w:bottom w:w="0" w:type="dxa"/>
              <w:right w:w="105" w:type="dxa"/>
            </w:tcMar>
            <w:vAlign w:val="center"/>
          </w:tcPr>
          <w:p w14:paraId="5570F065">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100≤X＜1000</w:t>
            </w:r>
          </w:p>
        </w:tc>
        <w:tc>
          <w:tcPr>
            <w:tcW w:w="1376" w:type="dxa"/>
            <w:tcBorders>
              <w:top w:val="nil"/>
              <w:left w:val="nil"/>
              <w:bottom w:val="nil"/>
              <w:right w:val="nil"/>
            </w:tcBorders>
            <w:noWrap w:val="0"/>
            <w:tcMar>
              <w:top w:w="0" w:type="dxa"/>
              <w:left w:w="105" w:type="dxa"/>
              <w:bottom w:w="0" w:type="dxa"/>
              <w:right w:w="105" w:type="dxa"/>
            </w:tcMar>
            <w:vAlign w:val="center"/>
          </w:tcPr>
          <w:p w14:paraId="4E38C48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X＜100</w:t>
            </w:r>
          </w:p>
        </w:tc>
      </w:tr>
      <w:tr w14:paraId="318758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81FC113">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26418463">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资产总额（Z）</w:t>
            </w:r>
          </w:p>
        </w:tc>
        <w:tc>
          <w:tcPr>
            <w:tcW w:w="448" w:type="dxa"/>
            <w:tcBorders>
              <w:top w:val="nil"/>
              <w:left w:val="nil"/>
              <w:bottom w:val="nil"/>
              <w:right w:val="nil"/>
            </w:tcBorders>
            <w:noWrap w:val="0"/>
            <w:tcMar>
              <w:top w:w="0" w:type="dxa"/>
              <w:left w:w="105" w:type="dxa"/>
              <w:bottom w:w="0" w:type="dxa"/>
              <w:right w:w="105" w:type="dxa"/>
            </w:tcMar>
            <w:vAlign w:val="center"/>
          </w:tcPr>
          <w:p w14:paraId="4E32B649">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6E5F903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5000≤Z＜10000</w:t>
            </w:r>
          </w:p>
        </w:tc>
        <w:tc>
          <w:tcPr>
            <w:tcW w:w="1590" w:type="dxa"/>
            <w:tcBorders>
              <w:top w:val="nil"/>
              <w:left w:val="nil"/>
              <w:bottom w:val="nil"/>
              <w:right w:val="nil"/>
            </w:tcBorders>
            <w:noWrap w:val="0"/>
            <w:tcMar>
              <w:top w:w="0" w:type="dxa"/>
              <w:left w:w="105" w:type="dxa"/>
              <w:bottom w:w="0" w:type="dxa"/>
              <w:right w:w="105" w:type="dxa"/>
            </w:tcMar>
            <w:vAlign w:val="center"/>
          </w:tcPr>
          <w:p w14:paraId="5F4E50C8">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2000≤Y＜5000</w:t>
            </w:r>
          </w:p>
        </w:tc>
        <w:tc>
          <w:tcPr>
            <w:tcW w:w="1376" w:type="dxa"/>
            <w:tcBorders>
              <w:top w:val="nil"/>
              <w:left w:val="nil"/>
              <w:bottom w:val="nil"/>
              <w:right w:val="nil"/>
            </w:tcBorders>
            <w:noWrap w:val="0"/>
            <w:tcMar>
              <w:top w:w="0" w:type="dxa"/>
              <w:left w:w="105" w:type="dxa"/>
              <w:bottom w:w="0" w:type="dxa"/>
              <w:right w:w="105" w:type="dxa"/>
            </w:tcMar>
            <w:vAlign w:val="center"/>
          </w:tcPr>
          <w:p w14:paraId="03C7CBA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Y＜2000</w:t>
            </w:r>
          </w:p>
        </w:tc>
      </w:tr>
      <w:tr w14:paraId="43AA33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64BE2ADB">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物业管理</w:t>
            </w:r>
          </w:p>
        </w:tc>
        <w:tc>
          <w:tcPr>
            <w:tcW w:w="1618" w:type="dxa"/>
            <w:tcBorders>
              <w:top w:val="nil"/>
              <w:left w:val="nil"/>
              <w:bottom w:val="nil"/>
              <w:right w:val="nil"/>
            </w:tcBorders>
            <w:noWrap w:val="0"/>
            <w:tcMar>
              <w:top w:w="0" w:type="dxa"/>
              <w:left w:w="105" w:type="dxa"/>
              <w:bottom w:w="0" w:type="dxa"/>
              <w:right w:w="105" w:type="dxa"/>
            </w:tcMar>
            <w:vAlign w:val="center"/>
          </w:tcPr>
          <w:p w14:paraId="6568A03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49A14A41">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615B492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300≤X＜1000</w:t>
            </w:r>
          </w:p>
        </w:tc>
        <w:tc>
          <w:tcPr>
            <w:tcW w:w="1590" w:type="dxa"/>
            <w:tcBorders>
              <w:top w:val="nil"/>
              <w:left w:val="nil"/>
              <w:bottom w:val="nil"/>
              <w:right w:val="nil"/>
            </w:tcBorders>
            <w:noWrap w:val="0"/>
            <w:tcMar>
              <w:top w:w="0" w:type="dxa"/>
              <w:left w:w="105" w:type="dxa"/>
              <w:bottom w:w="0" w:type="dxa"/>
              <w:right w:w="105" w:type="dxa"/>
            </w:tcMar>
            <w:vAlign w:val="center"/>
          </w:tcPr>
          <w:p w14:paraId="2714534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100≤X＜300</w:t>
            </w:r>
          </w:p>
        </w:tc>
        <w:tc>
          <w:tcPr>
            <w:tcW w:w="1376" w:type="dxa"/>
            <w:tcBorders>
              <w:top w:val="nil"/>
              <w:left w:val="nil"/>
              <w:bottom w:val="nil"/>
              <w:right w:val="nil"/>
            </w:tcBorders>
            <w:noWrap w:val="0"/>
            <w:tcMar>
              <w:top w:w="0" w:type="dxa"/>
              <w:left w:w="105" w:type="dxa"/>
              <w:bottom w:w="0" w:type="dxa"/>
              <w:right w:w="105" w:type="dxa"/>
            </w:tcMar>
            <w:vAlign w:val="center"/>
          </w:tcPr>
          <w:p w14:paraId="45878E6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X＜100</w:t>
            </w:r>
          </w:p>
        </w:tc>
      </w:tr>
      <w:tr w14:paraId="556215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CBAC893">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31C3743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营业收入（Y）</w:t>
            </w:r>
          </w:p>
        </w:tc>
        <w:tc>
          <w:tcPr>
            <w:tcW w:w="448" w:type="dxa"/>
            <w:tcBorders>
              <w:top w:val="nil"/>
              <w:left w:val="nil"/>
              <w:bottom w:val="nil"/>
              <w:right w:val="nil"/>
            </w:tcBorders>
            <w:noWrap w:val="0"/>
            <w:tcMar>
              <w:top w:w="0" w:type="dxa"/>
              <w:left w:w="105" w:type="dxa"/>
              <w:bottom w:w="0" w:type="dxa"/>
              <w:right w:w="105" w:type="dxa"/>
            </w:tcMar>
            <w:vAlign w:val="center"/>
          </w:tcPr>
          <w:p w14:paraId="724154EC">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43F8AC6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1000≤Y＜5000</w:t>
            </w:r>
          </w:p>
        </w:tc>
        <w:tc>
          <w:tcPr>
            <w:tcW w:w="1590" w:type="dxa"/>
            <w:tcBorders>
              <w:top w:val="nil"/>
              <w:left w:val="nil"/>
              <w:bottom w:val="nil"/>
              <w:right w:val="nil"/>
            </w:tcBorders>
            <w:noWrap w:val="0"/>
            <w:tcMar>
              <w:top w:w="0" w:type="dxa"/>
              <w:left w:w="105" w:type="dxa"/>
              <w:bottom w:w="0" w:type="dxa"/>
              <w:right w:w="105" w:type="dxa"/>
            </w:tcMar>
            <w:vAlign w:val="center"/>
          </w:tcPr>
          <w:p w14:paraId="4EE8157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500≤Y＜1000</w:t>
            </w:r>
          </w:p>
        </w:tc>
        <w:tc>
          <w:tcPr>
            <w:tcW w:w="1376" w:type="dxa"/>
            <w:tcBorders>
              <w:top w:val="nil"/>
              <w:left w:val="nil"/>
              <w:bottom w:val="nil"/>
              <w:right w:val="nil"/>
            </w:tcBorders>
            <w:noWrap w:val="0"/>
            <w:tcMar>
              <w:top w:w="0" w:type="dxa"/>
              <w:left w:w="105" w:type="dxa"/>
              <w:bottom w:w="0" w:type="dxa"/>
              <w:right w:w="105" w:type="dxa"/>
            </w:tcMar>
            <w:vAlign w:val="center"/>
          </w:tcPr>
          <w:p w14:paraId="4A19399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Y＜500</w:t>
            </w:r>
          </w:p>
        </w:tc>
      </w:tr>
      <w:tr w14:paraId="03059A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vMerge w:val="restart"/>
            <w:tcBorders>
              <w:top w:val="nil"/>
              <w:left w:val="nil"/>
              <w:bottom w:val="nil"/>
              <w:right w:val="nil"/>
            </w:tcBorders>
            <w:noWrap w:val="0"/>
            <w:tcMar>
              <w:top w:w="0" w:type="dxa"/>
              <w:left w:w="105" w:type="dxa"/>
              <w:bottom w:w="0" w:type="dxa"/>
              <w:right w:w="105" w:type="dxa"/>
            </w:tcMar>
            <w:vAlign w:val="center"/>
          </w:tcPr>
          <w:p w14:paraId="30EA0A3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租赁和商务服务业</w:t>
            </w:r>
          </w:p>
        </w:tc>
        <w:tc>
          <w:tcPr>
            <w:tcW w:w="1618" w:type="dxa"/>
            <w:tcBorders>
              <w:top w:val="nil"/>
              <w:left w:val="nil"/>
              <w:bottom w:val="nil"/>
              <w:right w:val="nil"/>
            </w:tcBorders>
            <w:noWrap w:val="0"/>
            <w:tcMar>
              <w:top w:w="0" w:type="dxa"/>
              <w:left w:w="105" w:type="dxa"/>
              <w:bottom w:w="0" w:type="dxa"/>
              <w:right w:w="105" w:type="dxa"/>
            </w:tcMar>
            <w:vAlign w:val="center"/>
          </w:tcPr>
          <w:p w14:paraId="077FABBA">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1093BD4A">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1892A99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100≤X＜300</w:t>
            </w:r>
          </w:p>
        </w:tc>
        <w:tc>
          <w:tcPr>
            <w:tcW w:w="1590" w:type="dxa"/>
            <w:tcBorders>
              <w:top w:val="nil"/>
              <w:left w:val="nil"/>
              <w:bottom w:val="nil"/>
              <w:right w:val="nil"/>
            </w:tcBorders>
            <w:noWrap w:val="0"/>
            <w:tcMar>
              <w:top w:w="0" w:type="dxa"/>
              <w:left w:w="105" w:type="dxa"/>
              <w:bottom w:w="0" w:type="dxa"/>
              <w:right w:w="105" w:type="dxa"/>
            </w:tcMar>
            <w:vAlign w:val="center"/>
          </w:tcPr>
          <w:p w14:paraId="3A2F9047">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10≤X＜100</w:t>
            </w:r>
          </w:p>
        </w:tc>
        <w:tc>
          <w:tcPr>
            <w:tcW w:w="1376" w:type="dxa"/>
            <w:tcBorders>
              <w:top w:val="nil"/>
              <w:left w:val="nil"/>
              <w:bottom w:val="nil"/>
              <w:right w:val="nil"/>
            </w:tcBorders>
            <w:noWrap w:val="0"/>
            <w:tcMar>
              <w:top w:w="0" w:type="dxa"/>
              <w:left w:w="105" w:type="dxa"/>
              <w:bottom w:w="0" w:type="dxa"/>
              <w:right w:w="105" w:type="dxa"/>
            </w:tcMar>
            <w:vAlign w:val="center"/>
          </w:tcPr>
          <w:p w14:paraId="486D0273">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w:t>
            </w:r>
          </w:p>
        </w:tc>
      </w:tr>
      <w:tr w14:paraId="1F0730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6D2402D2">
            <w:pPr>
              <w:spacing w:after="0" w:line="240" w:lineRule="auto"/>
              <w:rPr>
                <w:rFonts w:hint="eastAsia" w:ascii="仿宋" w:hAnsi="仿宋" w:eastAsia="仿宋" w:cs="仿宋"/>
              </w:rPr>
            </w:pPr>
          </w:p>
        </w:tc>
        <w:tc>
          <w:tcPr>
            <w:tcW w:w="1618" w:type="dxa"/>
            <w:tcBorders>
              <w:top w:val="nil"/>
              <w:left w:val="nil"/>
              <w:bottom w:val="nil"/>
              <w:right w:val="nil"/>
            </w:tcBorders>
            <w:noWrap w:val="0"/>
            <w:tcMar>
              <w:top w:w="0" w:type="dxa"/>
              <w:left w:w="105" w:type="dxa"/>
              <w:bottom w:w="0" w:type="dxa"/>
              <w:right w:w="105" w:type="dxa"/>
            </w:tcMar>
            <w:vAlign w:val="center"/>
          </w:tcPr>
          <w:p w14:paraId="08F2BB93">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资产总额（Z）</w:t>
            </w:r>
          </w:p>
        </w:tc>
        <w:tc>
          <w:tcPr>
            <w:tcW w:w="448" w:type="dxa"/>
            <w:tcBorders>
              <w:top w:val="nil"/>
              <w:left w:val="nil"/>
              <w:bottom w:val="nil"/>
              <w:right w:val="nil"/>
            </w:tcBorders>
            <w:noWrap w:val="0"/>
            <w:tcMar>
              <w:top w:w="0" w:type="dxa"/>
              <w:left w:w="105" w:type="dxa"/>
              <w:bottom w:w="0" w:type="dxa"/>
              <w:right w:w="105" w:type="dxa"/>
            </w:tcMar>
            <w:vAlign w:val="center"/>
          </w:tcPr>
          <w:p w14:paraId="0A7B585B">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万元</w:t>
            </w:r>
          </w:p>
        </w:tc>
        <w:tc>
          <w:tcPr>
            <w:tcW w:w="1949" w:type="dxa"/>
            <w:tcBorders>
              <w:top w:val="nil"/>
              <w:left w:val="nil"/>
              <w:bottom w:val="nil"/>
              <w:right w:val="nil"/>
            </w:tcBorders>
            <w:noWrap w:val="0"/>
            <w:tcMar>
              <w:top w:w="0" w:type="dxa"/>
              <w:left w:w="105" w:type="dxa"/>
              <w:bottom w:w="0" w:type="dxa"/>
              <w:right w:w="105" w:type="dxa"/>
            </w:tcMar>
            <w:vAlign w:val="center"/>
          </w:tcPr>
          <w:p w14:paraId="3F8E0611">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8000≤Z＜120000</w:t>
            </w:r>
          </w:p>
        </w:tc>
        <w:tc>
          <w:tcPr>
            <w:tcW w:w="1590" w:type="dxa"/>
            <w:tcBorders>
              <w:top w:val="nil"/>
              <w:left w:val="nil"/>
              <w:bottom w:val="nil"/>
              <w:right w:val="nil"/>
            </w:tcBorders>
            <w:noWrap w:val="0"/>
            <w:tcMar>
              <w:top w:w="0" w:type="dxa"/>
              <w:left w:w="105" w:type="dxa"/>
              <w:bottom w:w="0" w:type="dxa"/>
              <w:right w:w="105" w:type="dxa"/>
            </w:tcMar>
            <w:vAlign w:val="center"/>
          </w:tcPr>
          <w:p w14:paraId="32CD716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100≤Z＜8000</w:t>
            </w:r>
          </w:p>
        </w:tc>
        <w:tc>
          <w:tcPr>
            <w:tcW w:w="1376" w:type="dxa"/>
            <w:tcBorders>
              <w:top w:val="nil"/>
              <w:left w:val="nil"/>
              <w:bottom w:val="nil"/>
              <w:right w:val="nil"/>
            </w:tcBorders>
            <w:noWrap w:val="0"/>
            <w:tcMar>
              <w:top w:w="0" w:type="dxa"/>
              <w:left w:w="105" w:type="dxa"/>
              <w:bottom w:w="0" w:type="dxa"/>
              <w:right w:w="105" w:type="dxa"/>
            </w:tcMar>
            <w:vAlign w:val="center"/>
          </w:tcPr>
          <w:p w14:paraId="0E204CE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Y＜100</w:t>
            </w:r>
          </w:p>
        </w:tc>
      </w:tr>
      <w:tr w14:paraId="5ED82C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325" w:type="dxa"/>
            <w:tcBorders>
              <w:top w:val="nil"/>
              <w:left w:val="nil"/>
              <w:bottom w:val="nil"/>
              <w:right w:val="nil"/>
            </w:tcBorders>
            <w:noWrap w:val="0"/>
            <w:tcMar>
              <w:top w:w="0" w:type="dxa"/>
              <w:left w:w="105" w:type="dxa"/>
              <w:bottom w:w="0" w:type="dxa"/>
              <w:right w:w="105" w:type="dxa"/>
            </w:tcMar>
            <w:vAlign w:val="center"/>
          </w:tcPr>
          <w:p w14:paraId="2ED7E777">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其他未列明行业</w:t>
            </w:r>
          </w:p>
        </w:tc>
        <w:tc>
          <w:tcPr>
            <w:tcW w:w="1618" w:type="dxa"/>
            <w:tcBorders>
              <w:top w:val="nil"/>
              <w:left w:val="nil"/>
              <w:bottom w:val="nil"/>
              <w:right w:val="nil"/>
            </w:tcBorders>
            <w:noWrap w:val="0"/>
            <w:tcMar>
              <w:top w:w="0" w:type="dxa"/>
              <w:left w:w="105" w:type="dxa"/>
              <w:bottom w:w="0" w:type="dxa"/>
              <w:right w:w="105" w:type="dxa"/>
            </w:tcMar>
            <w:vAlign w:val="center"/>
          </w:tcPr>
          <w:p w14:paraId="2946D0D3">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从业人员（X）</w:t>
            </w:r>
          </w:p>
        </w:tc>
        <w:tc>
          <w:tcPr>
            <w:tcW w:w="448" w:type="dxa"/>
            <w:tcBorders>
              <w:top w:val="nil"/>
              <w:left w:val="nil"/>
              <w:bottom w:val="nil"/>
              <w:right w:val="nil"/>
            </w:tcBorders>
            <w:noWrap w:val="0"/>
            <w:tcMar>
              <w:top w:w="0" w:type="dxa"/>
              <w:left w:w="105" w:type="dxa"/>
              <w:bottom w:w="0" w:type="dxa"/>
              <w:right w:w="105" w:type="dxa"/>
            </w:tcMar>
            <w:vAlign w:val="center"/>
          </w:tcPr>
          <w:p w14:paraId="233574B2">
            <w:pPr>
              <w:pBdr>
                <w:top w:val="none" w:color="000000" w:sz="0" w:space="0"/>
                <w:left w:val="none" w:color="000000" w:sz="0" w:space="0"/>
                <w:bottom w:val="none" w:color="000000" w:sz="0" w:space="0"/>
                <w:right w:val="none" w:color="000000" w:sz="0" w:space="0"/>
              </w:pBdr>
              <w:spacing w:before="200" w:after="20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人</w:t>
            </w:r>
          </w:p>
        </w:tc>
        <w:tc>
          <w:tcPr>
            <w:tcW w:w="1949" w:type="dxa"/>
            <w:tcBorders>
              <w:top w:val="nil"/>
              <w:left w:val="nil"/>
              <w:bottom w:val="nil"/>
              <w:right w:val="nil"/>
            </w:tcBorders>
            <w:noWrap w:val="0"/>
            <w:tcMar>
              <w:top w:w="0" w:type="dxa"/>
              <w:left w:w="105" w:type="dxa"/>
              <w:bottom w:w="0" w:type="dxa"/>
              <w:right w:w="105" w:type="dxa"/>
            </w:tcMar>
            <w:vAlign w:val="center"/>
          </w:tcPr>
          <w:p w14:paraId="7154E8FF">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100≤X＜300</w:t>
            </w:r>
          </w:p>
        </w:tc>
        <w:tc>
          <w:tcPr>
            <w:tcW w:w="1590" w:type="dxa"/>
            <w:tcBorders>
              <w:top w:val="nil"/>
              <w:left w:val="nil"/>
              <w:bottom w:val="nil"/>
              <w:right w:val="nil"/>
            </w:tcBorders>
            <w:noWrap w:val="0"/>
            <w:tcMar>
              <w:top w:w="0" w:type="dxa"/>
              <w:left w:w="105" w:type="dxa"/>
              <w:bottom w:w="0" w:type="dxa"/>
              <w:right w:w="105" w:type="dxa"/>
            </w:tcMar>
            <w:vAlign w:val="center"/>
          </w:tcPr>
          <w:p w14:paraId="5C2F24C2">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10≤X＜100</w:t>
            </w:r>
          </w:p>
        </w:tc>
        <w:tc>
          <w:tcPr>
            <w:tcW w:w="1376" w:type="dxa"/>
            <w:tcBorders>
              <w:top w:val="nil"/>
              <w:left w:val="nil"/>
              <w:bottom w:val="nil"/>
              <w:right w:val="nil"/>
            </w:tcBorders>
            <w:noWrap w:val="0"/>
            <w:tcMar>
              <w:top w:w="0" w:type="dxa"/>
              <w:left w:w="105" w:type="dxa"/>
              <w:bottom w:w="0" w:type="dxa"/>
              <w:right w:w="105" w:type="dxa"/>
            </w:tcMar>
            <w:vAlign w:val="center"/>
          </w:tcPr>
          <w:p w14:paraId="1206F704">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X＜10</w:t>
            </w:r>
          </w:p>
        </w:tc>
      </w:tr>
    </w:tbl>
    <w:p w14:paraId="79A70E0E">
      <w:pPr>
        <w:pBdr>
          <w:top w:val="none" w:color="000000" w:sz="0" w:space="0"/>
          <w:left w:val="none" w:color="000000" w:sz="0" w:space="0"/>
          <w:bottom w:val="none" w:color="000000" w:sz="0" w:space="0"/>
          <w:right w:val="none" w:color="000000" w:sz="0" w:space="0"/>
        </w:pBdr>
        <w:spacing w:before="300" w:after="452" w:line="85" w:lineRule="atLeast"/>
        <w:ind w:left="0" w:right="0" w:firstLine="420"/>
        <w:rPr>
          <w:rFonts w:hint="eastAsia" w:ascii="仿宋" w:hAnsi="仿宋" w:eastAsia="仿宋" w:cs="仿宋"/>
          <w:color w:val="auto"/>
        </w:rPr>
      </w:pPr>
      <w:r>
        <w:rPr>
          <w:rFonts w:hint="eastAsia" w:ascii="仿宋" w:hAnsi="仿宋" w:eastAsia="仿宋" w:cs="仿宋"/>
          <w:b/>
          <w:color w:val="auto"/>
          <w:sz w:val="21"/>
        </w:rPr>
        <w:t>说明：上述标准参照《关于印发中小企业划型标准规定的通知》（工信部联企业[2011]300号），大型、中型和小型企业须同时满足所列指标的下限，否则下划一档；微型企业只须满足所列指标中的一项即可。</w:t>
      </w:r>
    </w:p>
    <w:p w14:paraId="036F4CC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2F1AEA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21"/>
        </w:rPr>
        <w:t>残疾人福利性单位声明函</w:t>
      </w:r>
    </w:p>
    <w:p w14:paraId="5E8640A3">
      <w:pPr>
        <w:pBdr>
          <w:top w:val="none" w:color="000000" w:sz="0" w:space="0"/>
          <w:left w:val="none" w:color="000000" w:sz="0" w:space="0"/>
          <w:bottom w:val="none" w:color="000000" w:sz="0" w:space="0"/>
          <w:right w:val="none" w:color="000000" w:sz="0" w:space="0"/>
        </w:pBdr>
        <w:spacing w:before="0" w:after="0" w:line="85" w:lineRule="atLeast"/>
        <w:ind w:left="0" w:right="0" w:firstLine="624"/>
        <w:jc w:val="both"/>
        <w:rPr>
          <w:rFonts w:hint="eastAsia" w:ascii="仿宋" w:hAnsi="仿宋" w:eastAsia="仿宋" w:cs="仿宋"/>
          <w:color w:val="auto"/>
        </w:rPr>
      </w:pPr>
      <w:r>
        <w:rPr>
          <w:rFonts w:hint="eastAsia" w:ascii="仿宋" w:hAnsi="仿宋" w:eastAsia="仿宋" w:cs="仿宋"/>
          <w:color w:val="auto"/>
          <w:spacing w:val="6"/>
          <w:sz w:val="30"/>
        </w:rPr>
        <w:t> </w:t>
      </w:r>
    </w:p>
    <w:p w14:paraId="0F75A22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auto"/>
          <w:sz w:val="21"/>
          <w:u w:val="single"/>
        </w:rPr>
        <w:t>       </w:t>
      </w:r>
      <w:r>
        <w:rPr>
          <w:rFonts w:hint="eastAsia" w:ascii="仿宋" w:hAnsi="仿宋" w:eastAsia="仿宋" w:cs="仿宋"/>
          <w:color w:val="auto"/>
          <w:sz w:val="21"/>
        </w:rPr>
        <w:t>项目采购活动提供本单位制造的产品或服务（由本单位承担工程/提供服务），或者提供其他残疾人福利性单位制造的产品或服务（不包括使用非残疾人福利性单位注册商标的产品或服务）。</w:t>
      </w:r>
    </w:p>
    <w:p w14:paraId="0A4FA38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本单位在本次政府采购活动中提供的残疾人福利单位产品报价合计为人民币（大写）</w:t>
      </w:r>
      <w:r>
        <w:rPr>
          <w:rFonts w:hint="eastAsia" w:ascii="仿宋" w:hAnsi="仿宋" w:eastAsia="仿宋" w:cs="仿宋"/>
          <w:color w:val="auto"/>
          <w:sz w:val="21"/>
          <w:u w:val="single"/>
        </w:rPr>
        <w:t>      </w:t>
      </w:r>
      <w:r>
        <w:rPr>
          <w:rFonts w:hint="eastAsia" w:ascii="仿宋" w:hAnsi="仿宋" w:eastAsia="仿宋" w:cs="仿宋"/>
          <w:color w:val="auto"/>
          <w:sz w:val="21"/>
        </w:rPr>
        <w:t>圆整（￥：）。</w:t>
      </w:r>
    </w:p>
    <w:p w14:paraId="5910809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本单位对上述声明的真实性负责。如有虚假，将依法承担相应责任。</w:t>
      </w:r>
    </w:p>
    <w:p w14:paraId="39FF3F0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 </w:t>
      </w:r>
    </w:p>
    <w:p w14:paraId="096B547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（备注：1、供应商如不提供此声明函，价格将不做相应扣除。2、成交供应商为残疾人福利单位的，此声明函将随成交结果同时公告，接受社会监督）</w:t>
      </w:r>
    </w:p>
    <w:p w14:paraId="4FE43A94">
      <w:pPr>
        <w:pBdr>
          <w:top w:val="none" w:color="000000" w:sz="0" w:space="0"/>
          <w:left w:val="none" w:color="000000" w:sz="0" w:space="0"/>
          <w:bottom w:val="none" w:color="000000" w:sz="0" w:space="0"/>
          <w:right w:val="none" w:color="000000" w:sz="0" w:space="0"/>
        </w:pBdr>
        <w:spacing w:before="0" w:after="0" w:line="85" w:lineRule="atLeast"/>
        <w:ind w:left="0" w:right="0" w:firstLine="444"/>
        <w:jc w:val="both"/>
        <w:rPr>
          <w:rFonts w:hint="eastAsia" w:ascii="仿宋" w:hAnsi="仿宋" w:eastAsia="仿宋" w:cs="仿宋"/>
          <w:color w:val="auto"/>
        </w:rPr>
      </w:pPr>
      <w:r>
        <w:rPr>
          <w:rFonts w:hint="eastAsia" w:ascii="仿宋" w:hAnsi="仿宋" w:eastAsia="仿宋" w:cs="仿宋"/>
          <w:color w:val="auto"/>
          <w:spacing w:val="6"/>
          <w:sz w:val="21"/>
        </w:rPr>
        <w:t> </w:t>
      </w:r>
    </w:p>
    <w:p w14:paraId="50EA4DE4">
      <w:pPr>
        <w:pBdr>
          <w:top w:val="none" w:color="000000" w:sz="0" w:space="0"/>
          <w:left w:val="none" w:color="000000" w:sz="0" w:space="0"/>
          <w:bottom w:val="none" w:color="000000" w:sz="0" w:space="0"/>
          <w:right w:val="none" w:color="000000" w:sz="0" w:space="0"/>
        </w:pBdr>
        <w:tabs>
          <w:tab w:val="left" w:pos="4860"/>
        </w:tabs>
        <w:spacing w:before="0" w:after="0" w:line="85" w:lineRule="atLeast"/>
        <w:ind w:left="0" w:right="1560" w:firstLine="444"/>
        <w:jc w:val="center"/>
        <w:rPr>
          <w:rFonts w:hint="eastAsia" w:ascii="仿宋" w:hAnsi="仿宋" w:eastAsia="仿宋" w:cs="仿宋"/>
          <w:color w:val="auto"/>
        </w:rPr>
      </w:pPr>
      <w:r>
        <w:rPr>
          <w:rFonts w:hint="eastAsia" w:ascii="仿宋" w:hAnsi="仿宋" w:eastAsia="仿宋" w:cs="仿宋"/>
          <w:color w:val="auto"/>
          <w:spacing w:val="6"/>
          <w:sz w:val="21"/>
        </w:rPr>
        <w:t>             </w:t>
      </w:r>
      <w:r>
        <w:rPr>
          <w:rFonts w:hint="eastAsia" w:ascii="仿宋" w:hAnsi="仿宋" w:eastAsia="仿宋" w:cs="仿宋"/>
          <w:color w:val="auto"/>
          <w:sz w:val="21"/>
        </w:rPr>
        <w:t>               供应商全称（盖章）：</w:t>
      </w:r>
    </w:p>
    <w:p w14:paraId="7575C5A0">
      <w:pPr>
        <w:pBdr>
          <w:top w:val="none" w:color="000000" w:sz="0" w:space="0"/>
          <w:left w:val="none" w:color="000000" w:sz="0" w:space="0"/>
          <w:bottom w:val="none" w:color="000000" w:sz="0" w:space="0"/>
          <w:right w:val="none" w:color="000000" w:sz="0" w:space="0"/>
        </w:pBdr>
        <w:tabs>
          <w:tab w:val="left" w:pos="4860"/>
        </w:tabs>
        <w:spacing w:before="0" w:after="0" w:line="85" w:lineRule="atLeast"/>
        <w:ind w:left="0" w:right="1560" w:firstLine="420"/>
        <w:jc w:val="center"/>
        <w:rPr>
          <w:rFonts w:hint="eastAsia" w:ascii="仿宋" w:hAnsi="仿宋" w:eastAsia="仿宋" w:cs="仿宋"/>
          <w:color w:val="auto"/>
        </w:rPr>
      </w:pPr>
      <w:r>
        <w:rPr>
          <w:rFonts w:hint="eastAsia" w:ascii="仿宋" w:hAnsi="仿宋" w:eastAsia="仿宋" w:cs="仿宋"/>
          <w:color w:val="auto"/>
          <w:sz w:val="21"/>
        </w:rPr>
        <w:t>                              日期：</w:t>
      </w:r>
    </w:p>
    <w:p w14:paraId="7814AC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6562500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32"/>
        </w:rPr>
        <w:t>三、磋商响应报价表</w:t>
      </w:r>
    </w:p>
    <w:p w14:paraId="52D4D74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13A56384">
      <w:pPr>
        <w:pBdr>
          <w:top w:val="none" w:color="000000" w:sz="0" w:space="0"/>
          <w:left w:val="none" w:color="000000" w:sz="0" w:space="0"/>
          <w:bottom w:val="none" w:color="000000" w:sz="0" w:space="0"/>
          <w:right w:val="none" w:color="000000" w:sz="0" w:space="0"/>
        </w:pBdr>
        <w:spacing w:before="240" w:after="24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xml:space="preserve">项目名称： </w:t>
      </w:r>
    </w:p>
    <w:p w14:paraId="5BC3BB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项目编号：</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82"/>
        <w:gridCol w:w="3415"/>
        <w:gridCol w:w="4095"/>
      </w:tblGrid>
      <w:tr w14:paraId="57EE3F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9C81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rPr>
              <w:t>序号</w:t>
            </w:r>
          </w:p>
        </w:tc>
        <w:tc>
          <w:tcPr>
            <w:tcW w:w="3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3A233A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rPr>
              <w:t>名称</w:t>
            </w:r>
          </w:p>
        </w:tc>
        <w:tc>
          <w:tcPr>
            <w:tcW w:w="409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D447C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rPr>
              <w:t>报价（元）</w:t>
            </w:r>
          </w:p>
        </w:tc>
      </w:tr>
      <w:tr w14:paraId="4BD700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05" w:hRule="atLeast"/>
        </w:trPr>
        <w:tc>
          <w:tcPr>
            <w:tcW w:w="78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5E32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pacing w:val="-2"/>
                <w:sz w:val="24"/>
              </w:rPr>
              <w:t>1</w:t>
            </w:r>
          </w:p>
        </w:tc>
        <w:tc>
          <w:tcPr>
            <w:tcW w:w="341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32B23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lang w:eastAsia="zh-CN"/>
              </w:rPr>
            </w:pPr>
            <w:r>
              <w:rPr>
                <w:rFonts w:hint="eastAsia" w:ascii="仿宋" w:hAnsi="仿宋" w:eastAsia="仿宋" w:cs="仿宋"/>
                <w:color w:val="auto"/>
                <w:sz w:val="24"/>
                <w:lang w:eastAsia="zh-CN"/>
              </w:rPr>
              <w:t>2025年南京市小行小学校舍维修改造项目</w:t>
            </w:r>
          </w:p>
        </w:tc>
        <w:tc>
          <w:tcPr>
            <w:tcW w:w="40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3426F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4"/>
                <w:u w:val="single"/>
              </w:rPr>
              <w:t>                      </w:t>
            </w:r>
          </w:p>
        </w:tc>
      </w:tr>
      <w:tr w14:paraId="73FA4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4" w:hRule="atLeast"/>
        </w:trPr>
        <w:tc>
          <w:tcPr>
            <w:tcW w:w="4197"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7A29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rPr>
              <w:t>总价（人民币，大写）</w:t>
            </w:r>
          </w:p>
        </w:tc>
        <w:tc>
          <w:tcPr>
            <w:tcW w:w="40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59AF9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4"/>
              </w:rPr>
              <w:t>         </w:t>
            </w:r>
            <w:r>
              <w:rPr>
                <w:rFonts w:hint="eastAsia" w:ascii="仿宋" w:hAnsi="仿宋" w:eastAsia="仿宋" w:cs="仿宋"/>
                <w:color w:val="auto"/>
                <w:sz w:val="24"/>
                <w:u w:val="single"/>
              </w:rPr>
              <w:t>                </w:t>
            </w:r>
          </w:p>
        </w:tc>
      </w:tr>
      <w:tr w14:paraId="296D57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7" w:hRule="atLeast"/>
        </w:trPr>
        <w:tc>
          <w:tcPr>
            <w:tcW w:w="4197"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A479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rPr>
              <w:t>供应商是否属于小微型企业</w:t>
            </w:r>
          </w:p>
        </w:tc>
        <w:tc>
          <w:tcPr>
            <w:tcW w:w="40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44149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4"/>
              </w:rPr>
              <w:t> 是             否</w:t>
            </w:r>
          </w:p>
        </w:tc>
      </w:tr>
      <w:tr w14:paraId="0420B5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4197"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BFAB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rPr>
              <w:t>供应商是否属于残疾人福利性单位</w:t>
            </w:r>
          </w:p>
        </w:tc>
        <w:tc>
          <w:tcPr>
            <w:tcW w:w="40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DC393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4"/>
              </w:rPr>
              <w:t> 是             否</w:t>
            </w:r>
          </w:p>
        </w:tc>
      </w:tr>
      <w:tr w14:paraId="60554D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8" w:hRule="atLeast"/>
        </w:trPr>
        <w:tc>
          <w:tcPr>
            <w:tcW w:w="4197"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AD6C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4"/>
              </w:rPr>
              <w:t>供应商是否属于监狱企业</w:t>
            </w:r>
          </w:p>
        </w:tc>
        <w:tc>
          <w:tcPr>
            <w:tcW w:w="40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18D96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4"/>
              </w:rPr>
              <w:t> 是             否</w:t>
            </w:r>
          </w:p>
        </w:tc>
      </w:tr>
    </w:tbl>
    <w:p w14:paraId="6E0AB0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0B188076">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rFonts w:hint="eastAsia" w:ascii="仿宋" w:hAnsi="仿宋" w:eastAsia="仿宋" w:cs="仿宋"/>
          <w:color w:val="auto"/>
        </w:rPr>
      </w:pPr>
      <w:r>
        <w:rPr>
          <w:rFonts w:hint="eastAsia" w:ascii="仿宋" w:hAnsi="仿宋" w:eastAsia="仿宋" w:cs="仿宋"/>
          <w:color w:val="auto"/>
          <w:sz w:val="21"/>
        </w:rPr>
        <w:t>日期：年月日</w:t>
      </w:r>
    </w:p>
    <w:p w14:paraId="7007568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注：行数不够，可自行添加。</w:t>
      </w:r>
    </w:p>
    <w:p w14:paraId="6C5F6A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7E54436C">
      <w:pPr>
        <w:pBdr>
          <w:top w:val="none" w:color="000000" w:sz="0" w:space="0"/>
          <w:left w:val="none" w:color="000000" w:sz="0" w:space="0"/>
          <w:bottom w:val="none" w:color="000000" w:sz="0" w:space="0"/>
          <w:right w:val="none" w:color="000000" w:sz="0" w:space="0"/>
        </w:pBdr>
        <w:spacing w:before="0" w:after="120"/>
        <w:ind w:left="0" w:right="0" w:firstLine="0"/>
        <w:jc w:val="both"/>
        <w:rPr>
          <w:rFonts w:hint="eastAsia" w:ascii="仿宋" w:hAnsi="仿宋" w:eastAsia="仿宋" w:cs="仿宋"/>
          <w:color w:val="auto"/>
        </w:rPr>
      </w:pPr>
      <w:r>
        <w:rPr>
          <w:rFonts w:hint="eastAsia" w:ascii="仿宋" w:hAnsi="仿宋" w:eastAsia="仿宋" w:cs="仿宋"/>
          <w:b/>
          <w:color w:val="auto"/>
          <w:sz w:val="28"/>
        </w:rPr>
        <w:t>2、已标价工程量清单</w:t>
      </w:r>
    </w:p>
    <w:p w14:paraId="1E76E42F">
      <w:pPr>
        <w:pBdr>
          <w:top w:val="none" w:color="000000" w:sz="0" w:space="0"/>
          <w:left w:val="none" w:color="000000" w:sz="0" w:space="0"/>
          <w:bottom w:val="none" w:color="000000" w:sz="0" w:space="0"/>
          <w:right w:val="none" w:color="000000" w:sz="0" w:space="0"/>
        </w:pBdr>
        <w:tabs>
          <w:tab w:val="left" w:pos="7395"/>
        </w:tabs>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b/>
          <w:color w:val="auto"/>
          <w:sz w:val="21"/>
        </w:rPr>
        <w:t>报价应按《建设工程工程量清单计价规范》规定的统一格式填写，内容和数量以工程量清单为依据。如有出入，做无效响应文件处理。</w:t>
      </w:r>
    </w:p>
    <w:p w14:paraId="56D167D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1"/>
        </w:rPr>
        <w:t> </w:t>
      </w:r>
    </w:p>
    <w:p w14:paraId="748FE362">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01619B0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188BF6B5">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76B3EDD5">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195A801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6EBADB3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473C454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sz w:val="28"/>
          <w:szCs w:val="28"/>
          <w:highlight w:val="none"/>
        </w:rPr>
      </w:pPr>
      <w:r>
        <w:rPr>
          <w:rFonts w:hint="eastAsia" w:ascii="仿宋" w:hAnsi="仿宋" w:eastAsia="仿宋" w:cs="仿宋"/>
          <w:color w:val="auto"/>
          <w:sz w:val="28"/>
        </w:rPr>
        <w:t> </w:t>
      </w:r>
    </w:p>
    <w:p w14:paraId="249C4921">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p>
    <w:p w14:paraId="7B57A43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sz w:val="28"/>
          <w:szCs w:val="28"/>
        </w:rPr>
      </w:pPr>
    </w:p>
    <w:p w14:paraId="3089A690">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color w:val="auto"/>
          <w:sz w:val="28"/>
        </w:rPr>
        <w:t> </w:t>
      </w:r>
    </w:p>
    <w:p w14:paraId="04A3C62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32"/>
        </w:rPr>
        <w:t>四、技术参数响应及偏离表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48"/>
        <w:gridCol w:w="2325"/>
        <w:gridCol w:w="2204"/>
        <w:gridCol w:w="1945"/>
        <w:gridCol w:w="1097"/>
      </w:tblGrid>
      <w:tr w14:paraId="7B1C72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4" w:hRule="atLeast"/>
        </w:trPr>
        <w:tc>
          <w:tcPr>
            <w:tcW w:w="9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320C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序号</w:t>
            </w:r>
          </w:p>
        </w:tc>
        <w:tc>
          <w:tcPr>
            <w:tcW w:w="23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BB0A5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采购要求</w:t>
            </w:r>
          </w:p>
        </w:tc>
        <w:tc>
          <w:tcPr>
            <w:tcW w:w="22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0B66F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磋商响应</w:t>
            </w:r>
          </w:p>
        </w:tc>
        <w:tc>
          <w:tcPr>
            <w:tcW w:w="19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8449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超出、符合或偏离</w:t>
            </w:r>
          </w:p>
        </w:tc>
        <w:tc>
          <w:tcPr>
            <w:tcW w:w="10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E868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证明材料</w:t>
            </w:r>
          </w:p>
        </w:tc>
      </w:tr>
      <w:tr w14:paraId="2B5004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7517D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A6F0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B26F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68B7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2BE5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35F6AF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2570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1DBE07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150E6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5DE73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A65981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0022B2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C22F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0D84E6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1D08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6076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33E5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7BAFD7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1E58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073EE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FD1D8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D602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68BC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7C1B02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B3B8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20B937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4911C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9078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D367B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6207EE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A2DAF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A1683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B5A9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B11A9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B2A37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2EF049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905E61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A0C8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F2D35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4649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70C80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651A46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E674BF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3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5B8E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2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3B3A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9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FF74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0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0577A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bl>
    <w:p w14:paraId="6AA338B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4"/>
        </w:rPr>
        <w:t> </w:t>
      </w:r>
    </w:p>
    <w:p w14:paraId="3F61DFC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注：1、按照基本技术要求详细填列。</w:t>
      </w:r>
    </w:p>
    <w:p w14:paraId="7AB6C2C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仿宋" w:hAnsi="仿宋" w:eastAsia="仿宋" w:cs="仿宋"/>
          <w:color w:val="auto"/>
        </w:rPr>
      </w:pPr>
      <w:r>
        <w:rPr>
          <w:rFonts w:hint="eastAsia" w:ascii="仿宋" w:hAnsi="仿宋" w:eastAsia="仿宋" w:cs="仿宋"/>
          <w:color w:val="auto"/>
          <w:sz w:val="21"/>
        </w:rPr>
        <w:t>2、行数不够，可自行添加。</w:t>
      </w:r>
    </w:p>
    <w:p w14:paraId="06133F8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1F1E7A3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32"/>
        </w:rPr>
        <w:t>五、商务条款响应及偏离表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633"/>
        <w:gridCol w:w="2496"/>
        <w:gridCol w:w="1833"/>
        <w:gridCol w:w="2557"/>
      </w:tblGrid>
      <w:tr w14:paraId="78C841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2" w:hRule="atLeast"/>
        </w:trPr>
        <w:tc>
          <w:tcPr>
            <w:tcW w:w="16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963D655">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项目</w:t>
            </w:r>
          </w:p>
        </w:tc>
        <w:tc>
          <w:tcPr>
            <w:tcW w:w="249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6CD8F3EA">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采购文件要求</w:t>
            </w:r>
          </w:p>
        </w:tc>
        <w:tc>
          <w:tcPr>
            <w:tcW w:w="183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04EEE07B">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是否响应</w:t>
            </w:r>
          </w:p>
        </w:tc>
        <w:tc>
          <w:tcPr>
            <w:tcW w:w="255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4EF1F9DB">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供应商的承诺或说明</w:t>
            </w:r>
          </w:p>
        </w:tc>
      </w:tr>
      <w:tr w14:paraId="6102C5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16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E0228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49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A03B49">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18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8B9C6F4">
            <w:pPr>
              <w:pBdr>
                <w:top w:val="none" w:color="000000" w:sz="0" w:space="0"/>
                <w:left w:val="none" w:color="000000" w:sz="0" w:space="0"/>
                <w:bottom w:val="none" w:color="000000" w:sz="0" w:space="0"/>
                <w:right w:val="none" w:color="000000" w:sz="0" w:space="0"/>
              </w:pBdr>
              <w:spacing w:before="156" w:after="0" w:line="85" w:lineRule="atLeast"/>
              <w:ind w:left="43"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55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6F1893D">
            <w:pPr>
              <w:pBdr>
                <w:top w:val="none" w:color="000000" w:sz="0" w:space="0"/>
                <w:left w:val="none" w:color="000000" w:sz="0" w:space="0"/>
                <w:bottom w:val="none" w:color="000000" w:sz="0" w:space="0"/>
                <w:right w:val="none" w:color="000000" w:sz="0" w:space="0"/>
              </w:pBdr>
              <w:spacing w:before="156" w:after="0" w:line="85" w:lineRule="atLeast"/>
              <w:ind w:left="43"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3BB88C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16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DAFFBF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49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52D5A78">
            <w:pPr>
              <w:pBdr>
                <w:top w:val="none" w:color="000000" w:sz="0" w:space="0"/>
                <w:left w:val="none" w:color="000000" w:sz="0" w:space="0"/>
                <w:bottom w:val="none" w:color="000000" w:sz="0" w:space="0"/>
                <w:right w:val="none" w:color="000000" w:sz="0" w:space="0"/>
              </w:pBdr>
              <w:spacing w:before="156"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0869080">
            <w:pPr>
              <w:pBdr>
                <w:top w:val="none" w:color="000000" w:sz="0" w:space="0"/>
                <w:left w:val="none" w:color="000000" w:sz="0" w:space="0"/>
                <w:bottom w:val="none" w:color="000000" w:sz="0" w:space="0"/>
                <w:right w:val="none" w:color="000000" w:sz="0" w:space="0"/>
              </w:pBdr>
              <w:spacing w:before="156" w:after="0" w:line="85" w:lineRule="atLeast"/>
              <w:ind w:left="43"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55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F25668F">
            <w:pPr>
              <w:pBdr>
                <w:top w:val="none" w:color="000000" w:sz="0" w:space="0"/>
                <w:left w:val="none" w:color="000000" w:sz="0" w:space="0"/>
                <w:bottom w:val="none" w:color="000000" w:sz="0" w:space="0"/>
                <w:right w:val="none" w:color="000000" w:sz="0" w:space="0"/>
              </w:pBdr>
              <w:spacing w:before="156" w:after="0" w:line="85" w:lineRule="atLeast"/>
              <w:ind w:left="43"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47BE3C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16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F9B99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49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1F7ED18">
            <w:pPr>
              <w:pBdr>
                <w:top w:val="none" w:color="000000" w:sz="0" w:space="0"/>
                <w:left w:val="none" w:color="000000" w:sz="0" w:space="0"/>
                <w:bottom w:val="none" w:color="000000" w:sz="0" w:space="0"/>
                <w:right w:val="none" w:color="000000" w:sz="0" w:space="0"/>
              </w:pBdr>
              <w:spacing w:before="156"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91195FD">
            <w:pPr>
              <w:pBdr>
                <w:top w:val="none" w:color="000000" w:sz="0" w:space="0"/>
                <w:left w:val="none" w:color="000000" w:sz="0" w:space="0"/>
                <w:bottom w:val="none" w:color="000000" w:sz="0" w:space="0"/>
                <w:right w:val="none" w:color="000000" w:sz="0" w:space="0"/>
              </w:pBdr>
              <w:spacing w:before="156" w:after="0" w:line="85" w:lineRule="atLeast"/>
              <w:ind w:left="43"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55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1916757">
            <w:pPr>
              <w:pBdr>
                <w:top w:val="none" w:color="000000" w:sz="0" w:space="0"/>
                <w:left w:val="none" w:color="000000" w:sz="0" w:space="0"/>
                <w:bottom w:val="none" w:color="000000" w:sz="0" w:space="0"/>
                <w:right w:val="none" w:color="000000" w:sz="0" w:space="0"/>
              </w:pBdr>
              <w:spacing w:before="156" w:after="0" w:line="85" w:lineRule="atLeast"/>
              <w:ind w:left="43"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36D290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6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805204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49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0928EBC">
            <w:pPr>
              <w:pBdr>
                <w:top w:val="none" w:color="000000" w:sz="0" w:space="0"/>
                <w:left w:val="none" w:color="000000" w:sz="0" w:space="0"/>
                <w:bottom w:val="none" w:color="000000" w:sz="0" w:space="0"/>
                <w:right w:val="none" w:color="000000" w:sz="0" w:space="0"/>
              </w:pBdr>
              <w:spacing w:before="156" w:after="0" w:line="85" w:lineRule="atLeast"/>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1B50C3A">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55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F347484">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r w14:paraId="6AA5E9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6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3A92F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49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4BBF4B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3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EA18073">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c>
          <w:tcPr>
            <w:tcW w:w="255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363B1CC">
            <w:pPr>
              <w:pBdr>
                <w:top w:val="none" w:color="000000" w:sz="0" w:space="0"/>
                <w:left w:val="none" w:color="000000" w:sz="0" w:space="0"/>
                <w:bottom w:val="none" w:color="000000" w:sz="0" w:space="0"/>
                <w:right w:val="none" w:color="000000" w:sz="0" w:space="0"/>
              </w:pBdr>
              <w:spacing w:before="156" w:after="0" w:line="85" w:lineRule="atLeast"/>
              <w:ind w:left="0" w:right="0" w:firstLine="0"/>
              <w:jc w:val="center"/>
              <w:rPr>
                <w:rFonts w:hint="eastAsia" w:ascii="仿宋" w:hAnsi="仿宋" w:eastAsia="仿宋" w:cs="仿宋"/>
                <w:color w:val="auto"/>
              </w:rPr>
            </w:pPr>
            <w:r>
              <w:rPr>
                <w:rFonts w:hint="eastAsia" w:ascii="仿宋" w:hAnsi="仿宋" w:eastAsia="仿宋" w:cs="仿宋"/>
                <w:color w:val="auto"/>
                <w:sz w:val="21"/>
              </w:rPr>
              <w:t> </w:t>
            </w:r>
          </w:p>
        </w:tc>
      </w:tr>
    </w:tbl>
    <w:p w14:paraId="36AE5AB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48D53F4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b/>
          <w:color w:val="auto"/>
          <w:sz w:val="32"/>
        </w:rPr>
        <w:t>六、拟参与本项目人员一览表</w:t>
      </w:r>
    </w:p>
    <w:p w14:paraId="19CF0E2D">
      <w:pPr>
        <w:pBdr>
          <w:top w:val="none" w:color="000000" w:sz="0" w:space="0"/>
          <w:left w:val="none" w:color="000000" w:sz="0" w:space="0"/>
          <w:bottom w:val="none" w:color="000000" w:sz="0" w:space="0"/>
          <w:right w:val="none" w:color="000000" w:sz="0" w:space="0"/>
        </w:pBdr>
        <w:tabs>
          <w:tab w:val="left" w:pos="5711"/>
        </w:tabs>
        <w:spacing w:before="0" w:after="0"/>
        <w:ind w:left="0" w:right="0" w:firstLine="0"/>
        <w:rPr>
          <w:rFonts w:hint="eastAsia" w:ascii="仿宋" w:hAnsi="仿宋" w:eastAsia="仿宋" w:cs="仿宋"/>
          <w:color w:val="auto"/>
        </w:rPr>
      </w:pPr>
      <w:r>
        <w:rPr>
          <w:rFonts w:hint="eastAsia" w:ascii="仿宋" w:hAnsi="仿宋" w:eastAsia="仿宋" w:cs="仿宋"/>
          <w:color w:val="auto"/>
          <w:sz w:val="28"/>
        </w:rPr>
        <w:t> </w:t>
      </w:r>
    </w:p>
    <w:p w14:paraId="0FF6D725">
      <w:pPr>
        <w:pBdr>
          <w:top w:val="none" w:color="000000" w:sz="0" w:space="0"/>
          <w:left w:val="none" w:color="000000" w:sz="0" w:space="0"/>
          <w:bottom w:val="none" w:color="000000" w:sz="0" w:space="0"/>
          <w:right w:val="none" w:color="000000" w:sz="0" w:space="0"/>
        </w:pBdr>
        <w:tabs>
          <w:tab w:val="left" w:pos="5711"/>
        </w:tabs>
        <w:spacing w:before="0" w:after="0"/>
        <w:ind w:left="0" w:right="0" w:firstLine="0"/>
        <w:rPr>
          <w:rFonts w:hint="eastAsia" w:ascii="仿宋" w:hAnsi="仿宋" w:eastAsia="仿宋" w:cs="仿宋"/>
          <w:color w:val="auto"/>
        </w:rPr>
      </w:pPr>
      <w:r>
        <w:rPr>
          <w:rFonts w:hint="eastAsia" w:ascii="仿宋" w:hAnsi="仿宋" w:eastAsia="仿宋" w:cs="仿宋"/>
          <w:color w:val="auto"/>
          <w:sz w:val="28"/>
        </w:rPr>
        <w:t>项目名称：</w:t>
      </w:r>
      <w:r>
        <w:rPr>
          <w:rFonts w:hint="eastAsia" w:ascii="仿宋" w:hAnsi="仿宋" w:eastAsia="仿宋" w:cs="仿宋"/>
          <w:color w:val="auto"/>
          <w:sz w:val="28"/>
        </w:rPr>
        <w:tab/>
      </w:r>
      <w:r>
        <w:rPr>
          <w:rFonts w:hint="eastAsia" w:ascii="仿宋" w:hAnsi="仿宋" w:eastAsia="仿宋" w:cs="仿宋"/>
          <w:color w:val="auto"/>
          <w:sz w:val="28"/>
        </w:rPr>
        <w:t>项目编号：</w:t>
      </w:r>
    </w:p>
    <w:p w14:paraId="4DC12449">
      <w:pPr>
        <w:pBdr>
          <w:top w:val="none" w:color="000000" w:sz="0" w:space="0"/>
          <w:left w:val="none" w:color="000000" w:sz="0" w:space="0"/>
          <w:bottom w:val="none" w:color="000000" w:sz="0" w:space="0"/>
          <w:right w:val="none" w:color="000000" w:sz="0" w:space="0"/>
        </w:pBdr>
        <w:spacing w:before="1" w:after="0"/>
        <w:ind w:left="0" w:right="0" w:firstLine="0"/>
        <w:jc w:val="both"/>
        <w:rPr>
          <w:rFonts w:hint="eastAsia" w:ascii="仿宋" w:hAnsi="仿宋" w:eastAsia="仿宋" w:cs="仿宋"/>
          <w:color w:val="auto"/>
        </w:rPr>
      </w:pPr>
      <w:r>
        <w:rPr>
          <w:rFonts w:hint="eastAsia" w:ascii="仿宋" w:hAnsi="仿宋" w:eastAsia="仿宋" w:cs="仿宋"/>
          <w:color w:val="auto"/>
          <w:sz w:val="3"/>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37"/>
        <w:gridCol w:w="643"/>
        <w:gridCol w:w="556"/>
        <w:gridCol w:w="594"/>
        <w:gridCol w:w="1021"/>
        <w:gridCol w:w="943"/>
        <w:gridCol w:w="941"/>
        <w:gridCol w:w="963"/>
        <w:gridCol w:w="1305"/>
        <w:gridCol w:w="713"/>
      </w:tblGrid>
      <w:tr w14:paraId="699413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47" w:hRule="atLeast"/>
        </w:trPr>
        <w:tc>
          <w:tcPr>
            <w:tcW w:w="67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3972FE2">
            <w:pPr>
              <w:pBdr>
                <w:top w:val="none" w:color="000000" w:sz="0" w:space="0"/>
                <w:left w:val="none" w:color="000000" w:sz="0" w:space="0"/>
                <w:bottom w:val="none" w:color="000000" w:sz="0" w:space="0"/>
                <w:right w:val="none" w:color="000000" w:sz="0" w:space="0"/>
              </w:pBdr>
              <w:spacing w:before="11" w:after="200" w:line="240" w:lineRule="auto"/>
              <w:ind w:left="0" w:right="0" w:firstLine="0"/>
              <w:rPr>
                <w:rFonts w:hint="eastAsia" w:ascii="仿宋" w:hAnsi="仿宋" w:eastAsia="仿宋" w:cs="仿宋"/>
                <w:color w:val="auto"/>
              </w:rPr>
            </w:pPr>
            <w:r>
              <w:rPr>
                <w:rFonts w:hint="eastAsia" w:ascii="仿宋" w:hAnsi="仿宋" w:eastAsia="仿宋" w:cs="仿宋"/>
                <w:color w:val="auto"/>
                <w:sz w:val="18"/>
              </w:rPr>
              <w:t> </w:t>
            </w:r>
          </w:p>
          <w:p w14:paraId="5C03AC1C">
            <w:pPr>
              <w:pBdr>
                <w:top w:val="none" w:color="000000" w:sz="0" w:space="0"/>
                <w:left w:val="none" w:color="000000" w:sz="0" w:space="0"/>
                <w:bottom w:val="none" w:color="000000" w:sz="0" w:space="0"/>
                <w:right w:val="none" w:color="000000" w:sz="0" w:space="0"/>
              </w:pBdr>
              <w:spacing w:before="200" w:after="200" w:line="240" w:lineRule="auto"/>
              <w:ind w:left="156" w:right="157" w:firstLine="0"/>
              <w:rPr>
                <w:rFonts w:hint="eastAsia" w:ascii="仿宋" w:hAnsi="仿宋" w:eastAsia="仿宋" w:cs="仿宋"/>
                <w:color w:val="auto"/>
              </w:rPr>
            </w:pPr>
            <w:r>
              <w:rPr>
                <w:rFonts w:hint="eastAsia" w:ascii="仿宋" w:hAnsi="仿宋" w:eastAsia="仿宋" w:cs="仿宋"/>
                <w:b/>
                <w:color w:val="auto"/>
                <w:sz w:val="22"/>
              </w:rPr>
              <w:t>序号</w:t>
            </w:r>
          </w:p>
        </w:tc>
        <w:tc>
          <w:tcPr>
            <w:tcW w:w="717"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29DE82F9">
            <w:pPr>
              <w:pBdr>
                <w:top w:val="none" w:color="000000" w:sz="0" w:space="0"/>
                <w:left w:val="none" w:color="000000" w:sz="0" w:space="0"/>
                <w:bottom w:val="none" w:color="000000" w:sz="0" w:space="0"/>
                <w:right w:val="none" w:color="000000" w:sz="0" w:space="0"/>
              </w:pBdr>
              <w:spacing w:before="4" w:after="200" w:line="240" w:lineRule="auto"/>
              <w:ind w:left="0" w:right="0" w:firstLine="0"/>
              <w:rPr>
                <w:rFonts w:hint="eastAsia" w:ascii="仿宋" w:hAnsi="仿宋" w:eastAsia="仿宋" w:cs="仿宋"/>
                <w:color w:val="auto"/>
              </w:rPr>
            </w:pPr>
            <w:r>
              <w:rPr>
                <w:rFonts w:hint="eastAsia" w:ascii="仿宋" w:hAnsi="仿宋" w:eastAsia="仿宋" w:cs="仿宋"/>
                <w:color w:val="auto"/>
                <w:sz w:val="29"/>
              </w:rPr>
              <w:t> </w:t>
            </w:r>
          </w:p>
          <w:p w14:paraId="0E6701D3">
            <w:pPr>
              <w:pBdr>
                <w:top w:val="none" w:color="000000" w:sz="0" w:space="0"/>
                <w:left w:val="none" w:color="000000" w:sz="0" w:space="0"/>
                <w:bottom w:val="none" w:color="000000" w:sz="0" w:space="0"/>
                <w:right w:val="none" w:color="000000" w:sz="0" w:space="0"/>
              </w:pBdr>
              <w:spacing w:before="200" w:after="200" w:line="240" w:lineRule="auto"/>
              <w:ind w:left="234" w:right="0" w:firstLine="0"/>
              <w:rPr>
                <w:rFonts w:hint="eastAsia" w:ascii="仿宋" w:hAnsi="仿宋" w:eastAsia="仿宋" w:cs="仿宋"/>
                <w:color w:val="auto"/>
              </w:rPr>
            </w:pPr>
            <w:r>
              <w:rPr>
                <w:rFonts w:hint="eastAsia" w:ascii="仿宋" w:hAnsi="仿宋" w:eastAsia="仿宋" w:cs="仿宋"/>
                <w:b/>
                <w:color w:val="auto"/>
                <w:sz w:val="22"/>
              </w:rPr>
              <w:t>姓名</w:t>
            </w:r>
          </w:p>
        </w:tc>
        <w:tc>
          <w:tcPr>
            <w:tcW w:w="644"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16120936">
            <w:pPr>
              <w:pBdr>
                <w:top w:val="none" w:color="000000" w:sz="0" w:space="0"/>
                <w:left w:val="none" w:color="000000" w:sz="0" w:space="0"/>
                <w:bottom w:val="none" w:color="000000" w:sz="0" w:space="0"/>
                <w:right w:val="none" w:color="000000" w:sz="0" w:space="0"/>
              </w:pBdr>
              <w:spacing w:before="4" w:after="200" w:line="240" w:lineRule="auto"/>
              <w:ind w:left="0" w:right="0" w:firstLine="0"/>
              <w:rPr>
                <w:rFonts w:hint="eastAsia" w:ascii="仿宋" w:hAnsi="仿宋" w:eastAsia="仿宋" w:cs="仿宋"/>
                <w:color w:val="auto"/>
              </w:rPr>
            </w:pPr>
            <w:r>
              <w:rPr>
                <w:rFonts w:hint="eastAsia" w:ascii="仿宋" w:hAnsi="仿宋" w:eastAsia="仿宋" w:cs="仿宋"/>
                <w:color w:val="auto"/>
                <w:sz w:val="29"/>
              </w:rPr>
              <w:t> </w:t>
            </w:r>
          </w:p>
          <w:p w14:paraId="01350D8C">
            <w:pPr>
              <w:pBdr>
                <w:top w:val="none" w:color="000000" w:sz="0" w:space="0"/>
                <w:left w:val="none" w:color="000000" w:sz="0" w:space="0"/>
                <w:bottom w:val="none" w:color="000000" w:sz="0" w:space="0"/>
                <w:right w:val="none" w:color="000000" w:sz="0" w:space="0"/>
              </w:pBdr>
              <w:spacing w:before="200" w:after="200" w:line="240" w:lineRule="auto"/>
              <w:ind w:left="115" w:right="0" w:firstLine="0"/>
              <w:rPr>
                <w:rFonts w:hint="eastAsia" w:ascii="仿宋" w:hAnsi="仿宋" w:eastAsia="仿宋" w:cs="仿宋"/>
                <w:color w:val="auto"/>
              </w:rPr>
            </w:pPr>
            <w:r>
              <w:rPr>
                <w:rFonts w:hint="eastAsia" w:ascii="仿宋" w:hAnsi="仿宋" w:eastAsia="仿宋" w:cs="仿宋"/>
                <w:b/>
                <w:color w:val="auto"/>
                <w:sz w:val="22"/>
              </w:rPr>
              <w:t>性别</w:t>
            </w:r>
          </w:p>
        </w:tc>
        <w:tc>
          <w:tcPr>
            <w:tcW w:w="689"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4E7A06C5">
            <w:pPr>
              <w:pBdr>
                <w:top w:val="none" w:color="000000" w:sz="0" w:space="0"/>
                <w:left w:val="none" w:color="000000" w:sz="0" w:space="0"/>
                <w:bottom w:val="none" w:color="000000" w:sz="0" w:space="0"/>
                <w:right w:val="none" w:color="000000" w:sz="0" w:space="0"/>
              </w:pBdr>
              <w:spacing w:before="4" w:after="200" w:line="240" w:lineRule="auto"/>
              <w:ind w:left="0" w:right="0" w:firstLine="0"/>
              <w:rPr>
                <w:rFonts w:hint="eastAsia" w:ascii="仿宋" w:hAnsi="仿宋" w:eastAsia="仿宋" w:cs="仿宋"/>
                <w:color w:val="auto"/>
              </w:rPr>
            </w:pPr>
            <w:r>
              <w:rPr>
                <w:rFonts w:hint="eastAsia" w:ascii="仿宋" w:hAnsi="仿宋" w:eastAsia="仿宋" w:cs="仿宋"/>
                <w:color w:val="auto"/>
                <w:sz w:val="29"/>
              </w:rPr>
              <w:t> </w:t>
            </w:r>
          </w:p>
          <w:p w14:paraId="1DBA74C3">
            <w:pPr>
              <w:pBdr>
                <w:top w:val="none" w:color="000000" w:sz="0" w:space="0"/>
                <w:left w:val="none" w:color="000000" w:sz="0" w:space="0"/>
                <w:bottom w:val="none" w:color="000000" w:sz="0" w:space="0"/>
                <w:right w:val="none" w:color="000000" w:sz="0" w:space="0"/>
              </w:pBdr>
              <w:spacing w:before="200" w:after="200" w:line="240" w:lineRule="auto"/>
              <w:ind w:left="138" w:right="0" w:firstLine="0"/>
              <w:rPr>
                <w:rFonts w:hint="eastAsia" w:ascii="仿宋" w:hAnsi="仿宋" w:eastAsia="仿宋" w:cs="仿宋"/>
                <w:color w:val="auto"/>
              </w:rPr>
            </w:pPr>
            <w:r>
              <w:rPr>
                <w:rFonts w:hint="eastAsia" w:ascii="仿宋" w:hAnsi="仿宋" w:eastAsia="仿宋" w:cs="仿宋"/>
                <w:b/>
                <w:color w:val="auto"/>
                <w:sz w:val="22"/>
              </w:rPr>
              <w:t>年龄</w:t>
            </w:r>
          </w:p>
        </w:tc>
        <w:tc>
          <w:tcPr>
            <w:tcW w:w="1102"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2D61D322">
            <w:pPr>
              <w:pBdr>
                <w:top w:val="none" w:color="000000" w:sz="0" w:space="0"/>
                <w:left w:val="none" w:color="000000" w:sz="0" w:space="0"/>
                <w:bottom w:val="none" w:color="000000" w:sz="0" w:space="0"/>
                <w:right w:val="none" w:color="000000" w:sz="0" w:space="0"/>
              </w:pBdr>
              <w:spacing w:before="11" w:after="200" w:line="240" w:lineRule="auto"/>
              <w:ind w:left="0" w:right="0" w:firstLine="0"/>
              <w:rPr>
                <w:rFonts w:hint="eastAsia" w:ascii="仿宋" w:hAnsi="仿宋" w:eastAsia="仿宋" w:cs="仿宋"/>
                <w:color w:val="auto"/>
              </w:rPr>
            </w:pPr>
            <w:r>
              <w:rPr>
                <w:rFonts w:hint="eastAsia" w:ascii="仿宋" w:hAnsi="仿宋" w:eastAsia="仿宋" w:cs="仿宋"/>
                <w:color w:val="auto"/>
                <w:sz w:val="18"/>
              </w:rPr>
              <w:t> </w:t>
            </w:r>
          </w:p>
          <w:p w14:paraId="234E86D6">
            <w:pPr>
              <w:pBdr>
                <w:top w:val="none" w:color="000000" w:sz="0" w:space="0"/>
                <w:left w:val="none" w:color="000000" w:sz="0" w:space="0"/>
                <w:bottom w:val="none" w:color="000000" w:sz="0" w:space="0"/>
                <w:right w:val="none" w:color="000000" w:sz="0" w:space="0"/>
              </w:pBdr>
              <w:spacing w:before="200" w:after="200" w:line="240" w:lineRule="auto"/>
              <w:ind w:left="351" w:right="245" w:hanging="106"/>
              <w:rPr>
                <w:rFonts w:hint="eastAsia" w:ascii="仿宋" w:hAnsi="仿宋" w:eastAsia="仿宋" w:cs="仿宋"/>
                <w:color w:val="auto"/>
              </w:rPr>
            </w:pPr>
            <w:r>
              <w:rPr>
                <w:rFonts w:hint="eastAsia" w:ascii="仿宋" w:hAnsi="仿宋" w:eastAsia="仿宋" w:cs="仿宋"/>
                <w:b/>
                <w:color w:val="auto"/>
                <w:sz w:val="22"/>
              </w:rPr>
              <w:t>学历及专业</w:t>
            </w:r>
          </w:p>
        </w:tc>
        <w:tc>
          <w:tcPr>
            <w:tcW w:w="102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71FBC1FF">
            <w:pPr>
              <w:pBdr>
                <w:top w:val="none" w:color="000000" w:sz="0" w:space="0"/>
                <w:left w:val="none" w:color="000000" w:sz="0" w:space="0"/>
                <w:bottom w:val="none" w:color="000000" w:sz="0" w:space="0"/>
                <w:right w:val="none" w:color="000000" w:sz="0" w:space="0"/>
              </w:pBdr>
              <w:spacing w:before="112" w:after="200" w:line="240" w:lineRule="auto"/>
              <w:ind w:left="208" w:right="204" w:firstLine="103"/>
              <w:rPr>
                <w:rFonts w:hint="eastAsia" w:ascii="仿宋" w:hAnsi="仿宋" w:eastAsia="仿宋" w:cs="仿宋"/>
                <w:color w:val="auto"/>
              </w:rPr>
            </w:pPr>
            <w:r>
              <w:rPr>
                <w:rFonts w:hint="eastAsia" w:ascii="仿宋" w:hAnsi="仿宋" w:eastAsia="仿宋" w:cs="仿宋"/>
                <w:b/>
                <w:color w:val="auto"/>
                <w:sz w:val="22"/>
              </w:rPr>
              <w:t>执业资格及证书号</w:t>
            </w:r>
          </w:p>
        </w:tc>
        <w:tc>
          <w:tcPr>
            <w:tcW w:w="991"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366762F3">
            <w:pPr>
              <w:pBdr>
                <w:top w:val="none" w:color="000000" w:sz="0" w:space="0"/>
                <w:left w:val="none" w:color="000000" w:sz="0" w:space="0"/>
                <w:bottom w:val="none" w:color="000000" w:sz="0" w:space="0"/>
                <w:right w:val="none" w:color="000000" w:sz="0" w:space="0"/>
              </w:pBdr>
              <w:spacing w:before="11" w:after="200" w:line="240" w:lineRule="auto"/>
              <w:ind w:left="0" w:right="0" w:firstLine="0"/>
              <w:rPr>
                <w:rFonts w:hint="eastAsia" w:ascii="仿宋" w:hAnsi="仿宋" w:eastAsia="仿宋" w:cs="仿宋"/>
                <w:color w:val="auto"/>
              </w:rPr>
            </w:pPr>
            <w:r>
              <w:rPr>
                <w:rFonts w:hint="eastAsia" w:ascii="仿宋" w:hAnsi="仿宋" w:eastAsia="仿宋" w:cs="仿宋"/>
                <w:color w:val="auto"/>
                <w:sz w:val="18"/>
              </w:rPr>
              <w:t> </w:t>
            </w:r>
          </w:p>
          <w:p w14:paraId="55BD2154">
            <w:pPr>
              <w:pBdr>
                <w:top w:val="none" w:color="000000" w:sz="0" w:space="0"/>
                <w:left w:val="none" w:color="000000" w:sz="0" w:space="0"/>
                <w:bottom w:val="none" w:color="000000" w:sz="0" w:space="0"/>
                <w:right w:val="none" w:color="000000" w:sz="0" w:space="0"/>
              </w:pBdr>
              <w:spacing w:before="200" w:after="200" w:line="240" w:lineRule="auto"/>
              <w:ind w:left="295" w:right="293" w:firstLine="0"/>
              <w:rPr>
                <w:rFonts w:hint="eastAsia" w:ascii="仿宋" w:hAnsi="仿宋" w:eastAsia="仿宋" w:cs="仿宋"/>
                <w:color w:val="auto"/>
              </w:rPr>
            </w:pPr>
            <w:r>
              <w:rPr>
                <w:rFonts w:hint="eastAsia" w:ascii="仿宋" w:hAnsi="仿宋" w:eastAsia="仿宋" w:cs="仿宋"/>
                <w:b/>
                <w:color w:val="auto"/>
                <w:sz w:val="22"/>
              </w:rPr>
              <w:t>技术职称</w:t>
            </w:r>
          </w:p>
        </w:tc>
        <w:tc>
          <w:tcPr>
            <w:tcW w:w="1141"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71678871">
            <w:pPr>
              <w:pBdr>
                <w:top w:val="none" w:color="000000" w:sz="0" w:space="0"/>
                <w:left w:val="none" w:color="000000" w:sz="0" w:space="0"/>
                <w:bottom w:val="none" w:color="000000" w:sz="0" w:space="0"/>
                <w:right w:val="none" w:color="000000" w:sz="0" w:space="0"/>
              </w:pBdr>
              <w:spacing w:before="112" w:after="200" w:line="240" w:lineRule="auto"/>
              <w:ind w:left="163" w:right="156" w:firstLine="0"/>
              <w:rPr>
                <w:rFonts w:hint="eastAsia" w:ascii="仿宋" w:hAnsi="仿宋" w:eastAsia="仿宋" w:cs="仿宋"/>
                <w:color w:val="auto"/>
              </w:rPr>
            </w:pPr>
            <w:r>
              <w:rPr>
                <w:rFonts w:hint="eastAsia" w:ascii="仿宋" w:hAnsi="仿宋" w:eastAsia="仿宋" w:cs="仿宋"/>
                <w:b/>
                <w:color w:val="auto"/>
                <w:sz w:val="22"/>
              </w:rPr>
              <w:t>相关工作年限及工作经历</w:t>
            </w:r>
          </w:p>
        </w:tc>
        <w:tc>
          <w:tcPr>
            <w:tcW w:w="1543"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68B43365">
            <w:pPr>
              <w:pBdr>
                <w:top w:val="none" w:color="000000" w:sz="0" w:space="0"/>
                <w:left w:val="none" w:color="000000" w:sz="0" w:space="0"/>
                <w:bottom w:val="none" w:color="000000" w:sz="0" w:space="0"/>
                <w:right w:val="none" w:color="000000" w:sz="0" w:space="0"/>
              </w:pBdr>
              <w:spacing w:before="11" w:after="200" w:line="240" w:lineRule="auto"/>
              <w:ind w:left="0" w:right="0" w:firstLine="0"/>
              <w:rPr>
                <w:rFonts w:hint="eastAsia" w:ascii="仿宋" w:hAnsi="仿宋" w:eastAsia="仿宋" w:cs="仿宋"/>
                <w:color w:val="auto"/>
              </w:rPr>
            </w:pPr>
            <w:r>
              <w:rPr>
                <w:rFonts w:hint="eastAsia" w:ascii="仿宋" w:hAnsi="仿宋" w:eastAsia="仿宋" w:cs="仿宋"/>
                <w:color w:val="auto"/>
                <w:sz w:val="18"/>
              </w:rPr>
              <w:t> </w:t>
            </w:r>
          </w:p>
          <w:p w14:paraId="53D605AF">
            <w:pPr>
              <w:pBdr>
                <w:top w:val="none" w:color="000000" w:sz="0" w:space="0"/>
                <w:left w:val="none" w:color="000000" w:sz="0" w:space="0"/>
                <w:bottom w:val="none" w:color="000000" w:sz="0" w:space="0"/>
                <w:right w:val="none" w:color="000000" w:sz="0" w:space="0"/>
              </w:pBdr>
              <w:spacing w:before="200" w:after="200" w:line="240" w:lineRule="auto"/>
              <w:ind w:left="369" w:right="155" w:hanging="212"/>
              <w:rPr>
                <w:rFonts w:hint="eastAsia" w:ascii="仿宋" w:hAnsi="仿宋" w:eastAsia="仿宋" w:cs="仿宋"/>
                <w:color w:val="auto"/>
              </w:rPr>
            </w:pPr>
            <w:r>
              <w:rPr>
                <w:rFonts w:hint="eastAsia" w:ascii="仿宋" w:hAnsi="仿宋" w:eastAsia="仿宋" w:cs="仿宋"/>
                <w:b/>
                <w:color w:val="auto"/>
                <w:sz w:val="22"/>
              </w:rPr>
              <w:t>拟担任本项目何种工作</w:t>
            </w:r>
          </w:p>
        </w:tc>
        <w:tc>
          <w:tcPr>
            <w:tcW w:w="827"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301B4713">
            <w:pPr>
              <w:pBdr>
                <w:top w:val="none" w:color="000000" w:sz="0" w:space="0"/>
                <w:left w:val="none" w:color="000000" w:sz="0" w:space="0"/>
                <w:bottom w:val="none" w:color="000000" w:sz="0" w:space="0"/>
                <w:right w:val="none" w:color="000000" w:sz="0" w:space="0"/>
              </w:pBdr>
              <w:spacing w:before="4" w:after="200" w:line="240" w:lineRule="auto"/>
              <w:ind w:left="0" w:right="0" w:firstLine="0"/>
              <w:rPr>
                <w:rFonts w:hint="eastAsia" w:ascii="仿宋" w:hAnsi="仿宋" w:eastAsia="仿宋" w:cs="仿宋"/>
                <w:color w:val="auto"/>
              </w:rPr>
            </w:pPr>
            <w:r>
              <w:rPr>
                <w:rFonts w:hint="eastAsia" w:ascii="仿宋" w:hAnsi="仿宋" w:eastAsia="仿宋" w:cs="仿宋"/>
                <w:color w:val="auto"/>
                <w:sz w:val="29"/>
              </w:rPr>
              <w:t> </w:t>
            </w:r>
          </w:p>
          <w:p w14:paraId="5E31FC9B">
            <w:pPr>
              <w:pBdr>
                <w:top w:val="none" w:color="000000" w:sz="0" w:space="0"/>
                <w:left w:val="none" w:color="000000" w:sz="0" w:space="0"/>
                <w:bottom w:val="none" w:color="000000" w:sz="0" w:space="0"/>
                <w:right w:val="none" w:color="000000" w:sz="0" w:space="0"/>
              </w:pBdr>
              <w:spacing w:before="200" w:after="200" w:line="240" w:lineRule="auto"/>
              <w:ind w:left="209" w:right="0" w:firstLine="0"/>
              <w:rPr>
                <w:rFonts w:hint="eastAsia" w:ascii="仿宋" w:hAnsi="仿宋" w:eastAsia="仿宋" w:cs="仿宋"/>
                <w:color w:val="auto"/>
              </w:rPr>
            </w:pPr>
            <w:r>
              <w:rPr>
                <w:rFonts w:hint="eastAsia" w:ascii="仿宋" w:hAnsi="仿宋" w:eastAsia="仿宋" w:cs="仿宋"/>
                <w:b/>
                <w:color w:val="auto"/>
                <w:sz w:val="22"/>
              </w:rPr>
              <w:t>备注</w:t>
            </w:r>
          </w:p>
        </w:tc>
      </w:tr>
      <w:tr w14:paraId="67AA6F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2" w:hRule="atLeast"/>
        </w:trPr>
        <w:tc>
          <w:tcPr>
            <w:tcW w:w="67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3327F9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71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31B35F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44"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8CDEA3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8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68149D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0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39B977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2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6BB425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99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A33E29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9D09EE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543"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FFE1A0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82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AF7E47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7512EE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3" w:hRule="atLeast"/>
        </w:trPr>
        <w:tc>
          <w:tcPr>
            <w:tcW w:w="67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0EECE1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71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97D045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44"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8C9486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8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4F5F2F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0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A7A9FE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2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5A1A6B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99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B56486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2FA3A9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543"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794D2A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82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2D662A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49EEBC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2" w:hRule="atLeast"/>
        </w:trPr>
        <w:tc>
          <w:tcPr>
            <w:tcW w:w="67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F5FBE7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71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D42599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44"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09AFA2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8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F5F449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0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AD7A66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2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EC1178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99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A52A4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EB704E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543"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7CC48F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82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FEC599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088511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2" w:hRule="atLeast"/>
        </w:trPr>
        <w:tc>
          <w:tcPr>
            <w:tcW w:w="67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93714C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71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C50061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44"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C8F938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8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DF893C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0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02B1B9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2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502387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99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DFC8AF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507C4F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543"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2E5CA9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82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438A31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68A0AA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3" w:hRule="atLeast"/>
        </w:trPr>
        <w:tc>
          <w:tcPr>
            <w:tcW w:w="67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DC19CE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71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A20C6E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44"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2543C1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8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7484AA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0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B50522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2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F5A7F3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99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8FE81B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F7E3E4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543"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466E62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82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35245D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3A7DD4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2" w:hRule="atLeast"/>
        </w:trPr>
        <w:tc>
          <w:tcPr>
            <w:tcW w:w="67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50F5DB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71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66DB59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44"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6D30EB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68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C62442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0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91A1AD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2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5DE24C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99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FADF93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65CB0A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543"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797FFD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82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5D688B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bl>
    <w:p w14:paraId="76E719E4">
      <w:pPr>
        <w:pBdr>
          <w:top w:val="none" w:color="000000" w:sz="0" w:space="0"/>
          <w:left w:val="none" w:color="000000" w:sz="0" w:space="0"/>
          <w:bottom w:val="none" w:color="000000" w:sz="0" w:space="0"/>
          <w:right w:val="none" w:color="000000" w:sz="0" w:space="0"/>
        </w:pBdr>
        <w:spacing w:before="2" w:after="0"/>
        <w:ind w:left="0" w:right="0" w:firstLine="0"/>
        <w:jc w:val="both"/>
        <w:rPr>
          <w:rFonts w:hint="eastAsia" w:ascii="仿宋" w:hAnsi="仿宋" w:eastAsia="仿宋" w:cs="仿宋"/>
          <w:color w:val="auto"/>
        </w:rPr>
      </w:pPr>
      <w:r>
        <w:rPr>
          <w:rFonts w:hint="eastAsia" w:ascii="仿宋" w:hAnsi="仿宋" w:eastAsia="仿宋" w:cs="仿宋"/>
          <w:color w:val="auto"/>
          <w:sz w:val="23"/>
        </w:rPr>
        <w:t> </w:t>
      </w:r>
    </w:p>
    <w:p w14:paraId="1E52B81F">
      <w:pPr>
        <w:pBdr>
          <w:top w:val="none" w:color="000000" w:sz="0" w:space="0"/>
          <w:left w:val="none" w:color="000000" w:sz="0" w:space="0"/>
          <w:bottom w:val="none" w:color="000000" w:sz="0" w:space="0"/>
          <w:right w:val="none" w:color="000000" w:sz="0" w:space="0"/>
        </w:pBdr>
        <w:tabs>
          <w:tab w:val="left" w:pos="4717"/>
        </w:tabs>
        <w:spacing w:before="34" w:after="0" w:line="85" w:lineRule="atLeast"/>
        <w:ind w:left="0" w:right="0" w:firstLine="0"/>
        <w:rPr>
          <w:rFonts w:hint="eastAsia" w:ascii="仿宋" w:hAnsi="仿宋" w:eastAsia="仿宋" w:cs="仿宋"/>
          <w:color w:val="auto"/>
        </w:rPr>
      </w:pPr>
      <w:r>
        <w:rPr>
          <w:rFonts w:hint="eastAsia" w:ascii="仿宋" w:hAnsi="仿宋" w:eastAsia="仿宋" w:cs="仿宋"/>
          <w:color w:val="auto"/>
          <w:sz w:val="28"/>
        </w:rPr>
        <w:t>供应商（盖章）:</w:t>
      </w:r>
      <w:r>
        <w:rPr>
          <w:rFonts w:hint="eastAsia" w:ascii="仿宋" w:hAnsi="仿宋" w:eastAsia="仿宋" w:cs="仿宋"/>
          <w:color w:val="auto"/>
          <w:sz w:val="28"/>
          <w:u w:val="single"/>
        </w:rPr>
        <w:tab/>
      </w:r>
    </w:p>
    <w:p w14:paraId="00780D67">
      <w:pPr>
        <w:pBdr>
          <w:top w:val="none" w:color="000000" w:sz="0" w:space="0"/>
          <w:left w:val="none" w:color="000000" w:sz="0" w:space="0"/>
          <w:bottom w:val="none" w:color="000000" w:sz="0" w:space="0"/>
          <w:right w:val="none" w:color="000000" w:sz="0" w:space="0"/>
        </w:pBdr>
        <w:tabs>
          <w:tab w:val="left" w:pos="4717"/>
        </w:tabs>
        <w:spacing w:before="34" w:after="0" w:line="85" w:lineRule="atLeast"/>
        <w:ind w:left="0" w:right="0" w:firstLine="0"/>
        <w:rPr>
          <w:rFonts w:hint="eastAsia" w:ascii="仿宋" w:hAnsi="仿宋" w:eastAsia="仿宋" w:cs="仿宋"/>
          <w:color w:val="auto"/>
        </w:rPr>
      </w:pPr>
      <w:r>
        <w:rPr>
          <w:rFonts w:hint="eastAsia" w:ascii="仿宋" w:hAnsi="仿宋" w:eastAsia="仿宋" w:cs="仿宋"/>
          <w:color w:val="auto"/>
          <w:sz w:val="28"/>
        </w:rPr>
        <w:t>授权代表（签字）：</w:t>
      </w:r>
      <w:r>
        <w:rPr>
          <w:rFonts w:hint="eastAsia" w:ascii="仿宋" w:hAnsi="仿宋" w:eastAsia="仿宋" w:cs="仿宋"/>
          <w:color w:val="auto"/>
          <w:sz w:val="28"/>
          <w:u w:val="single"/>
        </w:rPr>
        <w:tab/>
      </w:r>
    </w:p>
    <w:p w14:paraId="3F82109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日</w:t>
      </w:r>
      <w:r>
        <w:rPr>
          <w:rFonts w:hint="eastAsia" w:ascii="仿宋" w:hAnsi="仿宋" w:eastAsia="仿宋" w:cs="仿宋"/>
          <w:color w:val="auto"/>
          <w:sz w:val="21"/>
        </w:rPr>
        <w:tab/>
      </w:r>
      <w:r>
        <w:rPr>
          <w:rFonts w:hint="eastAsia" w:ascii="仿宋" w:hAnsi="仿宋" w:eastAsia="仿宋" w:cs="仿宋"/>
          <w:color w:val="auto"/>
          <w:sz w:val="21"/>
        </w:rPr>
        <w:t>期：</w:t>
      </w:r>
      <w:r>
        <w:rPr>
          <w:rFonts w:hint="eastAsia" w:ascii="仿宋" w:hAnsi="仿宋" w:eastAsia="仿宋" w:cs="仿宋"/>
          <w:color w:val="auto"/>
          <w:sz w:val="21"/>
        </w:rPr>
        <w:tab/>
      </w:r>
      <w:r>
        <w:rPr>
          <w:rFonts w:hint="eastAsia" w:ascii="仿宋" w:hAnsi="仿宋" w:eastAsia="仿宋" w:cs="仿宋"/>
          <w:color w:val="auto"/>
          <w:sz w:val="21"/>
        </w:rPr>
        <w:t>年</w:t>
      </w:r>
      <w:r>
        <w:rPr>
          <w:rFonts w:hint="eastAsia" w:ascii="仿宋" w:hAnsi="仿宋" w:eastAsia="仿宋" w:cs="仿宋"/>
          <w:color w:val="auto"/>
          <w:sz w:val="21"/>
        </w:rPr>
        <w:tab/>
      </w:r>
      <w:r>
        <w:rPr>
          <w:rFonts w:hint="eastAsia" w:ascii="仿宋" w:hAnsi="仿宋" w:eastAsia="仿宋" w:cs="仿宋"/>
          <w:color w:val="auto"/>
          <w:sz w:val="21"/>
        </w:rPr>
        <w:t>月</w:t>
      </w:r>
      <w:r>
        <w:rPr>
          <w:rFonts w:hint="eastAsia" w:ascii="仿宋" w:hAnsi="仿宋" w:eastAsia="仿宋" w:cs="仿宋"/>
          <w:color w:val="auto"/>
          <w:sz w:val="21"/>
        </w:rPr>
        <w:tab/>
      </w:r>
      <w:r>
        <w:rPr>
          <w:rFonts w:hint="eastAsia" w:ascii="仿宋" w:hAnsi="仿宋" w:eastAsia="仿宋" w:cs="仿宋"/>
          <w:color w:val="auto"/>
          <w:sz w:val="21"/>
        </w:rPr>
        <w:t>日</w:t>
      </w:r>
    </w:p>
    <w:p w14:paraId="43851C03">
      <w:pPr>
        <w:pBdr>
          <w:top w:val="none" w:color="000000" w:sz="0" w:space="0"/>
          <w:left w:val="none" w:color="000000" w:sz="0" w:space="0"/>
          <w:bottom w:val="none" w:color="000000" w:sz="0" w:space="0"/>
          <w:right w:val="none" w:color="000000" w:sz="0" w:space="0"/>
        </w:pBdr>
        <w:tabs>
          <w:tab w:val="left" w:pos="4717"/>
        </w:tabs>
        <w:spacing w:before="34" w:after="0"/>
        <w:ind w:left="677" w:right="0" w:firstLine="0"/>
        <w:rPr>
          <w:rFonts w:hint="eastAsia" w:ascii="仿宋" w:hAnsi="仿宋" w:eastAsia="仿宋" w:cs="仿宋"/>
          <w:color w:val="auto"/>
        </w:rPr>
      </w:pPr>
      <w:r>
        <w:rPr>
          <w:rFonts w:hint="eastAsia" w:ascii="仿宋" w:hAnsi="仿宋" w:eastAsia="仿宋" w:cs="仿宋"/>
          <w:color w:val="auto"/>
          <w:sz w:val="28"/>
        </w:rPr>
        <w:t> </w:t>
      </w:r>
    </w:p>
    <w:p w14:paraId="6F5F10EF">
      <w:pPr>
        <w:pBdr>
          <w:top w:val="none" w:color="000000" w:sz="0" w:space="0"/>
          <w:left w:val="none" w:color="000000" w:sz="0" w:space="0"/>
          <w:bottom w:val="none" w:color="000000" w:sz="0" w:space="0"/>
          <w:right w:val="none" w:color="000000" w:sz="0" w:space="0"/>
        </w:pBdr>
        <w:tabs>
          <w:tab w:val="left" w:pos="4717"/>
        </w:tabs>
        <w:spacing w:before="34" w:after="0"/>
        <w:ind w:left="677" w:right="0" w:firstLine="0"/>
        <w:rPr>
          <w:rFonts w:hint="eastAsia" w:ascii="仿宋" w:hAnsi="仿宋" w:eastAsia="仿宋" w:cs="仿宋"/>
          <w:color w:val="auto"/>
        </w:rPr>
      </w:pPr>
      <w:r>
        <w:rPr>
          <w:rFonts w:hint="eastAsia" w:ascii="仿宋" w:hAnsi="仿宋" w:eastAsia="仿宋" w:cs="仿宋"/>
          <w:color w:val="auto"/>
          <w:sz w:val="28"/>
        </w:rPr>
        <w:t> </w:t>
      </w:r>
    </w:p>
    <w:p w14:paraId="56D4AF4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color w:val="auto"/>
        </w:rPr>
        <w:br w:type="page" w:clear="all"/>
      </w:r>
    </w:p>
    <w:p w14:paraId="7BEA6D3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仿宋" w:hAnsi="仿宋" w:eastAsia="仿宋" w:cs="仿宋"/>
          <w:color w:val="auto"/>
        </w:rPr>
      </w:pPr>
      <w:r>
        <w:rPr>
          <w:rFonts w:hint="eastAsia" w:ascii="仿宋" w:hAnsi="仿宋" w:eastAsia="仿宋" w:cs="仿宋"/>
          <w:b/>
          <w:color w:val="auto"/>
          <w:sz w:val="32"/>
        </w:rPr>
        <w:t>七、类似业绩情况表</w:t>
      </w:r>
    </w:p>
    <w:p w14:paraId="4E916A5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仿宋" w:hAnsi="仿宋" w:eastAsia="仿宋" w:cs="仿宋"/>
          <w:color w:val="auto"/>
        </w:rPr>
      </w:pPr>
      <w:r>
        <w:rPr>
          <w:rFonts w:hint="eastAsia" w:ascii="仿宋" w:hAnsi="仿宋" w:eastAsia="仿宋" w:cs="仿宋"/>
          <w:b/>
          <w:color w:val="auto"/>
          <w:sz w:val="32"/>
        </w:rPr>
        <w:t> </w:t>
      </w:r>
    </w:p>
    <w:p w14:paraId="248FFA74">
      <w:pPr>
        <w:pBdr>
          <w:top w:val="none" w:color="000000" w:sz="0" w:space="0"/>
          <w:left w:val="none" w:color="000000" w:sz="0" w:space="0"/>
          <w:bottom w:val="none" w:color="000000" w:sz="0" w:space="0"/>
          <w:right w:val="none" w:color="000000" w:sz="0" w:space="0"/>
        </w:pBdr>
        <w:spacing w:before="0" w:after="0"/>
        <w:ind w:left="0" w:right="0" w:firstLine="3373"/>
        <w:rPr>
          <w:rFonts w:hint="eastAsia" w:ascii="仿宋" w:hAnsi="仿宋" w:eastAsia="仿宋" w:cs="仿宋"/>
          <w:color w:val="auto"/>
        </w:rPr>
      </w:pPr>
      <w:r>
        <w:rPr>
          <w:rFonts w:hint="eastAsia" w:ascii="仿宋" w:hAnsi="仿宋" w:eastAsia="仿宋" w:cs="仿宋"/>
          <w:b/>
          <w:color w:val="auto"/>
          <w:sz w:val="28"/>
        </w:rPr>
        <w:t>项目负责人类似业绩情况表</w:t>
      </w:r>
    </w:p>
    <w:p w14:paraId="5AA11FB9">
      <w:pPr>
        <w:pBdr>
          <w:top w:val="none" w:color="000000" w:sz="0" w:space="0"/>
          <w:left w:val="none" w:color="000000" w:sz="0" w:space="0"/>
          <w:bottom w:val="none" w:color="000000" w:sz="0" w:space="0"/>
          <w:right w:val="none" w:color="000000" w:sz="0" w:space="0"/>
        </w:pBdr>
        <w:spacing w:before="5" w:after="0"/>
        <w:ind w:left="0" w:right="0" w:firstLine="0"/>
        <w:jc w:val="both"/>
        <w:rPr>
          <w:rFonts w:hint="eastAsia" w:ascii="仿宋" w:hAnsi="仿宋" w:eastAsia="仿宋" w:cs="仿宋"/>
          <w:color w:val="auto"/>
        </w:rPr>
      </w:pPr>
      <w:r>
        <w:rPr>
          <w:rFonts w:hint="eastAsia" w:ascii="仿宋" w:hAnsi="仿宋" w:eastAsia="仿宋" w:cs="仿宋"/>
          <w:b/>
          <w:color w:val="auto"/>
          <w:sz w:val="8"/>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79"/>
        <w:gridCol w:w="1611"/>
        <w:gridCol w:w="1775"/>
        <w:gridCol w:w="1803"/>
        <w:gridCol w:w="1603"/>
        <w:gridCol w:w="945"/>
      </w:tblGrid>
      <w:tr w14:paraId="011BAE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9" w:hRule="atLeast"/>
        </w:trPr>
        <w:tc>
          <w:tcPr>
            <w:tcW w:w="63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691CCB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序号</w:t>
            </w:r>
          </w:p>
        </w:tc>
        <w:tc>
          <w:tcPr>
            <w:tcW w:w="1829"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049B682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项目名称</w:t>
            </w:r>
          </w:p>
        </w:tc>
        <w:tc>
          <w:tcPr>
            <w:tcW w:w="202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4704DF4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业主单位</w:t>
            </w:r>
          </w:p>
        </w:tc>
        <w:tc>
          <w:tcPr>
            <w:tcW w:w="199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2A07C2EE">
            <w:pPr>
              <w:pBdr>
                <w:top w:val="none" w:color="000000" w:sz="0" w:space="0"/>
                <w:left w:val="none" w:color="000000" w:sz="0" w:space="0"/>
                <w:bottom w:val="none" w:color="000000" w:sz="0" w:space="0"/>
                <w:right w:val="none" w:color="000000" w:sz="0" w:space="0"/>
              </w:pBdr>
              <w:spacing w:before="200" w:after="200" w:line="272" w:lineRule="atLeast"/>
              <w:ind w:left="0" w:right="351" w:firstLine="0"/>
              <w:jc w:val="center"/>
              <w:rPr>
                <w:rFonts w:hint="eastAsia" w:ascii="仿宋" w:hAnsi="仿宋" w:eastAsia="仿宋" w:cs="仿宋"/>
                <w:color w:val="auto"/>
              </w:rPr>
            </w:pPr>
            <w:r>
              <w:rPr>
                <w:rFonts w:hint="eastAsia" w:ascii="仿宋" w:hAnsi="仿宋" w:eastAsia="仿宋" w:cs="仿宋"/>
                <w:b/>
                <w:color w:val="auto"/>
                <w:sz w:val="22"/>
              </w:rPr>
              <w:t>工作主要内容</w:t>
            </w:r>
          </w:p>
        </w:tc>
        <w:tc>
          <w:tcPr>
            <w:tcW w:w="182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F486E1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项目规模</w:t>
            </w:r>
          </w:p>
        </w:tc>
        <w:tc>
          <w:tcPr>
            <w:tcW w:w="1057"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44E1ACC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备注</w:t>
            </w:r>
          </w:p>
        </w:tc>
      </w:tr>
      <w:tr w14:paraId="2F2EE4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0"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07EC4B1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9ED21B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A25064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E22D86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0C92F9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A835EB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596F48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0"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7D21C45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A9B11C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CE962F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647C7A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F3C615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89B9DB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4420B5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1"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E6D0E9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A60F5E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9F97BB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82555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344748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294A64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5AEFFA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1"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5551454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72C817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81D8C1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A51917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1DEB14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440399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4E887D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2"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8BFB03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880802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A3D5A4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EBD80C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C73336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991155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bl>
    <w:p w14:paraId="06B0208B">
      <w:pPr>
        <w:pBdr>
          <w:top w:val="none" w:color="000000" w:sz="0" w:space="0"/>
          <w:left w:val="none" w:color="000000" w:sz="0" w:space="0"/>
          <w:bottom w:val="none" w:color="000000" w:sz="0" w:space="0"/>
          <w:right w:val="none" w:color="000000" w:sz="0" w:space="0"/>
        </w:pBdr>
        <w:spacing w:before="1" w:after="0"/>
        <w:ind w:left="0" w:right="0" w:firstLine="0"/>
        <w:jc w:val="both"/>
        <w:rPr>
          <w:rFonts w:hint="eastAsia" w:ascii="仿宋" w:hAnsi="仿宋" w:eastAsia="仿宋" w:cs="仿宋"/>
          <w:color w:val="auto"/>
        </w:rPr>
      </w:pPr>
      <w:r>
        <w:rPr>
          <w:rFonts w:hint="eastAsia" w:ascii="仿宋" w:hAnsi="仿宋" w:eastAsia="仿宋" w:cs="仿宋"/>
          <w:b/>
          <w:color w:val="auto"/>
          <w:sz w:val="23"/>
        </w:rPr>
        <w:t> </w:t>
      </w:r>
    </w:p>
    <w:p w14:paraId="3D421135">
      <w:pPr>
        <w:pBdr>
          <w:top w:val="none" w:color="000000" w:sz="0" w:space="0"/>
          <w:left w:val="none" w:color="000000" w:sz="0" w:space="0"/>
          <w:bottom w:val="none" w:color="000000" w:sz="0" w:space="0"/>
          <w:right w:val="none" w:color="000000" w:sz="0" w:space="0"/>
        </w:pBdr>
        <w:tabs>
          <w:tab w:val="left" w:pos="4717"/>
        </w:tabs>
        <w:spacing w:before="34" w:after="0" w:line="85" w:lineRule="atLeast"/>
        <w:ind w:left="0" w:right="0" w:firstLine="0"/>
        <w:rPr>
          <w:rFonts w:hint="eastAsia" w:ascii="仿宋" w:hAnsi="仿宋" w:eastAsia="仿宋" w:cs="仿宋"/>
          <w:color w:val="auto"/>
        </w:rPr>
      </w:pPr>
      <w:r>
        <w:rPr>
          <w:rFonts w:hint="eastAsia" w:ascii="仿宋" w:hAnsi="仿宋" w:eastAsia="仿宋" w:cs="仿宋"/>
          <w:color w:val="auto"/>
          <w:sz w:val="28"/>
        </w:rPr>
        <w:t>供应商（盖章）:</w:t>
      </w:r>
      <w:r>
        <w:rPr>
          <w:rFonts w:hint="eastAsia" w:ascii="仿宋" w:hAnsi="仿宋" w:eastAsia="仿宋" w:cs="仿宋"/>
          <w:color w:val="auto"/>
          <w:sz w:val="28"/>
          <w:u w:val="single"/>
        </w:rPr>
        <w:tab/>
      </w:r>
    </w:p>
    <w:p w14:paraId="72816FAE">
      <w:pPr>
        <w:pBdr>
          <w:top w:val="none" w:color="000000" w:sz="0" w:space="0"/>
          <w:left w:val="none" w:color="000000" w:sz="0" w:space="0"/>
          <w:bottom w:val="none" w:color="000000" w:sz="0" w:space="0"/>
          <w:right w:val="none" w:color="000000" w:sz="0" w:space="0"/>
        </w:pBdr>
        <w:tabs>
          <w:tab w:val="left" w:pos="4717"/>
        </w:tabs>
        <w:spacing w:before="34" w:after="0" w:line="85" w:lineRule="atLeast"/>
        <w:ind w:left="0" w:right="0" w:firstLine="0"/>
        <w:rPr>
          <w:rFonts w:hint="eastAsia" w:ascii="仿宋" w:hAnsi="仿宋" w:eastAsia="仿宋" w:cs="仿宋"/>
          <w:color w:val="auto"/>
        </w:rPr>
      </w:pPr>
      <w:r>
        <w:rPr>
          <w:rFonts w:hint="eastAsia" w:ascii="仿宋" w:hAnsi="仿宋" w:eastAsia="仿宋" w:cs="仿宋"/>
          <w:color w:val="auto"/>
          <w:sz w:val="28"/>
        </w:rPr>
        <w:t>授权代表（签字）：</w:t>
      </w:r>
      <w:r>
        <w:rPr>
          <w:rFonts w:hint="eastAsia" w:ascii="仿宋" w:hAnsi="仿宋" w:eastAsia="仿宋" w:cs="仿宋"/>
          <w:color w:val="auto"/>
          <w:sz w:val="28"/>
          <w:u w:val="single"/>
        </w:rPr>
        <w:tab/>
      </w:r>
    </w:p>
    <w:p w14:paraId="6BE8FC0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日</w:t>
      </w:r>
      <w:r>
        <w:rPr>
          <w:rFonts w:hint="eastAsia" w:ascii="仿宋" w:hAnsi="仿宋" w:eastAsia="仿宋" w:cs="仿宋"/>
          <w:color w:val="auto"/>
          <w:sz w:val="21"/>
        </w:rPr>
        <w:tab/>
      </w:r>
      <w:r>
        <w:rPr>
          <w:rFonts w:hint="eastAsia" w:ascii="仿宋" w:hAnsi="仿宋" w:eastAsia="仿宋" w:cs="仿宋"/>
          <w:color w:val="auto"/>
          <w:sz w:val="21"/>
        </w:rPr>
        <w:t>期：</w:t>
      </w:r>
      <w:r>
        <w:rPr>
          <w:rFonts w:hint="eastAsia" w:ascii="仿宋" w:hAnsi="仿宋" w:eastAsia="仿宋" w:cs="仿宋"/>
          <w:color w:val="auto"/>
          <w:sz w:val="21"/>
        </w:rPr>
        <w:tab/>
      </w:r>
      <w:r>
        <w:rPr>
          <w:rFonts w:hint="eastAsia" w:ascii="仿宋" w:hAnsi="仿宋" w:eastAsia="仿宋" w:cs="仿宋"/>
          <w:color w:val="auto"/>
          <w:sz w:val="21"/>
        </w:rPr>
        <w:t>年</w:t>
      </w:r>
      <w:r>
        <w:rPr>
          <w:rFonts w:hint="eastAsia" w:ascii="仿宋" w:hAnsi="仿宋" w:eastAsia="仿宋" w:cs="仿宋"/>
          <w:color w:val="auto"/>
          <w:sz w:val="21"/>
        </w:rPr>
        <w:tab/>
      </w:r>
      <w:r>
        <w:rPr>
          <w:rFonts w:hint="eastAsia" w:ascii="仿宋" w:hAnsi="仿宋" w:eastAsia="仿宋" w:cs="仿宋"/>
          <w:color w:val="auto"/>
          <w:sz w:val="21"/>
        </w:rPr>
        <w:t>月</w:t>
      </w:r>
      <w:r>
        <w:rPr>
          <w:rFonts w:hint="eastAsia" w:ascii="仿宋" w:hAnsi="仿宋" w:eastAsia="仿宋" w:cs="仿宋"/>
          <w:color w:val="auto"/>
          <w:sz w:val="21"/>
        </w:rPr>
        <w:tab/>
      </w:r>
      <w:r>
        <w:rPr>
          <w:rFonts w:hint="eastAsia" w:ascii="仿宋" w:hAnsi="仿宋" w:eastAsia="仿宋" w:cs="仿宋"/>
          <w:color w:val="auto"/>
          <w:sz w:val="21"/>
        </w:rPr>
        <w:t>日</w:t>
      </w:r>
    </w:p>
    <w:p w14:paraId="0E19925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429CA7C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3C4AEB20">
      <w:pPr>
        <w:pBdr>
          <w:top w:val="none" w:color="000000" w:sz="0" w:space="0"/>
          <w:left w:val="none" w:color="000000" w:sz="0" w:space="0"/>
          <w:bottom w:val="none" w:color="000000" w:sz="0" w:space="0"/>
          <w:right w:val="none" w:color="000000" w:sz="0" w:space="0"/>
        </w:pBdr>
        <w:spacing w:before="4" w:after="0"/>
        <w:ind w:left="0" w:right="0" w:firstLine="0"/>
        <w:jc w:val="both"/>
        <w:rPr>
          <w:rFonts w:hint="eastAsia" w:ascii="仿宋" w:hAnsi="仿宋" w:eastAsia="仿宋" w:cs="仿宋"/>
          <w:color w:val="auto"/>
        </w:rPr>
      </w:pPr>
      <w:r>
        <w:rPr>
          <w:rFonts w:hint="eastAsia" w:ascii="仿宋" w:hAnsi="仿宋" w:eastAsia="仿宋" w:cs="仿宋"/>
          <w:b/>
          <w:color w:val="auto"/>
          <w:sz w:val="28"/>
        </w:rPr>
        <w:t> </w:t>
      </w:r>
    </w:p>
    <w:p w14:paraId="70A707E5">
      <w:pPr>
        <w:pBdr>
          <w:top w:val="none" w:color="000000" w:sz="0" w:space="0"/>
          <w:left w:val="none" w:color="000000" w:sz="0" w:space="0"/>
          <w:bottom w:val="none" w:color="000000" w:sz="0" w:space="0"/>
          <w:right w:val="none" w:color="000000" w:sz="0" w:space="0"/>
        </w:pBdr>
        <w:spacing w:before="0" w:after="0"/>
        <w:ind w:left="0" w:right="0" w:firstLine="3373"/>
        <w:rPr>
          <w:rFonts w:hint="eastAsia" w:ascii="仿宋" w:hAnsi="仿宋" w:eastAsia="仿宋" w:cs="仿宋"/>
          <w:color w:val="auto"/>
        </w:rPr>
      </w:pPr>
      <w:r>
        <w:rPr>
          <w:rFonts w:hint="eastAsia" w:ascii="仿宋" w:hAnsi="仿宋" w:eastAsia="仿宋" w:cs="仿宋"/>
          <w:b/>
          <w:color w:val="auto"/>
          <w:sz w:val="28"/>
        </w:rPr>
        <w:t>供应商类似业绩情况表</w:t>
      </w:r>
    </w:p>
    <w:p w14:paraId="4A78B331">
      <w:pPr>
        <w:pBdr>
          <w:top w:val="none" w:color="000000" w:sz="0" w:space="0"/>
          <w:left w:val="none" w:color="000000" w:sz="0" w:space="0"/>
          <w:bottom w:val="none" w:color="000000" w:sz="0" w:space="0"/>
          <w:right w:val="none" w:color="000000" w:sz="0" w:space="0"/>
        </w:pBdr>
        <w:spacing w:before="5" w:after="0"/>
        <w:ind w:left="0" w:right="0" w:firstLine="0"/>
        <w:jc w:val="both"/>
        <w:rPr>
          <w:rFonts w:hint="eastAsia" w:ascii="仿宋" w:hAnsi="仿宋" w:eastAsia="仿宋" w:cs="仿宋"/>
          <w:color w:val="auto"/>
        </w:rPr>
      </w:pPr>
      <w:r>
        <w:rPr>
          <w:rFonts w:hint="eastAsia" w:ascii="仿宋" w:hAnsi="仿宋" w:eastAsia="仿宋" w:cs="仿宋"/>
          <w:b/>
          <w:color w:val="auto"/>
          <w:sz w:val="8"/>
        </w:rPr>
        <w:t>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79"/>
        <w:gridCol w:w="1611"/>
        <w:gridCol w:w="1775"/>
        <w:gridCol w:w="1803"/>
        <w:gridCol w:w="1603"/>
        <w:gridCol w:w="945"/>
      </w:tblGrid>
      <w:tr w14:paraId="00343D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9" w:hRule="atLeast"/>
        </w:trPr>
        <w:tc>
          <w:tcPr>
            <w:tcW w:w="63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3402CF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序号</w:t>
            </w:r>
          </w:p>
        </w:tc>
        <w:tc>
          <w:tcPr>
            <w:tcW w:w="1829"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5A068AD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项目名称</w:t>
            </w:r>
          </w:p>
        </w:tc>
        <w:tc>
          <w:tcPr>
            <w:tcW w:w="202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1E88603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业主单位</w:t>
            </w:r>
          </w:p>
        </w:tc>
        <w:tc>
          <w:tcPr>
            <w:tcW w:w="199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7B5952D3">
            <w:pPr>
              <w:pBdr>
                <w:top w:val="none" w:color="000000" w:sz="0" w:space="0"/>
                <w:left w:val="none" w:color="000000" w:sz="0" w:space="0"/>
                <w:bottom w:val="none" w:color="000000" w:sz="0" w:space="0"/>
                <w:right w:val="none" w:color="000000" w:sz="0" w:space="0"/>
              </w:pBdr>
              <w:spacing w:before="200" w:after="200" w:line="272" w:lineRule="atLeast"/>
              <w:ind w:left="0" w:right="351" w:firstLine="0"/>
              <w:jc w:val="center"/>
              <w:rPr>
                <w:rFonts w:hint="eastAsia" w:ascii="仿宋" w:hAnsi="仿宋" w:eastAsia="仿宋" w:cs="仿宋"/>
                <w:color w:val="auto"/>
              </w:rPr>
            </w:pPr>
            <w:r>
              <w:rPr>
                <w:rFonts w:hint="eastAsia" w:ascii="仿宋" w:hAnsi="仿宋" w:eastAsia="仿宋" w:cs="仿宋"/>
                <w:b/>
                <w:color w:val="auto"/>
                <w:sz w:val="22"/>
              </w:rPr>
              <w:t>工作主要内容</w:t>
            </w:r>
          </w:p>
        </w:tc>
        <w:tc>
          <w:tcPr>
            <w:tcW w:w="182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13DEB481">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项目规模</w:t>
            </w:r>
          </w:p>
        </w:tc>
        <w:tc>
          <w:tcPr>
            <w:tcW w:w="1057"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2817B9C1">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仿宋" w:hAnsi="仿宋" w:eastAsia="仿宋" w:cs="仿宋"/>
                <w:color w:val="auto"/>
              </w:rPr>
            </w:pPr>
            <w:r>
              <w:rPr>
                <w:rFonts w:hint="eastAsia" w:ascii="仿宋" w:hAnsi="仿宋" w:eastAsia="仿宋" w:cs="仿宋"/>
                <w:b/>
                <w:color w:val="auto"/>
                <w:sz w:val="22"/>
              </w:rPr>
              <w:t>备注</w:t>
            </w:r>
          </w:p>
        </w:tc>
      </w:tr>
      <w:tr w14:paraId="10881A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0"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7FEEB98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62FD9A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4D2CB9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46BEA3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4A71A2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76AA1F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71C615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0"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CBED87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039DF8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A2A27F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42A8B6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DEEAD9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9F84E7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256F56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1"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135110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5C3CBA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306A9B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5BEF8F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6166CF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AA761B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1CE91A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1"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00C098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D33AA6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089E7B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69DD12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523027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0844DE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r w14:paraId="76E591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2" w:hRule="atLeast"/>
        </w:trPr>
        <w:tc>
          <w:tcPr>
            <w:tcW w:w="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56D49D1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586F42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20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530F59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99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2A9179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8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7F717A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c>
          <w:tcPr>
            <w:tcW w:w="1057"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71DA93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仿宋" w:hAnsi="仿宋" w:eastAsia="仿宋" w:cs="仿宋"/>
                <w:color w:val="auto"/>
              </w:rPr>
            </w:pPr>
            <w:r>
              <w:rPr>
                <w:rFonts w:hint="eastAsia" w:ascii="仿宋" w:hAnsi="仿宋" w:eastAsia="仿宋" w:cs="仿宋"/>
                <w:color w:val="auto"/>
                <w:sz w:val="21"/>
              </w:rPr>
              <w:t> </w:t>
            </w:r>
          </w:p>
        </w:tc>
      </w:tr>
    </w:tbl>
    <w:p w14:paraId="6DCAB71D">
      <w:pPr>
        <w:pBdr>
          <w:top w:val="none" w:color="000000" w:sz="0" w:space="0"/>
          <w:left w:val="none" w:color="000000" w:sz="0" w:space="0"/>
          <w:bottom w:val="none" w:color="000000" w:sz="0" w:space="0"/>
          <w:right w:val="none" w:color="000000" w:sz="0" w:space="0"/>
        </w:pBdr>
        <w:spacing w:before="1" w:after="0"/>
        <w:ind w:left="0" w:right="0" w:firstLine="0"/>
        <w:jc w:val="both"/>
        <w:rPr>
          <w:rFonts w:hint="eastAsia" w:ascii="仿宋" w:hAnsi="仿宋" w:eastAsia="仿宋" w:cs="仿宋"/>
          <w:color w:val="auto"/>
        </w:rPr>
      </w:pPr>
      <w:r>
        <w:rPr>
          <w:rFonts w:hint="eastAsia" w:ascii="仿宋" w:hAnsi="仿宋" w:eastAsia="仿宋" w:cs="仿宋"/>
          <w:b/>
          <w:color w:val="auto"/>
          <w:sz w:val="23"/>
        </w:rPr>
        <w:t> </w:t>
      </w:r>
    </w:p>
    <w:p w14:paraId="4836D2B3">
      <w:pPr>
        <w:pBdr>
          <w:top w:val="none" w:color="000000" w:sz="0" w:space="0"/>
          <w:left w:val="none" w:color="000000" w:sz="0" w:space="0"/>
          <w:bottom w:val="none" w:color="000000" w:sz="0" w:space="0"/>
          <w:right w:val="none" w:color="000000" w:sz="0" w:space="0"/>
        </w:pBdr>
        <w:tabs>
          <w:tab w:val="left" w:pos="4717"/>
        </w:tabs>
        <w:spacing w:before="34" w:after="0" w:line="85" w:lineRule="atLeast"/>
        <w:ind w:left="0" w:right="0" w:firstLine="0"/>
        <w:rPr>
          <w:rFonts w:hint="eastAsia" w:ascii="仿宋" w:hAnsi="仿宋" w:eastAsia="仿宋" w:cs="仿宋"/>
          <w:color w:val="auto"/>
        </w:rPr>
      </w:pPr>
      <w:r>
        <w:rPr>
          <w:rFonts w:hint="eastAsia" w:ascii="仿宋" w:hAnsi="仿宋" w:eastAsia="仿宋" w:cs="仿宋"/>
          <w:color w:val="auto"/>
          <w:sz w:val="28"/>
        </w:rPr>
        <w:t>供应商（盖章）:</w:t>
      </w:r>
      <w:r>
        <w:rPr>
          <w:rFonts w:hint="eastAsia" w:ascii="仿宋" w:hAnsi="仿宋" w:eastAsia="仿宋" w:cs="仿宋"/>
          <w:color w:val="auto"/>
          <w:sz w:val="28"/>
          <w:u w:val="single"/>
        </w:rPr>
        <w:tab/>
      </w:r>
    </w:p>
    <w:p w14:paraId="5D9D1E6F">
      <w:pPr>
        <w:pBdr>
          <w:top w:val="none" w:color="000000" w:sz="0" w:space="0"/>
          <w:left w:val="none" w:color="000000" w:sz="0" w:space="0"/>
          <w:bottom w:val="none" w:color="000000" w:sz="0" w:space="0"/>
          <w:right w:val="none" w:color="000000" w:sz="0" w:space="0"/>
        </w:pBdr>
        <w:tabs>
          <w:tab w:val="left" w:pos="4717"/>
        </w:tabs>
        <w:spacing w:before="34" w:after="0" w:line="85" w:lineRule="atLeast"/>
        <w:ind w:left="0" w:right="0" w:firstLine="0"/>
        <w:rPr>
          <w:rFonts w:hint="eastAsia" w:ascii="仿宋" w:hAnsi="仿宋" w:eastAsia="仿宋" w:cs="仿宋"/>
          <w:color w:val="auto"/>
        </w:rPr>
      </w:pPr>
      <w:r>
        <w:rPr>
          <w:rFonts w:hint="eastAsia" w:ascii="仿宋" w:hAnsi="仿宋" w:eastAsia="仿宋" w:cs="仿宋"/>
          <w:color w:val="auto"/>
          <w:sz w:val="28"/>
        </w:rPr>
        <w:t>授权代表（签字）：</w:t>
      </w:r>
      <w:r>
        <w:rPr>
          <w:rFonts w:hint="eastAsia" w:ascii="仿宋" w:hAnsi="仿宋" w:eastAsia="仿宋" w:cs="仿宋"/>
          <w:color w:val="auto"/>
          <w:sz w:val="28"/>
          <w:u w:val="single"/>
        </w:rPr>
        <w:tab/>
      </w:r>
    </w:p>
    <w:p w14:paraId="61FC475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日</w:t>
      </w:r>
      <w:r>
        <w:rPr>
          <w:rFonts w:hint="eastAsia" w:ascii="仿宋" w:hAnsi="仿宋" w:eastAsia="仿宋" w:cs="仿宋"/>
          <w:color w:val="auto"/>
          <w:sz w:val="21"/>
        </w:rPr>
        <w:tab/>
      </w:r>
      <w:r>
        <w:rPr>
          <w:rFonts w:hint="eastAsia" w:ascii="仿宋" w:hAnsi="仿宋" w:eastAsia="仿宋" w:cs="仿宋"/>
          <w:color w:val="auto"/>
          <w:sz w:val="21"/>
        </w:rPr>
        <w:t>期：</w:t>
      </w:r>
      <w:r>
        <w:rPr>
          <w:rFonts w:hint="eastAsia" w:ascii="仿宋" w:hAnsi="仿宋" w:eastAsia="仿宋" w:cs="仿宋"/>
          <w:color w:val="auto"/>
          <w:sz w:val="21"/>
        </w:rPr>
        <w:tab/>
      </w:r>
      <w:r>
        <w:rPr>
          <w:rFonts w:hint="eastAsia" w:ascii="仿宋" w:hAnsi="仿宋" w:eastAsia="仿宋" w:cs="仿宋"/>
          <w:color w:val="auto"/>
          <w:sz w:val="21"/>
        </w:rPr>
        <w:t>年</w:t>
      </w:r>
      <w:r>
        <w:rPr>
          <w:rFonts w:hint="eastAsia" w:ascii="仿宋" w:hAnsi="仿宋" w:eastAsia="仿宋" w:cs="仿宋"/>
          <w:color w:val="auto"/>
          <w:sz w:val="21"/>
        </w:rPr>
        <w:tab/>
      </w:r>
      <w:r>
        <w:rPr>
          <w:rFonts w:hint="eastAsia" w:ascii="仿宋" w:hAnsi="仿宋" w:eastAsia="仿宋" w:cs="仿宋"/>
          <w:color w:val="auto"/>
          <w:sz w:val="21"/>
        </w:rPr>
        <w:t>月</w:t>
      </w:r>
      <w:r>
        <w:rPr>
          <w:rFonts w:hint="eastAsia" w:ascii="仿宋" w:hAnsi="仿宋" w:eastAsia="仿宋" w:cs="仿宋"/>
          <w:color w:val="auto"/>
          <w:sz w:val="21"/>
        </w:rPr>
        <w:tab/>
      </w:r>
      <w:r>
        <w:rPr>
          <w:rFonts w:hint="eastAsia" w:ascii="仿宋" w:hAnsi="仿宋" w:eastAsia="仿宋" w:cs="仿宋"/>
          <w:color w:val="auto"/>
          <w:sz w:val="21"/>
        </w:rPr>
        <w:t>日</w:t>
      </w:r>
    </w:p>
    <w:p w14:paraId="494A742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319E95A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45F902D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62C4D4F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1965254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01B3AF00">
      <w:pPr>
        <w:rPr>
          <w:rFonts w:hint="eastAsia" w:ascii="仿宋" w:hAnsi="仿宋" w:eastAsia="仿宋" w:cs="仿宋"/>
          <w:b/>
          <w:color w:val="auto"/>
          <w:sz w:val="32"/>
        </w:rPr>
      </w:pPr>
      <w:r>
        <w:rPr>
          <w:rFonts w:hint="eastAsia" w:ascii="仿宋" w:hAnsi="仿宋" w:eastAsia="仿宋" w:cs="仿宋"/>
          <w:b/>
          <w:color w:val="auto"/>
          <w:sz w:val="32"/>
        </w:rPr>
        <w:br w:type="page"/>
      </w:r>
    </w:p>
    <w:p w14:paraId="34BB398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32"/>
        </w:rPr>
        <w:t>八、施工组织方案</w:t>
      </w:r>
    </w:p>
    <w:p w14:paraId="3937D53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b/>
          <w:color w:val="auto"/>
          <w:sz w:val="21"/>
        </w:rPr>
        <w:t>（包括但不限制于：实施进度计划编制方案，施工质量保证措施方案，难点、重点及合理化建议方案，安全、文明施工措施方案、技术要求、工艺要求、环保措施、质保期限等，未提供施工方案，作无效响应文件处理。（方案不做评分，进场后需报监理及采购人审批通过，后期作为成交供应商现场实施依据。）</w:t>
      </w:r>
    </w:p>
    <w:p w14:paraId="0597FA6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0767A87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2D65AEC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0E11AA3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71F3F0A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78B80B6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6D86019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7C5DB4F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5309A12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184C520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7B3DFE5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2E0E7D0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7C2BBE0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7F22786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067775C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0294C36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27AF7BE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00E5434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68DFE51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3C23EFA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5A5AC27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02D1ECE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3376FDF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7D9C1E7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1C0A689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54A18BE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2738A961">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59435DC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rPr>
      </w:pPr>
      <w:r>
        <w:rPr>
          <w:rFonts w:hint="eastAsia" w:ascii="仿宋" w:hAnsi="仿宋" w:eastAsia="仿宋" w:cs="仿宋"/>
          <w:color w:val="auto"/>
          <w:sz w:val="21"/>
        </w:rPr>
        <w:t> </w:t>
      </w:r>
    </w:p>
    <w:p w14:paraId="645FBA96">
      <w:pPr>
        <w:rPr>
          <w:rFonts w:hint="eastAsia" w:ascii="仿宋" w:hAnsi="仿宋" w:eastAsia="仿宋" w:cs="仿宋"/>
          <w:b/>
          <w:color w:val="auto"/>
          <w:sz w:val="22"/>
          <w:szCs w:val="22"/>
        </w:rPr>
      </w:pPr>
      <w:r>
        <w:rPr>
          <w:rFonts w:hint="eastAsia" w:ascii="仿宋" w:hAnsi="仿宋" w:eastAsia="仿宋" w:cs="仿宋"/>
          <w:b/>
          <w:color w:val="auto"/>
          <w:sz w:val="22"/>
          <w:szCs w:val="22"/>
        </w:rPr>
        <w:br w:type="page"/>
      </w:r>
    </w:p>
    <w:p w14:paraId="5D74268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仿宋" w:hAnsi="仿宋" w:eastAsia="仿宋" w:cs="仿宋"/>
          <w:color w:val="auto"/>
          <w:sz w:val="22"/>
          <w:szCs w:val="22"/>
        </w:rPr>
      </w:pPr>
      <w:r>
        <w:rPr>
          <w:rFonts w:hint="eastAsia" w:ascii="仿宋" w:hAnsi="仿宋" w:eastAsia="仿宋" w:cs="仿宋"/>
          <w:b/>
          <w:color w:val="auto"/>
          <w:sz w:val="22"/>
          <w:szCs w:val="22"/>
        </w:rPr>
        <w:t>九、其他供应商认为有必要的证明材料 （如有自拟并自行添加）</w:t>
      </w:r>
    </w:p>
    <w:p w14:paraId="46A2DC6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仿宋" w:hAnsi="仿宋" w:eastAsia="仿宋" w:cs="仿宋"/>
          <w:color w:val="auto"/>
        </w:rPr>
      </w:pPr>
      <w:r>
        <w:rPr>
          <w:rFonts w:hint="eastAsia" w:ascii="仿宋" w:hAnsi="仿宋" w:eastAsia="仿宋" w:cs="仿宋"/>
          <w:b/>
          <w:color w:val="auto"/>
          <w:sz w:val="32"/>
        </w:rPr>
        <w:t> </w:t>
      </w:r>
    </w:p>
    <w:p w14:paraId="59652233">
      <w:pPr>
        <w:rPr>
          <w:rFonts w:hint="eastAsia" w:ascii="仿宋" w:hAnsi="仿宋" w:eastAsia="仿宋" w:cs="仿宋"/>
          <w:color w:val="auto"/>
        </w:rPr>
      </w:pPr>
    </w:p>
    <w:sectPr>
      <w:footerReference r:id="rId3"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7C1C9">
    <w:pPr>
      <w:pStyle w:val="315"/>
      <w:jc w:val="center"/>
    </w:pPr>
    <w:r>
      <w:fldChar w:fldCharType="begin"/>
    </w:r>
    <w:r>
      <w:instrText xml:space="preserve">PAGE   \* MERGEFORMAT</w:instrText>
    </w:r>
    <w:r>
      <w:fldChar w:fldCharType="separate"/>
    </w:r>
    <w:r>
      <w:rPr>
        <w:lang w:val="zh-CN"/>
      </w:rPr>
      <w:t>52</w:t>
    </w:r>
    <w:r>
      <w:fldChar w:fldCharType="end"/>
    </w:r>
  </w:p>
  <w:p w14:paraId="10741561">
    <w:pPr>
      <w:pStyle w:val="3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pStyle w:val="33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bullet"/>
      <w:pStyle w:val="11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3D62ECE"/>
    <w:multiLevelType w:val="multilevel"/>
    <w:tmpl w:val="03D62ECE"/>
    <w:lvl w:ilvl="0" w:tentative="0">
      <w:start w:val="2"/>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3">
    <w:nsid w:val="12005272"/>
    <w:multiLevelType w:val="singleLevel"/>
    <w:tmpl w:val="12005272"/>
    <w:lvl w:ilvl="0" w:tentative="0">
      <w:start w:val="1"/>
      <w:numFmt w:val="decimal"/>
      <w:suff w:val="nothing"/>
      <w:lvlText w:val="（%1）"/>
      <w:lvlJc w:val="left"/>
    </w:lvl>
  </w:abstractNum>
  <w:abstractNum w:abstractNumId="4">
    <w:nsid w:val="418B7AD0"/>
    <w:multiLevelType w:val="singleLevel"/>
    <w:tmpl w:val="418B7AD0"/>
    <w:lvl w:ilvl="0" w:tentative="0">
      <w:start w:val="1"/>
      <w:numFmt w:val="decimal"/>
      <w:suff w:val="nothing"/>
      <w:lvlText w:val="%1．"/>
      <w:lvlJc w:val="left"/>
      <w:pPr>
        <w:ind w:left="0" w:firstLine="400"/>
      </w:pPr>
      <w:rPr>
        <w:rFonts w:hint="default"/>
      </w:rPr>
    </w:lvl>
  </w:abstractNum>
  <w:abstractNum w:abstractNumId="5">
    <w:nsid w:val="51E454C2"/>
    <w:multiLevelType w:val="multilevel"/>
    <w:tmpl w:val="51E454C2"/>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421CE"/>
    <w:rsid w:val="09207E94"/>
    <w:rsid w:val="0C271088"/>
    <w:rsid w:val="0CF808E8"/>
    <w:rsid w:val="12A91154"/>
    <w:rsid w:val="14C91E0F"/>
    <w:rsid w:val="16634263"/>
    <w:rsid w:val="19D81252"/>
    <w:rsid w:val="1E2470E3"/>
    <w:rsid w:val="20A85595"/>
    <w:rsid w:val="211D3C0E"/>
    <w:rsid w:val="21617136"/>
    <w:rsid w:val="23840C57"/>
    <w:rsid w:val="272B2B45"/>
    <w:rsid w:val="2936586D"/>
    <w:rsid w:val="2AE04606"/>
    <w:rsid w:val="2C5463D5"/>
    <w:rsid w:val="2D853E99"/>
    <w:rsid w:val="392E030F"/>
    <w:rsid w:val="3B42672C"/>
    <w:rsid w:val="444412C1"/>
    <w:rsid w:val="497E686B"/>
    <w:rsid w:val="49F66B3A"/>
    <w:rsid w:val="52933920"/>
    <w:rsid w:val="599314F8"/>
    <w:rsid w:val="5CA2275C"/>
    <w:rsid w:val="601A09BC"/>
    <w:rsid w:val="64D17674"/>
    <w:rsid w:val="67641D4E"/>
    <w:rsid w:val="67C107F4"/>
    <w:rsid w:val="6A2D20CD"/>
    <w:rsid w:val="6AC071ED"/>
    <w:rsid w:val="6C3F7744"/>
    <w:rsid w:val="6EE45C9C"/>
    <w:rsid w:val="737766BD"/>
    <w:rsid w:val="799779AF"/>
    <w:rsid w:val="79A16240"/>
    <w:rsid w:val="7C0D0E50"/>
    <w:rsid w:val="7E3523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6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等线" w:hAnsi="等线" w:eastAsia="等线" w:cs="Arial"/>
      <w:b/>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autoSpaceDE w:val="0"/>
      <w:autoSpaceDN w:val="0"/>
      <w:jc w:val="left"/>
    </w:pPr>
    <w:rPr>
      <w:rFonts w:ascii="宋体" w:hAnsi="宋体" w:eastAsia="宋体" w:cs="宋体"/>
      <w:kern w:val="0"/>
      <w:sz w:val="22"/>
      <w:lang w:val="zh-CN" w:bidi="zh-CN"/>
    </w:rPr>
  </w:style>
  <w:style w:type="paragraph" w:styleId="15">
    <w:name w:val="Body Text"/>
    <w:basedOn w:val="1"/>
    <w:qFormat/>
    <w:uiPriority w:val="0"/>
    <w:pPr>
      <w:autoSpaceDE w:val="0"/>
      <w:autoSpaceDN w:val="0"/>
      <w:ind w:left="618"/>
      <w:jc w:val="left"/>
    </w:pPr>
    <w:rPr>
      <w:rFonts w:ascii="宋体" w:hAnsi="宋体" w:eastAsia="宋体" w:cs="宋体"/>
      <w:kern w:val="0"/>
      <w:sz w:val="24"/>
      <w:szCs w:val="24"/>
      <w:lang w:val="zh-CN" w:bidi="zh-CN"/>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semiHidden/>
    <w:unhideWhenUsed/>
    <w:qFormat/>
    <w:uiPriority w:val="99"/>
    <w:pPr>
      <w:spacing w:after="0" w:line="240" w:lineRule="auto"/>
    </w:pPr>
    <w:rPr>
      <w:sz w:val="20"/>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w:basedOn w:val="15"/>
    <w:next w:val="1"/>
    <w:unhideWhenUsed/>
    <w:qFormat/>
    <w:uiPriority w:val="99"/>
    <w:pPr>
      <w:autoSpaceDE/>
      <w:autoSpaceDN/>
      <w:spacing w:after="120"/>
      <w:ind w:left="0" w:firstLine="420" w:firstLineChars="100"/>
      <w:jc w:val="both"/>
    </w:pPr>
    <w:rPr>
      <w:rFonts w:ascii="等线" w:hAnsi="等线" w:eastAsia="等线" w:cs="Times New Roman"/>
      <w:kern w:val="2"/>
      <w:sz w:val="21"/>
      <w:szCs w:val="22"/>
      <w:lang w:val="en-US" w:bidi="ar-SA"/>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bCs/>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basedOn w:val="35"/>
    <w:unhideWhenUsed/>
    <w:qFormat/>
    <w:uiPriority w:val="99"/>
    <w:rPr>
      <w:sz w:val="21"/>
      <w:szCs w:val="21"/>
    </w:rPr>
  </w:style>
  <w:style w:type="character" w:styleId="40">
    <w:name w:val="footnote reference"/>
    <w:unhideWhenUsed/>
    <w:qFormat/>
    <w:uiPriority w:val="99"/>
    <w:rPr>
      <w:vertAlign w:val="superscript"/>
    </w:rPr>
  </w:style>
  <w:style w:type="paragraph" w:styleId="41">
    <w:name w:val="List Paragraph"/>
    <w:basedOn w:val="1"/>
    <w:next w:val="1"/>
    <w:qFormat/>
    <w:uiPriority w:val="34"/>
    <w:pPr>
      <w:ind w:left="720"/>
      <w:contextualSpacing/>
    </w:pPr>
  </w:style>
  <w:style w:type="paragraph" w:styleId="42">
    <w:name w:val="No Spacing"/>
    <w:qFormat/>
    <w:uiPriority w:val="1"/>
    <w:pPr>
      <w:spacing w:before="0" w:after="0" w:line="240" w:lineRule="auto"/>
    </w:pPr>
    <w:rPr>
      <w:rFonts w:hint="default" w:ascii="Times New Roman" w:hAnsi="Times New Roman" w:eastAsia="宋体" w:cs="Times New Roman"/>
    </w:rPr>
  </w:style>
  <w:style w:type="paragraph" w:styleId="43">
    <w:name w:val="Quote"/>
    <w:basedOn w:val="1"/>
    <w:next w:val="1"/>
    <w:qFormat/>
    <w:uiPriority w:val="29"/>
    <w:pPr>
      <w:ind w:left="720" w:right="720"/>
    </w:pPr>
    <w:rPr>
      <w:i/>
    </w:rPr>
  </w:style>
  <w:style w:type="paragraph" w:styleId="4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5">
    <w:name w:val="标题 111"/>
    <w:basedOn w:val="1"/>
    <w:next w:val="1"/>
    <w:link w:val="57"/>
    <w:qFormat/>
    <w:uiPriority w:val="9"/>
    <w:pPr>
      <w:keepNext/>
      <w:keepLines/>
      <w:spacing w:before="480" w:after="200"/>
      <w:outlineLvl w:val="0"/>
    </w:pPr>
    <w:rPr>
      <w:rFonts w:ascii="Arial" w:hAnsi="Arial" w:eastAsia="Arial" w:cs="Arial"/>
      <w:sz w:val="40"/>
      <w:szCs w:val="40"/>
    </w:rPr>
  </w:style>
  <w:style w:type="paragraph" w:customStyle="1" w:styleId="46">
    <w:name w:val="标题 211"/>
    <w:basedOn w:val="1"/>
    <w:next w:val="1"/>
    <w:link w:val="58"/>
    <w:qFormat/>
    <w:uiPriority w:val="9"/>
    <w:pPr>
      <w:keepNext/>
      <w:keepLines/>
      <w:spacing w:before="360" w:after="200"/>
      <w:outlineLvl w:val="1"/>
    </w:pPr>
    <w:rPr>
      <w:rFonts w:ascii="Arial" w:hAnsi="Arial" w:eastAsia="Arial" w:cs="Arial"/>
      <w:sz w:val="34"/>
    </w:rPr>
  </w:style>
  <w:style w:type="paragraph" w:customStyle="1" w:styleId="47">
    <w:name w:val="标题 312"/>
    <w:basedOn w:val="1"/>
    <w:next w:val="48"/>
    <w:link w:val="59"/>
    <w:qFormat/>
    <w:uiPriority w:val="9"/>
    <w:pPr>
      <w:keepNext/>
      <w:keepLines/>
      <w:spacing w:before="320" w:after="200"/>
      <w:outlineLvl w:val="2"/>
    </w:pPr>
    <w:rPr>
      <w:rFonts w:ascii="Arial" w:hAnsi="Arial" w:eastAsia="Arial" w:cs="Arial"/>
      <w:sz w:val="30"/>
      <w:szCs w:val="30"/>
    </w:rPr>
  </w:style>
  <w:style w:type="paragraph" w:customStyle="1" w:styleId="48">
    <w:name w:val="正文缩进11"/>
    <w:basedOn w:val="1"/>
    <w:qFormat/>
    <w:uiPriority w:val="0"/>
    <w:pPr>
      <w:spacing w:line="360" w:lineRule="atLeast"/>
      <w:ind w:firstLine="482"/>
    </w:pPr>
    <w:rPr>
      <w:sz w:val="24"/>
      <w:szCs w:val="20"/>
    </w:rPr>
  </w:style>
  <w:style w:type="paragraph" w:customStyle="1" w:styleId="49">
    <w:name w:val="标题 4111"/>
    <w:basedOn w:val="1"/>
    <w:next w:val="1"/>
    <w:link w:val="60"/>
    <w:qFormat/>
    <w:uiPriority w:val="9"/>
    <w:pPr>
      <w:keepNext/>
      <w:keepLines/>
      <w:spacing w:before="320" w:after="200"/>
      <w:outlineLvl w:val="3"/>
    </w:pPr>
    <w:rPr>
      <w:rFonts w:ascii="Arial" w:hAnsi="Arial" w:eastAsia="Arial" w:cs="Arial"/>
      <w:b/>
      <w:bCs/>
      <w:sz w:val="26"/>
      <w:szCs w:val="26"/>
    </w:rPr>
  </w:style>
  <w:style w:type="paragraph" w:customStyle="1" w:styleId="50">
    <w:name w:val="标题 51"/>
    <w:basedOn w:val="1"/>
    <w:next w:val="1"/>
    <w:link w:val="61"/>
    <w:qFormat/>
    <w:uiPriority w:val="9"/>
    <w:pPr>
      <w:keepNext/>
      <w:keepLines/>
      <w:spacing w:before="320" w:after="200"/>
      <w:outlineLvl w:val="4"/>
    </w:pPr>
    <w:rPr>
      <w:rFonts w:ascii="Arial" w:hAnsi="Arial" w:eastAsia="Arial" w:cs="Arial"/>
      <w:b/>
      <w:bCs/>
      <w:sz w:val="24"/>
      <w:szCs w:val="24"/>
    </w:rPr>
  </w:style>
  <w:style w:type="paragraph" w:customStyle="1" w:styleId="51">
    <w:name w:val="标题 61"/>
    <w:basedOn w:val="1"/>
    <w:next w:val="1"/>
    <w:link w:val="62"/>
    <w:qFormat/>
    <w:uiPriority w:val="9"/>
    <w:pPr>
      <w:keepNext/>
      <w:keepLines/>
      <w:spacing w:before="320" w:after="200"/>
      <w:outlineLvl w:val="5"/>
    </w:pPr>
    <w:rPr>
      <w:rFonts w:ascii="Arial" w:hAnsi="Arial" w:eastAsia="Arial" w:cs="Arial"/>
      <w:b/>
      <w:bCs/>
      <w:sz w:val="22"/>
    </w:rPr>
  </w:style>
  <w:style w:type="paragraph" w:customStyle="1" w:styleId="52">
    <w:name w:val="标题 71"/>
    <w:basedOn w:val="1"/>
    <w:next w:val="1"/>
    <w:link w:val="63"/>
    <w:qFormat/>
    <w:uiPriority w:val="9"/>
    <w:pPr>
      <w:keepNext/>
      <w:keepLines/>
      <w:spacing w:before="320" w:after="200"/>
      <w:outlineLvl w:val="6"/>
    </w:pPr>
    <w:rPr>
      <w:rFonts w:ascii="Arial" w:hAnsi="Arial" w:eastAsia="Arial" w:cs="Arial"/>
      <w:b/>
      <w:bCs/>
      <w:i/>
      <w:iCs/>
      <w:sz w:val="22"/>
    </w:rPr>
  </w:style>
  <w:style w:type="paragraph" w:customStyle="1" w:styleId="53">
    <w:name w:val="标题 81"/>
    <w:basedOn w:val="1"/>
    <w:next w:val="1"/>
    <w:link w:val="64"/>
    <w:qFormat/>
    <w:uiPriority w:val="9"/>
    <w:pPr>
      <w:keepNext/>
      <w:keepLines/>
      <w:spacing w:before="320" w:after="200"/>
      <w:outlineLvl w:val="7"/>
    </w:pPr>
    <w:rPr>
      <w:rFonts w:ascii="Arial" w:hAnsi="Arial" w:eastAsia="Arial" w:cs="Arial"/>
      <w:i/>
      <w:iCs/>
      <w:sz w:val="22"/>
    </w:rPr>
  </w:style>
  <w:style w:type="paragraph" w:customStyle="1" w:styleId="54">
    <w:name w:val="标题 91"/>
    <w:basedOn w:val="1"/>
    <w:next w:val="1"/>
    <w:link w:val="65"/>
    <w:qFormat/>
    <w:uiPriority w:val="9"/>
    <w:pPr>
      <w:keepNext/>
      <w:keepLines/>
      <w:spacing w:before="320" w:after="200"/>
      <w:outlineLvl w:val="8"/>
    </w:pPr>
    <w:rPr>
      <w:rFonts w:ascii="Arial" w:hAnsi="Arial" w:eastAsia="Arial" w:cs="Arial"/>
      <w:i/>
      <w:iCs/>
      <w:szCs w:val="21"/>
    </w:rPr>
  </w:style>
  <w:style w:type="character" w:customStyle="1" w:styleId="55">
    <w:name w:val="默认段落字体11"/>
    <w:link w:val="1"/>
    <w:unhideWhenUsed/>
    <w:qFormat/>
    <w:uiPriority w:val="1"/>
  </w:style>
  <w:style w:type="table" w:customStyle="1" w:styleId="56">
    <w:name w:val="普通表格11"/>
    <w:unhideWhenUsed/>
    <w:qFormat/>
    <w:uiPriority w:val="99"/>
  </w:style>
  <w:style w:type="character" w:customStyle="1" w:styleId="57">
    <w:name w:val="标题 1 字符"/>
    <w:link w:val="45"/>
    <w:qFormat/>
    <w:uiPriority w:val="9"/>
    <w:rPr>
      <w:rFonts w:ascii="Arial" w:hAnsi="Arial" w:eastAsia="Arial" w:cs="Arial"/>
      <w:sz w:val="40"/>
      <w:szCs w:val="40"/>
    </w:rPr>
  </w:style>
  <w:style w:type="character" w:customStyle="1" w:styleId="58">
    <w:name w:val="标题 2 字符"/>
    <w:link w:val="46"/>
    <w:qFormat/>
    <w:uiPriority w:val="9"/>
    <w:rPr>
      <w:rFonts w:ascii="Arial" w:hAnsi="Arial" w:eastAsia="Arial" w:cs="Arial"/>
      <w:sz w:val="34"/>
    </w:rPr>
  </w:style>
  <w:style w:type="character" w:customStyle="1" w:styleId="59">
    <w:name w:val="标题 3 字符1"/>
    <w:link w:val="47"/>
    <w:qFormat/>
    <w:uiPriority w:val="9"/>
    <w:rPr>
      <w:rFonts w:ascii="Arial" w:hAnsi="Arial" w:eastAsia="Arial" w:cs="Arial"/>
      <w:sz w:val="30"/>
      <w:szCs w:val="30"/>
    </w:rPr>
  </w:style>
  <w:style w:type="character" w:customStyle="1" w:styleId="60">
    <w:name w:val="标题 4 字符"/>
    <w:link w:val="49"/>
    <w:qFormat/>
    <w:uiPriority w:val="9"/>
    <w:rPr>
      <w:rFonts w:ascii="Arial" w:hAnsi="Arial" w:eastAsia="Arial" w:cs="Arial"/>
      <w:b/>
      <w:bCs/>
      <w:sz w:val="26"/>
      <w:szCs w:val="26"/>
    </w:rPr>
  </w:style>
  <w:style w:type="character" w:customStyle="1" w:styleId="61">
    <w:name w:val="标题 5 字符"/>
    <w:link w:val="50"/>
    <w:qFormat/>
    <w:uiPriority w:val="9"/>
    <w:rPr>
      <w:rFonts w:ascii="Arial" w:hAnsi="Arial" w:eastAsia="Arial" w:cs="Arial"/>
      <w:b/>
      <w:bCs/>
      <w:sz w:val="24"/>
      <w:szCs w:val="24"/>
    </w:rPr>
  </w:style>
  <w:style w:type="character" w:customStyle="1" w:styleId="62">
    <w:name w:val="标题 6 字符"/>
    <w:link w:val="51"/>
    <w:qFormat/>
    <w:uiPriority w:val="9"/>
    <w:rPr>
      <w:rFonts w:ascii="Arial" w:hAnsi="Arial" w:eastAsia="Arial" w:cs="Arial"/>
      <w:b/>
      <w:bCs/>
      <w:sz w:val="22"/>
      <w:szCs w:val="22"/>
    </w:rPr>
  </w:style>
  <w:style w:type="character" w:customStyle="1" w:styleId="63">
    <w:name w:val="标题 7 字符"/>
    <w:link w:val="52"/>
    <w:qFormat/>
    <w:uiPriority w:val="9"/>
    <w:rPr>
      <w:rFonts w:ascii="Arial" w:hAnsi="Arial" w:eastAsia="Arial" w:cs="Arial"/>
      <w:b/>
      <w:bCs/>
      <w:i/>
      <w:iCs/>
      <w:sz w:val="22"/>
      <w:szCs w:val="22"/>
    </w:rPr>
  </w:style>
  <w:style w:type="character" w:customStyle="1" w:styleId="64">
    <w:name w:val="标题 8 字符"/>
    <w:link w:val="53"/>
    <w:qFormat/>
    <w:uiPriority w:val="9"/>
    <w:rPr>
      <w:rFonts w:ascii="Arial" w:hAnsi="Arial" w:eastAsia="Arial" w:cs="Arial"/>
      <w:i/>
      <w:iCs/>
      <w:sz w:val="22"/>
      <w:szCs w:val="22"/>
    </w:rPr>
  </w:style>
  <w:style w:type="character" w:customStyle="1" w:styleId="65">
    <w:name w:val="标题 9 字符"/>
    <w:link w:val="54"/>
    <w:qFormat/>
    <w:uiPriority w:val="9"/>
    <w:rPr>
      <w:rFonts w:ascii="Arial" w:hAnsi="Arial" w:eastAsia="Arial" w:cs="Arial"/>
      <w:i/>
      <w:iCs/>
      <w:sz w:val="21"/>
      <w:szCs w:val="21"/>
    </w:rPr>
  </w:style>
  <w:style w:type="paragraph" w:customStyle="1" w:styleId="66">
    <w:name w:val="目录 71"/>
    <w:basedOn w:val="1"/>
    <w:next w:val="1"/>
    <w:unhideWhenUsed/>
    <w:qFormat/>
    <w:uiPriority w:val="39"/>
    <w:pPr>
      <w:spacing w:after="57"/>
      <w:ind w:left="1701"/>
    </w:pPr>
  </w:style>
  <w:style w:type="paragraph" w:customStyle="1" w:styleId="67">
    <w:name w:val="题注1"/>
    <w:basedOn w:val="1"/>
    <w:next w:val="1"/>
    <w:qFormat/>
    <w:uiPriority w:val="35"/>
    <w:pPr>
      <w:spacing w:line="276" w:lineRule="auto"/>
    </w:pPr>
    <w:rPr>
      <w:b/>
      <w:bCs/>
      <w:color w:val="4F81BD"/>
      <w:sz w:val="18"/>
      <w:szCs w:val="18"/>
    </w:rPr>
  </w:style>
  <w:style w:type="paragraph" w:customStyle="1" w:styleId="68">
    <w:name w:val="批注文字11"/>
    <w:basedOn w:val="1"/>
    <w:link w:val="69"/>
    <w:unhideWhenUsed/>
    <w:qFormat/>
    <w:uiPriority w:val="99"/>
    <w:pPr>
      <w:jc w:val="left"/>
    </w:pPr>
  </w:style>
  <w:style w:type="character" w:customStyle="1" w:styleId="69">
    <w:name w:val="批注文字 字符"/>
    <w:link w:val="68"/>
    <w:qFormat/>
    <w:uiPriority w:val="99"/>
    <w:rPr>
      <w:sz w:val="21"/>
      <w:szCs w:val="22"/>
    </w:rPr>
  </w:style>
  <w:style w:type="paragraph" w:customStyle="1" w:styleId="70">
    <w:name w:val="正文文本12"/>
    <w:basedOn w:val="1"/>
    <w:qFormat/>
    <w:uiPriority w:val="0"/>
    <w:rPr>
      <w:rFonts w:ascii="楷体_GB2312" w:hAnsi="Arial" w:eastAsia="楷体_GB2312"/>
      <w:sz w:val="28"/>
      <w:szCs w:val="28"/>
    </w:rPr>
  </w:style>
  <w:style w:type="paragraph" w:customStyle="1" w:styleId="71">
    <w:name w:val="正文文本缩进11"/>
    <w:basedOn w:val="1"/>
    <w:next w:val="72"/>
    <w:unhideWhenUsed/>
    <w:qFormat/>
    <w:uiPriority w:val="99"/>
    <w:pPr>
      <w:spacing w:after="120"/>
      <w:ind w:left="420"/>
    </w:pPr>
  </w:style>
  <w:style w:type="paragraph" w:customStyle="1" w:styleId="72">
    <w:name w:val="寄信人地址11"/>
    <w:basedOn w:val="1"/>
    <w:unhideWhenUsed/>
    <w:qFormat/>
    <w:uiPriority w:val="99"/>
    <w:rPr>
      <w:rFonts w:ascii="Arial" w:hAnsi="Arial"/>
    </w:rPr>
  </w:style>
  <w:style w:type="paragraph" w:customStyle="1" w:styleId="73">
    <w:name w:val="目录 51"/>
    <w:basedOn w:val="1"/>
    <w:next w:val="1"/>
    <w:unhideWhenUsed/>
    <w:qFormat/>
    <w:uiPriority w:val="39"/>
    <w:pPr>
      <w:spacing w:after="57"/>
      <w:ind w:left="1134"/>
    </w:pPr>
  </w:style>
  <w:style w:type="paragraph" w:customStyle="1" w:styleId="74">
    <w:name w:val="目录 31"/>
    <w:basedOn w:val="1"/>
    <w:next w:val="1"/>
    <w:unhideWhenUsed/>
    <w:qFormat/>
    <w:uiPriority w:val="39"/>
    <w:pPr>
      <w:spacing w:after="57"/>
      <w:ind w:left="567"/>
    </w:pPr>
  </w:style>
  <w:style w:type="paragraph" w:customStyle="1" w:styleId="75">
    <w:name w:val="纯文本11"/>
    <w:basedOn w:val="1"/>
    <w:qFormat/>
    <w:uiPriority w:val="0"/>
    <w:rPr>
      <w:rFonts w:ascii="宋体" w:hAnsi="Courier New"/>
      <w:sz w:val="20"/>
      <w:szCs w:val="21"/>
    </w:rPr>
  </w:style>
  <w:style w:type="paragraph" w:customStyle="1" w:styleId="76">
    <w:name w:val="目录 81"/>
    <w:basedOn w:val="1"/>
    <w:next w:val="1"/>
    <w:unhideWhenUsed/>
    <w:qFormat/>
    <w:uiPriority w:val="39"/>
    <w:pPr>
      <w:spacing w:after="57"/>
      <w:ind w:left="1984"/>
    </w:pPr>
  </w:style>
  <w:style w:type="paragraph" w:customStyle="1" w:styleId="77">
    <w:name w:val="正文文本缩进 21"/>
    <w:basedOn w:val="1"/>
    <w:qFormat/>
    <w:uiPriority w:val="99"/>
    <w:pPr>
      <w:spacing w:line="480" w:lineRule="exact"/>
      <w:ind w:firstLine="562"/>
    </w:pPr>
    <w:rPr>
      <w:rFonts w:ascii="楷体_GB2312" w:eastAsia="楷体_GB2312"/>
      <w:b/>
      <w:bCs/>
      <w:sz w:val="28"/>
      <w:szCs w:val="24"/>
    </w:rPr>
  </w:style>
  <w:style w:type="paragraph" w:customStyle="1" w:styleId="78">
    <w:name w:val="尾注文本1"/>
    <w:basedOn w:val="1"/>
    <w:link w:val="79"/>
    <w:unhideWhenUsed/>
    <w:qFormat/>
    <w:uiPriority w:val="99"/>
    <w:rPr>
      <w:sz w:val="20"/>
    </w:rPr>
  </w:style>
  <w:style w:type="character" w:customStyle="1" w:styleId="79">
    <w:name w:val="尾注文本 字符"/>
    <w:link w:val="78"/>
    <w:qFormat/>
    <w:uiPriority w:val="99"/>
    <w:rPr>
      <w:sz w:val="20"/>
    </w:rPr>
  </w:style>
  <w:style w:type="paragraph" w:customStyle="1" w:styleId="80">
    <w:name w:val="批注框文本11"/>
    <w:basedOn w:val="1"/>
    <w:link w:val="81"/>
    <w:unhideWhenUsed/>
    <w:qFormat/>
    <w:uiPriority w:val="99"/>
    <w:rPr>
      <w:sz w:val="18"/>
      <w:szCs w:val="18"/>
    </w:rPr>
  </w:style>
  <w:style w:type="character" w:customStyle="1" w:styleId="81">
    <w:name w:val="批注框文本 字符"/>
    <w:link w:val="80"/>
    <w:semiHidden/>
    <w:qFormat/>
    <w:uiPriority w:val="99"/>
    <w:rPr>
      <w:sz w:val="18"/>
      <w:szCs w:val="18"/>
    </w:rPr>
  </w:style>
  <w:style w:type="paragraph" w:customStyle="1" w:styleId="82">
    <w:name w:val="页脚11"/>
    <w:basedOn w:val="1"/>
    <w:link w:val="83"/>
    <w:unhideWhenUsed/>
    <w:qFormat/>
    <w:uiPriority w:val="99"/>
    <w:pPr>
      <w:tabs>
        <w:tab w:val="center" w:pos="7143"/>
        <w:tab w:val="right" w:pos="14287"/>
      </w:tabs>
    </w:pPr>
  </w:style>
  <w:style w:type="character" w:customStyle="1" w:styleId="83">
    <w:name w:val="页脚 字符"/>
    <w:link w:val="82"/>
    <w:qFormat/>
    <w:uiPriority w:val="99"/>
  </w:style>
  <w:style w:type="paragraph" w:customStyle="1" w:styleId="84">
    <w:name w:val="页眉11"/>
    <w:basedOn w:val="1"/>
    <w:link w:val="85"/>
    <w:unhideWhenUsed/>
    <w:qFormat/>
    <w:uiPriority w:val="99"/>
    <w:pPr>
      <w:tabs>
        <w:tab w:val="center" w:pos="7143"/>
        <w:tab w:val="right" w:pos="14287"/>
      </w:tabs>
    </w:pPr>
  </w:style>
  <w:style w:type="character" w:customStyle="1" w:styleId="85">
    <w:name w:val="页眉 字符"/>
    <w:link w:val="84"/>
    <w:qFormat/>
    <w:uiPriority w:val="99"/>
  </w:style>
  <w:style w:type="paragraph" w:customStyle="1" w:styleId="86">
    <w:name w:val="目录 111"/>
    <w:basedOn w:val="1"/>
    <w:next w:val="1"/>
    <w:unhideWhenUsed/>
    <w:qFormat/>
    <w:uiPriority w:val="39"/>
    <w:pPr>
      <w:spacing w:after="57"/>
    </w:pPr>
  </w:style>
  <w:style w:type="paragraph" w:customStyle="1" w:styleId="87">
    <w:name w:val="目录 41"/>
    <w:basedOn w:val="1"/>
    <w:next w:val="1"/>
    <w:unhideWhenUsed/>
    <w:qFormat/>
    <w:uiPriority w:val="39"/>
    <w:pPr>
      <w:spacing w:after="57"/>
      <w:ind w:left="850"/>
    </w:pPr>
  </w:style>
  <w:style w:type="paragraph" w:customStyle="1" w:styleId="88">
    <w:name w:val="副标题1"/>
    <w:basedOn w:val="1"/>
    <w:next w:val="1"/>
    <w:link w:val="89"/>
    <w:qFormat/>
    <w:uiPriority w:val="11"/>
    <w:pPr>
      <w:spacing w:before="200" w:after="200"/>
    </w:pPr>
    <w:rPr>
      <w:sz w:val="24"/>
      <w:szCs w:val="24"/>
    </w:rPr>
  </w:style>
  <w:style w:type="character" w:customStyle="1" w:styleId="89">
    <w:name w:val="副标题 字符"/>
    <w:link w:val="88"/>
    <w:qFormat/>
    <w:uiPriority w:val="11"/>
    <w:rPr>
      <w:sz w:val="24"/>
      <w:szCs w:val="24"/>
    </w:rPr>
  </w:style>
  <w:style w:type="paragraph" w:customStyle="1" w:styleId="90">
    <w:name w:val="脚注文本1"/>
    <w:basedOn w:val="1"/>
    <w:link w:val="91"/>
    <w:unhideWhenUsed/>
    <w:qFormat/>
    <w:uiPriority w:val="99"/>
    <w:pPr>
      <w:spacing w:after="40"/>
    </w:pPr>
    <w:rPr>
      <w:sz w:val="18"/>
    </w:rPr>
  </w:style>
  <w:style w:type="character" w:customStyle="1" w:styleId="91">
    <w:name w:val="脚注文本 字符"/>
    <w:link w:val="90"/>
    <w:qFormat/>
    <w:uiPriority w:val="99"/>
    <w:rPr>
      <w:sz w:val="18"/>
    </w:rPr>
  </w:style>
  <w:style w:type="paragraph" w:customStyle="1" w:styleId="92">
    <w:name w:val="目录 61"/>
    <w:basedOn w:val="1"/>
    <w:next w:val="1"/>
    <w:unhideWhenUsed/>
    <w:qFormat/>
    <w:uiPriority w:val="39"/>
    <w:pPr>
      <w:spacing w:after="57"/>
      <w:ind w:left="1417"/>
    </w:pPr>
  </w:style>
  <w:style w:type="paragraph" w:customStyle="1" w:styleId="93">
    <w:name w:val="图表目录1"/>
    <w:basedOn w:val="1"/>
    <w:next w:val="1"/>
    <w:unhideWhenUsed/>
    <w:qFormat/>
    <w:uiPriority w:val="99"/>
  </w:style>
  <w:style w:type="paragraph" w:customStyle="1" w:styleId="94">
    <w:name w:val="目录 211"/>
    <w:basedOn w:val="1"/>
    <w:next w:val="1"/>
    <w:unhideWhenUsed/>
    <w:qFormat/>
    <w:uiPriority w:val="39"/>
    <w:pPr>
      <w:spacing w:after="57"/>
      <w:ind w:left="283"/>
    </w:pPr>
  </w:style>
  <w:style w:type="paragraph" w:customStyle="1" w:styleId="95">
    <w:name w:val="目录 91"/>
    <w:basedOn w:val="1"/>
    <w:next w:val="1"/>
    <w:unhideWhenUsed/>
    <w:qFormat/>
    <w:uiPriority w:val="39"/>
    <w:pPr>
      <w:spacing w:after="57"/>
      <w:ind w:left="2268"/>
    </w:pPr>
  </w:style>
  <w:style w:type="paragraph" w:customStyle="1" w:styleId="96">
    <w:name w:val="正文文本 211"/>
    <w:basedOn w:val="1"/>
    <w:qFormat/>
    <w:uiPriority w:val="0"/>
    <w:pPr>
      <w:spacing w:after="120" w:line="480" w:lineRule="auto"/>
    </w:pPr>
  </w:style>
  <w:style w:type="paragraph" w:customStyle="1" w:styleId="97">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98">
    <w:name w:val="普通(网站)11"/>
    <w:basedOn w:val="1"/>
    <w:qFormat/>
    <w:uiPriority w:val="0"/>
    <w:pPr>
      <w:widowControl/>
      <w:spacing w:before="100" w:beforeAutospacing="1" w:after="100" w:afterAutospacing="1"/>
      <w:jc w:val="left"/>
    </w:pPr>
    <w:rPr>
      <w:rFonts w:ascii="Verdana" w:hAnsi="Verdana" w:eastAsia="宋体" w:cs="Verdana"/>
      <w:sz w:val="24"/>
      <w:szCs w:val="24"/>
    </w:rPr>
  </w:style>
  <w:style w:type="paragraph" w:customStyle="1" w:styleId="99">
    <w:name w:val="标题1"/>
    <w:basedOn w:val="1"/>
    <w:next w:val="1"/>
    <w:link w:val="100"/>
    <w:qFormat/>
    <w:uiPriority w:val="10"/>
    <w:pPr>
      <w:spacing w:before="300" w:after="200"/>
      <w:contextualSpacing/>
    </w:pPr>
    <w:rPr>
      <w:sz w:val="48"/>
      <w:szCs w:val="48"/>
    </w:rPr>
  </w:style>
  <w:style w:type="character" w:customStyle="1" w:styleId="100">
    <w:name w:val="标题 字符"/>
    <w:link w:val="99"/>
    <w:qFormat/>
    <w:uiPriority w:val="10"/>
    <w:rPr>
      <w:sz w:val="48"/>
      <w:szCs w:val="48"/>
    </w:rPr>
  </w:style>
  <w:style w:type="paragraph" w:customStyle="1" w:styleId="101">
    <w:name w:val="批注主题1"/>
    <w:basedOn w:val="68"/>
    <w:next w:val="68"/>
    <w:link w:val="102"/>
    <w:unhideWhenUsed/>
    <w:qFormat/>
    <w:uiPriority w:val="99"/>
    <w:rPr>
      <w:b/>
      <w:bCs/>
    </w:rPr>
  </w:style>
  <w:style w:type="character" w:customStyle="1" w:styleId="102">
    <w:name w:val="批注主题 字符"/>
    <w:link w:val="101"/>
    <w:semiHidden/>
    <w:qFormat/>
    <w:uiPriority w:val="99"/>
    <w:rPr>
      <w:b/>
      <w:bCs/>
      <w:sz w:val="21"/>
      <w:szCs w:val="22"/>
    </w:rPr>
  </w:style>
  <w:style w:type="paragraph" w:customStyle="1" w:styleId="103">
    <w:name w:val="正文首行缩进 211"/>
    <w:basedOn w:val="104"/>
    <w:next w:val="1"/>
    <w:unhideWhenUsed/>
    <w:qFormat/>
    <w:uiPriority w:val="99"/>
    <w:pPr>
      <w:tabs>
        <w:tab w:val="left" w:pos="0"/>
        <w:tab w:val="left" w:pos="993"/>
        <w:tab w:val="left" w:pos="1134"/>
      </w:tabs>
      <w:ind w:firstLine="420"/>
    </w:pPr>
  </w:style>
  <w:style w:type="paragraph" w:customStyle="1" w:styleId="104">
    <w:name w:val="正文文本缩进1"/>
    <w:basedOn w:val="1"/>
    <w:next w:val="72"/>
    <w:qFormat/>
    <w:uiPriority w:val="0"/>
    <w:pPr>
      <w:tabs>
        <w:tab w:val="left" w:pos="0"/>
        <w:tab w:val="left" w:pos="993"/>
        <w:tab w:val="left" w:pos="1134"/>
      </w:tabs>
      <w:spacing w:line="500" w:lineRule="exact"/>
      <w:ind w:firstLine="567"/>
    </w:pPr>
    <w:rPr>
      <w:rFonts w:ascii="宋体" w:hAnsi="Calibri"/>
      <w:sz w:val="28"/>
    </w:rPr>
  </w:style>
  <w:style w:type="table" w:customStyle="1" w:styleId="105">
    <w:name w:val="网格型1"/>
    <w:qFormat/>
    <w:uiPriority w:val="59"/>
    <w:rPr>
      <w:lang w:val="en-US" w:eastAsia="zh-CN" w:bidi="ar-SA"/>
    </w:rPr>
  </w:style>
  <w:style w:type="character" w:customStyle="1" w:styleId="106">
    <w:name w:val="要点11"/>
    <w:link w:val="1"/>
    <w:qFormat/>
    <w:uiPriority w:val="22"/>
    <w:rPr>
      <w:b/>
    </w:rPr>
  </w:style>
  <w:style w:type="character" w:customStyle="1" w:styleId="107">
    <w:name w:val="尾注引用1"/>
    <w:link w:val="1"/>
    <w:unhideWhenUsed/>
    <w:qFormat/>
    <w:uiPriority w:val="99"/>
    <w:rPr>
      <w:vertAlign w:val="superscript"/>
    </w:rPr>
  </w:style>
  <w:style w:type="character" w:customStyle="1" w:styleId="108">
    <w:name w:val="超链接1"/>
    <w:link w:val="1"/>
    <w:unhideWhenUsed/>
    <w:qFormat/>
    <w:uiPriority w:val="99"/>
    <w:rPr>
      <w:color w:val="0000FF"/>
      <w:u w:val="single"/>
    </w:rPr>
  </w:style>
  <w:style w:type="character" w:customStyle="1" w:styleId="109">
    <w:name w:val="批注引用1"/>
    <w:link w:val="1"/>
    <w:unhideWhenUsed/>
    <w:qFormat/>
    <w:uiPriority w:val="99"/>
    <w:rPr>
      <w:sz w:val="21"/>
      <w:szCs w:val="21"/>
    </w:rPr>
  </w:style>
  <w:style w:type="character" w:customStyle="1" w:styleId="110">
    <w:name w:val="脚注引用1"/>
    <w:link w:val="1"/>
    <w:unhideWhenUsed/>
    <w:qFormat/>
    <w:uiPriority w:val="99"/>
    <w:rPr>
      <w:vertAlign w:val="superscript"/>
    </w:rPr>
  </w:style>
  <w:style w:type="character" w:customStyle="1" w:styleId="111">
    <w:name w:val="默认段落字体1"/>
    <w:link w:val="1"/>
    <w:qFormat/>
    <w:uiPriority w:val="0"/>
    <w:rPr>
      <w:rFonts w:ascii="Times New Roman" w:hAnsi="Times New Roman" w:eastAsia="宋体" w:cs="Times New Roman"/>
    </w:rPr>
  </w:style>
  <w:style w:type="paragraph" w:customStyle="1" w:styleId="112">
    <w:name w:val="标题 311"/>
    <w:basedOn w:val="1"/>
    <w:next w:val="1"/>
    <w:qFormat/>
    <w:uiPriority w:val="0"/>
    <w:pPr>
      <w:keepNext/>
      <w:keepLines/>
      <w:spacing w:before="260" w:after="260" w:line="416" w:lineRule="auto"/>
      <w:outlineLvl w:val="2"/>
    </w:pPr>
    <w:rPr>
      <w:b/>
      <w:sz w:val="32"/>
      <w:szCs w:val="20"/>
    </w:rPr>
  </w:style>
  <w:style w:type="paragraph" w:customStyle="1" w:styleId="113">
    <w:name w:val="TOC Heading"/>
    <w:unhideWhenUsed/>
    <w:qFormat/>
    <w:uiPriority w:val="39"/>
    <w:rPr>
      <w:rFonts w:hint="default" w:ascii="Times New Roman" w:hAnsi="Times New Roman" w:eastAsia="宋体" w:cs="Times New Roman"/>
      <w:lang w:val="en-US" w:eastAsia="zh-CN" w:bidi="ar-SA"/>
    </w:rPr>
  </w:style>
  <w:style w:type="paragraph" w:customStyle="1" w:styleId="114">
    <w:name w:val="文本块1"/>
    <w:basedOn w:val="1"/>
    <w:unhideWhenUsed/>
    <w:qFormat/>
    <w:uiPriority w:val="99"/>
    <w:pPr>
      <w:spacing w:after="120"/>
      <w:ind w:left="1440" w:right="1440"/>
    </w:pPr>
  </w:style>
  <w:style w:type="paragraph" w:customStyle="1" w:styleId="115">
    <w:name w:val="ListBullet21"/>
    <w:basedOn w:val="1"/>
    <w:qFormat/>
    <w:uiPriority w:val="0"/>
    <w:pPr>
      <w:numPr>
        <w:ilvl w:val="0"/>
        <w:numId w:val="1"/>
      </w:numPr>
    </w:pPr>
  </w:style>
  <w:style w:type="paragraph" w:customStyle="1" w:styleId="116">
    <w:name w:val="正文（缩进）"/>
    <w:basedOn w:val="1"/>
    <w:next w:val="117"/>
    <w:qFormat/>
    <w:uiPriority w:val="0"/>
    <w:pPr>
      <w:ind w:firstLine="480"/>
    </w:pPr>
  </w:style>
  <w:style w:type="paragraph" w:customStyle="1" w:styleId="117">
    <w:name w:val="Char Char Char Char Char Char Char Char Char"/>
    <w:basedOn w:val="1"/>
    <w:next w:val="118"/>
    <w:qFormat/>
    <w:uiPriority w:val="99"/>
    <w:pPr>
      <w:ind w:left="360" w:firstLine="5784"/>
    </w:pPr>
  </w:style>
  <w:style w:type="paragraph" w:customStyle="1" w:styleId="118">
    <w:name w:val="正文文本 21"/>
    <w:basedOn w:val="1"/>
    <w:next w:val="119"/>
    <w:qFormat/>
    <w:uiPriority w:val="99"/>
    <w:pPr>
      <w:widowControl/>
      <w:ind w:left="720" w:firstLine="5680"/>
    </w:pPr>
  </w:style>
  <w:style w:type="paragraph" w:customStyle="1" w:styleId="119">
    <w:name w:val="默认段落字体 Para Char Char Char Char Char Char Char"/>
    <w:basedOn w:val="1"/>
    <w:next w:val="120"/>
    <w:qFormat/>
    <w:uiPriority w:val="99"/>
    <w:pPr>
      <w:ind w:firstLine="200"/>
    </w:pPr>
    <w:rPr>
      <w:rFonts w:cs="Arial"/>
    </w:rPr>
  </w:style>
  <w:style w:type="paragraph" w:customStyle="1" w:styleId="120">
    <w:name w:val="样式 首行缩进:  2 字符"/>
    <w:basedOn w:val="1"/>
    <w:next w:val="121"/>
    <w:qFormat/>
    <w:uiPriority w:val="99"/>
    <w:pPr>
      <w:spacing w:line="360" w:lineRule="auto"/>
      <w:ind w:left="480" w:firstLine="5856"/>
    </w:pPr>
  </w:style>
  <w:style w:type="paragraph" w:customStyle="1" w:styleId="121">
    <w:name w:val="样式 段后: 0.25 行"/>
    <w:basedOn w:val="1"/>
    <w:next w:val="122"/>
    <w:qFormat/>
    <w:uiPriority w:val="99"/>
    <w:pPr>
      <w:widowControl/>
      <w:spacing w:line="300" w:lineRule="auto"/>
      <w:ind w:left="420" w:firstLine="5796"/>
    </w:pPr>
  </w:style>
  <w:style w:type="paragraph" w:customStyle="1" w:styleId="122">
    <w:name w:val="正文 New New New New New New New New New New New New New New"/>
    <w:next w:val="95"/>
    <w:qFormat/>
    <w:uiPriority w:val="99"/>
    <w:pPr>
      <w:widowControl w:val="0"/>
      <w:ind w:firstLine="2048"/>
      <w:jc w:val="both"/>
    </w:pPr>
    <w:rPr>
      <w:rFonts w:hint="default" w:ascii="Calibri" w:hAnsi="Calibri" w:eastAsia="宋体" w:cs="Times New Roman"/>
      <w:lang w:val="en-US" w:eastAsia="zh-CN" w:bidi="ar-SA"/>
    </w:rPr>
  </w:style>
  <w:style w:type="character" w:customStyle="1" w:styleId="123">
    <w:name w:val="Heading 1 Char"/>
    <w:link w:val="1"/>
    <w:qFormat/>
    <w:uiPriority w:val="9"/>
    <w:rPr>
      <w:rFonts w:ascii="Arial" w:hAnsi="Arial" w:eastAsia="Arial" w:cs="Arial"/>
      <w:sz w:val="40"/>
      <w:szCs w:val="40"/>
    </w:rPr>
  </w:style>
  <w:style w:type="character" w:customStyle="1" w:styleId="124">
    <w:name w:val="Heading 2 Char"/>
    <w:link w:val="1"/>
    <w:qFormat/>
    <w:uiPriority w:val="9"/>
    <w:rPr>
      <w:rFonts w:ascii="Arial" w:hAnsi="Arial" w:eastAsia="Arial" w:cs="Arial"/>
      <w:sz w:val="34"/>
    </w:rPr>
  </w:style>
  <w:style w:type="character" w:customStyle="1" w:styleId="125">
    <w:name w:val="Heading 3 Char"/>
    <w:link w:val="1"/>
    <w:qFormat/>
    <w:uiPriority w:val="9"/>
    <w:rPr>
      <w:rFonts w:ascii="Arial" w:hAnsi="Arial" w:eastAsia="Arial" w:cs="Arial"/>
      <w:sz w:val="30"/>
      <w:szCs w:val="30"/>
    </w:rPr>
  </w:style>
  <w:style w:type="character" w:customStyle="1" w:styleId="126">
    <w:name w:val="Heading 4 Char"/>
    <w:link w:val="1"/>
    <w:qFormat/>
    <w:uiPriority w:val="9"/>
    <w:rPr>
      <w:rFonts w:ascii="Arial" w:hAnsi="Arial" w:eastAsia="Arial" w:cs="Arial"/>
      <w:b/>
      <w:bCs/>
      <w:sz w:val="26"/>
      <w:szCs w:val="26"/>
    </w:rPr>
  </w:style>
  <w:style w:type="character" w:customStyle="1" w:styleId="127">
    <w:name w:val="Heading 5 Char"/>
    <w:link w:val="1"/>
    <w:qFormat/>
    <w:uiPriority w:val="9"/>
    <w:rPr>
      <w:rFonts w:ascii="Arial" w:hAnsi="Arial" w:eastAsia="Arial" w:cs="Arial"/>
      <w:b/>
      <w:bCs/>
      <w:sz w:val="24"/>
      <w:szCs w:val="24"/>
    </w:rPr>
  </w:style>
  <w:style w:type="character" w:customStyle="1" w:styleId="128">
    <w:name w:val="Heading 6 Char"/>
    <w:link w:val="1"/>
    <w:qFormat/>
    <w:uiPriority w:val="9"/>
    <w:rPr>
      <w:rFonts w:ascii="Arial" w:hAnsi="Arial" w:eastAsia="Arial" w:cs="Arial"/>
      <w:b/>
      <w:bCs/>
      <w:sz w:val="22"/>
      <w:szCs w:val="22"/>
    </w:rPr>
  </w:style>
  <w:style w:type="character" w:customStyle="1" w:styleId="129">
    <w:name w:val="Heading 7 Char"/>
    <w:link w:val="1"/>
    <w:qFormat/>
    <w:uiPriority w:val="9"/>
    <w:rPr>
      <w:rFonts w:ascii="Arial" w:hAnsi="Arial" w:eastAsia="Arial" w:cs="Arial"/>
      <w:b/>
      <w:bCs/>
      <w:i/>
      <w:iCs/>
      <w:sz w:val="22"/>
      <w:szCs w:val="22"/>
    </w:rPr>
  </w:style>
  <w:style w:type="character" w:customStyle="1" w:styleId="130">
    <w:name w:val="Heading 8 Char"/>
    <w:link w:val="1"/>
    <w:qFormat/>
    <w:uiPriority w:val="9"/>
    <w:rPr>
      <w:rFonts w:ascii="Arial" w:hAnsi="Arial" w:eastAsia="Arial" w:cs="Arial"/>
      <w:i/>
      <w:iCs/>
      <w:sz w:val="22"/>
      <w:szCs w:val="22"/>
    </w:rPr>
  </w:style>
  <w:style w:type="character" w:customStyle="1" w:styleId="131">
    <w:name w:val="Heading 9 Char"/>
    <w:link w:val="1"/>
    <w:qFormat/>
    <w:uiPriority w:val="9"/>
    <w:rPr>
      <w:rFonts w:ascii="Arial" w:hAnsi="Arial" w:eastAsia="Arial" w:cs="Arial"/>
      <w:i/>
      <w:iCs/>
      <w:sz w:val="21"/>
      <w:szCs w:val="21"/>
    </w:rPr>
  </w:style>
  <w:style w:type="character" w:customStyle="1" w:styleId="132">
    <w:name w:val="Title Char"/>
    <w:link w:val="1"/>
    <w:qFormat/>
    <w:uiPriority w:val="10"/>
    <w:rPr>
      <w:sz w:val="48"/>
      <w:szCs w:val="48"/>
    </w:rPr>
  </w:style>
  <w:style w:type="character" w:customStyle="1" w:styleId="133">
    <w:name w:val="Subtitle Char"/>
    <w:link w:val="1"/>
    <w:qFormat/>
    <w:uiPriority w:val="11"/>
    <w:rPr>
      <w:sz w:val="24"/>
      <w:szCs w:val="24"/>
    </w:rPr>
  </w:style>
  <w:style w:type="character" w:customStyle="1" w:styleId="134">
    <w:name w:val="Quote Char"/>
    <w:link w:val="1"/>
    <w:qFormat/>
    <w:uiPriority w:val="29"/>
    <w:rPr>
      <w:i/>
    </w:rPr>
  </w:style>
  <w:style w:type="character" w:customStyle="1" w:styleId="135">
    <w:name w:val="Intense Quote Char"/>
    <w:link w:val="1"/>
    <w:qFormat/>
    <w:uiPriority w:val="30"/>
    <w:rPr>
      <w:i/>
    </w:rPr>
  </w:style>
  <w:style w:type="character" w:customStyle="1" w:styleId="136">
    <w:name w:val="Header Char"/>
    <w:link w:val="1"/>
    <w:qFormat/>
    <w:uiPriority w:val="99"/>
  </w:style>
  <w:style w:type="character" w:customStyle="1" w:styleId="137">
    <w:name w:val="Caption Char"/>
    <w:link w:val="1"/>
    <w:qFormat/>
    <w:uiPriority w:val="99"/>
  </w:style>
  <w:style w:type="table" w:customStyle="1" w:styleId="138">
    <w:name w:val="Plain Table 1"/>
    <w:basedOn w:val="56"/>
    <w:qFormat/>
    <w:uiPriority w:val="59"/>
  </w:style>
  <w:style w:type="table" w:customStyle="1" w:styleId="139">
    <w:name w:val="Plain Table 2"/>
    <w:basedOn w:val="56"/>
    <w:qFormat/>
    <w:uiPriority w:val="59"/>
  </w:style>
  <w:style w:type="table" w:customStyle="1" w:styleId="140">
    <w:name w:val="Plain Table 3"/>
    <w:basedOn w:val="56"/>
    <w:qFormat/>
    <w:uiPriority w:val="99"/>
  </w:style>
  <w:style w:type="table" w:customStyle="1" w:styleId="141">
    <w:name w:val="Plain Table 4"/>
    <w:basedOn w:val="56"/>
    <w:qFormat/>
    <w:uiPriority w:val="99"/>
  </w:style>
  <w:style w:type="table" w:customStyle="1" w:styleId="142">
    <w:name w:val="Plain Table 5"/>
    <w:basedOn w:val="56"/>
    <w:qFormat/>
    <w:uiPriority w:val="99"/>
  </w:style>
  <w:style w:type="table" w:customStyle="1" w:styleId="143">
    <w:name w:val="Grid Table 1 Light"/>
    <w:basedOn w:val="56"/>
    <w:qFormat/>
    <w:uiPriority w:val="99"/>
  </w:style>
  <w:style w:type="table" w:customStyle="1" w:styleId="144">
    <w:name w:val="Grid Table 2"/>
    <w:basedOn w:val="56"/>
    <w:qFormat/>
    <w:uiPriority w:val="99"/>
  </w:style>
  <w:style w:type="table" w:customStyle="1" w:styleId="145">
    <w:name w:val="Grid Table 3"/>
    <w:basedOn w:val="56"/>
    <w:qFormat/>
    <w:uiPriority w:val="99"/>
  </w:style>
  <w:style w:type="table" w:customStyle="1" w:styleId="146">
    <w:name w:val="Grid Table 4"/>
    <w:basedOn w:val="56"/>
    <w:qFormat/>
    <w:uiPriority w:val="59"/>
  </w:style>
  <w:style w:type="table" w:customStyle="1" w:styleId="147">
    <w:name w:val="Grid Table 5 Dark"/>
    <w:basedOn w:val="56"/>
    <w:qFormat/>
    <w:uiPriority w:val="99"/>
  </w:style>
  <w:style w:type="table" w:customStyle="1" w:styleId="148">
    <w:name w:val="Grid Table 6 Colorful"/>
    <w:basedOn w:val="56"/>
    <w:qFormat/>
    <w:uiPriority w:val="99"/>
  </w:style>
  <w:style w:type="table" w:customStyle="1" w:styleId="149">
    <w:name w:val="Grid Table 7 Colorful"/>
    <w:basedOn w:val="56"/>
    <w:qFormat/>
    <w:uiPriority w:val="99"/>
  </w:style>
  <w:style w:type="table" w:customStyle="1" w:styleId="150">
    <w:name w:val="List Table 1 Light"/>
    <w:basedOn w:val="56"/>
    <w:qFormat/>
    <w:uiPriority w:val="99"/>
  </w:style>
  <w:style w:type="table" w:customStyle="1" w:styleId="151">
    <w:name w:val="List Table 2"/>
    <w:basedOn w:val="56"/>
    <w:qFormat/>
    <w:uiPriority w:val="99"/>
  </w:style>
  <w:style w:type="table" w:customStyle="1" w:styleId="152">
    <w:name w:val="List Table 3"/>
    <w:basedOn w:val="56"/>
    <w:qFormat/>
    <w:uiPriority w:val="99"/>
  </w:style>
  <w:style w:type="table" w:customStyle="1" w:styleId="153">
    <w:name w:val="List Table 4"/>
    <w:basedOn w:val="56"/>
    <w:qFormat/>
    <w:uiPriority w:val="99"/>
  </w:style>
  <w:style w:type="table" w:customStyle="1" w:styleId="154">
    <w:name w:val="List Table 5 Dark"/>
    <w:basedOn w:val="56"/>
    <w:qFormat/>
    <w:uiPriority w:val="99"/>
  </w:style>
  <w:style w:type="table" w:customStyle="1" w:styleId="155">
    <w:name w:val="List Table 6 Colorful"/>
    <w:basedOn w:val="56"/>
    <w:qFormat/>
    <w:uiPriority w:val="99"/>
  </w:style>
  <w:style w:type="table" w:customStyle="1" w:styleId="156">
    <w:name w:val="List Table 7 Colorful"/>
    <w:basedOn w:val="56"/>
    <w:qFormat/>
    <w:uiPriority w:val="99"/>
  </w:style>
  <w:style w:type="character" w:customStyle="1" w:styleId="157">
    <w:name w:val="Footnote Text Char"/>
    <w:link w:val="1"/>
    <w:qFormat/>
    <w:uiPriority w:val="99"/>
    <w:rPr>
      <w:sz w:val="18"/>
    </w:rPr>
  </w:style>
  <w:style w:type="character" w:customStyle="1" w:styleId="158">
    <w:name w:val="Endnote Text Char"/>
    <w:link w:val="1"/>
    <w:qFormat/>
    <w:uiPriority w:val="99"/>
    <w:rPr>
      <w:sz w:val="20"/>
    </w:rPr>
  </w:style>
  <w:style w:type="paragraph" w:customStyle="1" w:styleId="159">
    <w:name w:val="TOC 标题1"/>
    <w:unhideWhenUsed/>
    <w:qFormat/>
    <w:uiPriority w:val="39"/>
    <w:rPr>
      <w:rFonts w:hint="default" w:ascii="Times New Roman" w:hAnsi="Times New Roman" w:eastAsia="宋体" w:cs="Times New Roman"/>
      <w:lang w:val="en-US" w:eastAsia="zh-CN" w:bidi="ar-SA"/>
    </w:rPr>
  </w:style>
  <w:style w:type="paragraph" w:customStyle="1" w:styleId="160">
    <w:name w:val="列表段落"/>
    <w:basedOn w:val="1"/>
    <w:qFormat/>
    <w:uiPriority w:val="34"/>
    <w:pPr>
      <w:ind w:left="720"/>
      <w:contextualSpacing/>
    </w:pPr>
  </w:style>
  <w:style w:type="paragraph" w:customStyle="1" w:styleId="161">
    <w:name w:val="无间隔"/>
    <w:qFormat/>
    <w:uiPriority w:val="1"/>
    <w:rPr>
      <w:rFonts w:hint="default" w:ascii="Times New Roman" w:hAnsi="Times New Roman" w:eastAsia="宋体" w:cs="Times New Roman"/>
      <w:lang w:val="en-US" w:eastAsia="zh-CN" w:bidi="ar-SA"/>
    </w:rPr>
  </w:style>
  <w:style w:type="paragraph" w:customStyle="1" w:styleId="162">
    <w:name w:val="引用"/>
    <w:basedOn w:val="1"/>
    <w:next w:val="1"/>
    <w:link w:val="163"/>
    <w:qFormat/>
    <w:uiPriority w:val="29"/>
    <w:pPr>
      <w:ind w:left="720" w:right="720"/>
    </w:pPr>
    <w:rPr>
      <w:i/>
    </w:rPr>
  </w:style>
  <w:style w:type="character" w:customStyle="1" w:styleId="163">
    <w:name w:val="引用 字符"/>
    <w:link w:val="162"/>
    <w:qFormat/>
    <w:uiPriority w:val="29"/>
    <w:rPr>
      <w:i/>
    </w:rPr>
  </w:style>
  <w:style w:type="paragraph" w:customStyle="1" w:styleId="164">
    <w:name w:val="明显引用"/>
    <w:basedOn w:val="1"/>
    <w:next w:val="1"/>
    <w:link w:val="1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5">
    <w:name w:val="明显引用 字符"/>
    <w:link w:val="164"/>
    <w:qFormat/>
    <w:uiPriority w:val="30"/>
    <w:rPr>
      <w:i/>
    </w:rPr>
  </w:style>
  <w:style w:type="character" w:customStyle="1" w:styleId="166">
    <w:name w:val="Footer Char"/>
    <w:link w:val="1"/>
    <w:qFormat/>
    <w:uiPriority w:val="99"/>
  </w:style>
  <w:style w:type="table" w:customStyle="1" w:styleId="167">
    <w:name w:val="Table Grid Light"/>
    <w:qFormat/>
    <w:uiPriority w:val="59"/>
    <w:rPr>
      <w:lang w:val="en-US" w:eastAsia="zh-CN" w:bidi="ar-SA"/>
    </w:rPr>
  </w:style>
  <w:style w:type="table" w:customStyle="1" w:styleId="168">
    <w:name w:val="无格式表格 11"/>
    <w:qFormat/>
    <w:uiPriority w:val="59"/>
    <w:rPr>
      <w:lang w:val="en-US" w:eastAsia="zh-CN" w:bidi="ar-SA"/>
    </w:rPr>
  </w:style>
  <w:style w:type="table" w:customStyle="1" w:styleId="169">
    <w:name w:val="无格式表格 21"/>
    <w:qFormat/>
    <w:uiPriority w:val="59"/>
    <w:rPr>
      <w:lang w:val="en-US" w:eastAsia="zh-CN" w:bidi="ar-SA"/>
    </w:rPr>
  </w:style>
  <w:style w:type="table" w:customStyle="1" w:styleId="170">
    <w:name w:val="无格式表格 31"/>
    <w:qFormat/>
    <w:uiPriority w:val="99"/>
    <w:rPr>
      <w:lang w:val="en-US" w:eastAsia="zh-CN" w:bidi="ar-SA"/>
    </w:rPr>
  </w:style>
  <w:style w:type="table" w:customStyle="1" w:styleId="171">
    <w:name w:val="无格式表格 41"/>
    <w:qFormat/>
    <w:uiPriority w:val="99"/>
    <w:rPr>
      <w:lang w:val="en-US" w:eastAsia="zh-CN" w:bidi="ar-SA"/>
    </w:rPr>
  </w:style>
  <w:style w:type="table" w:customStyle="1" w:styleId="172">
    <w:name w:val="无格式表格 51"/>
    <w:qFormat/>
    <w:uiPriority w:val="99"/>
    <w:rPr>
      <w:lang w:val="en-US" w:eastAsia="zh-CN" w:bidi="ar-SA"/>
    </w:rPr>
  </w:style>
  <w:style w:type="table" w:customStyle="1" w:styleId="173">
    <w:name w:val="网格表 1 浅色1"/>
    <w:qFormat/>
    <w:uiPriority w:val="99"/>
    <w:rPr>
      <w:lang w:val="en-US" w:eastAsia="zh-CN" w:bidi="ar-SA"/>
    </w:rPr>
  </w:style>
  <w:style w:type="table" w:customStyle="1" w:styleId="174">
    <w:name w:val="Grid Table 1 Light - Accent 1"/>
    <w:qFormat/>
    <w:uiPriority w:val="99"/>
    <w:rPr>
      <w:lang w:val="en-US" w:eastAsia="zh-CN" w:bidi="ar-SA"/>
    </w:rPr>
  </w:style>
  <w:style w:type="table" w:customStyle="1" w:styleId="175">
    <w:name w:val="Grid Table 1 Light - Accent 2"/>
    <w:qFormat/>
    <w:uiPriority w:val="99"/>
    <w:rPr>
      <w:lang w:val="en-US" w:eastAsia="zh-CN" w:bidi="ar-SA"/>
    </w:rPr>
  </w:style>
  <w:style w:type="table" w:customStyle="1" w:styleId="176">
    <w:name w:val="Grid Table 1 Light - Accent 3"/>
    <w:qFormat/>
    <w:uiPriority w:val="99"/>
    <w:rPr>
      <w:lang w:val="en-US" w:eastAsia="zh-CN" w:bidi="ar-SA"/>
    </w:rPr>
  </w:style>
  <w:style w:type="table" w:customStyle="1" w:styleId="177">
    <w:name w:val="Grid Table 1 Light - Accent 4"/>
    <w:qFormat/>
    <w:uiPriority w:val="99"/>
    <w:rPr>
      <w:lang w:val="en-US" w:eastAsia="zh-CN" w:bidi="ar-SA"/>
    </w:rPr>
  </w:style>
  <w:style w:type="table" w:customStyle="1" w:styleId="178">
    <w:name w:val="Grid Table 1 Light - Accent 5"/>
    <w:qFormat/>
    <w:uiPriority w:val="99"/>
    <w:rPr>
      <w:lang w:val="en-US" w:eastAsia="zh-CN" w:bidi="ar-SA"/>
    </w:rPr>
  </w:style>
  <w:style w:type="table" w:customStyle="1" w:styleId="179">
    <w:name w:val="Grid Table 1 Light - Accent 6"/>
    <w:qFormat/>
    <w:uiPriority w:val="99"/>
    <w:rPr>
      <w:lang w:val="en-US" w:eastAsia="zh-CN" w:bidi="ar-SA"/>
    </w:rPr>
  </w:style>
  <w:style w:type="table" w:customStyle="1" w:styleId="180">
    <w:name w:val="网格表 21"/>
    <w:qFormat/>
    <w:uiPriority w:val="99"/>
    <w:rPr>
      <w:lang w:val="en-US" w:eastAsia="zh-CN" w:bidi="ar-SA"/>
    </w:rPr>
  </w:style>
  <w:style w:type="table" w:customStyle="1" w:styleId="181">
    <w:name w:val="Grid Table 2 - Accent 1"/>
    <w:qFormat/>
    <w:uiPriority w:val="99"/>
    <w:rPr>
      <w:lang w:val="en-US" w:eastAsia="zh-CN" w:bidi="ar-SA"/>
    </w:rPr>
  </w:style>
  <w:style w:type="table" w:customStyle="1" w:styleId="182">
    <w:name w:val="Grid Table 2 - Accent 2"/>
    <w:qFormat/>
    <w:uiPriority w:val="99"/>
    <w:rPr>
      <w:lang w:val="en-US" w:eastAsia="zh-CN" w:bidi="ar-SA"/>
    </w:rPr>
  </w:style>
  <w:style w:type="table" w:customStyle="1" w:styleId="183">
    <w:name w:val="Grid Table 2 - Accent 3"/>
    <w:qFormat/>
    <w:uiPriority w:val="99"/>
    <w:rPr>
      <w:lang w:val="en-US" w:eastAsia="zh-CN" w:bidi="ar-SA"/>
    </w:rPr>
  </w:style>
  <w:style w:type="table" w:customStyle="1" w:styleId="184">
    <w:name w:val="Grid Table 2 - Accent 4"/>
    <w:qFormat/>
    <w:uiPriority w:val="99"/>
    <w:rPr>
      <w:lang w:val="en-US" w:eastAsia="zh-CN" w:bidi="ar-SA"/>
    </w:rPr>
  </w:style>
  <w:style w:type="table" w:customStyle="1" w:styleId="185">
    <w:name w:val="Grid Table 2 - Accent 5"/>
    <w:qFormat/>
    <w:uiPriority w:val="99"/>
    <w:rPr>
      <w:lang w:val="en-US" w:eastAsia="zh-CN" w:bidi="ar-SA"/>
    </w:rPr>
  </w:style>
  <w:style w:type="table" w:customStyle="1" w:styleId="186">
    <w:name w:val="Grid Table 2 - Accent 6"/>
    <w:qFormat/>
    <w:uiPriority w:val="99"/>
    <w:rPr>
      <w:lang w:val="en-US" w:eastAsia="zh-CN" w:bidi="ar-SA"/>
    </w:rPr>
  </w:style>
  <w:style w:type="table" w:customStyle="1" w:styleId="187">
    <w:name w:val="网格表 31"/>
    <w:qFormat/>
    <w:uiPriority w:val="99"/>
    <w:rPr>
      <w:lang w:val="en-US" w:eastAsia="zh-CN" w:bidi="ar-SA"/>
    </w:rPr>
  </w:style>
  <w:style w:type="table" w:customStyle="1" w:styleId="188">
    <w:name w:val="Grid Table 3 - Accent 1"/>
    <w:qFormat/>
    <w:uiPriority w:val="99"/>
    <w:rPr>
      <w:lang w:val="en-US" w:eastAsia="zh-CN" w:bidi="ar-SA"/>
    </w:rPr>
  </w:style>
  <w:style w:type="table" w:customStyle="1" w:styleId="189">
    <w:name w:val="Grid Table 3 - Accent 2"/>
    <w:qFormat/>
    <w:uiPriority w:val="99"/>
    <w:rPr>
      <w:lang w:val="en-US" w:eastAsia="zh-CN" w:bidi="ar-SA"/>
    </w:rPr>
  </w:style>
  <w:style w:type="table" w:customStyle="1" w:styleId="190">
    <w:name w:val="Grid Table 3 - Accent 3"/>
    <w:qFormat/>
    <w:uiPriority w:val="99"/>
    <w:rPr>
      <w:lang w:val="en-US" w:eastAsia="zh-CN" w:bidi="ar-SA"/>
    </w:rPr>
  </w:style>
  <w:style w:type="table" w:customStyle="1" w:styleId="191">
    <w:name w:val="Grid Table 3 - Accent 4"/>
    <w:qFormat/>
    <w:uiPriority w:val="99"/>
    <w:rPr>
      <w:lang w:val="en-US" w:eastAsia="zh-CN" w:bidi="ar-SA"/>
    </w:rPr>
  </w:style>
  <w:style w:type="table" w:customStyle="1" w:styleId="192">
    <w:name w:val="Grid Table 3 - Accent 5"/>
    <w:qFormat/>
    <w:uiPriority w:val="99"/>
    <w:rPr>
      <w:lang w:val="en-US" w:eastAsia="zh-CN" w:bidi="ar-SA"/>
    </w:rPr>
  </w:style>
  <w:style w:type="table" w:customStyle="1" w:styleId="193">
    <w:name w:val="Grid Table 3 - Accent 6"/>
    <w:qFormat/>
    <w:uiPriority w:val="99"/>
    <w:rPr>
      <w:lang w:val="en-US" w:eastAsia="zh-CN" w:bidi="ar-SA"/>
    </w:rPr>
  </w:style>
  <w:style w:type="table" w:customStyle="1" w:styleId="194">
    <w:name w:val="网格表 41"/>
    <w:qFormat/>
    <w:uiPriority w:val="59"/>
    <w:rPr>
      <w:lang w:val="en-US" w:eastAsia="zh-CN" w:bidi="ar-SA"/>
    </w:rPr>
  </w:style>
  <w:style w:type="table" w:customStyle="1" w:styleId="195">
    <w:name w:val="Grid Table 4 - Accent 1"/>
    <w:qFormat/>
    <w:uiPriority w:val="59"/>
    <w:rPr>
      <w:lang w:val="en-US" w:eastAsia="zh-CN" w:bidi="ar-SA"/>
    </w:rPr>
  </w:style>
  <w:style w:type="table" w:customStyle="1" w:styleId="196">
    <w:name w:val="Grid Table 4 - Accent 2"/>
    <w:qFormat/>
    <w:uiPriority w:val="59"/>
    <w:rPr>
      <w:lang w:val="en-US" w:eastAsia="zh-CN" w:bidi="ar-SA"/>
    </w:rPr>
  </w:style>
  <w:style w:type="table" w:customStyle="1" w:styleId="197">
    <w:name w:val="Grid Table 4 - Accent 3"/>
    <w:qFormat/>
    <w:uiPriority w:val="59"/>
    <w:rPr>
      <w:lang w:val="en-US" w:eastAsia="zh-CN" w:bidi="ar-SA"/>
    </w:rPr>
  </w:style>
  <w:style w:type="table" w:customStyle="1" w:styleId="198">
    <w:name w:val="Grid Table 4 - Accent 4"/>
    <w:qFormat/>
    <w:uiPriority w:val="59"/>
    <w:rPr>
      <w:lang w:val="en-US" w:eastAsia="zh-CN" w:bidi="ar-SA"/>
    </w:rPr>
  </w:style>
  <w:style w:type="table" w:customStyle="1" w:styleId="199">
    <w:name w:val="Grid Table 4 - Accent 5"/>
    <w:qFormat/>
    <w:uiPriority w:val="59"/>
    <w:rPr>
      <w:lang w:val="en-US" w:eastAsia="zh-CN" w:bidi="ar-SA"/>
    </w:rPr>
  </w:style>
  <w:style w:type="table" w:customStyle="1" w:styleId="200">
    <w:name w:val="Grid Table 4 - Accent 6"/>
    <w:qFormat/>
    <w:uiPriority w:val="59"/>
    <w:rPr>
      <w:lang w:val="en-US" w:eastAsia="zh-CN" w:bidi="ar-SA"/>
    </w:rPr>
  </w:style>
  <w:style w:type="table" w:customStyle="1" w:styleId="201">
    <w:name w:val="网格表 5 深色1"/>
    <w:qFormat/>
    <w:uiPriority w:val="99"/>
    <w:rPr>
      <w:lang w:val="en-US" w:eastAsia="zh-CN" w:bidi="ar-SA"/>
    </w:rPr>
  </w:style>
  <w:style w:type="table" w:customStyle="1" w:styleId="202">
    <w:name w:val="Grid Table 5 Dark- Accent 1"/>
    <w:qFormat/>
    <w:uiPriority w:val="99"/>
    <w:rPr>
      <w:lang w:val="en-US" w:eastAsia="zh-CN" w:bidi="ar-SA"/>
    </w:rPr>
  </w:style>
  <w:style w:type="table" w:customStyle="1" w:styleId="203">
    <w:name w:val="Grid Table 5 Dark - Accent 2"/>
    <w:qFormat/>
    <w:uiPriority w:val="99"/>
    <w:rPr>
      <w:lang w:val="en-US" w:eastAsia="zh-CN" w:bidi="ar-SA"/>
    </w:rPr>
  </w:style>
  <w:style w:type="table" w:customStyle="1" w:styleId="204">
    <w:name w:val="Grid Table 5 Dark - Accent 3"/>
    <w:qFormat/>
    <w:uiPriority w:val="99"/>
    <w:rPr>
      <w:lang w:val="en-US" w:eastAsia="zh-CN" w:bidi="ar-SA"/>
    </w:rPr>
  </w:style>
  <w:style w:type="table" w:customStyle="1" w:styleId="205">
    <w:name w:val="Grid Table 5 Dark- Accent 4"/>
    <w:qFormat/>
    <w:uiPriority w:val="99"/>
    <w:rPr>
      <w:lang w:val="en-US" w:eastAsia="zh-CN" w:bidi="ar-SA"/>
    </w:rPr>
  </w:style>
  <w:style w:type="table" w:customStyle="1" w:styleId="206">
    <w:name w:val="Grid Table 5 Dark - Accent 5"/>
    <w:qFormat/>
    <w:uiPriority w:val="99"/>
    <w:rPr>
      <w:lang w:val="en-US" w:eastAsia="zh-CN" w:bidi="ar-SA"/>
    </w:rPr>
  </w:style>
  <w:style w:type="table" w:customStyle="1" w:styleId="207">
    <w:name w:val="Grid Table 5 Dark - Accent 6"/>
    <w:qFormat/>
    <w:uiPriority w:val="99"/>
    <w:rPr>
      <w:lang w:val="en-US" w:eastAsia="zh-CN" w:bidi="ar-SA"/>
    </w:rPr>
  </w:style>
  <w:style w:type="table" w:customStyle="1" w:styleId="208">
    <w:name w:val="网格表 6 彩色1"/>
    <w:qFormat/>
    <w:uiPriority w:val="99"/>
    <w:rPr>
      <w:lang w:val="en-US" w:eastAsia="zh-CN" w:bidi="ar-SA"/>
    </w:rPr>
  </w:style>
  <w:style w:type="table" w:customStyle="1" w:styleId="209">
    <w:name w:val="Grid Table 6 Colorful - Accent 1"/>
    <w:qFormat/>
    <w:uiPriority w:val="99"/>
    <w:rPr>
      <w:lang w:val="en-US" w:eastAsia="zh-CN" w:bidi="ar-SA"/>
    </w:rPr>
  </w:style>
  <w:style w:type="table" w:customStyle="1" w:styleId="210">
    <w:name w:val="Grid Table 6 Colorful - Accent 2"/>
    <w:qFormat/>
    <w:uiPriority w:val="99"/>
    <w:rPr>
      <w:lang w:val="en-US" w:eastAsia="zh-CN" w:bidi="ar-SA"/>
    </w:rPr>
  </w:style>
  <w:style w:type="table" w:customStyle="1" w:styleId="211">
    <w:name w:val="Grid Table 6 Colorful - Accent 3"/>
    <w:qFormat/>
    <w:uiPriority w:val="99"/>
    <w:rPr>
      <w:lang w:val="en-US" w:eastAsia="zh-CN" w:bidi="ar-SA"/>
    </w:rPr>
  </w:style>
  <w:style w:type="table" w:customStyle="1" w:styleId="212">
    <w:name w:val="Grid Table 6 Colorful - Accent 4"/>
    <w:qFormat/>
    <w:uiPriority w:val="99"/>
    <w:rPr>
      <w:lang w:val="en-US" w:eastAsia="zh-CN" w:bidi="ar-SA"/>
    </w:rPr>
  </w:style>
  <w:style w:type="table" w:customStyle="1" w:styleId="213">
    <w:name w:val="Grid Table 6 Colorful - Accent 5"/>
    <w:qFormat/>
    <w:uiPriority w:val="99"/>
    <w:rPr>
      <w:lang w:val="en-US" w:eastAsia="zh-CN" w:bidi="ar-SA"/>
    </w:rPr>
  </w:style>
  <w:style w:type="table" w:customStyle="1" w:styleId="214">
    <w:name w:val="Grid Table 6 Colorful - Accent 6"/>
    <w:qFormat/>
    <w:uiPriority w:val="99"/>
    <w:rPr>
      <w:lang w:val="en-US" w:eastAsia="zh-CN" w:bidi="ar-SA"/>
    </w:rPr>
  </w:style>
  <w:style w:type="table" w:customStyle="1" w:styleId="215">
    <w:name w:val="网格表 7 彩色1"/>
    <w:qFormat/>
    <w:uiPriority w:val="99"/>
    <w:rPr>
      <w:lang w:val="en-US" w:eastAsia="zh-CN" w:bidi="ar-SA"/>
    </w:rPr>
  </w:style>
  <w:style w:type="table" w:customStyle="1" w:styleId="216">
    <w:name w:val="Grid Table 7 Colorful - Accent 1"/>
    <w:qFormat/>
    <w:uiPriority w:val="99"/>
    <w:rPr>
      <w:lang w:val="en-US" w:eastAsia="zh-CN" w:bidi="ar-SA"/>
    </w:rPr>
  </w:style>
  <w:style w:type="table" w:customStyle="1" w:styleId="217">
    <w:name w:val="Grid Table 7 Colorful - Accent 2"/>
    <w:qFormat/>
    <w:uiPriority w:val="99"/>
    <w:rPr>
      <w:lang w:val="en-US" w:eastAsia="zh-CN" w:bidi="ar-SA"/>
    </w:rPr>
  </w:style>
  <w:style w:type="table" w:customStyle="1" w:styleId="218">
    <w:name w:val="Grid Table 7 Colorful - Accent 3"/>
    <w:qFormat/>
    <w:uiPriority w:val="99"/>
    <w:rPr>
      <w:lang w:val="en-US" w:eastAsia="zh-CN" w:bidi="ar-SA"/>
    </w:rPr>
  </w:style>
  <w:style w:type="table" w:customStyle="1" w:styleId="219">
    <w:name w:val="Grid Table 7 Colorful - Accent 4"/>
    <w:qFormat/>
    <w:uiPriority w:val="99"/>
    <w:rPr>
      <w:lang w:val="en-US" w:eastAsia="zh-CN" w:bidi="ar-SA"/>
    </w:rPr>
  </w:style>
  <w:style w:type="table" w:customStyle="1" w:styleId="220">
    <w:name w:val="Grid Table 7 Colorful - Accent 5"/>
    <w:qFormat/>
    <w:uiPriority w:val="99"/>
    <w:rPr>
      <w:lang w:val="en-US" w:eastAsia="zh-CN" w:bidi="ar-SA"/>
    </w:rPr>
  </w:style>
  <w:style w:type="table" w:customStyle="1" w:styleId="221">
    <w:name w:val="Grid Table 7 Colorful - Accent 6"/>
    <w:qFormat/>
    <w:uiPriority w:val="99"/>
    <w:rPr>
      <w:lang w:val="en-US" w:eastAsia="zh-CN" w:bidi="ar-SA"/>
    </w:rPr>
  </w:style>
  <w:style w:type="table" w:customStyle="1" w:styleId="222">
    <w:name w:val="清单表 1 浅色1"/>
    <w:qFormat/>
    <w:uiPriority w:val="99"/>
    <w:rPr>
      <w:lang w:val="en-US" w:eastAsia="zh-CN" w:bidi="ar-SA"/>
    </w:rPr>
  </w:style>
  <w:style w:type="table" w:customStyle="1" w:styleId="223">
    <w:name w:val="List Table 1 Light - Accent 1"/>
    <w:qFormat/>
    <w:uiPriority w:val="99"/>
    <w:rPr>
      <w:lang w:val="en-US" w:eastAsia="zh-CN" w:bidi="ar-SA"/>
    </w:rPr>
  </w:style>
  <w:style w:type="table" w:customStyle="1" w:styleId="224">
    <w:name w:val="List Table 1 Light - Accent 2"/>
    <w:qFormat/>
    <w:uiPriority w:val="99"/>
    <w:rPr>
      <w:lang w:val="en-US" w:eastAsia="zh-CN" w:bidi="ar-SA"/>
    </w:rPr>
  </w:style>
  <w:style w:type="table" w:customStyle="1" w:styleId="225">
    <w:name w:val="List Table 1 Light - Accent 3"/>
    <w:qFormat/>
    <w:uiPriority w:val="99"/>
    <w:rPr>
      <w:lang w:val="en-US" w:eastAsia="zh-CN" w:bidi="ar-SA"/>
    </w:rPr>
  </w:style>
  <w:style w:type="table" w:customStyle="1" w:styleId="226">
    <w:name w:val="List Table 1 Light - Accent 4"/>
    <w:qFormat/>
    <w:uiPriority w:val="99"/>
    <w:rPr>
      <w:lang w:val="en-US" w:eastAsia="zh-CN" w:bidi="ar-SA"/>
    </w:rPr>
  </w:style>
  <w:style w:type="table" w:customStyle="1" w:styleId="227">
    <w:name w:val="List Table 1 Light - Accent 5"/>
    <w:qFormat/>
    <w:uiPriority w:val="99"/>
    <w:rPr>
      <w:lang w:val="en-US" w:eastAsia="zh-CN" w:bidi="ar-SA"/>
    </w:rPr>
  </w:style>
  <w:style w:type="table" w:customStyle="1" w:styleId="228">
    <w:name w:val="List Table 1 Light - Accent 6"/>
    <w:qFormat/>
    <w:uiPriority w:val="99"/>
    <w:rPr>
      <w:lang w:val="en-US" w:eastAsia="zh-CN" w:bidi="ar-SA"/>
    </w:rPr>
  </w:style>
  <w:style w:type="table" w:customStyle="1" w:styleId="229">
    <w:name w:val="清单表 21"/>
    <w:qFormat/>
    <w:uiPriority w:val="99"/>
    <w:rPr>
      <w:lang w:val="en-US" w:eastAsia="zh-CN" w:bidi="ar-SA"/>
    </w:rPr>
  </w:style>
  <w:style w:type="table" w:customStyle="1" w:styleId="230">
    <w:name w:val="List Table 2 - Accent 1"/>
    <w:qFormat/>
    <w:uiPriority w:val="99"/>
    <w:rPr>
      <w:lang w:val="en-US" w:eastAsia="zh-CN" w:bidi="ar-SA"/>
    </w:rPr>
  </w:style>
  <w:style w:type="table" w:customStyle="1" w:styleId="231">
    <w:name w:val="List Table 2 - Accent 2"/>
    <w:qFormat/>
    <w:uiPriority w:val="99"/>
    <w:rPr>
      <w:lang w:val="en-US" w:eastAsia="zh-CN" w:bidi="ar-SA"/>
    </w:rPr>
  </w:style>
  <w:style w:type="table" w:customStyle="1" w:styleId="232">
    <w:name w:val="List Table 2 - Accent 3"/>
    <w:qFormat/>
    <w:uiPriority w:val="99"/>
    <w:rPr>
      <w:lang w:val="en-US" w:eastAsia="zh-CN" w:bidi="ar-SA"/>
    </w:rPr>
  </w:style>
  <w:style w:type="table" w:customStyle="1" w:styleId="233">
    <w:name w:val="List Table 2 - Accent 4"/>
    <w:qFormat/>
    <w:uiPriority w:val="99"/>
    <w:rPr>
      <w:lang w:val="en-US" w:eastAsia="zh-CN" w:bidi="ar-SA"/>
    </w:rPr>
  </w:style>
  <w:style w:type="table" w:customStyle="1" w:styleId="234">
    <w:name w:val="List Table 2 - Accent 5"/>
    <w:qFormat/>
    <w:uiPriority w:val="99"/>
    <w:rPr>
      <w:lang w:val="en-US" w:eastAsia="zh-CN" w:bidi="ar-SA"/>
    </w:rPr>
  </w:style>
  <w:style w:type="table" w:customStyle="1" w:styleId="235">
    <w:name w:val="List Table 2 - Accent 6"/>
    <w:qFormat/>
    <w:uiPriority w:val="99"/>
    <w:rPr>
      <w:lang w:val="en-US" w:eastAsia="zh-CN" w:bidi="ar-SA"/>
    </w:rPr>
  </w:style>
  <w:style w:type="table" w:customStyle="1" w:styleId="236">
    <w:name w:val="清单表 31"/>
    <w:qFormat/>
    <w:uiPriority w:val="99"/>
    <w:rPr>
      <w:lang w:val="en-US" w:eastAsia="zh-CN" w:bidi="ar-SA"/>
    </w:rPr>
  </w:style>
  <w:style w:type="table" w:customStyle="1" w:styleId="237">
    <w:name w:val="List Table 3 - Accent 1"/>
    <w:qFormat/>
    <w:uiPriority w:val="99"/>
    <w:rPr>
      <w:lang w:val="en-US" w:eastAsia="zh-CN" w:bidi="ar-SA"/>
    </w:rPr>
  </w:style>
  <w:style w:type="table" w:customStyle="1" w:styleId="238">
    <w:name w:val="List Table 3 - Accent 2"/>
    <w:qFormat/>
    <w:uiPriority w:val="99"/>
    <w:rPr>
      <w:lang w:val="en-US" w:eastAsia="zh-CN" w:bidi="ar-SA"/>
    </w:rPr>
  </w:style>
  <w:style w:type="table" w:customStyle="1" w:styleId="239">
    <w:name w:val="List Table 3 - Accent 3"/>
    <w:qFormat/>
    <w:uiPriority w:val="99"/>
    <w:rPr>
      <w:lang w:val="en-US" w:eastAsia="zh-CN" w:bidi="ar-SA"/>
    </w:rPr>
  </w:style>
  <w:style w:type="table" w:customStyle="1" w:styleId="240">
    <w:name w:val="List Table 3 - Accent 4"/>
    <w:qFormat/>
    <w:uiPriority w:val="99"/>
    <w:rPr>
      <w:lang w:val="en-US" w:eastAsia="zh-CN" w:bidi="ar-SA"/>
    </w:rPr>
  </w:style>
  <w:style w:type="table" w:customStyle="1" w:styleId="241">
    <w:name w:val="List Table 3 - Accent 5"/>
    <w:qFormat/>
    <w:uiPriority w:val="99"/>
    <w:rPr>
      <w:lang w:val="en-US" w:eastAsia="zh-CN" w:bidi="ar-SA"/>
    </w:rPr>
  </w:style>
  <w:style w:type="table" w:customStyle="1" w:styleId="242">
    <w:name w:val="List Table 3 - Accent 6"/>
    <w:qFormat/>
    <w:uiPriority w:val="99"/>
    <w:rPr>
      <w:lang w:val="en-US" w:eastAsia="zh-CN" w:bidi="ar-SA"/>
    </w:rPr>
  </w:style>
  <w:style w:type="table" w:customStyle="1" w:styleId="243">
    <w:name w:val="清单表 41"/>
    <w:qFormat/>
    <w:uiPriority w:val="99"/>
    <w:rPr>
      <w:lang w:val="en-US" w:eastAsia="zh-CN" w:bidi="ar-SA"/>
    </w:rPr>
  </w:style>
  <w:style w:type="table" w:customStyle="1" w:styleId="244">
    <w:name w:val="List Table 4 - Accent 1"/>
    <w:qFormat/>
    <w:uiPriority w:val="99"/>
    <w:rPr>
      <w:lang w:val="en-US" w:eastAsia="zh-CN" w:bidi="ar-SA"/>
    </w:rPr>
  </w:style>
  <w:style w:type="table" w:customStyle="1" w:styleId="245">
    <w:name w:val="List Table 4 - Accent 2"/>
    <w:qFormat/>
    <w:uiPriority w:val="99"/>
    <w:rPr>
      <w:lang w:val="en-US" w:eastAsia="zh-CN" w:bidi="ar-SA"/>
    </w:rPr>
  </w:style>
  <w:style w:type="table" w:customStyle="1" w:styleId="246">
    <w:name w:val="List Table 4 - Accent 3"/>
    <w:qFormat/>
    <w:uiPriority w:val="99"/>
    <w:rPr>
      <w:lang w:val="en-US" w:eastAsia="zh-CN" w:bidi="ar-SA"/>
    </w:rPr>
  </w:style>
  <w:style w:type="table" w:customStyle="1" w:styleId="247">
    <w:name w:val="List Table 4 - Accent 4"/>
    <w:qFormat/>
    <w:uiPriority w:val="99"/>
    <w:rPr>
      <w:lang w:val="en-US" w:eastAsia="zh-CN" w:bidi="ar-SA"/>
    </w:rPr>
  </w:style>
  <w:style w:type="table" w:customStyle="1" w:styleId="248">
    <w:name w:val="List Table 4 - Accent 5"/>
    <w:qFormat/>
    <w:uiPriority w:val="99"/>
    <w:rPr>
      <w:lang w:val="en-US" w:eastAsia="zh-CN" w:bidi="ar-SA"/>
    </w:rPr>
  </w:style>
  <w:style w:type="table" w:customStyle="1" w:styleId="249">
    <w:name w:val="List Table 4 - Accent 6"/>
    <w:qFormat/>
    <w:uiPriority w:val="99"/>
    <w:rPr>
      <w:lang w:val="en-US" w:eastAsia="zh-CN" w:bidi="ar-SA"/>
    </w:rPr>
  </w:style>
  <w:style w:type="table" w:customStyle="1" w:styleId="250">
    <w:name w:val="清单表 5 深色1"/>
    <w:qFormat/>
    <w:uiPriority w:val="99"/>
    <w:rPr>
      <w:lang w:val="en-US" w:eastAsia="zh-CN" w:bidi="ar-SA"/>
    </w:rPr>
  </w:style>
  <w:style w:type="table" w:customStyle="1" w:styleId="251">
    <w:name w:val="List Table 5 Dark - Accent 1"/>
    <w:qFormat/>
    <w:uiPriority w:val="99"/>
    <w:rPr>
      <w:lang w:val="en-US" w:eastAsia="zh-CN" w:bidi="ar-SA"/>
    </w:rPr>
  </w:style>
  <w:style w:type="table" w:customStyle="1" w:styleId="252">
    <w:name w:val="List Table 5 Dark - Accent 2"/>
    <w:qFormat/>
    <w:uiPriority w:val="99"/>
    <w:rPr>
      <w:lang w:val="en-US" w:eastAsia="zh-CN" w:bidi="ar-SA"/>
    </w:rPr>
  </w:style>
  <w:style w:type="table" w:customStyle="1" w:styleId="253">
    <w:name w:val="List Table 5 Dark - Accent 3"/>
    <w:qFormat/>
    <w:uiPriority w:val="99"/>
    <w:rPr>
      <w:lang w:val="en-US" w:eastAsia="zh-CN" w:bidi="ar-SA"/>
    </w:rPr>
  </w:style>
  <w:style w:type="table" w:customStyle="1" w:styleId="254">
    <w:name w:val="List Table 5 Dark - Accent 4"/>
    <w:qFormat/>
    <w:uiPriority w:val="99"/>
    <w:rPr>
      <w:lang w:val="en-US" w:eastAsia="zh-CN" w:bidi="ar-SA"/>
    </w:rPr>
  </w:style>
  <w:style w:type="table" w:customStyle="1" w:styleId="255">
    <w:name w:val="List Table 5 Dark - Accent 5"/>
    <w:qFormat/>
    <w:uiPriority w:val="99"/>
    <w:rPr>
      <w:lang w:val="en-US" w:eastAsia="zh-CN" w:bidi="ar-SA"/>
    </w:rPr>
  </w:style>
  <w:style w:type="table" w:customStyle="1" w:styleId="256">
    <w:name w:val="List Table 5 Dark - Accent 6"/>
    <w:qFormat/>
    <w:uiPriority w:val="99"/>
    <w:rPr>
      <w:lang w:val="en-US" w:eastAsia="zh-CN" w:bidi="ar-SA"/>
    </w:rPr>
  </w:style>
  <w:style w:type="table" w:customStyle="1" w:styleId="257">
    <w:name w:val="清单表 6 彩色1"/>
    <w:qFormat/>
    <w:uiPriority w:val="99"/>
    <w:rPr>
      <w:lang w:val="en-US" w:eastAsia="zh-CN" w:bidi="ar-SA"/>
    </w:rPr>
  </w:style>
  <w:style w:type="table" w:customStyle="1" w:styleId="258">
    <w:name w:val="List Table 6 Colorful - Accent 1"/>
    <w:qFormat/>
    <w:uiPriority w:val="99"/>
    <w:rPr>
      <w:lang w:val="en-US" w:eastAsia="zh-CN" w:bidi="ar-SA"/>
    </w:rPr>
  </w:style>
  <w:style w:type="table" w:customStyle="1" w:styleId="259">
    <w:name w:val="List Table 6 Colorful - Accent 2"/>
    <w:qFormat/>
    <w:uiPriority w:val="99"/>
    <w:rPr>
      <w:lang w:val="en-US" w:eastAsia="zh-CN" w:bidi="ar-SA"/>
    </w:rPr>
  </w:style>
  <w:style w:type="table" w:customStyle="1" w:styleId="260">
    <w:name w:val="List Table 6 Colorful - Accent 3"/>
    <w:qFormat/>
    <w:uiPriority w:val="99"/>
    <w:rPr>
      <w:lang w:val="en-US" w:eastAsia="zh-CN" w:bidi="ar-SA"/>
    </w:rPr>
  </w:style>
  <w:style w:type="table" w:customStyle="1" w:styleId="261">
    <w:name w:val="List Table 6 Colorful - Accent 4"/>
    <w:qFormat/>
    <w:uiPriority w:val="99"/>
    <w:rPr>
      <w:lang w:val="en-US" w:eastAsia="zh-CN" w:bidi="ar-SA"/>
    </w:rPr>
  </w:style>
  <w:style w:type="table" w:customStyle="1" w:styleId="262">
    <w:name w:val="List Table 6 Colorful - Accent 5"/>
    <w:qFormat/>
    <w:uiPriority w:val="99"/>
    <w:rPr>
      <w:lang w:val="en-US" w:eastAsia="zh-CN" w:bidi="ar-SA"/>
    </w:rPr>
  </w:style>
  <w:style w:type="table" w:customStyle="1" w:styleId="263">
    <w:name w:val="List Table 6 Colorful - Accent 6"/>
    <w:qFormat/>
    <w:uiPriority w:val="99"/>
    <w:rPr>
      <w:lang w:val="en-US" w:eastAsia="zh-CN" w:bidi="ar-SA"/>
    </w:rPr>
  </w:style>
  <w:style w:type="table" w:customStyle="1" w:styleId="264">
    <w:name w:val="清单表 7 彩色1"/>
    <w:qFormat/>
    <w:uiPriority w:val="99"/>
    <w:rPr>
      <w:lang w:val="en-US" w:eastAsia="zh-CN" w:bidi="ar-SA"/>
    </w:rPr>
  </w:style>
  <w:style w:type="table" w:customStyle="1" w:styleId="265">
    <w:name w:val="List Table 7 Colorful - Accent 1"/>
    <w:qFormat/>
    <w:uiPriority w:val="99"/>
    <w:rPr>
      <w:lang w:val="en-US" w:eastAsia="zh-CN" w:bidi="ar-SA"/>
    </w:rPr>
  </w:style>
  <w:style w:type="table" w:customStyle="1" w:styleId="266">
    <w:name w:val="List Table 7 Colorful - Accent 2"/>
    <w:qFormat/>
    <w:uiPriority w:val="99"/>
    <w:rPr>
      <w:lang w:val="en-US" w:eastAsia="zh-CN" w:bidi="ar-SA"/>
    </w:rPr>
  </w:style>
  <w:style w:type="table" w:customStyle="1" w:styleId="267">
    <w:name w:val="List Table 7 Colorful - Accent 3"/>
    <w:qFormat/>
    <w:uiPriority w:val="99"/>
    <w:rPr>
      <w:lang w:val="en-US" w:eastAsia="zh-CN" w:bidi="ar-SA"/>
    </w:rPr>
  </w:style>
  <w:style w:type="table" w:customStyle="1" w:styleId="268">
    <w:name w:val="List Table 7 Colorful - Accent 4"/>
    <w:qFormat/>
    <w:uiPriority w:val="99"/>
    <w:rPr>
      <w:lang w:val="en-US" w:eastAsia="zh-CN" w:bidi="ar-SA"/>
    </w:rPr>
  </w:style>
  <w:style w:type="table" w:customStyle="1" w:styleId="269">
    <w:name w:val="List Table 7 Colorful - Accent 5"/>
    <w:qFormat/>
    <w:uiPriority w:val="99"/>
    <w:rPr>
      <w:lang w:val="en-US" w:eastAsia="zh-CN" w:bidi="ar-SA"/>
    </w:rPr>
  </w:style>
  <w:style w:type="table" w:customStyle="1" w:styleId="270">
    <w:name w:val="List Table 7 Colorful - Accent 6"/>
    <w:qFormat/>
    <w:uiPriority w:val="99"/>
    <w:rPr>
      <w:lang w:val="en-US" w:eastAsia="zh-CN" w:bidi="ar-SA"/>
    </w:rPr>
  </w:style>
  <w:style w:type="table" w:customStyle="1" w:styleId="271">
    <w:name w:val="Lined - Accent"/>
    <w:qFormat/>
    <w:uiPriority w:val="99"/>
    <w:rPr>
      <w:color w:val="404040"/>
      <w:lang w:val="en-US" w:eastAsia="zh-CN" w:bidi="ar-SA"/>
    </w:rPr>
  </w:style>
  <w:style w:type="table" w:customStyle="1" w:styleId="272">
    <w:name w:val="Lined - Accent 1"/>
    <w:qFormat/>
    <w:uiPriority w:val="99"/>
    <w:rPr>
      <w:color w:val="404040"/>
      <w:lang w:val="en-US" w:eastAsia="zh-CN" w:bidi="ar-SA"/>
    </w:rPr>
  </w:style>
  <w:style w:type="table" w:customStyle="1" w:styleId="273">
    <w:name w:val="Lined - Accent 2"/>
    <w:qFormat/>
    <w:uiPriority w:val="99"/>
    <w:rPr>
      <w:color w:val="404040"/>
      <w:lang w:val="en-US" w:eastAsia="zh-CN" w:bidi="ar-SA"/>
    </w:rPr>
  </w:style>
  <w:style w:type="table" w:customStyle="1" w:styleId="274">
    <w:name w:val="Lined - Accent 3"/>
    <w:qFormat/>
    <w:uiPriority w:val="99"/>
    <w:rPr>
      <w:color w:val="404040"/>
      <w:lang w:val="en-US" w:eastAsia="zh-CN" w:bidi="ar-SA"/>
    </w:rPr>
  </w:style>
  <w:style w:type="table" w:customStyle="1" w:styleId="275">
    <w:name w:val="Lined - Accent 4"/>
    <w:qFormat/>
    <w:uiPriority w:val="99"/>
    <w:rPr>
      <w:color w:val="404040"/>
      <w:lang w:val="en-US" w:eastAsia="zh-CN" w:bidi="ar-SA"/>
    </w:rPr>
  </w:style>
  <w:style w:type="table" w:customStyle="1" w:styleId="276">
    <w:name w:val="Lined - Accent 5"/>
    <w:qFormat/>
    <w:uiPriority w:val="99"/>
    <w:rPr>
      <w:color w:val="404040"/>
      <w:lang w:val="en-US" w:eastAsia="zh-CN" w:bidi="ar-SA"/>
    </w:rPr>
  </w:style>
  <w:style w:type="table" w:customStyle="1" w:styleId="277">
    <w:name w:val="Lined - Accent 6"/>
    <w:qFormat/>
    <w:uiPriority w:val="99"/>
    <w:rPr>
      <w:color w:val="404040"/>
      <w:lang w:val="en-US" w:eastAsia="zh-CN" w:bidi="ar-SA"/>
    </w:rPr>
  </w:style>
  <w:style w:type="table" w:customStyle="1" w:styleId="278">
    <w:name w:val="Bordered &amp; Lined - Accent"/>
    <w:qFormat/>
    <w:uiPriority w:val="99"/>
    <w:rPr>
      <w:color w:val="404040"/>
      <w:lang w:val="en-US" w:eastAsia="zh-CN" w:bidi="ar-SA"/>
    </w:rPr>
  </w:style>
  <w:style w:type="table" w:customStyle="1" w:styleId="279">
    <w:name w:val="Bordered &amp; Lined - Accent 1"/>
    <w:qFormat/>
    <w:uiPriority w:val="99"/>
    <w:rPr>
      <w:color w:val="404040"/>
      <w:lang w:val="en-US" w:eastAsia="zh-CN" w:bidi="ar-SA"/>
    </w:rPr>
  </w:style>
  <w:style w:type="table" w:customStyle="1" w:styleId="280">
    <w:name w:val="Bordered &amp; Lined - Accent 2"/>
    <w:qFormat/>
    <w:uiPriority w:val="99"/>
    <w:rPr>
      <w:color w:val="404040"/>
      <w:lang w:val="en-US" w:eastAsia="zh-CN" w:bidi="ar-SA"/>
    </w:rPr>
  </w:style>
  <w:style w:type="table" w:customStyle="1" w:styleId="281">
    <w:name w:val="Bordered &amp; Lined - Accent 3"/>
    <w:qFormat/>
    <w:uiPriority w:val="99"/>
    <w:rPr>
      <w:color w:val="404040"/>
      <w:lang w:val="en-US" w:eastAsia="zh-CN" w:bidi="ar-SA"/>
    </w:rPr>
  </w:style>
  <w:style w:type="table" w:customStyle="1" w:styleId="282">
    <w:name w:val="Bordered &amp; Lined - Accent 4"/>
    <w:qFormat/>
    <w:uiPriority w:val="99"/>
    <w:rPr>
      <w:color w:val="404040"/>
      <w:lang w:val="en-US" w:eastAsia="zh-CN" w:bidi="ar-SA"/>
    </w:rPr>
  </w:style>
  <w:style w:type="table" w:customStyle="1" w:styleId="283">
    <w:name w:val="Bordered &amp; Lined - Accent 5"/>
    <w:qFormat/>
    <w:uiPriority w:val="99"/>
    <w:rPr>
      <w:color w:val="404040"/>
      <w:lang w:val="en-US" w:eastAsia="zh-CN" w:bidi="ar-SA"/>
    </w:rPr>
  </w:style>
  <w:style w:type="table" w:customStyle="1" w:styleId="284">
    <w:name w:val="Bordered &amp; Lined - Accent 6"/>
    <w:qFormat/>
    <w:uiPriority w:val="99"/>
    <w:rPr>
      <w:color w:val="404040"/>
      <w:lang w:val="en-US" w:eastAsia="zh-CN" w:bidi="ar-SA"/>
    </w:rPr>
  </w:style>
  <w:style w:type="table" w:customStyle="1" w:styleId="285">
    <w:name w:val="Bordered"/>
    <w:qFormat/>
    <w:uiPriority w:val="99"/>
    <w:rPr>
      <w:lang w:val="en-US" w:eastAsia="zh-CN" w:bidi="ar-SA"/>
    </w:rPr>
  </w:style>
  <w:style w:type="table" w:customStyle="1" w:styleId="286">
    <w:name w:val="Bordered - Accent 1"/>
    <w:qFormat/>
    <w:uiPriority w:val="99"/>
    <w:rPr>
      <w:lang w:val="en-US" w:eastAsia="zh-CN" w:bidi="ar-SA"/>
    </w:rPr>
  </w:style>
  <w:style w:type="table" w:customStyle="1" w:styleId="287">
    <w:name w:val="Bordered - Accent 2"/>
    <w:qFormat/>
    <w:uiPriority w:val="99"/>
    <w:rPr>
      <w:lang w:val="en-US" w:eastAsia="zh-CN" w:bidi="ar-SA"/>
    </w:rPr>
  </w:style>
  <w:style w:type="table" w:customStyle="1" w:styleId="288">
    <w:name w:val="Bordered - Accent 3"/>
    <w:qFormat/>
    <w:uiPriority w:val="99"/>
    <w:rPr>
      <w:lang w:val="en-US" w:eastAsia="zh-CN" w:bidi="ar-SA"/>
    </w:rPr>
  </w:style>
  <w:style w:type="table" w:customStyle="1" w:styleId="289">
    <w:name w:val="Bordered - Accent 4"/>
    <w:qFormat/>
    <w:uiPriority w:val="99"/>
    <w:rPr>
      <w:lang w:val="en-US" w:eastAsia="zh-CN" w:bidi="ar-SA"/>
    </w:rPr>
  </w:style>
  <w:style w:type="table" w:customStyle="1" w:styleId="290">
    <w:name w:val="Bordered - Accent 5"/>
    <w:qFormat/>
    <w:uiPriority w:val="99"/>
    <w:rPr>
      <w:lang w:val="en-US" w:eastAsia="zh-CN" w:bidi="ar-SA"/>
    </w:rPr>
  </w:style>
  <w:style w:type="table" w:customStyle="1" w:styleId="291">
    <w:name w:val="Bordered - Accent 6"/>
    <w:qFormat/>
    <w:uiPriority w:val="99"/>
    <w:rPr>
      <w:lang w:val="en-US" w:eastAsia="zh-CN" w:bidi="ar-SA"/>
    </w:rPr>
  </w:style>
  <w:style w:type="paragraph" w:customStyle="1" w:styleId="292">
    <w:name w:val="TOC 标题11"/>
    <w:unhideWhenUsed/>
    <w:qFormat/>
    <w:uiPriority w:val="39"/>
    <w:rPr>
      <w:rFonts w:hint="default" w:ascii="Times New Roman" w:hAnsi="Times New Roman" w:eastAsia="宋体" w:cs="Times New Roman"/>
      <w:lang w:val="en-US" w:eastAsia="zh-CN" w:bidi="ar-SA"/>
    </w:rPr>
  </w:style>
  <w:style w:type="paragraph" w:customStyle="1" w:styleId="293">
    <w:name w:val="标题 11"/>
    <w:basedOn w:val="1"/>
    <w:next w:val="1"/>
    <w:link w:val="294"/>
    <w:qFormat/>
    <w:uiPriority w:val="0"/>
    <w:pPr>
      <w:keepNext/>
      <w:keepLines/>
      <w:spacing w:before="340" w:after="330" w:line="578" w:lineRule="auto"/>
      <w:outlineLvl w:val="0"/>
    </w:pPr>
    <w:rPr>
      <w:rFonts w:ascii="Calibri" w:hAnsi="Calibri"/>
      <w:b/>
      <w:bCs/>
      <w:sz w:val="44"/>
      <w:szCs w:val="44"/>
    </w:rPr>
  </w:style>
  <w:style w:type="character" w:customStyle="1" w:styleId="294">
    <w:name w:val="标题 1 Char"/>
    <w:link w:val="293"/>
    <w:qFormat/>
    <w:uiPriority w:val="0"/>
    <w:rPr>
      <w:rFonts w:ascii="Calibri" w:hAnsi="Calibri" w:eastAsia="宋体" w:cs="Times New Roman"/>
      <w:b/>
      <w:bCs/>
      <w:sz w:val="44"/>
      <w:szCs w:val="44"/>
    </w:rPr>
  </w:style>
  <w:style w:type="paragraph" w:customStyle="1" w:styleId="295">
    <w:name w:val="标题 21"/>
    <w:basedOn w:val="1"/>
    <w:next w:val="1"/>
    <w:link w:val="296"/>
    <w:qFormat/>
    <w:uiPriority w:val="0"/>
    <w:pPr>
      <w:keepNext/>
      <w:keepLines/>
      <w:spacing w:before="260" w:after="260" w:line="416" w:lineRule="auto"/>
      <w:outlineLvl w:val="1"/>
    </w:pPr>
    <w:rPr>
      <w:rFonts w:ascii="Cambria" w:hAnsi="Cambria"/>
      <w:b/>
      <w:bCs/>
      <w:sz w:val="32"/>
      <w:szCs w:val="32"/>
    </w:rPr>
  </w:style>
  <w:style w:type="character" w:customStyle="1" w:styleId="296">
    <w:name w:val="标题 2 Char"/>
    <w:link w:val="295"/>
    <w:qFormat/>
    <w:uiPriority w:val="0"/>
    <w:rPr>
      <w:rFonts w:ascii="Cambria" w:hAnsi="Cambria" w:eastAsia="宋体" w:cs="Times New Roman"/>
      <w:b/>
      <w:bCs/>
      <w:sz w:val="32"/>
      <w:szCs w:val="32"/>
    </w:rPr>
  </w:style>
  <w:style w:type="paragraph" w:customStyle="1" w:styleId="297">
    <w:name w:val="正文缩进1"/>
    <w:basedOn w:val="1"/>
    <w:qFormat/>
    <w:uiPriority w:val="0"/>
    <w:pPr>
      <w:ind w:firstLine="420"/>
    </w:pPr>
    <w:rPr>
      <w:rFonts w:ascii="Calibri" w:hAnsi="Calibri"/>
    </w:rPr>
  </w:style>
  <w:style w:type="paragraph" w:customStyle="1" w:styleId="298">
    <w:name w:val="标题 31"/>
    <w:basedOn w:val="1"/>
    <w:next w:val="1"/>
    <w:link w:val="300"/>
    <w:qFormat/>
    <w:uiPriority w:val="0"/>
    <w:pPr>
      <w:keepNext/>
      <w:keepLines/>
      <w:spacing w:before="260" w:after="260" w:line="416" w:lineRule="auto"/>
      <w:outlineLvl w:val="2"/>
    </w:pPr>
    <w:rPr>
      <w:rFonts w:ascii="Calibri" w:hAnsi="Calibri"/>
      <w:b/>
      <w:bCs/>
      <w:sz w:val="32"/>
      <w:szCs w:val="32"/>
    </w:rPr>
  </w:style>
  <w:style w:type="character" w:customStyle="1" w:styleId="299">
    <w:name w:val="标题 3 Char"/>
    <w:link w:val="298"/>
    <w:qFormat/>
    <w:uiPriority w:val="0"/>
    <w:rPr>
      <w:rFonts w:ascii="Calibri" w:hAnsi="Calibri" w:eastAsia="宋体" w:cs="Times New Roman"/>
      <w:b/>
      <w:bCs/>
      <w:sz w:val="32"/>
      <w:szCs w:val="32"/>
    </w:rPr>
  </w:style>
  <w:style w:type="character" w:customStyle="1" w:styleId="300">
    <w:name w:val="标题 3 字符"/>
    <w:link w:val="298"/>
    <w:qFormat/>
    <w:uiPriority w:val="0"/>
    <w:rPr>
      <w:b/>
      <w:bCs/>
      <w:sz w:val="32"/>
      <w:szCs w:val="32"/>
    </w:rPr>
  </w:style>
  <w:style w:type="paragraph" w:customStyle="1" w:styleId="301">
    <w:name w:val="标题 41"/>
    <w:basedOn w:val="1"/>
    <w:next w:val="297"/>
    <w:link w:val="302"/>
    <w:qFormat/>
    <w:uiPriority w:val="0"/>
    <w:pPr>
      <w:spacing w:before="280" w:after="290" w:line="377" w:lineRule="auto"/>
      <w:outlineLvl w:val="3"/>
    </w:pPr>
    <w:rPr>
      <w:rFonts w:ascii="Arial" w:hAnsi="Arial" w:eastAsia="黑体"/>
      <w:b/>
      <w:bCs/>
      <w:sz w:val="28"/>
      <w:szCs w:val="28"/>
    </w:rPr>
  </w:style>
  <w:style w:type="character" w:customStyle="1" w:styleId="302">
    <w:name w:val="标题 4 Char"/>
    <w:link w:val="301"/>
    <w:qFormat/>
    <w:uiPriority w:val="0"/>
    <w:rPr>
      <w:rFonts w:ascii="Arial" w:hAnsi="Arial" w:eastAsia="黑体" w:cs="Times New Roman"/>
      <w:b/>
      <w:bCs/>
      <w:sz w:val="28"/>
      <w:szCs w:val="28"/>
    </w:rPr>
  </w:style>
  <w:style w:type="table" w:customStyle="1" w:styleId="303">
    <w:name w:val="普通表格1"/>
    <w:qFormat/>
    <w:uiPriority w:val="0"/>
    <w:rPr>
      <w:lang w:val="en-US" w:eastAsia="zh-CN" w:bidi="ar-SA"/>
    </w:rPr>
  </w:style>
  <w:style w:type="paragraph" w:customStyle="1" w:styleId="304">
    <w:name w:val="文档结构图1"/>
    <w:basedOn w:val="1"/>
    <w:link w:val="305"/>
    <w:qFormat/>
    <w:uiPriority w:val="0"/>
    <w:rPr>
      <w:rFonts w:ascii="宋体"/>
      <w:sz w:val="18"/>
      <w:szCs w:val="18"/>
    </w:rPr>
  </w:style>
  <w:style w:type="character" w:customStyle="1" w:styleId="305">
    <w:name w:val="文档结构图 Char"/>
    <w:link w:val="304"/>
    <w:qFormat/>
    <w:uiPriority w:val="0"/>
    <w:rPr>
      <w:rFonts w:ascii="宋体" w:hAnsi="Times New Roman" w:eastAsia="宋体" w:cs="Times New Roman"/>
      <w:sz w:val="18"/>
      <w:szCs w:val="18"/>
    </w:rPr>
  </w:style>
  <w:style w:type="paragraph" w:customStyle="1" w:styleId="306">
    <w:name w:val="引文目录标题1"/>
    <w:basedOn w:val="1"/>
    <w:next w:val="1"/>
    <w:qFormat/>
    <w:uiPriority w:val="0"/>
    <w:pPr>
      <w:spacing w:before="120"/>
    </w:pPr>
    <w:rPr>
      <w:rFonts w:ascii="Cambria" w:hAnsi="Cambria"/>
      <w:sz w:val="24"/>
    </w:rPr>
  </w:style>
  <w:style w:type="paragraph" w:customStyle="1" w:styleId="307">
    <w:name w:val="批注文字1"/>
    <w:basedOn w:val="1"/>
    <w:qFormat/>
    <w:uiPriority w:val="0"/>
    <w:pPr>
      <w:jc w:val="left"/>
    </w:pPr>
  </w:style>
  <w:style w:type="paragraph" w:customStyle="1" w:styleId="308">
    <w:name w:val="正文文本11"/>
    <w:basedOn w:val="1"/>
    <w:next w:val="1"/>
    <w:qFormat/>
    <w:uiPriority w:val="0"/>
    <w:rPr>
      <w:rFonts w:ascii="楷体_GB2312" w:hAnsi="Arial" w:eastAsia="楷体_GB2312"/>
      <w:sz w:val="28"/>
      <w:szCs w:val="28"/>
    </w:rPr>
  </w:style>
  <w:style w:type="paragraph" w:customStyle="1" w:styleId="309">
    <w:name w:val="纯文本1"/>
    <w:basedOn w:val="1"/>
    <w:link w:val="310"/>
    <w:qFormat/>
    <w:uiPriority w:val="0"/>
    <w:rPr>
      <w:rFonts w:ascii="宋体" w:hAnsi="Courier New"/>
      <w:sz w:val="20"/>
      <w:szCs w:val="20"/>
    </w:rPr>
  </w:style>
  <w:style w:type="character" w:customStyle="1" w:styleId="310">
    <w:name w:val="纯文本 Char"/>
    <w:link w:val="309"/>
    <w:qFormat/>
    <w:uiPriority w:val="0"/>
    <w:rPr>
      <w:rFonts w:ascii="宋体" w:hAnsi="Courier New" w:eastAsia="宋体" w:cs="Times New Roman"/>
    </w:rPr>
  </w:style>
  <w:style w:type="paragraph" w:customStyle="1" w:styleId="311">
    <w:name w:val="日期1"/>
    <w:basedOn w:val="1"/>
    <w:next w:val="1"/>
    <w:link w:val="312"/>
    <w:qFormat/>
    <w:uiPriority w:val="0"/>
    <w:rPr>
      <w:sz w:val="24"/>
      <w:szCs w:val="20"/>
    </w:rPr>
  </w:style>
  <w:style w:type="character" w:customStyle="1" w:styleId="312">
    <w:name w:val="日期 Char"/>
    <w:link w:val="311"/>
    <w:qFormat/>
    <w:uiPriority w:val="0"/>
    <w:rPr>
      <w:rFonts w:ascii="Times New Roman" w:hAnsi="Times New Roman" w:eastAsia="宋体" w:cs="Times New Roman"/>
      <w:sz w:val="24"/>
    </w:rPr>
  </w:style>
  <w:style w:type="paragraph" w:customStyle="1" w:styleId="313">
    <w:name w:val="批注框文本1"/>
    <w:basedOn w:val="1"/>
    <w:link w:val="314"/>
    <w:qFormat/>
    <w:uiPriority w:val="0"/>
    <w:rPr>
      <w:sz w:val="18"/>
      <w:szCs w:val="18"/>
    </w:rPr>
  </w:style>
  <w:style w:type="character" w:customStyle="1" w:styleId="314">
    <w:name w:val="批注框文本 Char"/>
    <w:link w:val="313"/>
    <w:qFormat/>
    <w:uiPriority w:val="0"/>
    <w:rPr>
      <w:rFonts w:ascii="Times New Roman" w:hAnsi="Times New Roman" w:eastAsia="宋体" w:cs="Times New Roman"/>
      <w:sz w:val="18"/>
      <w:szCs w:val="18"/>
    </w:rPr>
  </w:style>
  <w:style w:type="paragraph" w:customStyle="1" w:styleId="315">
    <w:name w:val="页脚1"/>
    <w:basedOn w:val="1"/>
    <w:link w:val="316"/>
    <w:qFormat/>
    <w:uiPriority w:val="0"/>
    <w:pPr>
      <w:tabs>
        <w:tab w:val="center" w:pos="4153"/>
        <w:tab w:val="right" w:pos="8306"/>
      </w:tabs>
      <w:jc w:val="left"/>
    </w:pPr>
    <w:rPr>
      <w:sz w:val="18"/>
      <w:szCs w:val="18"/>
    </w:rPr>
  </w:style>
  <w:style w:type="character" w:customStyle="1" w:styleId="316">
    <w:name w:val="页脚 Char"/>
    <w:link w:val="315"/>
    <w:qFormat/>
    <w:uiPriority w:val="0"/>
    <w:rPr>
      <w:rFonts w:ascii="Times New Roman" w:hAnsi="Times New Roman" w:eastAsia="宋体" w:cs="Times New Roman"/>
      <w:sz w:val="18"/>
      <w:szCs w:val="18"/>
    </w:rPr>
  </w:style>
  <w:style w:type="paragraph" w:customStyle="1" w:styleId="317">
    <w:name w:val="寄信人地址1"/>
    <w:basedOn w:val="1"/>
    <w:qFormat/>
    <w:uiPriority w:val="0"/>
    <w:rPr>
      <w:rFonts w:ascii="Arial" w:hAnsi="Arial"/>
    </w:rPr>
  </w:style>
  <w:style w:type="paragraph" w:customStyle="1" w:styleId="318">
    <w:name w:val="页眉1"/>
    <w:basedOn w:val="1"/>
    <w:link w:val="319"/>
    <w:qFormat/>
    <w:uiPriority w:val="0"/>
    <w:pPr>
      <w:pBdr>
        <w:bottom w:val="single" w:color="000000" w:sz="6" w:space="1"/>
      </w:pBdr>
      <w:tabs>
        <w:tab w:val="center" w:pos="4153"/>
        <w:tab w:val="right" w:pos="8306"/>
      </w:tabs>
      <w:jc w:val="center"/>
    </w:pPr>
    <w:rPr>
      <w:sz w:val="18"/>
      <w:szCs w:val="18"/>
    </w:rPr>
  </w:style>
  <w:style w:type="character" w:customStyle="1" w:styleId="319">
    <w:name w:val="页眉 Char"/>
    <w:link w:val="318"/>
    <w:qFormat/>
    <w:uiPriority w:val="0"/>
    <w:rPr>
      <w:rFonts w:ascii="Times New Roman" w:hAnsi="Times New Roman" w:eastAsia="宋体" w:cs="Times New Roman"/>
      <w:sz w:val="18"/>
      <w:szCs w:val="18"/>
    </w:rPr>
  </w:style>
  <w:style w:type="paragraph" w:customStyle="1" w:styleId="320">
    <w:name w:val="目录 11"/>
    <w:basedOn w:val="1"/>
    <w:next w:val="1"/>
    <w:qFormat/>
    <w:uiPriority w:val="0"/>
    <w:rPr>
      <w:rFonts w:ascii="Calibri" w:hAnsi="Calibri"/>
    </w:rPr>
  </w:style>
  <w:style w:type="paragraph" w:customStyle="1" w:styleId="321">
    <w:name w:val="目录 21"/>
    <w:basedOn w:val="1"/>
    <w:next w:val="1"/>
    <w:qFormat/>
    <w:uiPriority w:val="0"/>
    <w:pPr>
      <w:ind w:left="420"/>
    </w:pPr>
  </w:style>
  <w:style w:type="paragraph" w:customStyle="1" w:styleId="322">
    <w:name w:val="普通(网站)1"/>
    <w:basedOn w:val="1"/>
    <w:qFormat/>
    <w:uiPriority w:val="0"/>
    <w:pPr>
      <w:jc w:val="left"/>
    </w:pPr>
    <w:rPr>
      <w:rFonts w:ascii="Calibri" w:hAnsi="Calibri"/>
      <w:sz w:val="24"/>
      <w:szCs w:val="24"/>
    </w:rPr>
  </w:style>
  <w:style w:type="paragraph" w:customStyle="1" w:styleId="323">
    <w:name w:val="正文首行缩进1"/>
    <w:basedOn w:val="308"/>
    <w:next w:val="1"/>
    <w:qFormat/>
    <w:uiPriority w:val="0"/>
    <w:pPr>
      <w:ind w:firstLine="420"/>
    </w:pPr>
  </w:style>
  <w:style w:type="paragraph" w:customStyle="1" w:styleId="324">
    <w:name w:val="正文首行缩进 21"/>
    <w:basedOn w:val="104"/>
    <w:next w:val="323"/>
    <w:qFormat/>
    <w:uiPriority w:val="0"/>
    <w:pPr>
      <w:ind w:firstLine="420"/>
    </w:pPr>
    <w:rPr>
      <w:rFonts w:ascii="Times New Roman" w:cs="宋体"/>
      <w:szCs w:val="21"/>
    </w:rPr>
  </w:style>
  <w:style w:type="character" w:customStyle="1" w:styleId="325">
    <w:name w:val="要点1"/>
    <w:link w:val="1"/>
    <w:qFormat/>
    <w:uiPriority w:val="0"/>
    <w:rPr>
      <w:rFonts w:ascii="Times New Roman" w:hAnsi="Times New Roman" w:eastAsia="宋体" w:cs="Times New Roman"/>
      <w:b/>
    </w:rPr>
  </w:style>
  <w:style w:type="paragraph" w:customStyle="1" w:styleId="326">
    <w:name w:val="列出段落1"/>
    <w:basedOn w:val="1"/>
    <w:qFormat/>
    <w:uiPriority w:val="0"/>
    <w:pPr>
      <w:ind w:firstLine="420"/>
    </w:pPr>
  </w:style>
  <w:style w:type="paragraph" w:customStyle="1" w:styleId="327">
    <w:name w:val="普通正文"/>
    <w:basedOn w:val="328"/>
    <w:qFormat/>
    <w:uiPriority w:val="0"/>
    <w:pPr>
      <w:spacing w:before="120" w:after="120" w:line="360" w:lineRule="auto"/>
      <w:ind w:firstLine="480"/>
    </w:pPr>
    <w:rPr>
      <w:rFonts w:ascii="Arial" w:hAnsi="Arial"/>
      <w:szCs w:val="24"/>
    </w:rPr>
  </w:style>
  <w:style w:type="paragraph" w:customStyle="1" w:styleId="328">
    <w:name w:val="正文1"/>
    <w:basedOn w:val="1"/>
    <w:next w:val="329"/>
    <w:qFormat/>
    <w:uiPriority w:val="0"/>
    <w:pPr>
      <w:spacing w:line="360" w:lineRule="atLeast"/>
      <w:jc w:val="left"/>
    </w:pPr>
    <w:rPr>
      <w:rFonts w:ascii="宋体" w:hAnsi="Calibri"/>
      <w:sz w:val="24"/>
      <w:szCs w:val="20"/>
    </w:rPr>
  </w:style>
  <w:style w:type="paragraph" w:customStyle="1" w:styleId="329">
    <w:name w:val="正文文本1"/>
    <w:basedOn w:val="328"/>
    <w:qFormat/>
    <w:uiPriority w:val="0"/>
    <w:pPr>
      <w:spacing w:after="120"/>
    </w:pPr>
    <w:rPr>
      <w:rFonts w:ascii="Times New Roman" w:hAnsi="Times New Roman"/>
      <w:lang w:eastAsia="en-US"/>
    </w:rPr>
  </w:style>
  <w:style w:type="paragraph" w:customStyle="1" w:styleId="330">
    <w:name w:val="一级条标题"/>
    <w:basedOn w:val="331"/>
    <w:next w:val="333"/>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331">
    <w:name w:val="章标题"/>
    <w:next w:val="332"/>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332">
    <w:name w:val="正文11"/>
    <w:next w:val="32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33">
    <w:name w:val="段"/>
    <w:basedOn w:val="328"/>
    <w:next w:val="332"/>
    <w:qFormat/>
    <w:uiPriority w:val="0"/>
    <w:pPr>
      <w:widowControl/>
      <w:ind w:firstLine="200"/>
    </w:pPr>
    <w:rPr>
      <w:rFonts w:hAnsi="Times New Roman"/>
      <w:sz w:val="20"/>
    </w:rPr>
  </w:style>
  <w:style w:type="paragraph" w:customStyle="1" w:styleId="334">
    <w:name w:val="UserStyle_52"/>
    <w:basedOn w:val="1"/>
    <w:qFormat/>
    <w:uiPriority w:val="0"/>
    <w:pPr>
      <w:spacing w:line="240" w:lineRule="exact"/>
    </w:pPr>
    <w:rPr>
      <w:rFonts w:ascii="宋体" w:hAnsi="宋体"/>
      <w:lang w:val="zh-TW" w:eastAsia="zh-TW" w:bidi="zh-TW"/>
    </w:rPr>
  </w:style>
  <w:style w:type="character" w:customStyle="1" w:styleId="335">
    <w:name w:val="HtmlCite1"/>
    <w:link w:val="1"/>
    <w:qFormat/>
    <w:uiPriority w:val="0"/>
    <w:rPr>
      <w:rFonts w:ascii="Times New Roman" w:hAnsi="Times New Roman" w:eastAsia="宋体" w:cs="Times New Roman"/>
    </w:rPr>
  </w:style>
  <w:style w:type="paragraph" w:customStyle="1" w:styleId="336">
    <w:name w:val="Table Paragraph"/>
    <w:basedOn w:val="1"/>
    <w:qFormat/>
    <w:uiPriority w:val="0"/>
    <w:rPr>
      <w:rFonts w:ascii="宋体" w:hAnsi="宋体" w:cs="宋体"/>
      <w:sz w:val="22"/>
      <w:lang w:val="zh-CN" w:bidi="zh-CN"/>
    </w:rPr>
  </w:style>
  <w:style w:type="paragraph" w:customStyle="1" w:styleId="337">
    <w:name w:val="ListBullet211"/>
    <w:basedOn w:val="1"/>
    <w:qFormat/>
    <w:uiPriority w:val="0"/>
    <w:pPr>
      <w:numPr>
        <w:ilvl w:val="0"/>
        <w:numId w:val="2"/>
      </w:numPr>
    </w:pPr>
  </w:style>
  <w:style w:type="paragraph" w:customStyle="1" w:styleId="338">
    <w:name w:val="Char"/>
    <w:basedOn w:val="1"/>
    <w:qFormat/>
    <w:uiPriority w:val="0"/>
    <w:pPr>
      <w:tabs>
        <w:tab w:val="left" w:pos="360"/>
      </w:tabs>
      <w:ind w:firstLine="200"/>
    </w:pPr>
    <w:rPr>
      <w:sz w:val="28"/>
      <w:szCs w:val="30"/>
    </w:rPr>
  </w:style>
  <w:style w:type="character" w:customStyle="1" w:styleId="339">
    <w:name w:val="页脚 Char1"/>
    <w:link w:val="1"/>
    <w:qFormat/>
    <w:uiPriority w:val="0"/>
    <w:rPr>
      <w:rFonts w:ascii="Times New Roman" w:hAnsi="Times New Roman" w:eastAsia="宋体" w:cs="Times New Roman"/>
      <w:sz w:val="18"/>
      <w:szCs w:val="18"/>
    </w:rPr>
  </w:style>
  <w:style w:type="character" w:customStyle="1" w:styleId="340">
    <w:name w:val="日期 Char1"/>
    <w:link w:val="1"/>
    <w:qFormat/>
    <w:uiPriority w:val="0"/>
    <w:rPr>
      <w:rFonts w:ascii="Times New Roman" w:hAnsi="Times New Roman" w:eastAsia="宋体" w:cs="Times New Roman"/>
    </w:rPr>
  </w:style>
  <w:style w:type="character" w:customStyle="1" w:styleId="341">
    <w:name w:val="纯文本 Char1"/>
    <w:link w:val="1"/>
    <w:qFormat/>
    <w:uiPriority w:val="0"/>
    <w:rPr>
      <w:rFonts w:ascii="宋体" w:hAnsi="Courier New" w:eastAsia="宋体" w:cs="Courier New"/>
      <w:szCs w:val="21"/>
    </w:rPr>
  </w:style>
  <w:style w:type="character" w:customStyle="1" w:styleId="342">
    <w:name w:val="页眉 Char1"/>
    <w:link w:val="1"/>
    <w:qFormat/>
    <w:uiPriority w:val="0"/>
    <w:rPr>
      <w:rFonts w:ascii="Times New Roman" w:hAnsi="Times New Roman" w:eastAsia="宋体" w:cs="Times New Roman"/>
      <w:sz w:val="18"/>
      <w:szCs w:val="18"/>
    </w:rPr>
  </w:style>
  <w:style w:type="paragraph" w:customStyle="1" w:styleId="343">
    <w:name w:val="无间隔1"/>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44">
    <w:name w:val="正文空2格  1."/>
    <w:basedOn w:val="1"/>
    <w:qFormat/>
    <w:uiPriority w:val="0"/>
    <w:pPr>
      <w:ind w:firstLine="480"/>
    </w:pPr>
    <w:rPr>
      <w:rFonts w:cs="宋体"/>
      <w:sz w:val="28"/>
      <w:szCs w:val="20"/>
    </w:rPr>
  </w:style>
  <w:style w:type="paragraph" w:customStyle="1" w:styleId="345">
    <w:name w:val="Default"/>
    <w:qFormat/>
    <w:uiPriority w:val="0"/>
    <w:pPr>
      <w:widowControl w:val="0"/>
    </w:pPr>
    <w:rPr>
      <w:rFonts w:hint="default" w:ascii="仿宋" w:hAnsi="等线" w:eastAsia="仿宋" w:cs="仿宋"/>
      <w:color w:val="000000"/>
      <w:sz w:val="24"/>
      <w:szCs w:val="24"/>
      <w:lang w:val="en-US" w:eastAsia="zh-CN" w:bidi="ar-SA"/>
    </w:rPr>
  </w:style>
  <w:style w:type="paragraph" w:customStyle="1" w:styleId="346">
    <w:name w:val="1级标题"/>
    <w:qFormat/>
    <w:uiPriority w:val="0"/>
    <w:pPr>
      <w:widowControl w:val="0"/>
      <w:spacing w:line="660" w:lineRule="exact"/>
      <w:ind w:firstLine="200"/>
      <w:outlineLvl w:val="0"/>
    </w:pPr>
    <w:rPr>
      <w:rFonts w:hint="default" w:ascii="Times New Roman" w:hAnsi="Times New Roman" w:eastAsia="方正黑体_GBK" w:cs="Times New Roman"/>
      <w:b/>
      <w:sz w:val="32"/>
      <w:szCs w:val="24"/>
      <w:lang w:val="en-US" w:eastAsia="zh-CN" w:bidi="ar-SA"/>
    </w:rPr>
  </w:style>
  <w:style w:type="character" w:customStyle="1" w:styleId="347">
    <w:name w:val="标题 1 Char Char Char"/>
    <w:link w:val="1"/>
    <w:qFormat/>
    <w:uiPriority w:val="0"/>
    <w:rPr>
      <w:rFonts w:eastAsia="宋体"/>
      <w:b/>
      <w:bCs/>
      <w:sz w:val="44"/>
      <w:szCs w:val="44"/>
      <w:lang w:val="en-US" w:eastAsia="zh-CN" w:bidi="ar-SA"/>
    </w:rPr>
  </w:style>
  <w:style w:type="paragraph" w:customStyle="1" w:styleId="348">
    <w:name w:val="Normal_18"/>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49">
    <w:name w:val="Normal_19"/>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50">
    <w:name w:val="正文_0_0"/>
    <w:basedOn w:val="351"/>
    <w:qFormat/>
    <w:uiPriority w:val="0"/>
    <w:rPr>
      <w:szCs w:val="21"/>
    </w:rPr>
  </w:style>
  <w:style w:type="paragraph" w:customStyle="1" w:styleId="351">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52">
    <w:name w:val="Normal_20"/>
    <w:link w:val="353"/>
    <w:qFormat/>
    <w:uiPriority w:val="0"/>
    <w:pPr>
      <w:spacing w:before="120" w:after="240"/>
      <w:jc w:val="both"/>
    </w:pPr>
    <w:rPr>
      <w:rFonts w:hint="default" w:ascii="Times New Roman" w:hAnsi="Times New Roman" w:eastAsia="Calibri" w:cs="Times New Roman"/>
      <w:sz w:val="22"/>
      <w:szCs w:val="22"/>
      <w:lang w:val="en-US" w:eastAsia="en-US" w:bidi="ar-SA"/>
    </w:rPr>
  </w:style>
  <w:style w:type="character" w:customStyle="1" w:styleId="353">
    <w:name w:val="Normal_20 Char"/>
    <w:link w:val="352"/>
    <w:qFormat/>
    <w:uiPriority w:val="0"/>
    <w:rPr>
      <w:rFonts w:ascii="Times New Roman" w:hAnsi="Times New Roman" w:eastAsia="Calibri" w:cs="Times New Roman"/>
      <w:sz w:val="22"/>
      <w:szCs w:val="22"/>
      <w:lang w:val="en-US" w:eastAsia="en-US" w:bidi="ar-SA"/>
    </w:rPr>
  </w:style>
  <w:style w:type="paragraph" w:customStyle="1" w:styleId="354">
    <w:name w:val="Body text|1"/>
    <w:basedOn w:val="1"/>
    <w:qFormat/>
    <w:uiPriority w:val="0"/>
    <w:pPr>
      <w:spacing w:after="220"/>
    </w:pPr>
    <w:rPr>
      <w:rFonts w:ascii="宋体" w:hAnsi="宋体" w:cs="宋体"/>
      <w:sz w:val="22"/>
      <w:lang w:val="zh-TW" w:eastAsia="zh-TW" w:bidi="zh-TW"/>
    </w:rPr>
  </w:style>
  <w:style w:type="character" w:customStyle="1" w:styleId="355">
    <w:name w:val="font21"/>
    <w:link w:val="1"/>
    <w:qFormat/>
    <w:uiPriority w:val="0"/>
    <w:rPr>
      <w:rFonts w:hint="eastAsia" w:ascii="宋体" w:hAnsi="宋体" w:eastAsia="宋体" w:cs="宋体"/>
      <w:color w:val="000000"/>
      <w:sz w:val="20"/>
      <w:szCs w:val="20"/>
      <w:u w:val="none"/>
    </w:rPr>
  </w:style>
  <w:style w:type="character" w:customStyle="1" w:styleId="356">
    <w:name w:val="font31"/>
    <w:link w:val="1"/>
    <w:qFormat/>
    <w:uiPriority w:val="0"/>
    <w:rPr>
      <w:rFonts w:ascii="Times New Roman" w:hAnsi="Times New Roman" w:cs="Times New Roman"/>
      <w:color w:val="000000"/>
      <w:sz w:val="20"/>
      <w:szCs w:val="20"/>
      <w:u w:val="none"/>
    </w:rPr>
  </w:style>
  <w:style w:type="paragraph" w:customStyle="1" w:styleId="357">
    <w:name w:val="Style1"/>
    <w:basedOn w:val="1"/>
    <w:qFormat/>
    <w:uiPriority w:val="0"/>
    <w:pPr>
      <w:widowControl/>
      <w:tabs>
        <w:tab w:val="left" w:pos="-720"/>
      </w:tabs>
      <w:spacing w:after="120"/>
    </w:pPr>
    <w:rPr>
      <w:rFonts w:ascii="Calibri" w:hAnsi="Calibri"/>
      <w:spacing w:val="-3"/>
      <w:sz w:val="24"/>
      <w:szCs w:val="20"/>
      <w:lang w:val="en-AU" w:eastAsia="en-US"/>
    </w:rPr>
  </w:style>
  <w:style w:type="paragraph" w:customStyle="1" w:styleId="358">
    <w:name w:val="Normal_0_0"/>
    <w:qFormat/>
    <w:uiPriority w:val="0"/>
    <w:pPr>
      <w:widowControl w:val="0"/>
      <w:jc w:val="both"/>
    </w:pPr>
    <w:rPr>
      <w:rFonts w:hint="default" w:ascii="Calibri" w:hAnsi="宋体" w:eastAsia="宋体" w:cs="Times New Roman"/>
      <w:lang w:val="en-US" w:eastAsia="zh-CN" w:bidi="ar-SA"/>
    </w:rPr>
  </w:style>
  <w:style w:type="paragraph" w:customStyle="1" w:styleId="359">
    <w:name w:val="正文_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60">
    <w:name w:val="样式 标题 2 + Times New Roman 四号 非加粗 段前: 5 磅 段后: 0 磅 行距: 固定值 20..."/>
    <w:basedOn w:val="46"/>
    <w:qFormat/>
    <w:uiPriority w:val="0"/>
    <w:pPr>
      <w:spacing w:before="100" w:after="0" w:line="400" w:lineRule="exact"/>
    </w:pPr>
    <w:rPr>
      <w:rFonts w:ascii="Times New Roman" w:hAnsi="Times New Roman" w:eastAsia="黑体" w:cs="Times New Roman"/>
      <w:sz w:val="28"/>
      <w:szCs w:val="20"/>
    </w:rPr>
  </w:style>
  <w:style w:type="paragraph" w:customStyle="1" w:styleId="361">
    <w:name w:val="首行缩进"/>
    <w:basedOn w:val="1"/>
    <w:qFormat/>
    <w:uiPriority w:val="99"/>
    <w:pPr>
      <w:ind w:firstLine="480"/>
    </w:pPr>
    <w:rPr>
      <w:rFonts w:ascii="Times New Roman" w:hAnsi="Times New Roman" w:eastAsia="宋体" w:cs="Times New Roman"/>
      <w:sz w:val="21"/>
      <w:lang w:val="zh-CN"/>
    </w:rPr>
  </w:style>
  <w:style w:type="paragraph" w:customStyle="1" w:styleId="362">
    <w:name w:val="标题 411"/>
    <w:basedOn w:val="1"/>
    <w:next w:val="297"/>
    <w:unhideWhenUsed/>
    <w:qFormat/>
    <w:uiPriority w:val="1"/>
    <w:pPr>
      <w:keepNext/>
      <w:keepLines/>
      <w:spacing w:before="280" w:after="290" w:line="376" w:lineRule="auto"/>
      <w:jc w:val="left"/>
      <w:outlineLvl w:val="3"/>
    </w:pPr>
    <w:rPr>
      <w:rFonts w:ascii="等线 Light" w:hAnsi="等线 Light" w:eastAsia="等线 Light" w:cs="Times New Roman"/>
      <w:b/>
      <w:bCs/>
      <w:sz w:val="28"/>
      <w:szCs w:val="28"/>
      <w:lang w:val="zh-CN" w:bidi="zh-CN"/>
    </w:rPr>
  </w:style>
  <w:style w:type="paragraph" w:customStyle="1" w:styleId="363">
    <w:name w:val="[Normal]"/>
    <w:qFormat/>
    <w:uiPriority w:val="0"/>
    <w:rPr>
      <w:rFonts w:hint="default" w:ascii="微软雅黑" w:hAnsi="微软雅黑" w:eastAsia="微软雅黑" w:cs="Courier New"/>
      <w:sz w:val="24"/>
      <w:szCs w:val="22"/>
      <w:lang w:val="zh-CN" w:eastAsia="zh-CN" w:bidi="ar-SA"/>
    </w:rPr>
  </w:style>
  <w:style w:type="character" w:customStyle="1" w:styleId="364">
    <w:name w:val="rvts42"/>
    <w:link w:val="1"/>
    <w:qFormat/>
    <w:uiPriority w:val="0"/>
    <w:rPr>
      <w:rFonts w:ascii="Times New Roman" w:hAnsi="Times New Roman" w:eastAsia="宋体" w:cs="Times New Roman"/>
      <w:sz w:val="21"/>
      <w:szCs w:val="22"/>
      <w:lang w:val="en-US" w:eastAsia="zh-CN" w:bidi="ar-SA"/>
    </w:rPr>
  </w:style>
  <w:style w:type="character" w:customStyle="1" w:styleId="365">
    <w:name w:val="rvts23"/>
    <w:link w:val="1"/>
    <w:qFormat/>
    <w:uiPriority w:val="0"/>
    <w:rPr>
      <w:rFonts w:ascii="KNLe" w:hAnsi="KNLe"/>
    </w:rPr>
  </w:style>
  <w:style w:type="character" w:customStyle="1" w:styleId="366">
    <w:name w:val="rvts47"/>
    <w:link w:val="1"/>
    <w:qFormat/>
    <w:uiPriority w:val="0"/>
    <w:rPr>
      <w:rFonts w:ascii="KNLe" w:hAnsi="KNLe"/>
      <w:u w:val="single"/>
    </w:rPr>
  </w:style>
  <w:style w:type="character" w:customStyle="1" w:styleId="367">
    <w:name w:val="页码1"/>
    <w:link w:val="1"/>
    <w:qFormat/>
    <w:uiPriority w:val="0"/>
  </w:style>
  <w:style w:type="paragraph" w:customStyle="1" w:styleId="368">
    <w:name w:val="修订"/>
    <w:unhideWhenUsed/>
    <w:qFormat/>
    <w:uiPriority w:val="99"/>
    <w:rPr>
      <w:rFonts w:hint="default" w:ascii="Times New Roman" w:hAnsi="Times New Roman" w:eastAsia="宋体" w:cs="Times New Roman"/>
      <w:sz w:val="21"/>
      <w:szCs w:val="22"/>
      <w:lang w:val="en-US" w:eastAsia="zh-CN" w:bidi="ar-SA"/>
    </w:rPr>
  </w:style>
  <w:style w:type="paragraph" w:customStyle="1" w:styleId="369">
    <w:name w:val="Table Text"/>
    <w:qFormat/>
    <w:uiPriority w:val="0"/>
    <w:rPr>
      <w:rFonts w:hint="default" w:ascii="Times New Roman" w:hAnsi="Times New Roman" w:eastAsia="宋体" w:cs="Times New Roman"/>
      <w:lang w:val="en-US" w:eastAsia="en-US" w:bidi="ar-SA"/>
    </w:rPr>
  </w:style>
  <w:style w:type="paragraph" w:customStyle="1" w:styleId="370">
    <w:name w:val="Heading 2"/>
    <w:basedOn w:val="1"/>
    <w:next w:val="1"/>
    <w:unhideWhenUsed/>
    <w:qFormat/>
    <w:uiPriority w:val="9"/>
    <w:pPr>
      <w:keepNext/>
      <w:keepLines/>
      <w:spacing w:before="360" w:after="200"/>
      <w:outlineLvl w:val="1"/>
    </w:pPr>
    <w:rPr>
      <w:rFonts w:ascii="Arial" w:hAnsi="Arial" w:eastAsia="Arial"/>
      <w:kern w:val="0"/>
      <w:sz w:val="3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Company>
  <Pages>152</Pages>
  <Words>15178</Words>
  <Characters>16307</Characters>
  <TotalTime>3</TotalTime>
  <ScaleCrop>false</ScaleCrop>
  <LinksUpToDate>false</LinksUpToDate>
  <CharactersWithSpaces>16572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2026-03-20T02:43:00Z</dcterms:created>
  <dc:creator>Huimin</dc:creator>
  <cp:lastModifiedBy>晴晴</cp:lastModifiedBy>
  <cp:lastPrinted>2026-04-27T08:22:00Z</cp:lastPrinted>
  <dcterms:modified xsi:type="dcterms:W3CDTF">2026-05-21T09:55:39Z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5DEA3AD057EF4D49AF718A06DFEE773F_13</vt:lpwstr>
  </property>
  <property fmtid="{D5CDD505-2E9C-101B-9397-08002B2CF9AE}" pid="4" name="KSOTemplateDocerSaveRecord">
    <vt:lpwstr>eyJoZGlkIjoiNTQwNDJlMjU2Y2U2NGEyMDY0OTc0YTJkZWNjMGFlZjEiLCJ1c2VySWQiOiI0NzY2NDg5OTQifQ==</vt:lpwstr>
  </property>
</Properties>
</file>