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JSZC-320000-JJJC-G2026-0009</w:t>
      </w:r>
      <w:r/>
    </w:p>
    <w:p>
      <w:pPr>
        <w:pStyle w:val="941"/>
        <w:ind w:firstLine="0"/>
        <w:pageBreakBefore w:val="0"/>
        <w:spacing w:line="360" w:lineRule="auto"/>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pageBreakBefore w:val="0"/>
        <w:spacing w:line="360" w:lineRule="auto"/>
        <w:rPr>
          <w:rFonts w:hint="eastAsia" w:ascii="宋体" w:hAnsi="宋体"/>
          <w:b/>
          <w:bCs/>
          <w:color w:val="auto"/>
          <w:sz w:val="36"/>
          <w:highlight w:val="none"/>
          <w:lang w:eastAsia="zh-CN"/>
        </w:rPr>
      </w:pPr>
      <w:r>
        <w:rPr>
          <w:rFonts w:hint="eastAsia" w:ascii="宋体" w:hAnsi="宋体"/>
          <w:b/>
          <w:bCs/>
          <w:color w:val="auto"/>
          <w:sz w:val="36"/>
          <w:highlight w:val="none"/>
          <w:lang w:eastAsia="zh-CN"/>
        </w:rPr>
        <w:t xml:space="preserve">扬州大学研究生学位论文送审服务平台</w:t>
      </w:r>
      <w:r/>
    </w:p>
    <w:p>
      <w:pPr>
        <w:jc w:val="center"/>
        <w:pageBreakBefore w:val="0"/>
        <w:spacing w:line="360" w:lineRule="auto"/>
        <w:rPr>
          <w:rFonts w:hint="eastAsia" w:ascii="宋体" w:hAnsi="宋体"/>
          <w:color w:val="auto"/>
          <w:sz w:val="36"/>
          <w:szCs w:val="36"/>
          <w:highlight w:val="none"/>
        </w:rPr>
      </w:pPr>
      <w:r>
        <w:rPr>
          <w:rFonts w:hint="eastAsia" w:ascii="宋体" w:hAnsi="宋体"/>
          <w:b/>
          <w:bCs/>
          <w:color w:val="auto"/>
          <w:sz w:val="36"/>
          <w:highlight w:val="none"/>
        </w:rPr>
        <w:t xml:space="preserve">公开招标文件</w:t>
      </w:r>
      <w:r/>
    </w:p>
    <w:p>
      <w:pPr>
        <w:jc w:val="center"/>
        <w:pageBreakBefore w:val="0"/>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jc w:val="center"/>
        <w:pageBreakBefore w:val="0"/>
        <w:spacing w:line="360" w:lineRule="auto"/>
        <w:rPr>
          <w:rFonts w:hint="eastAsia" w:ascii="宋体" w:hAnsi="宋体"/>
          <w:color w:val="auto"/>
          <w:sz w:val="36"/>
          <w:szCs w:val="36"/>
          <w:highlight w:val="none"/>
        </w:rPr>
      </w:pPr>
      <w:r>
        <w:rPr>
          <w:sz w:val="36"/>
          <w:highlight w:val="none"/>
        </w:rPr>
        <mc:AlternateContent>
          <mc:Choice Requires="wpg">
            <w:drawing>
              <wp:inline xmlns:wp="http://schemas.openxmlformats.org/drawingml/2006/wordprocessingDrawing" distT="0" distB="0" distL="0" distR="0">
                <wp:extent cx="5267325" cy="3733800"/>
                <wp:effectExtent l="0" t="0" r="9525" b="0"/>
                <wp:docPr id="2"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41f51d74f3b3cf4a4c9ebd768e2f8ce"/>
                        <pic:cNvPicPr>
                          <a:picLocks noChangeAspect="1"/>
                        </pic:cNvPicPr>
                        <pic:nvPr/>
                      </pic:nvPicPr>
                      <pic:blipFill>
                        <a:blip r:embed="rId13"/>
                        <a:stretch/>
                      </pic:blipFill>
                      <pic:spPr bwMode="auto">
                        <a:xfrm>
                          <a:off x="0" y="0"/>
                          <a:ext cx="5267325"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294.0pt;mso-wrap-distance-left:0.0pt;mso-wrap-distance-top:0.0pt;mso-wrap-distance-right:0.0pt;mso-wrap-distance-bottom:0.0pt;" stroked="f">
                <v:path textboxrect="0,0,0,0"/>
                <v:imagedata r:id="rId13" o:title=""/>
              </v:shape>
            </w:pict>
          </mc:Fallback>
        </mc:AlternateContent>
      </w:r>
      <w:r/>
    </w:p>
    <w:p>
      <w:pPr>
        <w:jc w:val="center"/>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pageBreakBefore w:val="0"/>
        <w:spacing w:line="360" w:lineRule="auto"/>
        <w:rPr>
          <w:rFonts w:hint="eastAsia" w:ascii="宋体" w:hAnsi="宋体" w:cs="Times New Roman"/>
          <w:b/>
          <w:bCs/>
          <w:color w:val="auto"/>
          <w:sz w:val="32"/>
          <w:szCs w:val="21"/>
          <w:highlight w:val="none"/>
          <w:lang w:eastAsia="zh-CN"/>
        </w:rPr>
      </w:pPr>
      <w:r>
        <w:rPr>
          <w:rFonts w:hint="eastAsia" w:ascii="宋体" w:hAnsi="宋体" w:cs="Times New Roman"/>
          <w:b/>
          <w:bCs/>
          <w:color w:val="auto"/>
          <w:sz w:val="32"/>
          <w:szCs w:val="21"/>
          <w:highlight w:val="none"/>
          <w:lang w:eastAsia="zh-CN"/>
        </w:rPr>
        <w:t xml:space="preserve">采  购  人：</w:t>
      </w:r>
      <w:bookmarkStart w:id="0" w:name="OLE_LINK1"/>
      <w:r>
        <w:rPr>
          <w:rFonts w:hint="eastAsia" w:ascii="宋体" w:hAnsi="宋体" w:cs="Times New Roman"/>
          <w:b/>
          <w:bCs/>
          <w:color w:val="auto"/>
          <w:sz w:val="32"/>
          <w:szCs w:val="21"/>
          <w:highlight w:val="none"/>
          <w:lang w:eastAsia="zh-CN"/>
        </w:rPr>
        <w:t xml:space="preserve">扬州大学（</w:t>
      </w:r>
      <w:r>
        <w:rPr>
          <w:rFonts w:hint="eastAsia" w:ascii="宋体" w:hAnsi="宋体" w:cs="Times New Roman"/>
          <w:b/>
          <w:bCs/>
          <w:color w:val="auto"/>
          <w:sz w:val="32"/>
          <w:szCs w:val="21"/>
          <w:highlight w:val="none"/>
          <w:lang w:val="en-US" w:eastAsia="zh-CN"/>
        </w:rPr>
        <w:t xml:space="preserve">本部</w:t>
      </w:r>
      <w:r>
        <w:rPr>
          <w:rFonts w:hint="eastAsia" w:ascii="宋体" w:hAnsi="宋体" w:cs="Times New Roman"/>
          <w:b/>
          <w:bCs/>
          <w:color w:val="auto"/>
          <w:sz w:val="32"/>
          <w:szCs w:val="21"/>
          <w:highlight w:val="none"/>
          <w:lang w:eastAsia="zh-CN"/>
        </w:rPr>
        <w:t xml:space="preserve">）</w:t>
      </w:r>
      <w:bookmarkEnd w:id="0"/>
      <w:r/>
      <w:r/>
    </w:p>
    <w:p>
      <w:pPr>
        <w:jc w:val="center"/>
        <w:pageBreakBefore w:val="0"/>
        <w:spacing w:line="360" w:lineRule="auto"/>
        <w:rPr>
          <w:rFonts w:hint="eastAsia" w:ascii="宋体" w:hAnsi="宋体" w:cs="Times New Roman"/>
          <w:b/>
          <w:bCs/>
          <w:color w:val="auto"/>
          <w:sz w:val="32"/>
          <w:szCs w:val="21"/>
          <w:highlight w:val="none"/>
          <w:lang w:eastAsia="zh-CN"/>
        </w:rPr>
      </w:pPr>
      <w:r>
        <w:rPr>
          <w:rFonts w:hint="eastAsia" w:ascii="宋体" w:hAnsi="宋体" w:cs="Times New Roman"/>
          <w:b/>
          <w:bCs/>
          <w:color w:val="auto"/>
          <w:sz w:val="32"/>
          <w:szCs w:val="21"/>
          <w:highlight w:val="none"/>
          <w:lang w:eastAsia="zh-CN"/>
        </w:rPr>
        <w:t xml:space="preserve">采购代理机构(章)：江苏嘉加诚工程投资咨询有限公司</w:t>
      </w:r>
      <w:r/>
    </w:p>
    <w:p>
      <w:pPr>
        <w:jc w:val="center"/>
        <w:pageBreakBefore w:val="0"/>
        <w:spacing w:line="360" w:lineRule="auto"/>
        <w:rPr>
          <w:rFonts w:hint="eastAsia" w:ascii="宋体" w:hAnsi="宋体" w:cs="Times New Roman"/>
          <w:b/>
          <w:bCs/>
          <w:color w:val="auto"/>
          <w:sz w:val="32"/>
          <w:szCs w:val="21"/>
          <w:highlight w:val="none"/>
          <w:lang w:eastAsia="zh-CN"/>
        </w:rPr>
      </w:pPr>
      <w:r>
        <w:rPr>
          <w:rFonts w:hint="eastAsia" w:ascii="宋体" w:hAnsi="宋体" w:cs="Times New Roman"/>
          <w:b/>
          <w:bCs/>
          <w:color w:val="auto"/>
          <w:sz w:val="32"/>
          <w:szCs w:val="21"/>
          <w:highlight w:val="none"/>
          <w:lang w:eastAsia="zh-CN"/>
        </w:rPr>
        <w:t xml:space="preserve">发 放 日 期：</w:t>
      </w:r>
      <w:bookmarkStart w:id="1" w:name="EB59c3faf64f2a4bd092a206fb1d0c3c03"/>
      <w:r>
        <w:rPr>
          <w:rFonts w:hint="eastAsia" w:ascii="宋体" w:hAnsi="宋体" w:cs="Times New Roman"/>
          <w:b/>
          <w:bCs/>
          <w:color w:val="auto"/>
          <w:sz w:val="32"/>
          <w:szCs w:val="21"/>
          <w:highlight w:val="none"/>
          <w:lang w:eastAsia="zh-CN"/>
        </w:rPr>
        <w:t xml:space="preserve"> </w:t>
      </w:r>
      <w:bookmarkEnd w:id="1"/>
      <w:r>
        <w:rPr>
          <w:rFonts w:hint="eastAsia" w:ascii="宋体" w:hAnsi="宋体" w:cs="Times New Roman"/>
          <w:b/>
          <w:bCs/>
          <w:color w:val="auto"/>
          <w:sz w:val="32"/>
          <w:szCs w:val="21"/>
          <w:highlight w:val="none"/>
          <w:lang w:eastAsia="zh-CN"/>
        </w:rPr>
        <w:t xml:space="preserve">20</w:t>
      </w:r>
      <w:r>
        <w:rPr>
          <w:rFonts w:hint="eastAsia" w:ascii="宋体" w:hAnsi="宋体" w:cs="Times New Roman"/>
          <w:b/>
          <w:bCs/>
          <w:color w:val="auto"/>
          <w:sz w:val="32"/>
          <w:szCs w:val="21"/>
          <w:highlight w:val="none"/>
          <w:lang w:val="en-US" w:eastAsia="zh-CN"/>
        </w:rPr>
        <w:t xml:space="preserve">26</w:t>
      </w:r>
      <w:r>
        <w:rPr>
          <w:rFonts w:hint="eastAsia" w:ascii="宋体" w:hAnsi="宋体" w:cs="Times New Roman"/>
          <w:b/>
          <w:bCs/>
          <w:color w:val="auto"/>
          <w:sz w:val="32"/>
          <w:szCs w:val="21"/>
          <w:highlight w:val="none"/>
          <w:lang w:eastAsia="zh-CN"/>
        </w:rPr>
        <w:t xml:space="preserve">年</w:t>
      </w:r>
      <w:r>
        <w:rPr>
          <w:rFonts w:hint="eastAsia" w:ascii="宋体" w:hAnsi="宋体" w:cs="Times New Roman"/>
          <w:b/>
          <w:bCs/>
          <w:color w:val="auto"/>
          <w:sz w:val="32"/>
          <w:szCs w:val="21"/>
          <w:highlight w:val="none"/>
          <w:lang w:val="en-US" w:eastAsia="zh-CN"/>
        </w:rPr>
        <w:t xml:space="preserve">05</w:t>
      </w:r>
      <w:r>
        <w:rPr>
          <w:rFonts w:hint="eastAsia" w:ascii="宋体" w:hAnsi="宋体" w:cs="Times New Roman"/>
          <w:b/>
          <w:bCs/>
          <w:color w:val="auto"/>
          <w:sz w:val="32"/>
          <w:szCs w:val="21"/>
          <w:highlight w:val="none"/>
          <w:lang w:eastAsia="zh-CN"/>
        </w:rPr>
        <w:t xml:space="preserve">月</w:t>
      </w:r>
      <w:r>
        <w:rPr>
          <w:rFonts w:hint="eastAsia" w:ascii="宋体" w:hAnsi="宋体" w:cs="Times New Roman"/>
          <w:b/>
          <w:bCs/>
          <w:color w:val="auto"/>
          <w:sz w:val="32"/>
          <w:szCs w:val="21"/>
          <w:highlight w:val="none"/>
          <w:lang w:val="en-US" w:eastAsia="zh-CN"/>
        </w:rPr>
        <w:t xml:space="preserve">22</w:t>
      </w:r>
      <w:r>
        <w:rPr>
          <w:rFonts w:hint="eastAsia" w:ascii="宋体" w:hAnsi="宋体" w:cs="Times New Roman"/>
          <w:b/>
          <w:bCs/>
          <w:color w:val="auto"/>
          <w:sz w:val="32"/>
          <w:szCs w:val="21"/>
          <w:highlight w:val="none"/>
          <w:lang w:eastAsia="zh-CN"/>
        </w:rPr>
        <w:t xml:space="preserve">日</w:t>
      </w:r>
      <w:r/>
    </w:p>
    <w:p>
      <w:pPr>
        <w:jc w:val="both"/>
        <w:pageBreakBefore w:val="0"/>
        <w:spacing w:line="360" w:lineRule="auto"/>
        <w:rPr>
          <w:rFonts w:hint="eastAsia" w:ascii="宋体" w:hAnsi="宋体"/>
          <w:color w:val="auto"/>
          <w:sz w:val="32"/>
          <w:szCs w:val="32"/>
          <w:highlight w:val="none"/>
        </w:rPr>
      </w:pPr>
      <w:r>
        <w:rPr>
          <w:rFonts w:hint="eastAsia" w:ascii="宋体" w:hAnsi="宋体"/>
          <w:color w:val="auto"/>
          <w:sz w:val="32"/>
          <w:szCs w:val="32"/>
          <w:highlight w:val="none"/>
        </w:rPr>
      </w:r>
      <w:r/>
    </w:p>
    <w:p>
      <w:pPr>
        <w:rPr>
          <w:rFonts w:hint="eastAsia" w:ascii="宋体" w:hAnsi="宋体"/>
          <w:color w:val="auto"/>
          <w:sz w:val="32"/>
          <w:highlight w:val="none"/>
        </w:rPr>
      </w:pPr>
      <w:r>
        <w:rPr>
          <w:rFonts w:hint="eastAsia" w:ascii="宋体" w:hAnsi="宋体"/>
          <w:color w:val="auto"/>
          <w:sz w:val="32"/>
          <w:highlight w:val="none"/>
        </w:rPr>
        <w:br w:type="page" w:clear="all"/>
      </w:r>
      <w:r/>
    </w:p>
    <w:p>
      <w:pPr>
        <w:jc w:val="center"/>
        <w:keepLines w:val="0"/>
        <w:keepNext w:val="0"/>
        <w:pageBreakBefore w:val="0"/>
        <w:spacing w:line="360" w:lineRule="auto"/>
        <w:widowControl w:val="off"/>
        <w:rPr>
          <w:rFonts w:hint="eastAsia" w:ascii="宋体" w:hAnsi="宋体"/>
          <w:color w:val="auto"/>
          <w:sz w:val="32"/>
          <w:szCs w:val="32"/>
          <w:highlight w:val="none"/>
        </w:rPr>
      </w:pPr>
      <w:r>
        <w:rPr>
          <w:rFonts w:hint="eastAsia" w:ascii="宋体" w:hAnsi="宋体"/>
          <w:color w:val="auto"/>
          <w:sz w:val="32"/>
          <w:highlight w:val="none"/>
        </w:rPr>
        <w:t xml:space="preserve">目 录</w:t>
      </w:r>
      <w:r/>
    </w:p>
    <w:p>
      <w:pPr>
        <w:pStyle w:val="936"/>
        <w:jc w:val="center"/>
        <w:keepLines w:val="0"/>
        <w:keepNext w:val="0"/>
        <w:pageBreakBefore w:val="0"/>
        <w:spacing w:line="360" w:lineRule="auto"/>
        <w:widowControl w:val="off"/>
        <w:tabs>
          <w:tab w:val="right" w:pos="8296" w:leader="dot"/>
        </w:tabs>
        <w:rPr>
          <w:rFonts w:hint="eastAsia"/>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招标公告</w:t>
      </w:r>
      <w:r>
        <w:rPr>
          <w:rFonts w:hint="eastAsia"/>
          <w:color w:val="auto"/>
          <w:highlight w:val="none"/>
        </w:rPr>
        <w:tab/>
      </w:r>
      <w:r>
        <w:rPr>
          <w:rFonts w:hint="eastAsia"/>
          <w:color w:val="auto"/>
          <w:highlight w:val="none"/>
        </w:rPr>
        <w:t xml:space="preserve">3</w:t>
      </w:r>
      <w:r/>
    </w:p>
    <w:p>
      <w:pPr>
        <w:pStyle w:val="936"/>
        <w:jc w:val="center"/>
        <w:keepLines w:val="0"/>
        <w:keepNext w:val="0"/>
        <w:pageBreakBefore w:val="0"/>
        <w:spacing w:line="360" w:lineRule="auto"/>
        <w:widowControl w:val="off"/>
        <w:tabs>
          <w:tab w:val="right" w:pos="8296" w:leader="dot"/>
        </w:tabs>
        <w:rPr>
          <w:rFonts w:hint="eastAsia" w:eastAsia="宋体"/>
          <w:color w:val="auto"/>
          <w:highlight w:val="none"/>
          <w:lang w:eastAsia="zh-CN"/>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lang w:val="en-US" w:eastAsia="zh-CN"/>
        </w:rPr>
        <w:t xml:space="preserve">6</w:t>
      </w:r>
      <w:r/>
    </w:p>
    <w:p>
      <w:pPr>
        <w:pStyle w:val="936"/>
        <w:jc w:val="center"/>
        <w:keepLines w:val="0"/>
        <w:keepNext w:val="0"/>
        <w:pageBreakBefore w:val="0"/>
        <w:spacing w:line="360" w:lineRule="auto"/>
        <w:widowControl w:val="off"/>
        <w:tabs>
          <w:tab w:val="right" w:pos="8296" w:leader="dot"/>
        </w:tabs>
        <w:rPr>
          <w:rFonts w:hint="eastAsia" w:eastAsia="宋体"/>
          <w:color w:val="auto"/>
          <w:highlight w:val="none"/>
          <w:lang w:eastAsia="zh-CN"/>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w:t>
      </w:r>
      <w:r>
        <w:rPr>
          <w:rFonts w:hint="eastAsia"/>
          <w:color w:val="auto"/>
          <w:highlight w:val="none"/>
          <w:lang w:val="en-US" w:eastAsia="zh-CN"/>
        </w:rPr>
        <w:t xml:space="preserve">6</w:t>
      </w:r>
      <w:r/>
    </w:p>
    <w:p>
      <w:pPr>
        <w:pStyle w:val="936"/>
        <w:jc w:val="center"/>
        <w:keepLines w:val="0"/>
        <w:keepNext w:val="0"/>
        <w:pageBreakBefore w:val="0"/>
        <w:spacing w:line="360" w:lineRule="auto"/>
        <w:widowControl w:val="off"/>
        <w:tabs>
          <w:tab w:val="right" w:pos="8296" w:leader="dot"/>
        </w:tabs>
        <w:rPr>
          <w:rFonts w:hint="eastAsia" w:eastAsia="宋体"/>
          <w:color w:val="auto"/>
          <w:highlight w:val="none"/>
          <w:lang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w:t>
      </w:r>
      <w:r>
        <w:rPr>
          <w:rFonts w:hint="eastAsia"/>
          <w:color w:val="auto"/>
          <w:highlight w:val="none"/>
          <w:lang w:val="en-US" w:eastAsia="zh-CN"/>
        </w:rPr>
        <w:t xml:space="preserve">1</w:t>
      </w:r>
      <w:r/>
    </w:p>
    <w:p>
      <w:pPr>
        <w:pStyle w:val="936"/>
        <w:jc w:val="center"/>
        <w:keepLines w:val="0"/>
        <w:keepNext w:val="0"/>
        <w:pageBreakBefore w:val="0"/>
        <w:spacing w:line="360" w:lineRule="auto"/>
        <w:widowControl w:val="off"/>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24</w:t>
      </w:r>
      <w:r/>
    </w:p>
    <w:p>
      <w:pPr>
        <w:pStyle w:val="936"/>
        <w:jc w:val="center"/>
        <w:keepLines w:val="0"/>
        <w:keepNext w:val="0"/>
        <w:pageBreakBefore w:val="0"/>
        <w:spacing w:line="360" w:lineRule="auto"/>
        <w:widowControl w:val="off"/>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28</w:t>
      </w:r>
      <w:r/>
    </w:p>
    <w:p>
      <w:pPr>
        <w:jc w:val="center"/>
        <w:keepLines w:val="0"/>
        <w:keepNext w:val="0"/>
        <w:pageBreakBefore w:val="0"/>
        <w:spacing w:line="360" w:lineRule="auto"/>
        <w:widowControl w:val="off"/>
        <w:rPr>
          <w:rFonts w:ascii="宋体" w:hAnsi="宋体"/>
          <w:color w:val="auto"/>
          <w:sz w:val="28"/>
          <w:highlight w:val="none"/>
        </w:rPr>
      </w:pPr>
      <w:r>
        <w:rPr>
          <w:rFonts w:hint="eastAsia" w:ascii="宋体" w:hAnsi="宋体"/>
          <w:color w:val="auto"/>
          <w:sz w:val="28"/>
          <w:highlight w:val="none"/>
        </w:rPr>
        <w:fldChar w:fldCharType="end"/>
      </w:r>
      <w:r/>
    </w:p>
    <w:p>
      <w:pPr>
        <w:jc w:val="center"/>
        <w:pageBreakBefore w:val="0"/>
        <w:spacing w:line="360" w:lineRule="auto"/>
        <w:rPr>
          <w:rFonts w:hint="eastAsia" w:ascii="宋体" w:hAnsi="宋体"/>
          <w:b/>
          <w:bCs/>
          <w:color w:val="auto"/>
          <w:sz w:val="36"/>
          <w:highlight w:val="none"/>
        </w:rPr>
      </w:pPr>
      <w:r>
        <w:rPr>
          <w:rFonts w:hint="eastAsia" w:ascii="宋体" w:hAnsi="宋体"/>
          <w:color w:val="auto"/>
          <w:sz w:val="28"/>
          <w:highlight w:val="none"/>
        </w:rPr>
        <w:br w:type="page" w:clear="all"/>
      </w:r>
      <w:r>
        <w:rPr>
          <w:rFonts w:hint="eastAsia" w:ascii="宋体" w:hAnsi="宋体"/>
          <w:b/>
          <w:bCs/>
          <w:color w:val="auto"/>
          <w:sz w:val="44"/>
          <w:szCs w:val="28"/>
          <w:highlight w:val="none"/>
        </w:rPr>
        <w:t xml:space="preserve">第一章 招标公告</w:t>
      </w:r>
      <w:r/>
    </w:p>
    <w:p>
      <w:pPr>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pageBreakBefore w:val="0"/>
        <w:spacing w:line="360" w:lineRule="auto"/>
        <w:rPr>
          <w:rFonts w:hint="eastAsia" w:ascii="宋体" w:hAnsi="宋体" w:cs="宋体"/>
          <w:b w:val="0"/>
          <w:bCs w:val="0"/>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highlight w:val="none"/>
          <w:lang w:eastAsia="zh-CN"/>
        </w:rPr>
        <w:t xml:space="preserve">扬州大学研究生学位论文送审服务平台</w:t>
      </w:r>
      <w:r>
        <w:rPr>
          <w:rFonts w:hint="eastAsia" w:ascii="宋体" w:hAnsi="宋体" w:cs="宋体"/>
          <w:color w:val="auto"/>
          <w:highlight w:val="none"/>
          <w:lang w:eastAsia="zh-CN"/>
        </w:rPr>
        <w:t xml:space="preserve">JSZC-320000-JJJC-G2026-0009</w:t>
      </w:r>
      <w:r>
        <w:rPr>
          <w:rFonts w:hint="eastAsia" w:ascii="宋体" w:hAnsi="宋体" w:cs="宋体"/>
          <w:b w:val="0"/>
          <w:bCs w:val="0"/>
          <w:color w:val="auto"/>
          <w:highlight w:val="none"/>
        </w:rPr>
        <w:t xml:space="preserve">采购项目的潜在供应商应在“江苏政府采购网”和“中国政府采购网”获取采购文件，并于2026-</w:t>
      </w:r>
      <w:r>
        <w:rPr>
          <w:rFonts w:hint="eastAsia" w:ascii="宋体" w:hAnsi="宋体" w:cs="宋体"/>
          <w:b w:val="0"/>
          <w:bCs w:val="0"/>
          <w:color w:val="auto"/>
          <w:highlight w:val="none"/>
          <w:lang w:val="en-US" w:eastAsia="zh-CN"/>
        </w:rPr>
        <w:t xml:space="preserve">06</w:t>
      </w:r>
      <w:r>
        <w:rPr>
          <w:rFonts w:hint="eastAsia" w:ascii="宋体" w:hAnsi="宋体" w:cs="宋体"/>
          <w:b w:val="0"/>
          <w:bCs w:val="0"/>
          <w:color w:val="auto"/>
          <w:highlight w:val="none"/>
        </w:rPr>
        <w:t xml:space="preserve">-</w:t>
      </w:r>
      <w:r>
        <w:rPr>
          <w:rFonts w:hint="eastAsia" w:ascii="宋体" w:hAnsi="宋体" w:cs="宋体"/>
          <w:b w:val="0"/>
          <w:bCs w:val="0"/>
          <w:color w:val="auto"/>
          <w:highlight w:val="none"/>
          <w:lang w:val="en-US" w:eastAsia="zh-CN"/>
        </w:rPr>
        <w:t xml:space="preserve">12 </w:t>
      </w:r>
      <w:r>
        <w:rPr>
          <w:rFonts w:hint="eastAsia" w:ascii="宋体" w:hAnsi="宋体" w:cs="宋体"/>
          <w:b w:val="0"/>
          <w:bCs w:val="0"/>
          <w:color w:val="auto"/>
          <w:highlight w:val="none"/>
        </w:rPr>
        <w:t xml:space="preserve"> 09:30 （北京时间）前提交响应文件。</w:t>
      </w:r>
      <w:r/>
    </w:p>
    <w:p>
      <w:pPr>
        <w:pageBreakBefore w:val="0"/>
        <w:spacing w:line="360" w:lineRule="auto"/>
        <w:tabs>
          <w:tab w:val="left" w:pos="266" w:leader="none"/>
        </w:tabs>
        <w:rPr>
          <w:rFonts w:ascii="宋体" w:hAnsi="宋体" w:cs="宋体"/>
          <w:b/>
          <w:bCs/>
          <w:color w:val="auto"/>
          <w:highlight w:val="none"/>
        </w:rPr>
      </w:pPr>
      <w:r/>
      <w:bookmarkStart w:id="2" w:name="_Toc35393790"/>
      <w:r/>
      <w:bookmarkStart w:id="3" w:name="_Toc28359079"/>
      <w:r/>
      <w:bookmarkStart w:id="4" w:name="_Toc28359002"/>
      <w:r/>
      <w:bookmarkStart w:id="5" w:name="_Toc35393621"/>
      <w:r/>
      <w:bookmarkStart w:id="6" w:name="_Toc38985263"/>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项目编号：</w:t>
      </w:r>
      <w:r>
        <w:rPr>
          <w:rFonts w:hint="eastAsia" w:ascii="宋体" w:hAnsi="宋体" w:cs="宋体"/>
          <w:color w:val="auto"/>
          <w:highlight w:val="none"/>
          <w:lang w:eastAsia="zh-CN"/>
        </w:rPr>
        <w:t xml:space="preserve">JSZC-320000-JJJC-G2026-0009</w:t>
      </w:r>
      <w:r/>
    </w:p>
    <w:p>
      <w:pPr>
        <w:ind w:firstLine="420"/>
        <w:pageBreakBefore w:val="0"/>
        <w:spacing w:line="360" w:lineRule="auto"/>
        <w:rPr>
          <w:rFonts w:hint="eastAsia" w:ascii="宋体" w:hAnsi="宋体" w:cs="宋体"/>
          <w:color w:val="auto"/>
          <w:highlight w:val="none"/>
          <w:lang w:eastAsia="zh-CN"/>
        </w:rPr>
      </w:pPr>
      <w:r>
        <w:rPr>
          <w:rFonts w:hint="eastAsia" w:ascii="宋体" w:hAnsi="宋体" w:cs="宋体"/>
          <w:color w:val="auto"/>
          <w:highlight w:val="none"/>
        </w:rPr>
        <w:t xml:space="preserve">项目名称：</w:t>
      </w:r>
      <w:r>
        <w:rPr>
          <w:rFonts w:hint="eastAsia" w:ascii="宋体" w:hAnsi="宋体" w:cs="宋体"/>
          <w:color w:val="auto"/>
          <w:highlight w:val="none"/>
          <w:lang w:eastAsia="zh-CN"/>
        </w:rPr>
        <w:t xml:space="preserve">扬州大学研究生学位论文送审服务平台</w:t>
      </w:r>
      <w:r/>
    </w:p>
    <w:p>
      <w:pPr>
        <w:ind w:firstLine="420"/>
        <w:pageBreakBefore w:val="0"/>
        <w:spacing w:line="36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采购方式：公开招标</w:t>
      </w:r>
      <w:bookmarkEnd w:id="7"/>
      <w:r/>
      <w:r/>
    </w:p>
    <w:p>
      <w:pPr>
        <w:numPr>
          <w:ilvl w:val="0"/>
          <w:numId w:val="0"/>
        </w:numPr>
        <w:ind w:firstLine="420"/>
        <w:jc w:val="both"/>
        <w:keepLines w:val="0"/>
        <w:keepNext w:val="0"/>
        <w:pageBreakBefore w:val="0"/>
        <w:spacing w:line="360" w:lineRule="auto"/>
        <w:widowControl w:val="off"/>
        <w:rPr>
          <w:rFonts w:hint="default" w:ascii="Times New Roman" w:hAnsi="Times New Roman"/>
          <w:b w:val="0"/>
          <w:bCs w:val="0"/>
          <w:color w:val="auto"/>
          <w:sz w:val="21"/>
          <w:szCs w:val="22"/>
          <w:highlight w:val="none"/>
          <w:lang w:val="en-US" w:eastAsia="zh-CN" w:bidi="ar-SA"/>
        </w:rPr>
      </w:pPr>
      <w:r>
        <w:rPr>
          <w:rFonts w:hint="eastAsia" w:ascii="宋体" w:hAnsi="宋体" w:eastAsia="宋体" w:cs="宋体"/>
          <w:color w:val="auto"/>
          <w:highlight w:val="none"/>
        </w:rPr>
        <w:t xml:space="preserve">预算金额：</w:t>
      </w:r>
      <w:r>
        <w:rPr>
          <w:rFonts w:hint="eastAsia" w:ascii="宋体" w:hAnsi="宋体"/>
          <w:color w:val="auto"/>
          <w:sz w:val="21"/>
          <w:szCs w:val="21"/>
          <w:highlight w:val="none"/>
          <w:lang w:val="en-US" w:eastAsia="zh-CN"/>
        </w:rPr>
        <w:t xml:space="preserve">300.000000万元</w:t>
      </w:r>
      <w:r>
        <w:rPr>
          <w:rFonts w:hint="default" w:ascii="Times New Roman" w:hAnsi="Times New Roman"/>
          <w:b w:val="0"/>
          <w:bCs w:val="0"/>
          <w:color w:val="auto"/>
          <w:sz w:val="21"/>
          <w:szCs w:val="22"/>
          <w:highlight w:val="none"/>
          <w:lang w:val="en-US" w:eastAsia="zh-CN" w:bidi="ar-SA"/>
        </w:rPr>
        <w:t xml:space="preserve">（采购包1：</w:t>
      </w:r>
      <w:r>
        <w:rPr>
          <w:rFonts w:hint="eastAsia" w:ascii="Times New Roman" w:hAnsi="Times New Roman"/>
          <w:b w:val="0"/>
          <w:bCs w:val="0"/>
          <w:color w:val="auto"/>
          <w:sz w:val="21"/>
          <w:szCs w:val="22"/>
          <w:highlight w:val="none"/>
          <w:lang w:val="en-US" w:eastAsia="zh-CN" w:bidi="ar-SA"/>
        </w:rPr>
        <w:t xml:space="preserve">100.000000</w:t>
      </w:r>
      <w:r>
        <w:rPr>
          <w:rFonts w:hint="default" w:ascii="Times New Roman" w:hAnsi="Times New Roman"/>
          <w:b w:val="0"/>
          <w:bCs w:val="0"/>
          <w:color w:val="auto"/>
          <w:sz w:val="21"/>
          <w:szCs w:val="22"/>
          <w:highlight w:val="none"/>
          <w:lang w:val="en-US" w:eastAsia="zh-CN" w:bidi="ar-SA"/>
        </w:rPr>
        <w:t xml:space="preserve">万元；采购包2：</w:t>
      </w:r>
      <w:r>
        <w:rPr>
          <w:rFonts w:hint="eastAsia" w:ascii="Times New Roman" w:hAnsi="Times New Roman"/>
          <w:b w:val="0"/>
          <w:bCs w:val="0"/>
          <w:color w:val="auto"/>
          <w:sz w:val="21"/>
          <w:szCs w:val="22"/>
          <w:highlight w:val="none"/>
          <w:lang w:val="en-US" w:eastAsia="zh-CN" w:bidi="ar-SA"/>
        </w:rPr>
        <w:t xml:space="preserve">100.000000</w:t>
      </w:r>
      <w:r>
        <w:rPr>
          <w:rFonts w:hint="default" w:ascii="Times New Roman" w:hAnsi="Times New Roman"/>
          <w:b w:val="0"/>
          <w:bCs w:val="0"/>
          <w:color w:val="auto"/>
          <w:sz w:val="21"/>
          <w:szCs w:val="22"/>
          <w:highlight w:val="none"/>
          <w:lang w:val="en-US" w:eastAsia="zh-CN" w:bidi="ar-SA"/>
        </w:rPr>
        <w:t xml:space="preserve">万元；采购包3：</w:t>
      </w:r>
      <w:r>
        <w:rPr>
          <w:rFonts w:hint="eastAsia" w:ascii="Times New Roman" w:hAnsi="Times New Roman"/>
          <w:b w:val="0"/>
          <w:bCs w:val="0"/>
          <w:color w:val="auto"/>
          <w:sz w:val="21"/>
          <w:szCs w:val="22"/>
          <w:highlight w:val="none"/>
          <w:lang w:val="en-US" w:eastAsia="zh-CN" w:bidi="ar-SA"/>
        </w:rPr>
        <w:t xml:space="preserve">100.000000</w:t>
      </w:r>
      <w:r>
        <w:rPr>
          <w:rFonts w:hint="default" w:ascii="Times New Roman" w:hAnsi="Times New Roman"/>
          <w:b w:val="0"/>
          <w:bCs w:val="0"/>
          <w:color w:val="auto"/>
          <w:sz w:val="21"/>
          <w:szCs w:val="22"/>
          <w:highlight w:val="none"/>
          <w:lang w:val="en-US" w:eastAsia="zh-CN" w:bidi="ar-SA"/>
        </w:rPr>
        <w:t xml:space="preserve">万元） </w:t>
      </w:r>
      <w:r/>
    </w:p>
    <w:p>
      <w:pPr>
        <w:numPr>
          <w:ilvl w:val="0"/>
          <w:numId w:val="0"/>
        </w:numPr>
        <w:ind w:firstLine="420"/>
        <w:jc w:val="both"/>
        <w:keepLines w:val="0"/>
        <w:keepNext w:val="0"/>
        <w:pageBreakBefore w:val="0"/>
        <w:spacing w:line="360" w:lineRule="auto"/>
        <w:widowControl w:val="off"/>
        <w:rPr>
          <w:rFonts w:hint="eastAsia" w:ascii="宋体" w:hAnsi="宋体" w:cs="宋体"/>
          <w:highlight w:val="none"/>
          <w:lang w:eastAsia="zh-CN"/>
        </w:rPr>
      </w:pPr>
      <w:r>
        <w:rPr>
          <w:rFonts w:hint="default" w:ascii="Times New Roman" w:hAnsi="Times New Roman"/>
          <w:b w:val="0"/>
          <w:bCs w:val="0"/>
          <w:color w:val="auto"/>
          <w:sz w:val="21"/>
          <w:szCs w:val="22"/>
          <w:highlight w:val="none"/>
          <w:lang w:val="en-US" w:eastAsia="zh-CN" w:bidi="ar-SA"/>
        </w:rPr>
        <w:t xml:space="preserve">最高限价（如有）：包</w:t>
      </w:r>
      <w:r>
        <w:rPr>
          <w:rFonts w:hint="eastAsia" w:ascii="Times New Roman" w:hAnsi="Times New Roman"/>
          <w:b w:val="0"/>
          <w:bCs w:val="0"/>
          <w:color w:val="auto"/>
          <w:sz w:val="21"/>
          <w:szCs w:val="22"/>
          <w:highlight w:val="none"/>
          <w:lang w:val="en-US" w:eastAsia="zh-CN" w:bidi="ar-SA"/>
        </w:rPr>
        <w:t xml:space="preserve">1</w:t>
      </w:r>
      <w:r>
        <w:rPr>
          <w:rFonts w:hint="default" w:ascii="Times New Roman" w:hAnsi="Times New Roman"/>
          <w:b w:val="0"/>
          <w:bCs w:val="0"/>
          <w:color w:val="auto"/>
          <w:sz w:val="21"/>
          <w:szCs w:val="22"/>
          <w:highlight w:val="none"/>
          <w:lang w:val="en-US" w:eastAsia="zh-CN" w:bidi="ar-SA"/>
        </w:rPr>
        <w:t xml:space="preserve">最高限价</w:t>
      </w:r>
      <w:r>
        <w:rPr>
          <w:rFonts w:hint="eastAsia" w:ascii="Times New Roman" w:hAnsi="Times New Roman"/>
          <w:b w:val="0"/>
          <w:bCs w:val="0"/>
          <w:color w:val="auto"/>
          <w:sz w:val="21"/>
          <w:szCs w:val="22"/>
          <w:highlight w:val="none"/>
          <w:lang w:val="en-US" w:eastAsia="zh-CN" w:bidi="ar-SA"/>
        </w:rPr>
        <w:t xml:space="preserve">100</w:t>
      </w:r>
      <w:r>
        <w:rPr>
          <w:rFonts w:hint="default" w:ascii="Times New Roman" w:hAnsi="Times New Roman"/>
          <w:b w:val="0"/>
          <w:bCs w:val="0"/>
          <w:color w:val="auto"/>
          <w:sz w:val="21"/>
          <w:szCs w:val="22"/>
          <w:highlight w:val="none"/>
          <w:lang w:val="en-US" w:eastAsia="zh-CN" w:bidi="ar-SA"/>
        </w:rPr>
        <w:t xml:space="preserve">万元；包</w:t>
      </w:r>
      <w:r>
        <w:rPr>
          <w:rFonts w:hint="eastAsia" w:ascii="Times New Roman" w:hAnsi="Times New Roman"/>
          <w:b w:val="0"/>
          <w:bCs w:val="0"/>
          <w:color w:val="auto"/>
          <w:sz w:val="21"/>
          <w:szCs w:val="22"/>
          <w:highlight w:val="none"/>
          <w:lang w:val="en-US" w:eastAsia="zh-CN" w:bidi="ar-SA"/>
        </w:rPr>
        <w:t xml:space="preserve">2</w:t>
      </w:r>
      <w:r>
        <w:rPr>
          <w:rFonts w:hint="default" w:ascii="Times New Roman" w:hAnsi="Times New Roman"/>
          <w:b w:val="0"/>
          <w:bCs w:val="0"/>
          <w:color w:val="auto"/>
          <w:sz w:val="21"/>
          <w:szCs w:val="22"/>
          <w:highlight w:val="none"/>
          <w:lang w:val="en-US" w:eastAsia="zh-CN" w:bidi="ar-SA"/>
        </w:rPr>
        <w:t xml:space="preserve">最高限价</w:t>
      </w:r>
      <w:r>
        <w:rPr>
          <w:rFonts w:hint="eastAsia" w:ascii="Times New Roman" w:hAnsi="Times New Roman"/>
          <w:b w:val="0"/>
          <w:bCs w:val="0"/>
          <w:color w:val="auto"/>
          <w:sz w:val="21"/>
          <w:szCs w:val="22"/>
          <w:highlight w:val="none"/>
          <w:lang w:val="en-US" w:eastAsia="zh-CN" w:bidi="ar-SA"/>
        </w:rPr>
        <w:t xml:space="preserve">100</w:t>
      </w:r>
      <w:r>
        <w:rPr>
          <w:rFonts w:hint="default" w:ascii="Times New Roman" w:hAnsi="Times New Roman"/>
          <w:b w:val="0"/>
          <w:bCs w:val="0"/>
          <w:color w:val="auto"/>
          <w:sz w:val="21"/>
          <w:szCs w:val="22"/>
          <w:highlight w:val="none"/>
          <w:lang w:val="en-US" w:eastAsia="zh-CN" w:bidi="ar-SA"/>
        </w:rPr>
        <w:t xml:space="preserve">万元；包</w:t>
      </w:r>
      <w:r>
        <w:rPr>
          <w:rFonts w:hint="eastAsia" w:ascii="Times New Roman" w:hAnsi="Times New Roman"/>
          <w:b w:val="0"/>
          <w:bCs w:val="0"/>
          <w:color w:val="auto"/>
          <w:sz w:val="21"/>
          <w:szCs w:val="22"/>
          <w:highlight w:val="none"/>
          <w:lang w:val="en-US" w:eastAsia="zh-CN" w:bidi="ar-SA"/>
        </w:rPr>
        <w:t xml:space="preserve">3</w:t>
      </w:r>
      <w:r>
        <w:rPr>
          <w:rFonts w:hint="default" w:ascii="Times New Roman" w:hAnsi="Times New Roman"/>
          <w:b w:val="0"/>
          <w:bCs w:val="0"/>
          <w:color w:val="auto"/>
          <w:sz w:val="21"/>
          <w:szCs w:val="22"/>
          <w:highlight w:val="none"/>
          <w:lang w:val="en-US" w:eastAsia="zh-CN" w:bidi="ar-SA"/>
        </w:rPr>
        <w:t xml:space="preserve">最高限价</w:t>
      </w:r>
      <w:r>
        <w:rPr>
          <w:rFonts w:hint="eastAsia" w:ascii="Times New Roman" w:hAnsi="Times New Roman"/>
          <w:b w:val="0"/>
          <w:bCs w:val="0"/>
          <w:color w:val="auto"/>
          <w:sz w:val="21"/>
          <w:szCs w:val="22"/>
          <w:highlight w:val="none"/>
          <w:lang w:val="en-US" w:eastAsia="zh-CN" w:bidi="ar-SA"/>
        </w:rPr>
        <w:t xml:space="preserve">100</w:t>
      </w:r>
      <w:r>
        <w:rPr>
          <w:rFonts w:hint="default" w:ascii="Times New Roman" w:hAnsi="Times New Roman"/>
          <w:b w:val="0"/>
          <w:bCs w:val="0"/>
          <w:color w:val="auto"/>
          <w:sz w:val="21"/>
          <w:szCs w:val="22"/>
          <w:highlight w:val="none"/>
          <w:lang w:val="en-US" w:eastAsia="zh-CN" w:bidi="ar-SA"/>
        </w:rPr>
        <w:t xml:space="preserve">万元。各投标</w:t>
      </w:r>
      <w:r>
        <w:rPr>
          <w:rFonts w:hint="eastAsia" w:ascii="Times New Roman" w:hAnsi="Times New Roman"/>
          <w:b w:val="0"/>
          <w:bCs w:val="0"/>
          <w:color w:val="auto"/>
          <w:sz w:val="21"/>
          <w:szCs w:val="22"/>
          <w:highlight w:val="none"/>
          <w:lang w:val="en-US" w:eastAsia="zh-CN" w:bidi="ar-SA"/>
        </w:rPr>
        <w:t xml:space="preserve">人</w:t>
      </w:r>
      <w:r>
        <w:rPr>
          <w:rFonts w:hint="default" w:ascii="Times New Roman" w:hAnsi="Times New Roman"/>
          <w:b w:val="0"/>
          <w:bCs w:val="0"/>
          <w:color w:val="auto"/>
          <w:sz w:val="21"/>
          <w:szCs w:val="22"/>
          <w:highlight w:val="none"/>
          <w:lang w:val="en-US" w:eastAsia="zh-CN" w:bidi="ar-SA"/>
        </w:rPr>
        <w:t xml:space="preserve">报价不得超过设定的每篇次最高限价，否则作为无效</w:t>
      </w:r>
      <w:r>
        <w:rPr>
          <w:rFonts w:hint="eastAsia" w:ascii="Times New Roman" w:hAnsi="Times New Roman"/>
          <w:b w:val="0"/>
          <w:bCs w:val="0"/>
          <w:color w:val="auto"/>
          <w:sz w:val="21"/>
          <w:szCs w:val="22"/>
          <w:highlight w:val="none"/>
          <w:lang w:val="en-US" w:eastAsia="zh-CN" w:bidi="ar-SA"/>
        </w:rPr>
        <w:t xml:space="preserve">响应</w:t>
      </w:r>
      <w:r>
        <w:rPr>
          <w:rFonts w:hint="default" w:ascii="Times New Roman" w:hAnsi="Times New Roman"/>
          <w:b w:val="0"/>
          <w:bCs w:val="0"/>
          <w:color w:val="auto"/>
          <w:sz w:val="21"/>
          <w:szCs w:val="22"/>
          <w:highlight w:val="none"/>
          <w:lang w:val="en-US" w:eastAsia="zh-CN" w:bidi="ar-SA"/>
        </w:rPr>
        <w:t xml:space="preserve">处理。  </w:t>
      </w:r>
      <w:r/>
    </w:p>
    <w:p>
      <w:pPr>
        <w:ind w:firstLine="420"/>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采购需求：</w:t>
      </w:r>
      <w:r>
        <w:rPr>
          <w:rFonts w:hint="eastAsia" w:ascii="宋体" w:hAnsi="宋体"/>
          <w:color w:val="auto"/>
          <w:szCs w:val="21"/>
          <w:highlight w:val="none"/>
        </w:rPr>
        <w:t xml:space="preserve">具体详见第四章“项目需求”。</w:t>
      </w:r>
      <w:r/>
    </w:p>
    <w:p>
      <w:pPr>
        <w:ind w:firstLine="420"/>
        <w:jc w:val="left"/>
        <w:pageBreakBefore w:val="0"/>
        <w:spacing w:line="360" w:lineRule="auto"/>
        <w:rPr>
          <w:rFonts w:hint="eastAsia" w:ascii="宋体" w:hAnsi="宋体" w:cs="宋体"/>
          <w:color w:val="auto"/>
          <w:szCs w:val="21"/>
          <w:highlight w:val="none"/>
          <w:lang w:val="en-US" w:eastAsia="zh-CN"/>
        </w:rPr>
      </w:pPr>
      <w:r>
        <w:rPr>
          <w:rFonts w:hint="eastAsia" w:ascii="宋体" w:hAnsi="宋体" w:cs="宋体"/>
          <w:color w:val="auto"/>
          <w:highlight w:val="none"/>
        </w:rPr>
        <w:t xml:space="preserve">合同履行期限：</w:t>
      </w:r>
      <w:r>
        <w:rPr>
          <w:rFonts w:hint="eastAsia" w:ascii="宋体" w:hAnsi="宋体" w:cs="宋体"/>
          <w:color w:val="auto"/>
          <w:highlight w:val="none"/>
          <w:lang w:val="en-US" w:eastAsia="zh-CN"/>
        </w:rPr>
        <w:t xml:space="preserve">自合同签订之日起1年整。一年合同期满前，经采购人组织评审，对服务情况满意的，经双方商定同意，可续签服务合同。续签最多不超过2次，一年一签。</w:t>
      </w:r>
      <w:r/>
    </w:p>
    <w:p>
      <w:pPr>
        <w:ind w:firstLine="420"/>
        <w:pageBreakBefore w:val="0"/>
        <w:spacing w:line="360" w:lineRule="auto"/>
        <w:rPr>
          <w:rFonts w:hint="eastAsia" w:ascii="宋体" w:hAnsi="宋体" w:cs="宋体"/>
          <w:color w:val="auto"/>
          <w:highlight w:val="none"/>
        </w:rPr>
      </w:pPr>
      <w:r/>
      <w:bookmarkStart w:id="8" w:name="_Toc35393791"/>
      <w:r/>
      <w:bookmarkStart w:id="9" w:name="_Toc28359003"/>
      <w:r/>
      <w:bookmarkStart w:id="10" w:name="_Toc38985264"/>
      <w:r/>
      <w:bookmarkStart w:id="11" w:name="_Toc28359080"/>
      <w:r/>
      <w:bookmarkStart w:id="12" w:name="_Toc35393622"/>
      <w:r>
        <w:rPr>
          <w:rFonts w:hint="eastAsia" w:ascii="宋体" w:hAnsi="宋体" w:cs="宋体"/>
          <w:color w:val="auto"/>
          <w:highlight w:val="none"/>
        </w:rPr>
        <w:t xml:space="preserve">本项目（是/否）接受联合体：否</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宋体" w:hAnsi="宋体" w:cs="宋体"/>
          <w:i w:val="0"/>
          <w:iCs w:val="0"/>
          <w:color w:val="auto"/>
          <w:szCs w:val="21"/>
          <w:highlight w:val="none"/>
          <w:u w:val="none"/>
        </w:rPr>
      </w:pPr>
      <w:r/>
      <w:bookmarkStart w:id="13" w:name="_Toc38985265"/>
      <w:r/>
      <w:bookmarkStart w:id="14" w:name="_Toc35393792"/>
      <w:r/>
      <w:bookmarkStart w:id="15" w:name="_Toc35393623"/>
      <w:r/>
      <w:bookmarkStart w:id="16" w:name="_Toc28359081"/>
      <w:r/>
      <w:bookmarkStart w:id="17" w:name="_Toc28359004"/>
      <w:r>
        <w:rPr>
          <w:rFonts w:hint="eastAsia" w:ascii="宋体" w:hAnsi="宋体" w:cs="宋体"/>
          <w:i w:val="0"/>
          <w:iCs w:val="0"/>
          <w:color w:val="auto"/>
          <w:szCs w:val="21"/>
          <w:highlight w:val="none"/>
          <w:u w:val="none"/>
          <w:lang w:eastAsia="zh-CN"/>
        </w:rPr>
        <w:t xml:space="preserve">（</w:t>
      </w:r>
      <w:r>
        <w:rPr>
          <w:rFonts w:hint="eastAsia" w:ascii="宋体" w:hAnsi="宋体" w:cs="宋体"/>
          <w:i w:val="0"/>
          <w:iCs w:val="0"/>
          <w:color w:val="auto"/>
          <w:szCs w:val="21"/>
          <w:highlight w:val="none"/>
          <w:u w:val="none"/>
          <w:lang w:val="en-US" w:eastAsia="zh-CN"/>
        </w:rPr>
        <w:t xml:space="preserve">一</w:t>
      </w:r>
      <w:r>
        <w:rPr>
          <w:rFonts w:hint="eastAsia" w:ascii="宋体" w:hAnsi="宋体" w:cs="宋体"/>
          <w:i w:val="0"/>
          <w:iCs w:val="0"/>
          <w:color w:val="auto"/>
          <w:szCs w:val="21"/>
          <w:highlight w:val="none"/>
          <w:u w:val="none"/>
          <w:lang w:eastAsia="zh-CN"/>
        </w:rPr>
        <w:t xml:space="preserve">）</w:t>
      </w:r>
      <w:r>
        <w:rPr>
          <w:rFonts w:hint="eastAsia" w:ascii="宋体" w:hAnsi="宋体" w:cs="宋体"/>
          <w:i w:val="0"/>
          <w:iCs w:val="0"/>
          <w:color w:val="auto"/>
          <w:szCs w:val="21"/>
          <w:highlight w:val="none"/>
          <w:u w:val="none"/>
        </w:rPr>
        <w:t xml:space="preserve">满足《中华人民共和国政府采购法》第二十二条规定： </w:t>
      </w:r>
      <w:r/>
    </w:p>
    <w:p>
      <w:p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rPr>
        <w:t xml:space="preserve">1.法人或者其他组织的营业执照等证明文件，自然人的身份证明；</w:t>
      </w:r>
      <w:r/>
    </w:p>
    <w:p>
      <w:p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2</w:t>
      </w:r>
      <w:r>
        <w:rPr>
          <w:rFonts w:hint="eastAsia" w:ascii="宋体" w:hAnsi="宋体" w:cs="宋体"/>
          <w:i w:val="0"/>
          <w:iCs w:val="0"/>
          <w:color w:val="auto"/>
          <w:szCs w:val="21"/>
          <w:highlight w:val="none"/>
          <w:u w:val="none"/>
        </w:rPr>
        <w:t xml:space="preserve">.上一年度的财务状况报告（成立不满一年无需提供）；</w:t>
      </w:r>
      <w:r/>
    </w:p>
    <w:p>
      <w:p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3.</w:t>
      </w:r>
      <w:r>
        <w:rPr>
          <w:rFonts w:hint="eastAsia" w:ascii="宋体" w:hAnsi="宋体" w:cs="宋体"/>
          <w:i w:val="0"/>
          <w:iCs w:val="0"/>
          <w:color w:val="auto"/>
          <w:szCs w:val="21"/>
          <w:highlight w:val="none"/>
          <w:u w:val="none"/>
        </w:rPr>
        <w:t xml:space="preserve">依法缴纳税收和社会保障资金的相关材料（提供提交</w:t>
      </w:r>
      <w:r>
        <w:rPr>
          <w:rFonts w:hint="eastAsia" w:ascii="宋体" w:hAnsi="宋体" w:cs="宋体"/>
          <w:i w:val="0"/>
          <w:iCs w:val="0"/>
          <w:color w:val="auto"/>
          <w:szCs w:val="21"/>
          <w:highlight w:val="none"/>
          <w:u w:val="none"/>
          <w:lang w:val="en-US" w:eastAsia="zh-CN"/>
        </w:rPr>
        <w:t xml:space="preserve">投标</w:t>
      </w:r>
      <w:r>
        <w:rPr>
          <w:rFonts w:hint="eastAsia" w:ascii="宋体" w:hAnsi="宋体" w:cs="宋体"/>
          <w:i w:val="0"/>
          <w:iCs w:val="0"/>
          <w:color w:val="auto"/>
          <w:szCs w:val="21"/>
          <w:highlight w:val="none"/>
          <w:u w:val="none"/>
        </w:rPr>
        <w:t xml:space="preserve">文件截止时间前一年内至少一个月依法缴纳税收及缴纳社会保障资金的证明材料。</w:t>
      </w:r>
      <w:r>
        <w:rPr>
          <w:rFonts w:hint="eastAsia" w:ascii="宋体" w:hAnsi="宋体" w:cs="宋体"/>
          <w:i w:val="0"/>
          <w:iCs w:val="0"/>
          <w:color w:val="auto"/>
          <w:szCs w:val="21"/>
          <w:highlight w:val="none"/>
          <w:u w:val="none"/>
          <w:lang w:val="en-US" w:eastAsia="zh-CN"/>
        </w:rPr>
        <w:t xml:space="preserve">投标人</w:t>
      </w:r>
      <w:r>
        <w:rPr>
          <w:rFonts w:hint="eastAsia" w:ascii="宋体" w:hAnsi="宋体" w:cs="宋体"/>
          <w:i w:val="0"/>
          <w:iCs w:val="0"/>
          <w:color w:val="auto"/>
          <w:szCs w:val="21"/>
          <w:highlight w:val="none"/>
          <w:u w:val="none"/>
        </w:rPr>
        <w:t xml:space="preserve">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4.</w:t>
      </w:r>
      <w:r>
        <w:rPr>
          <w:rFonts w:hint="eastAsia" w:ascii="宋体" w:hAnsi="宋体" w:cs="宋体"/>
          <w:i w:val="0"/>
          <w:iCs w:val="0"/>
          <w:color w:val="auto"/>
          <w:szCs w:val="21"/>
          <w:highlight w:val="none"/>
          <w:u w:val="none"/>
        </w:rPr>
        <w:t xml:space="preserve">具备履行合同所必需的设备和专业技术能力的书面声明；</w:t>
      </w:r>
      <w:r/>
    </w:p>
    <w:p>
      <w:p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5.</w:t>
      </w:r>
      <w:r>
        <w:rPr>
          <w:rFonts w:hint="eastAsia" w:ascii="宋体" w:hAnsi="宋体" w:cs="宋体"/>
          <w:i w:val="0"/>
          <w:iCs w:val="0"/>
          <w:color w:val="auto"/>
          <w:szCs w:val="21"/>
          <w:highlight w:val="none"/>
          <w:u w:val="none"/>
        </w:rPr>
        <w:t xml:space="preserve">参加政府采购活动前3年内在经营活动中没有重大违法记录的书面声明。</w:t>
      </w:r>
      <w:r/>
    </w:p>
    <w:p>
      <w:p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6.</w:t>
      </w:r>
      <w:r>
        <w:rPr>
          <w:rFonts w:hint="eastAsia" w:ascii="宋体" w:hAnsi="宋体" w:cs="宋体"/>
          <w:i w:val="0"/>
          <w:iCs w:val="0"/>
          <w:color w:val="auto"/>
          <w:szCs w:val="21"/>
          <w:highlight w:val="none"/>
          <w:u w:val="none"/>
        </w:rPr>
        <w:t xml:space="preserve">供应商信用承诺函。</w:t>
      </w:r>
      <w:r/>
    </w:p>
    <w:p>
      <w:pPr>
        <w:numPr>
          <w:ilvl w:val="0"/>
          <w:numId w:val="0"/>
        </w:numPr>
        <w:ind w:firstLine="420"/>
        <w:pageBreakBefore w:val="0"/>
        <w:spacing w:line="360" w:lineRule="auto"/>
        <w:rPr>
          <w:rFonts w:hint="eastAsia" w:ascii="宋体" w:hAnsi="宋体" w:cs="宋体"/>
          <w:i w:val="0"/>
          <w:iCs w:val="0"/>
          <w:color w:val="auto"/>
          <w:szCs w:val="21"/>
          <w:highlight w:val="none"/>
          <w:u w:val="none"/>
        </w:rPr>
      </w:pPr>
      <w:r>
        <w:rPr>
          <w:rFonts w:hint="eastAsia" w:ascii="宋体" w:hAnsi="宋体" w:cs="宋体"/>
          <w:i w:val="0"/>
          <w:iCs w:val="0"/>
          <w:color w:val="auto"/>
          <w:sz w:val="21"/>
          <w:szCs w:val="21"/>
          <w:highlight w:val="none"/>
          <w:u w:val="none"/>
          <w:lang w:val="en-US" w:eastAsia="zh-CN" w:bidi="ar-SA"/>
        </w:rPr>
        <w:t xml:space="preserve">7.</w:t>
      </w:r>
      <w:r>
        <w:rPr>
          <w:rFonts w:hint="eastAsia" w:ascii="宋体" w:hAnsi="宋体" w:cs="宋体"/>
          <w:i w:val="0"/>
          <w:iCs w:val="0"/>
          <w:color w:val="auto"/>
          <w:szCs w:val="21"/>
          <w:highlight w:val="none"/>
          <w:u w:val="none"/>
        </w:rPr>
        <w:t xml:space="preserve">未被“信用中国”网站、“中国政府采购网"列入失信被执行人、重大税收违法案件当事人名单、政府采购严重违法失信行为记录名单及其他不符合《中华人民共和国政府采购法》第二十二条规定条件的信用记录。</w:t>
      </w:r>
      <w:r/>
    </w:p>
    <w:p>
      <w:pPr>
        <w:ind w:firstLine="420"/>
        <w:spacing w:line="360" w:lineRule="auto"/>
        <w:rPr>
          <w:rFonts w:hint="eastAsia" w:ascii="Times New Roman" w:hAnsi="Times New Roman" w:eastAsia="宋体" w:cs="宋体"/>
          <w:i w:val="0"/>
          <w:iCs w:val="0"/>
          <w:color w:val="auto"/>
          <w:szCs w:val="21"/>
          <w:highlight w:val="none"/>
          <w:u w:val="none"/>
          <w:lang w:val="en-US" w:eastAsia="zh-CN"/>
        </w:rPr>
      </w:pPr>
      <w:r>
        <w:rPr>
          <w:rFonts w:hint="eastAsia" w:ascii="宋体" w:hAnsi="宋体" w:cs="宋体"/>
          <w:i w:val="0"/>
          <w:iCs w:val="0"/>
          <w:color w:val="auto"/>
          <w:szCs w:val="21"/>
          <w:highlight w:val="none"/>
          <w:u w:val="none"/>
          <w:lang w:val="en-US" w:eastAsia="zh-CN"/>
        </w:rPr>
        <w:t xml:space="preserve">（二）</w:t>
      </w:r>
      <w:r>
        <w:rPr>
          <w:rFonts w:hint="eastAsia" w:ascii="宋体" w:hAnsi="宋体" w:cs="宋体"/>
          <w:i w:val="0"/>
          <w:iCs w:val="0"/>
          <w:color w:val="auto"/>
          <w:szCs w:val="21"/>
          <w:highlight w:val="none"/>
          <w:u w:val="none"/>
        </w:rPr>
        <w:t xml:space="preserve">落实政府采购政策需满足的资格要求：</w:t>
      </w:r>
      <w:r>
        <w:rPr>
          <w:rFonts w:hint="eastAsia" w:ascii="宋体" w:hAnsi="宋体" w:cs="宋体"/>
          <w:i w:val="0"/>
          <w:iCs w:val="0"/>
          <w:highlight w:val="none"/>
          <w:u w:val="none"/>
          <w:lang w:eastAsia="zh-CN"/>
        </w:rPr>
        <w:t xml:space="preserve">本项目专门面向中小企业采购。投标人参加投标时须提供《中小企业声明函》，《中小企业声明函》不符合要求或未提供的，投标文件无效。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p>
    <w:p>
      <w:pPr>
        <w:numPr>
          <w:ilvl w:val="0"/>
          <w:numId w:val="0"/>
        </w:numPr>
        <w:ind w:firstLine="42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本项目的特定资格要求：</w:t>
      </w:r>
      <w:r>
        <w:rPr>
          <w:rFonts w:hint="eastAsia" w:ascii="宋体" w:hAnsi="宋体" w:cs="宋体"/>
          <w:color w:val="auto"/>
          <w:szCs w:val="21"/>
          <w:highlight w:val="none"/>
          <w:lang w:val="en-US" w:eastAsia="zh-CN"/>
        </w:rPr>
        <w:t xml:space="preserve">无。</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三、获取</w:t>
      </w:r>
      <w:r>
        <w:rPr>
          <w:rFonts w:hint="eastAsia" w:ascii="宋体" w:hAnsi="宋体" w:cs="宋体"/>
          <w:b/>
          <w:bCs/>
          <w:color w:val="auto"/>
          <w:highlight w:val="none"/>
          <w:lang w:val="en-US" w:eastAsia="zh-CN"/>
        </w:rPr>
        <w:t xml:space="preserve">采购</w:t>
      </w:r>
      <w:r>
        <w:rPr>
          <w:rFonts w:hint="eastAsia" w:ascii="宋体" w:hAnsi="宋体" w:cs="宋体"/>
          <w:b/>
          <w:bCs/>
          <w:color w:val="auto"/>
          <w:highlight w:val="none"/>
        </w:rPr>
        <w:t xml:space="preserve">文件</w:t>
      </w:r>
      <w:bookmarkEnd w:id="13"/>
      <w:r/>
      <w:bookmarkEnd w:id="14"/>
      <w:r/>
      <w:bookmarkEnd w:id="15"/>
      <w:r/>
      <w:bookmarkEnd w:id="16"/>
      <w:r/>
      <w:bookmarkEnd w:id="17"/>
      <w:r/>
      <w:r/>
    </w:p>
    <w:p>
      <w:pPr>
        <w:numPr>
          <w:ilvl w:val="0"/>
          <w:numId w:val="0"/>
        </w:numPr>
        <w:ind w:firstLine="420"/>
        <w:pageBreakBefore w:val="0"/>
        <w:spacing w:line="360" w:lineRule="auto"/>
        <w:rPr>
          <w:rFonts w:hint="eastAsia" w:ascii="Times New Roman" w:hAnsi="Times New Roman" w:eastAsia="宋体" w:cs="宋体"/>
          <w:i w:val="0"/>
          <w:iCs w:val="0"/>
          <w:color w:val="auto"/>
          <w:szCs w:val="21"/>
          <w:highlight w:val="none"/>
          <w:u w:val="none"/>
          <w:lang w:val="en-US" w:eastAsia="zh-CN"/>
        </w:rPr>
      </w:pPr>
      <w:r/>
      <w:bookmarkStart w:id="18" w:name="_Toc28359084"/>
      <w:r/>
      <w:bookmarkStart w:id="19" w:name="_Toc38985267"/>
      <w:r/>
      <w:bookmarkStart w:id="20" w:name="_Toc35393794"/>
      <w:r/>
      <w:bookmarkStart w:id="21" w:name="_Toc35393625"/>
      <w:r/>
      <w:bookmarkStart w:id="22" w:name="_Toc28359007"/>
      <w:r>
        <w:rPr>
          <w:rFonts w:hint="eastAsia" w:ascii="Times New Roman" w:hAnsi="Times New Roman" w:eastAsia="宋体" w:cs="宋体"/>
          <w:i w:val="0"/>
          <w:iCs w:val="0"/>
          <w:color w:val="auto"/>
          <w:szCs w:val="21"/>
          <w:highlight w:val="none"/>
          <w:u w:val="none"/>
          <w:lang w:val="en-US" w:eastAsia="zh-CN"/>
        </w:rPr>
        <w:t xml:space="preserve">时间：自</w:t>
      </w:r>
      <w:r>
        <w:rPr>
          <w:rFonts w:hint="eastAsia" w:ascii="Times New Roman" w:hAnsi="Times New Roman" w:cs="宋体"/>
          <w:i w:val="0"/>
          <w:iCs w:val="0"/>
          <w:color w:val="auto"/>
          <w:szCs w:val="21"/>
          <w:highlight w:val="none"/>
          <w:u w:val="none"/>
          <w:lang w:val="en-US" w:eastAsia="zh-CN"/>
        </w:rPr>
        <w:t xml:space="preserve">采购</w:t>
      </w:r>
      <w:r>
        <w:rPr>
          <w:rFonts w:hint="eastAsia" w:ascii="Times New Roman" w:hAnsi="Times New Roman" w:eastAsia="宋体" w:cs="宋体"/>
          <w:i w:val="0"/>
          <w:iCs w:val="0"/>
          <w:color w:val="auto"/>
          <w:szCs w:val="21"/>
          <w:highlight w:val="none"/>
          <w:u w:val="none"/>
          <w:lang w:val="en-US" w:eastAsia="zh-CN"/>
        </w:rPr>
        <w:t xml:space="preserve">文件公告发布之日起</w:t>
      </w:r>
      <w:r>
        <w:rPr>
          <w:rFonts w:hint="eastAsia" w:ascii="Times New Roman" w:hAnsi="Times New Roman" w:cs="宋体"/>
          <w:i w:val="0"/>
          <w:iCs w:val="0"/>
          <w:color w:val="auto"/>
          <w:szCs w:val="21"/>
          <w:highlight w:val="none"/>
          <w:u w:val="none"/>
          <w:lang w:val="en-US" w:eastAsia="zh-CN"/>
        </w:rPr>
        <w:t xml:space="preserve">5</w:t>
      </w:r>
      <w:r>
        <w:rPr>
          <w:rFonts w:hint="eastAsia" w:ascii="Times New Roman" w:hAnsi="Times New Roman" w:eastAsia="宋体" w:cs="宋体"/>
          <w:i w:val="0"/>
          <w:iCs w:val="0"/>
          <w:color w:val="auto"/>
          <w:szCs w:val="21"/>
          <w:highlight w:val="none"/>
          <w:u w:val="none"/>
          <w:lang w:val="en-US" w:eastAsia="zh-CN"/>
        </w:rPr>
        <w:t xml:space="preserve">个工作日 </w:t>
      </w:r>
      <w:r/>
    </w:p>
    <w:p>
      <w:pPr>
        <w:numPr>
          <w:ilvl w:val="0"/>
          <w:numId w:val="0"/>
        </w:numPr>
        <w:ind w:firstLine="420"/>
        <w:pageBreakBefore w:val="0"/>
        <w:spacing w:line="360" w:lineRule="auto"/>
        <w:rPr>
          <w:rFonts w:hint="eastAsia" w:ascii="Times New Roman" w:hAnsi="Times New Roman" w:eastAsia="宋体" w:cs="宋体"/>
          <w:i w:val="0"/>
          <w:iCs w:val="0"/>
          <w:color w:val="auto"/>
          <w:szCs w:val="21"/>
          <w:highlight w:val="none"/>
          <w:u w:val="none"/>
          <w:lang w:val="en-US" w:eastAsia="zh-CN"/>
        </w:rPr>
      </w:pPr>
      <w:r>
        <w:rPr>
          <w:rFonts w:hint="eastAsia" w:ascii="Times New Roman" w:hAnsi="Times New Roman" w:eastAsia="宋体" w:cs="宋体"/>
          <w:i w:val="0"/>
          <w:iCs w:val="0"/>
          <w:color w:val="auto"/>
          <w:szCs w:val="21"/>
          <w:highlight w:val="none"/>
          <w:u w:val="none"/>
          <w:lang w:val="en-US" w:eastAsia="zh-CN"/>
        </w:rPr>
        <w:t xml:space="preserve">地点：“江苏政府采购网”和“中国政府采购网”  </w:t>
      </w:r>
      <w:r/>
    </w:p>
    <w:p>
      <w:pPr>
        <w:numPr>
          <w:ilvl w:val="0"/>
          <w:numId w:val="0"/>
        </w:numPr>
        <w:ind w:firstLine="420"/>
        <w:pageBreakBefore w:val="0"/>
        <w:spacing w:line="360" w:lineRule="auto"/>
        <w:rPr>
          <w:rFonts w:hint="eastAsia" w:ascii="Times New Roman" w:hAnsi="Times New Roman" w:eastAsia="宋体" w:cs="宋体"/>
          <w:i w:val="0"/>
          <w:iCs w:val="0"/>
          <w:color w:val="auto"/>
          <w:szCs w:val="21"/>
          <w:highlight w:val="none"/>
          <w:u w:val="none"/>
          <w:lang w:val="en-US" w:eastAsia="zh-CN"/>
        </w:rPr>
      </w:pPr>
      <w:r>
        <w:rPr>
          <w:rFonts w:hint="eastAsia" w:ascii="Times New Roman" w:hAnsi="Times New Roman" w:eastAsia="宋体" w:cs="宋体"/>
          <w:i w:val="0"/>
          <w:iCs w:val="0"/>
          <w:color w:val="auto"/>
          <w:szCs w:val="21"/>
          <w:highlight w:val="none"/>
          <w:u w:val="none"/>
          <w:lang w:val="en-US" w:eastAsia="zh-CN"/>
        </w:rPr>
        <w:t xml:space="preserve">方式：本项目采用网上注册登记方式。 </w:t>
      </w:r>
      <w:r/>
    </w:p>
    <w:p>
      <w:pPr>
        <w:numPr>
          <w:ilvl w:val="0"/>
          <w:numId w:val="0"/>
        </w:numPr>
        <w:ind w:firstLine="420"/>
        <w:pageBreakBefore w:val="0"/>
        <w:spacing w:line="360" w:lineRule="auto"/>
        <w:rPr>
          <w:rFonts w:hint="eastAsia" w:ascii="Times New Roman" w:hAnsi="Times New Roman" w:eastAsia="宋体" w:cs="宋体"/>
          <w:i w:val="0"/>
          <w:iCs w:val="0"/>
          <w:color w:val="auto"/>
          <w:szCs w:val="21"/>
          <w:highlight w:val="none"/>
          <w:u w:val="none"/>
          <w:lang w:val="en-US" w:eastAsia="zh-CN"/>
        </w:rPr>
      </w:pPr>
      <w:r>
        <w:rPr>
          <w:rFonts w:hint="eastAsia" w:ascii="Times New Roman" w:hAnsi="Times New Roman" w:eastAsia="宋体" w:cs="宋体"/>
          <w:i w:val="0"/>
          <w:iCs w:val="0"/>
          <w:color w:val="auto"/>
          <w:szCs w:val="21"/>
          <w:highlight w:val="none"/>
          <w:u w:val="none"/>
          <w:lang w:val="en-US" w:eastAsia="zh-CN"/>
        </w:rPr>
        <w:t xml:space="preserve">售价：0.00元</w:t>
      </w:r>
      <w:r/>
    </w:p>
    <w:p>
      <w:pPr>
        <w:pageBreakBefore w:val="0"/>
        <w:spacing w:line="360" w:lineRule="auto"/>
        <w:tabs>
          <w:tab w:val="left" w:pos="266" w:leader="none"/>
        </w:tabs>
        <w:rPr>
          <w:rFonts w:hint="default" w:ascii="宋体" w:hAnsi="宋体" w:eastAsia="宋体" w:cs="宋体"/>
          <w:b/>
          <w:bCs/>
          <w:color w:val="auto"/>
          <w:highlight w:val="none"/>
          <w:lang w:val="en-US" w:eastAsia="zh-CN"/>
        </w:rPr>
      </w:pPr>
      <w:r>
        <w:rPr>
          <w:rFonts w:hint="eastAsia" w:ascii="宋体" w:hAnsi="宋体" w:cs="宋体"/>
          <w:b/>
          <w:bCs/>
          <w:color w:val="auto"/>
          <w:highlight w:val="none"/>
        </w:rPr>
        <w:t xml:space="preserve">四、</w:t>
      </w:r>
      <w:r>
        <w:rPr>
          <w:rFonts w:hint="eastAsia" w:ascii="宋体" w:hAnsi="宋体" w:cs="宋体"/>
          <w:b/>
          <w:bCs/>
          <w:color w:val="auto"/>
          <w:highlight w:val="none"/>
          <w:lang w:val="en-US" w:eastAsia="zh-CN"/>
        </w:rPr>
        <w:t xml:space="preserve">响应文件提交</w:t>
      </w:r>
      <w:r/>
    </w:p>
    <w:p>
      <w:pPr>
        <w:ind w:firstLine="420"/>
        <w:pageBreakBefore w:val="0"/>
        <w:spacing w:line="360" w:lineRule="auto"/>
        <w:rPr>
          <w:rFonts w:ascii="宋体" w:hAnsi="宋体" w:cs="宋体"/>
          <w:bCs/>
          <w:color w:val="auto"/>
          <w:szCs w:val="21"/>
          <w:highlight w:val="none"/>
          <w:u w:val="single"/>
        </w:rPr>
      </w:pPr>
      <w:r>
        <w:rPr>
          <w:rFonts w:hint="eastAsia" w:ascii="宋体" w:hAnsi="宋体" w:cs="宋体"/>
          <w:color w:val="auto"/>
          <w:highlight w:val="none"/>
          <w:lang w:val="en-US" w:eastAsia="zh-CN"/>
        </w:rPr>
        <w:t xml:space="preserve">截止</w:t>
      </w:r>
      <w:r>
        <w:rPr>
          <w:rFonts w:hint="eastAsia" w:ascii="宋体" w:hAnsi="宋体" w:cs="宋体"/>
          <w:color w:val="auto"/>
          <w:highlight w:val="none"/>
        </w:rPr>
        <w:t xml:space="preserve">时间：2026-</w:t>
      </w:r>
      <w:r>
        <w:rPr>
          <w:rFonts w:hint="eastAsia" w:ascii="宋体" w:hAnsi="宋体" w:cs="宋体"/>
          <w:color w:val="auto"/>
          <w:highlight w:val="none"/>
          <w:lang w:val="en-US" w:eastAsia="zh-CN"/>
        </w:rPr>
        <w:t xml:space="preserve">06</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 09:30 （北京时间）</w:t>
      </w:r>
      <w:r/>
    </w:p>
    <w:p>
      <w:pPr>
        <w:ind w:firstLine="420"/>
        <w:pageBreakBefore w:val="0"/>
        <w:spacing w:line="360" w:lineRule="auto"/>
        <w:rPr>
          <w:rFonts w:hint="eastAsia" w:ascii="宋体" w:hAnsi="宋体"/>
          <w:b/>
          <w:color w:val="auto"/>
          <w:szCs w:val="21"/>
          <w:highlight w:val="none"/>
        </w:rPr>
      </w:pPr>
      <w:r>
        <w:rPr>
          <w:rFonts w:hint="eastAsia" w:ascii="宋体" w:hAnsi="宋体" w:cs="宋体"/>
          <w:color w:val="auto"/>
          <w:highlight w:val="none"/>
        </w:rPr>
        <w:t xml:space="preserve">地点：</w:t>
      </w:r>
      <w:r>
        <w:rPr>
          <w:rFonts w:hint="eastAsia" w:ascii="宋体" w:hAnsi="宋体"/>
          <w:b/>
          <w:color w:val="auto"/>
          <w:szCs w:val="21"/>
          <w:highlight w:val="none"/>
        </w:rPr>
        <w:t xml:space="preserve">“苏采云”系统（网址：</w:t>
      </w:r>
      <w:r>
        <w:rPr>
          <w:rFonts w:hint="eastAsia" w:ascii="宋体" w:hAnsi="宋体"/>
          <w:b/>
          <w:color w:val="auto"/>
          <w:szCs w:val="21"/>
          <w:highlight w:val="none"/>
        </w:rPr>
        <w:fldChar w:fldCharType="begin"/>
      </w:r>
      <w:r>
        <w:rPr>
          <w:rFonts w:hint="eastAsia" w:ascii="宋体" w:hAnsi="宋体"/>
          <w:b/>
          <w:color w:val="auto"/>
          <w:szCs w:val="21"/>
          <w:highlight w:val="none"/>
        </w:rPr>
        <w:instrText xml:space="preserve"> HYPERLINK "http://jszfcg.jsczt.cn/）\“开标大厅\”" </w:instrText>
      </w:r>
      <w:r>
        <w:rPr>
          <w:rFonts w:hint="eastAsia" w:ascii="宋体" w:hAnsi="宋体"/>
          <w:b/>
          <w:color w:val="auto"/>
          <w:szCs w:val="21"/>
          <w:highlight w:val="none"/>
        </w:rPr>
        <w:fldChar w:fldCharType="separate"/>
      </w:r>
      <w:r>
        <w:rPr>
          <w:rFonts w:hint="eastAsia" w:ascii="宋体" w:hAnsi="宋体"/>
          <w:b/>
          <w:color w:val="auto"/>
          <w:szCs w:val="21"/>
          <w:highlight w:val="none"/>
        </w:rPr>
        <w:t xml:space="preserve">http://jszfcg.jsczt.cn/）</w:t>
      </w:r>
      <w:r>
        <w:rPr>
          <w:rFonts w:hint="eastAsia" w:ascii="宋体" w:hAnsi="宋体"/>
          <w:b/>
          <w:color w:val="auto"/>
          <w:szCs w:val="21"/>
          <w:highlight w:val="none"/>
        </w:rPr>
        <w:fldChar w:fldCharType="end"/>
      </w:r>
      <w:r/>
    </w:p>
    <w:p>
      <w:pPr>
        <w:pStyle w:val="955"/>
        <w:pageBreakBefore w:val="0"/>
        <w:spacing w:before="0" w:after="0" w:line="360" w:lineRule="auto"/>
        <w:rPr>
          <w:rFonts w:hint="eastAsia" w:ascii="宋体" w:hAnsi="宋体" w:cs="宋体"/>
          <w:bCs w:val="0"/>
          <w:color w:val="auto"/>
          <w:sz w:val="21"/>
          <w:szCs w:val="21"/>
          <w:highlight w:val="none"/>
        </w:rPr>
      </w:pPr>
      <w:r/>
      <w:bookmarkStart w:id="23" w:name="_Toc109304967"/>
      <w:r/>
      <w:bookmarkStart w:id="24" w:name="_Toc12476"/>
      <w:r>
        <w:rPr>
          <w:rFonts w:hint="eastAsia" w:ascii="宋体" w:hAnsi="宋体" w:cs="宋体"/>
          <w:bCs w:val="0"/>
          <w:color w:val="auto"/>
          <w:sz w:val="21"/>
          <w:szCs w:val="21"/>
          <w:highlight w:val="none"/>
        </w:rPr>
        <w:t xml:space="preserve">五、开启</w:t>
      </w:r>
      <w:bookmarkEnd w:id="23"/>
      <w:r/>
      <w:bookmarkEnd w:id="24"/>
      <w:r/>
      <w:bookmarkEnd w:id="18"/>
      <w:r/>
      <w:bookmarkEnd w:id="19"/>
      <w:r/>
      <w:bookmarkEnd w:id="20"/>
      <w:r/>
      <w:bookmarkEnd w:id="21"/>
      <w:r/>
      <w:bookmarkEnd w:id="22"/>
      <w:r/>
      <w:r/>
    </w:p>
    <w:p>
      <w:pPr>
        <w:ind w:firstLine="420"/>
        <w:pageBreakBefore w:val="0"/>
        <w:spacing w:line="360" w:lineRule="auto"/>
        <w:rPr>
          <w:rFonts w:hint="eastAsia" w:ascii="宋体" w:hAnsi="宋体" w:cs="宋体"/>
          <w:color w:val="auto"/>
          <w:highlight w:val="none"/>
        </w:rPr>
      </w:pPr>
      <w:r/>
      <w:bookmarkStart w:id="25" w:name="_Toc35393626"/>
      <w:r/>
      <w:bookmarkStart w:id="26" w:name="_Toc35393795"/>
      <w:r/>
      <w:bookmarkStart w:id="27" w:name="_Toc38985268"/>
      <w:r>
        <w:rPr>
          <w:rFonts w:hint="eastAsia" w:ascii="宋体" w:hAnsi="宋体" w:cs="宋体"/>
          <w:color w:val="auto"/>
          <w:highlight w:val="none"/>
        </w:rPr>
        <w:t xml:space="preserve">时间：2026-</w:t>
      </w:r>
      <w:r>
        <w:rPr>
          <w:rFonts w:hint="eastAsia" w:ascii="宋体" w:hAnsi="宋体" w:cs="宋体"/>
          <w:color w:val="auto"/>
          <w:highlight w:val="none"/>
          <w:lang w:val="en-US" w:eastAsia="zh-CN"/>
        </w:rPr>
        <w:t xml:space="preserve">06</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12 </w:t>
      </w:r>
      <w:r>
        <w:rPr>
          <w:rFonts w:hint="eastAsia" w:ascii="宋体" w:hAnsi="宋体" w:cs="宋体"/>
          <w:color w:val="auto"/>
          <w:highlight w:val="none"/>
        </w:rPr>
        <w:t xml:space="preserve"> 09:30 （北京时间）</w:t>
      </w:r>
      <w:r/>
    </w:p>
    <w:p>
      <w:pPr>
        <w:ind w:firstLine="42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地点：“苏采云”系统（网址： http://jszfcg.jsczt.cn/）“开标大厅”</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六、公告期限</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七、其他补充事宜</w:t>
      </w:r>
      <w:bookmarkEnd w:id="25"/>
      <w:r/>
      <w:bookmarkEnd w:id="26"/>
      <w:r/>
      <w:bookmarkEnd w:id="27"/>
      <w:r/>
      <w:r/>
    </w:p>
    <w:p>
      <w:pPr>
        <w:ind w:firstLine="422"/>
        <w:pageBreakBefore w:val="0"/>
        <w:spacing w:line="360" w:lineRule="auto"/>
        <w:shd w:val="clear" w:color="auto" w:fill="ffffff"/>
        <w:rPr>
          <w:rFonts w:ascii="宋体" w:hAnsi="宋体"/>
          <w:b/>
          <w:bCs/>
          <w:color w:val="auto"/>
          <w:highlight w:val="none"/>
        </w:rPr>
      </w:pPr>
      <w:r/>
      <w:bookmarkStart w:id="28" w:name="_Toc38985269"/>
      <w:r/>
      <w:bookmarkStart w:id="29" w:name="_Toc28359008"/>
      <w:r/>
      <w:bookmarkStart w:id="30" w:name="_Toc35393627"/>
      <w:r/>
      <w:bookmarkStart w:id="31" w:name="_Toc35393796"/>
      <w:r/>
      <w:bookmarkStart w:id="32" w:name="_Toc28359085"/>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如投标人未按要求操作，由此所产生的风险由投标人自行承担。</w:t>
      </w:r>
      <w:r/>
    </w:p>
    <w:p>
      <w:pPr>
        <w:ind w:firstLine="422"/>
        <w:pageBreakBefore w:val="0"/>
        <w:spacing w:line="360" w:lineRule="auto"/>
        <w:shd w:val="clear" w:color="auto" w:fill="ffffff"/>
        <w:rPr>
          <w:rFonts w:ascii="宋体" w:hAnsi="宋体"/>
          <w:b/>
          <w:bCs/>
          <w:color w:val="auto"/>
          <w:szCs w:val="21"/>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供应商如确定参加投标，可自行下载招标文件及有关资料，按照《操作手册》进行注</w:t>
      </w:r>
      <w:r>
        <w:rPr>
          <w:rFonts w:hint="eastAsia" w:ascii="宋体" w:hAnsi="宋体"/>
          <w:b/>
          <w:bCs/>
          <w:color w:val="auto"/>
          <w:szCs w:val="21"/>
          <w:highlight w:val="none"/>
        </w:rPr>
        <w:t xml:space="preserve">册，领取CA和办理电子签章，并按《操作手册》要求制作、上传电子投标文件，技术支持联系方式：13813140731。</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3.本次招标不收取投标保证金。</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4.潜在供应商对采购文件项目需求部分的询问、质疑请向采购人提出，由采购人负责答复。</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5.有关本次招标的事项若存在变动或修改，敬请及时关注“</w:t>
      </w:r>
      <w:r>
        <w:rPr>
          <w:rFonts w:hint="eastAsia" w:ascii="宋体" w:hAnsi="宋体"/>
          <w:color w:val="auto"/>
          <w:szCs w:val="21"/>
          <w:highlight w:val="none"/>
          <w:lang w:eastAsia="zh-CN"/>
        </w:rPr>
        <w:t xml:space="preserve">“江苏省政府采购网”、“中国政府采购网”</w:t>
      </w:r>
      <w:r>
        <w:rPr>
          <w:rFonts w:hint="eastAsia" w:ascii="宋体" w:hAnsi="宋体"/>
          <w:color w:val="auto"/>
          <w:szCs w:val="21"/>
          <w:highlight w:val="none"/>
        </w:rPr>
        <w:t xml:space="preserve">发布的信息。</w:t>
      </w:r>
      <w:r/>
    </w:p>
    <w:p>
      <w:pPr>
        <w:ind w:firstLine="422"/>
        <w:pageBreakBefore w:val="0"/>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6</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jc w:val="left"/>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8</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落实好政府采购履约资金扶持政策。中标/成交供应商可凭政府采购合同办理融资贷款，详见江苏政府采购网“政采贷”专栏。”</w:t>
      </w:r>
      <w:r>
        <w:rPr>
          <w:rFonts w:ascii="宋体" w:hAnsi="宋体" w:cs="宋体"/>
          <w:b/>
          <w:color w:val="auto"/>
          <w:szCs w:val="21"/>
          <w:highlight w:val="none"/>
        </w:rPr>
        <w:br w:type="textWrapping" w:clear="all"/>
      </w:r>
      <w:r>
        <w:rPr>
          <w:rFonts w:hint="eastAsia" w:ascii="宋体" w:hAnsi="宋体" w:cs="宋体"/>
          <w:b/>
          <w:color w:val="auto"/>
          <w:szCs w:val="21"/>
          <w:highlight w:val="none"/>
        </w:rPr>
        <w:t xml:space="preserve">    </w:t>
      </w:r>
      <w:r>
        <w:rPr>
          <w:rFonts w:hint="eastAsia" w:ascii="宋体" w:hAnsi="宋体" w:cs="宋体"/>
          <w:b/>
          <w:color w:val="auto"/>
          <w:szCs w:val="21"/>
          <w:highlight w:val="none"/>
          <w:lang w:val="en-US" w:eastAsia="zh-CN"/>
        </w:rPr>
        <w:t xml:space="preserve">9</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严格执行政府采购关于支持</w:t>
      </w:r>
      <w:r>
        <w:rPr>
          <w:rFonts w:ascii="宋体" w:hAnsi="宋体" w:cs="宋体"/>
          <w:b/>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pageBreakBefore w:val="0"/>
        <w:spacing w:line="360" w:lineRule="auto"/>
        <w:rPr>
          <w:rFonts w:hAnsi="宋体" w:cs="宋体"/>
          <w:b/>
          <w:color w:val="auto"/>
          <w:szCs w:val="21"/>
          <w:highlight w:val="none"/>
        </w:rPr>
      </w:pPr>
      <w:r>
        <w:rPr>
          <w:rFonts w:hint="eastAsia" w:ascii="宋体" w:hAnsi="宋体" w:cs="宋体"/>
          <w:b/>
          <w:color w:val="auto"/>
          <w:szCs w:val="21"/>
          <w:highlight w:val="none"/>
        </w:rPr>
        <w:t xml:space="preserve">1</w:t>
      </w:r>
      <w:r>
        <w:rPr>
          <w:rFonts w:hint="eastAsia" w:ascii="宋体" w:hAnsi="宋体" w:cs="宋体"/>
          <w:b/>
          <w:color w:val="auto"/>
          <w:szCs w:val="21"/>
          <w:highlight w:val="none"/>
          <w:lang w:val="en-US" w:eastAsia="zh-CN"/>
        </w:rPr>
        <w:t xml:space="preserve">0</w:t>
      </w:r>
      <w:r>
        <w:rPr>
          <w:rFonts w:hint="eastAsia" w:ascii="宋体" w:hAnsi="宋体" w:cs="宋体"/>
          <w:b/>
          <w:color w:val="auto"/>
          <w:szCs w:val="21"/>
          <w:highlight w:val="none"/>
        </w:rPr>
        <w:t xml:space="preserve">.</w:t>
      </w:r>
      <w:r>
        <w:rPr>
          <w:rFonts w:ascii="宋体" w:hAnsi="宋体" w:cs="宋体"/>
          <w:b/>
          <w:color w:val="auto"/>
          <w:szCs w:val="21"/>
          <w:highlight w:val="none"/>
        </w:rPr>
        <w:t xml:space="preserve">供应商对于投标产品的包装应按照“财办库〔2020〕123号《关于印发《商品包装</w:t>
      </w:r>
      <w:r>
        <w:rPr>
          <w:rFonts w:hAnsi="宋体" w:cs="宋体"/>
          <w:b/>
          <w:color w:val="auto"/>
          <w:szCs w:val="21"/>
          <w:highlight w:val="none"/>
        </w:rPr>
        <w:t xml:space="preserve">政府采购需求标准（试行）》、《快递包装政府采购需求标准（试行）》的通知》”执行。</w:t>
      </w:r>
      <w:r/>
    </w:p>
    <w:p>
      <w:pPr>
        <w:pageBreakBefore w:val="0"/>
        <w:spacing w:line="360" w:lineRule="auto"/>
        <w:tabs>
          <w:tab w:val="left" w:pos="266" w:leader="none"/>
        </w:tabs>
        <w:rPr>
          <w:rFonts w:ascii="宋体" w:hAnsi="宋体" w:cs="宋体"/>
          <w:b/>
          <w:bCs/>
          <w:color w:val="auto"/>
          <w:highlight w:val="none"/>
        </w:rPr>
      </w:pPr>
      <w:r>
        <w:rPr>
          <w:rFonts w:hint="eastAsia" w:ascii="宋体" w:hAnsi="宋体" w:cs="宋体"/>
          <w:b/>
          <w:bCs/>
          <w:color w:val="auto"/>
          <w:highlight w:val="none"/>
        </w:rPr>
        <w:t xml:space="preserve">八、</w:t>
      </w:r>
      <w:bookmarkEnd w:id="28"/>
      <w:r/>
      <w:bookmarkEnd w:id="29"/>
      <w:r/>
      <w:bookmarkEnd w:id="30"/>
      <w:r/>
      <w:bookmarkEnd w:id="31"/>
      <w:r/>
      <w:bookmarkEnd w:id="32"/>
      <w:r>
        <w:rPr>
          <w:rFonts w:hint="eastAsia" w:ascii="宋体" w:hAnsi="宋体" w:cs="宋体"/>
          <w:b/>
          <w:bCs/>
          <w:color w:val="auto"/>
          <w:highlight w:val="none"/>
        </w:rPr>
        <w:t xml:space="preserve">凡对本次采购提出询问，请按以下方式联系。</w:t>
      </w:r>
      <w:r/>
    </w:p>
    <w:p>
      <w:pPr>
        <w:jc w:val="left"/>
        <w:pageBreakBefore w:val="0"/>
        <w:spacing w:line="360" w:lineRule="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单位</w:t>
      </w:r>
      <w:r>
        <w:rPr>
          <w:rFonts w:hint="eastAsia" w:ascii="宋体" w:hAnsi="宋体"/>
          <w:color w:val="auto"/>
          <w:szCs w:val="21"/>
          <w:highlight w:val="none"/>
        </w:rPr>
        <w:t xml:space="preserve">名称：</w:t>
      </w:r>
      <w:r>
        <w:rPr>
          <w:rFonts w:hint="eastAsia" w:ascii="宋体" w:hAnsi="宋体"/>
          <w:color w:val="auto"/>
          <w:szCs w:val="21"/>
          <w:highlight w:val="none"/>
          <w:lang w:eastAsia="zh-CN"/>
        </w:rPr>
        <w:t xml:space="preserve">扬州大学（</w:t>
      </w:r>
      <w:r>
        <w:rPr>
          <w:rFonts w:hint="eastAsia" w:ascii="宋体" w:hAnsi="宋体"/>
          <w:color w:val="auto"/>
          <w:szCs w:val="21"/>
          <w:highlight w:val="none"/>
          <w:lang w:val="en-US" w:eastAsia="zh-CN"/>
        </w:rPr>
        <w:t xml:space="preserve">本部</w:t>
      </w:r>
      <w:r>
        <w:rPr>
          <w:rFonts w:hint="eastAsia" w:ascii="宋体" w:hAnsi="宋体"/>
          <w:color w:val="auto"/>
          <w:szCs w:val="21"/>
          <w:highlight w:val="none"/>
          <w:lang w:eastAsia="zh-CN"/>
        </w:rPr>
        <w:t xml:space="preserve">）</w:t>
      </w:r>
      <w:r/>
    </w:p>
    <w:p>
      <w:pPr>
        <w:ind w:firstLine="420"/>
        <w:jc w:val="left"/>
        <w:pageBreakBefore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单位</w:t>
      </w:r>
      <w:r>
        <w:rPr>
          <w:rFonts w:hint="eastAsia" w:ascii="宋体" w:hAnsi="宋体"/>
          <w:color w:val="auto"/>
          <w:szCs w:val="21"/>
          <w:highlight w:val="none"/>
        </w:rPr>
        <w:t xml:space="preserve">地址：扬州市邗江区大学南路88号</w:t>
      </w:r>
      <w:r/>
    </w:p>
    <w:p>
      <w:pPr>
        <w:ind w:firstLine="420"/>
        <w:jc w:val="left"/>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项目联系人：柏甫荣</w:t>
      </w:r>
      <w:r/>
    </w:p>
    <w:p>
      <w:pPr>
        <w:ind w:firstLine="420"/>
        <w:jc w:val="left"/>
        <w:keepLines w:val="0"/>
        <w:keepNext w:val="0"/>
        <w:pageBreakBefore w:val="0"/>
        <w:spacing w:line="360" w:lineRule="auto"/>
        <w:widowControl w:val="off"/>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电　　话：13665258586</w:t>
      </w:r>
      <w:r/>
    </w:p>
    <w:p>
      <w:pPr>
        <w:jc w:val="left"/>
        <w:pageBreakBefore w:val="0"/>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代理机构信息</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如有</w:t>
      </w:r>
      <w:r>
        <w:rPr>
          <w:rFonts w:hint="eastAsia" w:ascii="宋体" w:hAnsi="宋体"/>
          <w:color w:val="auto"/>
          <w:szCs w:val="21"/>
          <w:highlight w:val="none"/>
          <w:lang w:eastAsia="zh-CN"/>
        </w:rPr>
        <w:t xml:space="preserve">）</w:t>
      </w:r>
      <w:r/>
    </w:p>
    <w:p>
      <w:pPr>
        <w:ind w:firstLine="420"/>
        <w:jc w:val="left"/>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单位</w:t>
      </w:r>
      <w:r>
        <w:rPr>
          <w:rFonts w:hint="eastAsia" w:ascii="宋体" w:hAnsi="宋体" w:cs="宋体"/>
          <w:color w:val="auto"/>
          <w:highlight w:val="none"/>
        </w:rPr>
        <w:t xml:space="preserve">名 称：</w:t>
      </w:r>
      <w:r>
        <w:rPr>
          <w:rFonts w:hint="eastAsia" w:ascii="宋体" w:hAnsi="宋体"/>
          <w:color w:val="auto"/>
          <w:szCs w:val="21"/>
          <w:highlight w:val="none"/>
          <w:lang w:eastAsia="zh-CN"/>
        </w:rPr>
        <w:t xml:space="preserve">江苏嘉加诚工程投资咨询有限公司</w:t>
      </w:r>
      <w:r/>
    </w:p>
    <w:p>
      <w:pPr>
        <w:ind w:firstLine="420"/>
        <w:pageBreakBefore w:val="0"/>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单位</w:t>
      </w:r>
      <w:r>
        <w:rPr>
          <w:rFonts w:hint="eastAsia" w:ascii="宋体" w:hAnsi="宋体" w:cs="宋体"/>
          <w:color w:val="auto"/>
          <w:highlight w:val="none"/>
        </w:rPr>
        <w:t xml:space="preserve">地　址：</w:t>
      </w:r>
      <w:r>
        <w:rPr>
          <w:rFonts w:hint="eastAsia" w:ascii="宋体" w:hAnsi="宋体"/>
          <w:color w:val="auto"/>
          <w:szCs w:val="21"/>
          <w:highlight w:val="none"/>
        </w:rPr>
        <w:t xml:space="preserve">江苏省扬州市邗江区文汇西路268号新辰大厦F7层</w:t>
      </w:r>
      <w:r/>
    </w:p>
    <w:p>
      <w:pPr>
        <w:numPr>
          <w:ilvl w:val="0"/>
          <w:numId w:val="0"/>
        </w:numPr>
        <w:ind w:firstLine="420"/>
        <w:pageBreakBefore w:val="0"/>
        <w:spacing w:line="360" w:lineRule="auto"/>
        <w:rPr>
          <w:rFonts w:hint="eastAsia" w:ascii="宋体" w:hAnsi="宋体" w:eastAsia="宋体"/>
          <w:color w:val="auto"/>
          <w:szCs w:val="21"/>
          <w:highlight w:val="none"/>
          <w:lang w:eastAsia="zh-CN"/>
        </w:rPr>
      </w:pPr>
      <w:r/>
      <w:bookmarkStart w:id="33" w:name="_Toc28359010"/>
      <w:r/>
      <w:bookmarkStart w:id="34" w:name="_Toc28359087"/>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高中翠</w:t>
      </w:r>
      <w:r/>
    </w:p>
    <w:p>
      <w:pPr>
        <w:ind w:firstLine="420"/>
        <w:pageBreakBefore w:val="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rPr>
        <w:t xml:space="preserve">联系</w:t>
      </w:r>
      <w:r>
        <w:rPr>
          <w:rFonts w:hint="eastAsia" w:ascii="宋体" w:hAnsi="宋体"/>
          <w:color w:val="auto"/>
          <w:szCs w:val="21"/>
          <w:highlight w:val="none"/>
          <w:lang w:val="en-US" w:eastAsia="zh-CN"/>
        </w:rPr>
        <w:t xml:space="preserve">电话</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13270572163</w:t>
      </w:r>
      <w:r/>
    </w:p>
    <w:p>
      <w:pPr>
        <w:numPr>
          <w:ilvl w:val="0"/>
          <w:numId w:val="0"/>
        </w:numPr>
        <w:pageBreakBefore w:val="0"/>
        <w:spacing w:line="360" w:lineRule="auto"/>
        <w:rPr>
          <w:rFonts w:hint="eastAsia" w:ascii="宋体" w:hAnsi="宋体"/>
          <w:color w:val="auto"/>
          <w:szCs w:val="21"/>
          <w:highlight w:val="none"/>
          <w:lang w:val="en-US" w:eastAsia="zh-CN"/>
        </w:rPr>
      </w:pPr>
      <w:r>
        <w:rPr>
          <w:rFonts w:hint="eastAsia" w:ascii="宋体" w:hAnsi="宋体" w:eastAsia="宋体" w:cs="Times New Roman"/>
          <w:color w:val="auto"/>
          <w:sz w:val="21"/>
          <w:szCs w:val="21"/>
          <w:highlight w:val="none"/>
          <w:lang w:val="en-US" w:eastAsia="zh-CN" w:bidi="ar-SA"/>
        </w:rPr>
        <w:t xml:space="preserve">3.</w:t>
      </w:r>
      <w:r>
        <w:rPr>
          <w:rFonts w:hint="eastAsia" w:ascii="宋体" w:hAnsi="宋体"/>
          <w:color w:val="auto"/>
          <w:szCs w:val="21"/>
          <w:highlight w:val="none"/>
          <w:lang w:val="en-US" w:eastAsia="zh-CN"/>
        </w:rPr>
        <w:t xml:space="preserve">项目联系方式</w:t>
      </w:r>
      <w:r/>
    </w:p>
    <w:p>
      <w:pPr>
        <w:numPr>
          <w:ilvl w:val="0"/>
          <w:numId w:val="0"/>
        </w:numPr>
        <w:ind w:firstLine="420"/>
        <w:pageBreakBefore w:val="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项目联系人：王静</w:t>
      </w:r>
      <w:r/>
    </w:p>
    <w:p>
      <w:pPr>
        <w:numPr>
          <w:ilvl w:val="0"/>
          <w:numId w:val="0"/>
        </w:numPr>
        <w:ind w:firstLine="420"/>
        <w:pageBreakBefore w:val="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电话：15794519245</w:t>
      </w:r>
      <w:bookmarkEnd w:id="33"/>
      <w:r/>
      <w:bookmarkEnd w:id="34"/>
      <w:r/>
      <w:r/>
    </w:p>
    <w:p>
      <w:pPr>
        <w:pStyle w:val="919"/>
        <w:jc w:val="center"/>
        <w:pageBreakBefore w:val="0"/>
        <w:spacing w:line="360" w:lineRule="auto"/>
        <w:rPr>
          <w:rFonts w:hint="eastAsia" w:ascii="宋体" w:hAnsi="宋体"/>
          <w:b w:val="0"/>
          <w:color w:val="auto"/>
          <w:szCs w:val="21"/>
          <w:highlight w:val="none"/>
        </w:rPr>
      </w:pPr>
      <w:r>
        <w:rPr>
          <w:rFonts w:hint="eastAsia" w:ascii="宋体" w:hAnsi="宋体"/>
          <w:color w:val="auto"/>
          <w:szCs w:val="36"/>
          <w:highlight w:val="none"/>
        </w:rPr>
        <w:br w:type="page" w:clear="all"/>
      </w:r>
      <w:r>
        <w:rPr>
          <w:rFonts w:hint="eastAsia" w:ascii="宋体" w:hAnsi="宋体"/>
          <w:color w:val="auto"/>
          <w:szCs w:val="36"/>
          <w:highlight w:val="none"/>
        </w:rPr>
        <w:t xml:space="preserve">第二章 投标人须知</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1、招标方式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 本次招标采取公开招标方式，本招标文件仅适用于</w:t>
      </w:r>
      <w:r>
        <w:rPr>
          <w:rFonts w:hint="eastAsia" w:ascii="宋体" w:hAnsi="宋体"/>
          <w:bCs/>
          <w:color w:val="auto"/>
          <w:szCs w:val="21"/>
          <w:highlight w:val="none"/>
          <w:lang w:eastAsia="zh-CN"/>
        </w:rPr>
        <w:t xml:space="preserve">JSZC-320000-JJJC-G2026-0009</w:t>
      </w:r>
      <w:r>
        <w:rPr>
          <w:rFonts w:hint="eastAsia" w:ascii="宋体" w:hAnsi="宋体"/>
          <w:bCs/>
          <w:color w:val="auto"/>
          <w:szCs w:val="21"/>
          <w:highlight w:val="none"/>
        </w:rPr>
        <w:t xml:space="preserve">项目。</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4、投标费用</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pStyle w:val="720"/>
        <w:ind w:firstLine="420"/>
        <w:spacing w:before="0" w:after="0" w:line="360" w:lineRule="auto"/>
        <w:rPr>
          <w:rFonts w:hint="eastAsia" w:ascii="Times New Roman" w:hAnsi="Times New Roman" w:eastAsia="宋体"/>
          <w:b w:val="0"/>
          <w:bCs w:val="0"/>
          <w:color w:val="auto"/>
          <w:sz w:val="21"/>
          <w:szCs w:val="21"/>
          <w:highlight w:val="none"/>
        </w:rPr>
      </w:pPr>
      <w:r>
        <w:rPr>
          <w:rFonts w:hint="eastAsia" w:ascii="宋体" w:hAnsi="宋体" w:eastAsia="宋体" w:cs="Times New Roman"/>
          <w:b w:val="0"/>
          <w:bCs/>
          <w:color w:val="auto"/>
          <w:sz w:val="21"/>
          <w:szCs w:val="21"/>
          <w:highlight w:val="none"/>
          <w:lang w:val="en-US" w:eastAsia="zh-CN" w:bidi="ar-SA"/>
        </w:rPr>
        <w:t xml:space="preserve">4.2 </w:t>
      </w:r>
      <w:r>
        <w:rPr>
          <w:rFonts w:hint="eastAsia" w:ascii="Times New Roman" w:hAnsi="Times New Roman" w:eastAsia="宋体"/>
          <w:b w:val="0"/>
          <w:bCs/>
          <w:color w:val="auto"/>
          <w:sz w:val="21"/>
          <w:szCs w:val="21"/>
          <w:highlight w:val="none"/>
        </w:rPr>
        <w:t xml:space="preserve">本次</w:t>
      </w:r>
      <w:r>
        <w:rPr>
          <w:rFonts w:hint="eastAsia" w:ascii="Times New Roman" w:hAnsi="Times New Roman" w:eastAsia="宋体"/>
          <w:b w:val="0"/>
          <w:bCs w:val="0"/>
          <w:color w:val="auto"/>
          <w:sz w:val="21"/>
          <w:szCs w:val="21"/>
          <w:highlight w:val="none"/>
        </w:rPr>
        <w:t xml:space="preserve">采购由中标供应商在领取中标通知书前一次性支付给招标代理机构代理服务费，招标代理服务费按国家计委计价格[2002]1980号文规定</w:t>
      </w:r>
      <w:r>
        <w:rPr>
          <w:rFonts w:hint="eastAsia" w:ascii="Times New Roman" w:hAnsi="Times New Roman" w:eastAsia="宋体"/>
          <w:b w:val="0"/>
          <w:bCs w:val="0"/>
          <w:color w:val="auto"/>
          <w:sz w:val="21"/>
          <w:szCs w:val="21"/>
          <w:highlight w:val="none"/>
          <w:lang w:val="en-US" w:eastAsia="zh-CN"/>
        </w:rPr>
        <w:t xml:space="preserve">服务</w:t>
      </w:r>
      <w:r>
        <w:rPr>
          <w:rFonts w:hint="eastAsia" w:ascii="Times New Roman" w:hAnsi="Times New Roman" w:eastAsia="宋体"/>
          <w:b w:val="0"/>
          <w:bCs w:val="0"/>
          <w:color w:val="auto"/>
          <w:sz w:val="21"/>
          <w:szCs w:val="21"/>
          <w:highlight w:val="none"/>
        </w:rPr>
        <w:t xml:space="preserve">类标准*27.17 %计算。（具体计算方式详见下表）。</w:t>
      </w:r>
      <w:r/>
    </w:p>
    <w:tbl>
      <w:tblPr>
        <w:tblStyle w:val="727"/>
        <w:tblpPr w:horzAnchor="page" w:tblpX="1920" w:vertAnchor="text" w:tblpY="199"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服务项目</w:t>
            </w:r>
            <w:r/>
          </w:p>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7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代理服务费最高限价</w:t>
            </w:r>
            <w:r/>
          </w:p>
        </w:tc>
      </w:tr>
      <w:tr>
        <w:trP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代理费</w:t>
            </w:r>
            <w:r/>
          </w:p>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代理费</w:t>
            </w:r>
            <w:r/>
          </w:p>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代理费</w:t>
            </w:r>
            <w:r/>
          </w:p>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（单位：元）</w:t>
            </w:r>
            <w:r/>
          </w:p>
        </w:tc>
      </w:tr>
      <w:tr>
        <w:trP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 27.17  %</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10000元</w:t>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t xml:space="preserve"> 27  %</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720"/>
              <w:ind w:firstLine="420"/>
              <w:spacing w:before="0" w:after="0" w:line="360" w:lineRule="auto"/>
              <w:rPr>
                <w:rFonts w:hint="eastAsia" w:ascii="Times New Roman" w:hAnsi="Times New Roman" w:eastAsia="宋体"/>
                <w:b w:val="0"/>
                <w:bCs w:val="0"/>
                <w:color w:val="auto"/>
                <w:sz w:val="21"/>
                <w:szCs w:val="21"/>
                <w:highlight w:val="none"/>
                <w:lang w:val="en-US" w:eastAsia="zh-CN"/>
              </w:rPr>
            </w:pPr>
            <w:r>
              <w:rPr>
                <w:rFonts w:hint="eastAsia" w:ascii="Times New Roman" w:hAnsi="Times New Roman" w:eastAsia="宋体"/>
                <w:b w:val="0"/>
                <w:bCs w:val="0"/>
                <w:color w:val="auto"/>
                <w:sz w:val="21"/>
                <w:szCs w:val="21"/>
                <w:highlight w:val="none"/>
                <w:lang w:val="en-US" w:eastAsia="zh-CN"/>
              </w:rPr>
            </w:r>
            <w:r/>
          </w:p>
        </w:tc>
      </w:tr>
    </w:tbl>
    <w:p>
      <w:pPr>
        <w:pStyle w:val="720"/>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20"/>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20"/>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20"/>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20"/>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20"/>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20"/>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20"/>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r>
      <w:r/>
    </w:p>
    <w:p>
      <w:pPr>
        <w:pStyle w:val="720"/>
        <w:ind w:firstLine="420"/>
        <w:jc w:val="center"/>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基准费率表</w:t>
      </w:r>
      <w:r/>
    </w:p>
    <w:tbl>
      <w:tblPr>
        <w:tblStyle w:val="727"/>
        <w:tblW w:w="0" w:type="auto"/>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rPr>
                <w:rFonts w:hint="eastAsia"/>
                <w:color w:val="auto"/>
                <w:highlight w:val="none"/>
              </w:rPr>
            </w:pPr>
            <w:r>
              <w:rPr>
                <w:rFonts w:hint="eastAsia"/>
                <w:color w:val="auto"/>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rPr>
                <w:rFonts w:hint="eastAsia"/>
                <w:color w:val="auto"/>
                <w:highlight w:val="none"/>
              </w:rPr>
            </w:pPr>
            <w:r>
              <w:rPr>
                <w:rFonts w:hint="eastAsia"/>
                <w:color w:val="auto"/>
                <w:highlight w:val="none"/>
              </w:rPr>
              <w:t xml:space="preserve">0.05％</w:t>
            </w:r>
            <w:r/>
          </w:p>
        </w:tc>
      </w:tr>
    </w:tbl>
    <w:p>
      <w:pPr>
        <w:rPr>
          <w:rFonts w:hint="eastAsia"/>
          <w:color w:val="auto"/>
          <w:highlight w:val="none"/>
        </w:rPr>
      </w:pPr>
      <w:r>
        <w:rPr>
          <w:rFonts w:hint="eastAsia"/>
          <w:color w:val="auto"/>
          <w:highlight w:val="none"/>
        </w:rPr>
      </w:r>
      <w:r/>
    </w:p>
    <w:p>
      <w:pPr>
        <w:pStyle w:val="720"/>
        <w:ind w:firstLine="420"/>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（1）代理服务费以人民币支付；</w:t>
      </w:r>
      <w:r/>
    </w:p>
    <w:p>
      <w:pPr>
        <w:pStyle w:val="720"/>
        <w:ind w:firstLine="420"/>
        <w:spacing w:before="0" w:after="0" w:line="360" w:lineRule="auto"/>
        <w:rPr>
          <w:rFonts w:hint="eastAsia" w:ascii="Times New Roman" w:hAnsi="Times New Roman" w:eastAsia="宋体"/>
          <w:b w:val="0"/>
          <w:bCs w:val="0"/>
          <w:color w:val="auto"/>
          <w:sz w:val="21"/>
          <w:szCs w:val="21"/>
          <w:highlight w:val="none"/>
        </w:rPr>
      </w:pPr>
      <w:r>
        <w:rPr>
          <w:rFonts w:hint="eastAsia" w:ascii="Times New Roman" w:hAnsi="Times New Roman" w:eastAsia="宋体"/>
          <w:b w:val="0"/>
          <w:bCs w:val="0"/>
          <w:color w:val="auto"/>
          <w:sz w:val="21"/>
          <w:szCs w:val="21"/>
          <w:highlight w:val="none"/>
        </w:rPr>
        <w:t xml:space="preserve">（2）代理服务费支付方式：一次性以电汇或转账等形式支付。</w:t>
      </w:r>
      <w:r/>
    </w:p>
    <w:p>
      <w:pPr>
        <w:pStyle w:val="720"/>
        <w:ind w:firstLine="420"/>
        <w:spacing w:before="0" w:after="0" w:line="360" w:lineRule="auto"/>
        <w:rPr>
          <w:rFonts w:hint="eastAsia" w:ascii="宋体" w:hAnsi="宋体"/>
          <w:bCs/>
          <w:color w:val="auto"/>
          <w:szCs w:val="21"/>
          <w:highlight w:val="none"/>
        </w:rPr>
      </w:pPr>
      <w:r>
        <w:rPr>
          <w:rFonts w:hint="eastAsia" w:ascii="Times New Roman" w:hAnsi="Times New Roman" w:eastAsia="宋体"/>
          <w:b w:val="0"/>
          <w:bCs w:val="0"/>
          <w:color w:val="auto"/>
          <w:sz w:val="21"/>
          <w:szCs w:val="21"/>
          <w:highlight w:val="none"/>
        </w:rPr>
        <w:t xml:space="preserve">（3）代理服务费不在报价中单列，但包含在总价中，由中标供应商支付给代理机构。</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4.3专家评审费按《扬州市财政局关于进一步规范扬州市政府采购专家评审费标准的通知》（扬财购〔2020〕40号）执行</w:t>
      </w:r>
      <w:r>
        <w:rPr>
          <w:rFonts w:hint="eastAsia" w:ascii="宋体" w:hAnsi="宋体"/>
          <w:bCs/>
          <w:color w:val="auto"/>
          <w:szCs w:val="21"/>
          <w:highlight w:val="none"/>
          <w:lang w:eastAsia="zh-CN"/>
        </w:rPr>
        <w:t xml:space="preserve">，</w:t>
      </w:r>
      <w:r>
        <w:rPr>
          <w:rFonts w:hint="eastAsia" w:ascii="Times New Roman" w:hAnsi="Times New Roman" w:eastAsia="宋体"/>
          <w:b w:val="0"/>
          <w:bCs w:val="0"/>
          <w:color w:val="auto"/>
          <w:sz w:val="21"/>
          <w:szCs w:val="21"/>
          <w:highlight w:val="none"/>
        </w:rPr>
        <w:t xml:space="preserve">按实结算，由采购人支付</w:t>
      </w:r>
      <w:r>
        <w:rPr>
          <w:rFonts w:hint="eastAsia" w:ascii="宋体" w:hAnsi="宋体"/>
          <w:bCs/>
          <w:color w:val="auto"/>
          <w:szCs w:val="21"/>
          <w:highlight w:val="none"/>
        </w:rPr>
        <w:t xml:space="preserve">。</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8.1 在投标截止时间前，代理机构可以对招标文件进行修改。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w:t>
      </w:r>
      <w:r>
        <w:rPr>
          <w:rFonts w:hint="eastAsia" w:ascii="宋体" w:hAnsi="宋体"/>
          <w:bCs/>
          <w:color w:val="auto"/>
          <w:szCs w:val="21"/>
          <w:highlight w:val="none"/>
          <w:lang w:val="en-US" w:eastAsia="zh-CN"/>
        </w:rPr>
        <w:t xml:space="preserve">在</w:t>
      </w:r>
      <w:r>
        <w:rPr>
          <w:rFonts w:hint="eastAsia" w:ascii="宋体" w:hAnsi="宋体"/>
          <w:bCs/>
          <w:color w:val="auto"/>
          <w:szCs w:val="21"/>
          <w:highlight w:val="none"/>
          <w:lang w:eastAsia="zh-CN"/>
        </w:rPr>
        <w:t xml:space="preserve">“江苏省政府采购网”、“中国政府采购网”</w:t>
      </w:r>
      <w:r>
        <w:rPr>
          <w:rFonts w:hint="eastAsia" w:ascii="宋体" w:hAnsi="宋体"/>
          <w:bCs/>
          <w:color w:val="auto"/>
          <w:szCs w:val="21"/>
          <w:highlight w:val="none"/>
        </w:rPr>
        <w:t xml:space="preserve">公布，补充文件将作为招标文件的组成部分，并对投标人具有约束力。</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left="420"/>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12、</w:t>
      </w:r>
      <w:r>
        <w:rPr>
          <w:rFonts w:hint="eastAsia"/>
          <w:b/>
          <w:bCs/>
          <w:color w:val="auto"/>
          <w:highlight w:val="none"/>
        </w:rPr>
        <w:t xml:space="preserve">分项报价表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12.3其它费用处理</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招标文件未列明，而投标人认为必需的费用也需列入报价。</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12.4投标货币</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13.4 投标人认为需要的其他技术文件或说明。</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宋体" w:hAnsi="宋体"/>
          <w:b/>
          <w:color w:val="auto"/>
          <w:szCs w:val="21"/>
          <w:highlight w:val="none"/>
        </w:rPr>
      </w:pPr>
      <w:r/>
      <w:bookmarkStart w:id="35" w:name="_Toc16938541"/>
      <w:r/>
      <w:bookmarkStart w:id="36" w:name="_Toc20823297"/>
      <w:r/>
      <w:bookmarkStart w:id="37" w:name="_Toc462564084"/>
      <w:r/>
      <w:bookmarkStart w:id="38" w:name="_Toc513029225"/>
      <w:r>
        <w:rPr>
          <w:rFonts w:hint="eastAsia" w:ascii="宋体" w:hAnsi="宋体"/>
          <w:b/>
          <w:color w:val="auto"/>
          <w:szCs w:val="21"/>
          <w:highlight w:val="none"/>
        </w:rPr>
        <w:t xml:space="preserve">17、投标文件</w:t>
      </w:r>
      <w:bookmarkEnd w:id="35"/>
      <w:r/>
      <w:bookmarkEnd w:id="36"/>
      <w:r/>
      <w:bookmarkEnd w:id="37"/>
      <w:r/>
      <w:bookmarkEnd w:id="38"/>
      <w:r>
        <w:rPr>
          <w:rFonts w:hint="eastAsia" w:ascii="宋体" w:hAnsi="宋体"/>
          <w:b/>
          <w:color w:val="auto"/>
          <w:szCs w:val="21"/>
          <w:highlight w:val="none"/>
        </w:rPr>
        <w:t xml:space="preserve">的递交</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39" w:name="_Toc16938542"/>
      <w:r/>
      <w:bookmarkStart w:id="40" w:name="_Toc20823298"/>
      <w:r/>
      <w:bookmarkStart w:id="41" w:name="_Toc513029226"/>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39"/>
      <w:r/>
      <w:bookmarkEnd w:id="40"/>
      <w:r/>
      <w:bookmarkEnd w:id="41"/>
      <w:r/>
      <w:r/>
    </w:p>
    <w:p>
      <w:pPr>
        <w:ind w:firstLine="420"/>
        <w:pageBreakBefore w:val="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宋体" w:hAnsi="宋体"/>
          <w:b/>
          <w:color w:val="auto"/>
          <w:szCs w:val="21"/>
          <w:highlight w:val="none"/>
        </w:rPr>
      </w:pPr>
      <w:r/>
      <w:bookmarkStart w:id="42" w:name="_Toc16938543"/>
      <w:r/>
      <w:bookmarkStart w:id="43" w:name="_Toc20823299"/>
      <w:r/>
      <w:bookmarkStart w:id="44" w:name="_Toc513029227"/>
      <w:r>
        <w:rPr>
          <w:rFonts w:hint="eastAsia" w:ascii="宋体" w:hAnsi="宋体"/>
          <w:b/>
          <w:color w:val="auto"/>
          <w:szCs w:val="21"/>
          <w:highlight w:val="none"/>
        </w:rPr>
        <w:t xml:space="preserve">19、投标文件</w:t>
      </w:r>
      <w:bookmarkEnd w:id="42"/>
      <w:r/>
      <w:bookmarkEnd w:id="43"/>
      <w:r/>
      <w:bookmarkEnd w:id="44"/>
      <w:r>
        <w:rPr>
          <w:rFonts w:hint="eastAsia" w:ascii="宋体" w:hAnsi="宋体"/>
          <w:b/>
          <w:color w:val="auto"/>
          <w:szCs w:val="21"/>
          <w:highlight w:val="none"/>
        </w:rPr>
        <w:t xml:space="preserve">的拒收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宋体" w:hAnsi="宋体"/>
          <w:b/>
          <w:color w:val="auto"/>
          <w:szCs w:val="21"/>
          <w:highlight w:val="none"/>
        </w:rPr>
      </w:pPr>
      <w:r/>
      <w:bookmarkStart w:id="45" w:name="_Toc16938544"/>
      <w:r/>
      <w:bookmarkStart w:id="46" w:name="_Toc513029228"/>
      <w:r/>
      <w:bookmarkStart w:id="47" w:name="_Toc20823300"/>
      <w:r>
        <w:rPr>
          <w:rFonts w:hint="eastAsia" w:ascii="宋体" w:hAnsi="宋体"/>
          <w:b/>
          <w:color w:val="auto"/>
          <w:szCs w:val="21"/>
          <w:highlight w:val="none"/>
        </w:rPr>
        <w:t xml:space="preserve">20、投标文件的撤回和修改</w:t>
      </w:r>
      <w:bookmarkEnd w:id="45"/>
      <w:r/>
      <w:bookmarkEnd w:id="46"/>
      <w:r/>
      <w:bookmarkEnd w:id="47"/>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21.2投标人不足3家的，不得开标。</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w:t>
      </w:r>
      <w:r>
        <w:rPr>
          <w:rFonts w:hint="eastAsia" w:ascii="宋体" w:hAnsi="宋体"/>
          <w:b/>
          <w:color w:val="auto"/>
          <w:szCs w:val="21"/>
          <w:highlight w:val="none"/>
        </w:rPr>
        <w:t xml:space="preserve">21.3开标仪式由代理机构主持。“政府采购管理交易系统（苏采云）”将自动对项目进行开标，并宣读各投标人的《开标一览表》。</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21.4投标人在开标过程中涉及到的投标文件解密、开标结果确认等工作，应按照《操作手册》规定执行。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pageBreakBefore w:val="0"/>
        <w:spacing w:line="360" w:lineRule="auto"/>
        <w:rPr>
          <w:rFonts w:ascii="宋体" w:hAnsi="宋体"/>
          <w:color w:val="auto"/>
          <w:highlight w:val="none"/>
        </w:rPr>
      </w:pPr>
      <w:r>
        <w:rPr>
          <w:rFonts w:hint="eastAsia" w:ascii="宋体" w:hAnsi="宋体"/>
          <w:color w:val="auto"/>
          <w:highlight w:val="none"/>
        </w:rPr>
        <w:t xml:space="preserve">25.7 投标人在开、评标全过程中应保持通讯畅通，并安排专人与代理机构及评委会联系。</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Cs/>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26.1.12 投标文件未按照招标文件要求加盖电子签章。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26.1.13其他法律、法规及本招标文件规定的属无效投标的情形。</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left="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w:t>
      </w:r>
      <w:r/>
    </w:p>
    <w:p>
      <w:pPr>
        <w:ind w:left="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26.2.2出现影响采购公正的违法、违规行为的。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26.2.3因重大变故，采购任务取消的。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投标截止时间结束后参加投标的供应商不足三家的处理：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27、确定中标单位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w:t>
      </w:r>
      <w:r>
        <w:rPr>
          <w:rFonts w:hint="eastAsia" w:ascii="宋体" w:hAnsi="宋体"/>
          <w:bCs/>
          <w:color w:val="auto"/>
          <w:szCs w:val="21"/>
          <w:highlight w:val="none"/>
          <w:lang w:val="en-US" w:eastAsia="zh-CN"/>
        </w:rPr>
        <w:t xml:space="preserve">在</w:t>
      </w:r>
      <w:r>
        <w:rPr>
          <w:rFonts w:hint="eastAsia" w:ascii="宋体" w:hAnsi="宋体"/>
          <w:bCs/>
          <w:color w:val="auto"/>
          <w:szCs w:val="21"/>
          <w:highlight w:val="none"/>
          <w:lang w:eastAsia="zh-CN"/>
        </w:rPr>
        <w:t xml:space="preserve">“江苏省政府采购网”、“中国政府采购网”</w:t>
      </w:r>
      <w:r>
        <w:rPr>
          <w:rFonts w:hint="eastAsia" w:ascii="宋体" w:hAnsi="宋体"/>
          <w:bCs/>
          <w:color w:val="auto"/>
          <w:szCs w:val="21"/>
          <w:highlight w:val="none"/>
        </w:rPr>
        <w:t xml:space="preserve">发布中标公告，公告期限为1个工作日。</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宋体" w:hAnsi="宋体"/>
          <w:b/>
          <w:color w:val="auto"/>
          <w:szCs w:val="21"/>
          <w:highlight w:val="none"/>
        </w:rPr>
      </w:pPr>
      <w:r>
        <w:rPr>
          <w:rFonts w:hint="eastAsia" w:ascii="宋体" w:hAnsi="宋体"/>
          <w:bCs/>
          <w:color w:val="auto"/>
          <w:szCs w:val="21"/>
          <w:highlight w:val="none"/>
        </w:rPr>
        <w:t xml:space="preserve">28.5 代理机构及采购人只接收以纸质原件形式送达的质疑。</w:t>
      </w:r>
      <w:r>
        <w:rPr>
          <w:rFonts w:hint="eastAsia" w:ascii="宋体" w:hAnsi="宋体"/>
          <w:b/>
          <w:color w:val="auto"/>
          <w:szCs w:val="21"/>
          <w:highlight w:val="none"/>
        </w:rPr>
        <w:t xml:space="preserve">同时需与采购代理机构经办人确认是否收到《质疑函》，如供应商未按上述要求去做，将自行承担所产生的风险。</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w:t>
      </w:r>
      <w:r>
        <w:rPr>
          <w:rFonts w:hint="eastAsia" w:ascii="宋体" w:hAnsi="宋体"/>
          <w:bCs/>
          <w:color w:val="auto"/>
          <w:szCs w:val="21"/>
          <w:highlight w:val="none"/>
          <w:lang w:val="en-US" w:eastAsia="zh-CN"/>
        </w:rPr>
        <w:t xml:space="preserve">三十</w:t>
      </w:r>
      <w:r>
        <w:rPr>
          <w:rFonts w:hint="eastAsia" w:ascii="宋体" w:hAnsi="宋体"/>
          <w:bCs/>
          <w:color w:val="auto"/>
          <w:szCs w:val="21"/>
          <w:highlight w:val="none"/>
        </w:rPr>
        <w:t xml:space="preserve">日内，按照招标文件确定的事项与采购人签订政府采购合同。</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。未经采购人同意，中标人也不得采用分包的形式履行合同，否则采购人有权终止合同。转包或分包造成采购人损失的，中标人应承担赔偿责任。</w:t>
      </w:r>
      <w:r/>
    </w:p>
    <w:p>
      <w:pPr>
        <w:ind w:firstLine="420"/>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宋体" w:hAnsi="宋体" w:cs="Times New Roman"/>
          <w:b/>
          <w:color w:val="auto"/>
          <w:szCs w:val="21"/>
          <w:highlight w:val="none"/>
          <w:lang w:val="en-US" w:eastAsia="zh-CN"/>
        </w:rPr>
      </w:pPr>
      <w:r>
        <w:rPr>
          <w:rFonts w:hint="eastAsia" w:ascii="宋体" w:hAnsi="宋体" w:cs="Times New Roman"/>
          <w:b/>
          <w:color w:val="auto"/>
          <w:szCs w:val="21"/>
          <w:highlight w:val="none"/>
          <w:lang w:val="en-US" w:eastAsia="zh-CN"/>
        </w:rPr>
        <w:t xml:space="preserve">31、履约保证金</w:t>
      </w:r>
      <w:r/>
    </w:p>
    <w:p>
      <w:pPr>
        <w:ind w:firstLine="420"/>
        <w:pageBreakBefore w:val="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lang w:val="en-US" w:eastAsia="zh-CN"/>
        </w:rPr>
        <w:t xml:space="preserve">31.1</w:t>
      </w:r>
      <w:r>
        <w:rPr>
          <w:rFonts w:hint="eastAsia" w:ascii="宋体" w:hAnsi="宋体" w:cs="Times New Roman"/>
          <w:bCs/>
          <w:color w:val="auto"/>
          <w:szCs w:val="21"/>
          <w:highlight w:val="none"/>
        </w:rPr>
        <w:t xml:space="preserve">合同签订前，中标供应商向采购人支付合同总金额 5%作为本合同履约保证金。</w:t>
      </w:r>
      <w:r>
        <w:rPr>
          <w:rFonts w:hint="default" w:ascii="宋体" w:hAnsi="宋体" w:cs="Times New Roman"/>
          <w:bCs/>
          <w:color w:val="auto"/>
          <w:szCs w:val="21"/>
          <w:highlight w:val="none"/>
          <w:lang w:val="en-US" w:eastAsia="zh-CN"/>
        </w:rPr>
        <w:t xml:space="preserve">允许</w:t>
      </w:r>
      <w:r>
        <w:rPr>
          <w:rFonts w:hint="default" w:ascii="宋体" w:hAnsi="宋体" w:cs="Times New Roman"/>
          <w:bCs/>
          <w:color w:val="auto"/>
          <w:szCs w:val="21"/>
          <w:highlight w:val="none"/>
        </w:rPr>
        <w:t xml:space="preserve">中标人自主选择支票、汇票、本票、保函等非现金形式缴纳或提交</w:t>
      </w:r>
      <w:r>
        <w:rPr>
          <w:rFonts w:hint="default" w:ascii="宋体" w:hAnsi="宋体" w:cs="Times New Roman"/>
          <w:bCs/>
          <w:color w:val="auto"/>
          <w:szCs w:val="21"/>
          <w:highlight w:val="none"/>
          <w:lang w:eastAsia="zh-CN"/>
        </w:rPr>
        <w:t xml:space="preserve">，</w:t>
      </w:r>
      <w:r>
        <w:rPr>
          <w:rFonts w:hint="eastAsia" w:ascii="宋体" w:hAnsi="宋体" w:cs="Times New Roman"/>
          <w:bCs/>
          <w:color w:val="auto"/>
          <w:szCs w:val="21"/>
          <w:highlight w:val="none"/>
        </w:rPr>
        <w:t xml:space="preserve">履约保证金用以约束供应商在合同履行中的行为，弥补合同执行中由于自身行为可能给采购人带来的各种损失。如果中标人不同意按照规定去做，采购人有权取消本次采购中标决定。</w:t>
      </w:r>
      <w:bookmarkStart w:id="48" w:name="_Toc200451963"/>
      <w:r/>
      <w:bookmarkEnd w:id="48"/>
      <w:r/>
      <w:r/>
    </w:p>
    <w:p>
      <w:pPr>
        <w:ind w:firstLine="420"/>
        <w:pageBreakBefore w:val="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lang w:val="en-US" w:eastAsia="zh-CN"/>
        </w:rPr>
        <w:t xml:space="preserve">31.2</w:t>
      </w:r>
      <w:r>
        <w:rPr>
          <w:rFonts w:hint="eastAsia" w:ascii="宋体" w:hAnsi="宋体" w:cs="Times New Roman"/>
          <w:bCs/>
          <w:color w:val="auto"/>
          <w:szCs w:val="21"/>
          <w:highlight w:val="none"/>
        </w:rPr>
        <w:t xml:space="preserve">履约保证金的退还：合同履行结束后，各中标人凭采购人签署的项目验收单或项目验收报告，前往学校办理保证金退还手续。各中标人如违约，履约保证金将按规定予以扣除。采购人保留按合同条款追偿供应商赔偿损失的权利。</w:t>
      </w:r>
      <w:r/>
    </w:p>
    <w:p>
      <w:pPr>
        <w:ind w:firstLine="420"/>
        <w:pageBreakBefore w:val="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lang w:val="en-US" w:eastAsia="zh-CN"/>
        </w:rPr>
        <w:t xml:space="preserve">31.3</w:t>
      </w:r>
      <w:r>
        <w:rPr>
          <w:rFonts w:hint="eastAsia" w:ascii="宋体" w:hAnsi="宋体" w:cs="Times New Roman"/>
          <w:bCs/>
          <w:color w:val="auto"/>
          <w:szCs w:val="21"/>
          <w:highlight w:val="none"/>
        </w:rPr>
        <w:t xml:space="preserve"> 履约保证金缴纳账户信息：</w:t>
      </w:r>
      <w:r/>
    </w:p>
    <w:p>
      <w:pPr>
        <w:ind w:firstLine="420"/>
        <w:pageBreakBefore w:val="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rPr>
        <w:t xml:space="preserve">户名：扬州大学</w:t>
      </w:r>
      <w:r/>
    </w:p>
    <w:p>
      <w:pPr>
        <w:ind w:firstLine="420"/>
        <w:pageBreakBefore w:val="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rPr>
        <w:t xml:space="preserve">开户行：中国工商银行股份有限公司扬州分行汶河支行</w:t>
      </w:r>
      <w:r/>
    </w:p>
    <w:p>
      <w:pPr>
        <w:ind w:firstLine="420"/>
        <w:pageBreakBefore w:val="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rPr>
        <w:t xml:space="preserve">账号：1108022009000002048</w:t>
      </w:r>
      <w:r/>
    </w:p>
    <w:p>
      <w:pPr>
        <w:ind w:firstLine="420"/>
        <w:pageBreakBefore w:val="0"/>
        <w:spacing w:line="360" w:lineRule="auto"/>
        <w:rPr>
          <w:b w:val="0"/>
          <w:bCs w:val="0"/>
          <w:color w:val="auto"/>
          <w:highlight w:val="none"/>
        </w:rPr>
      </w:pPr>
      <w:r>
        <w:rPr>
          <w:rFonts w:hint="eastAsia" w:ascii="宋体" w:hAnsi="宋体" w:cs="Times New Roman"/>
          <w:bCs/>
          <w:color w:val="auto"/>
          <w:szCs w:val="21"/>
          <w:highlight w:val="none"/>
        </w:rPr>
        <w:t xml:space="preserve">电子行号：102312002094</w:t>
      </w:r>
      <w:r/>
    </w:p>
    <w:p>
      <w:pPr>
        <w:ind w:firstLine="422"/>
        <w:pageBreakBefore w:val="0"/>
        <w:spacing w:line="360" w:lineRule="auto"/>
        <w:rPr>
          <w:rFonts w:hint="eastAsia" w:ascii="宋体" w:hAnsi="宋体" w:cs="Times New Roman"/>
          <w:b/>
          <w:color w:val="auto"/>
          <w:szCs w:val="21"/>
          <w:highlight w:val="none"/>
          <w:lang w:val="en-US" w:eastAsia="zh-CN"/>
        </w:rPr>
      </w:pPr>
      <w:r>
        <w:rPr>
          <w:rFonts w:hint="eastAsia" w:ascii="宋体" w:hAnsi="宋体" w:cs="Times New Roman"/>
          <w:b/>
          <w:color w:val="auto"/>
          <w:szCs w:val="21"/>
          <w:highlight w:val="none"/>
          <w:lang w:val="en-US" w:eastAsia="zh-CN"/>
        </w:rPr>
        <w:t xml:space="preserve">32、其他</w:t>
      </w:r>
      <w:r/>
    </w:p>
    <w:p>
      <w:pPr>
        <w:ind w:firstLine="420"/>
        <w:pageBreakBefore w:val="0"/>
        <w:spacing w:line="360" w:lineRule="auto"/>
        <w:rPr>
          <w:rFonts w:ascii="宋体" w:hAnsi="宋体"/>
          <w:bCs/>
          <w:color w:val="auto"/>
          <w:szCs w:val="21"/>
          <w:highlight w:val="none"/>
        </w:rPr>
      </w:pPr>
      <w:r>
        <w:rPr>
          <w:rFonts w:hint="eastAsia" w:ascii="宋体" w:hAnsi="宋体" w:cs="Times New Roman"/>
          <w:bCs/>
          <w:color w:val="auto"/>
          <w:szCs w:val="21"/>
          <w:highlight w:val="none"/>
          <w:lang w:val="en-US" w:eastAsia="zh-CN"/>
        </w:rPr>
        <w:t xml:space="preserve">32.1</w:t>
      </w:r>
      <w:r>
        <w:rPr>
          <w:rFonts w:hint="eastAsia" w:ascii="宋体" w:hAnsi="宋体" w:cs="Times New Roman"/>
          <w:bCs/>
          <w:color w:val="auto"/>
          <w:szCs w:val="21"/>
          <w:highlight w:val="none"/>
        </w:rPr>
        <w:t xml:space="preserve">依据《政府采购促进中小企业发展管理办法》享受享受扶持政策获得政府采购合同的，小微企业不得将合同分包给大中型企业，中型企业不得将合同分包给大型企业。</w:t>
      </w:r>
      <w:r/>
    </w:p>
    <w:p>
      <w:pPr>
        <w:jc w:val="center"/>
        <w:pageBreakBefore w:val="0"/>
        <w:spacing w:line="360" w:lineRule="auto"/>
        <w:rPr>
          <w:rFonts w:hint="eastAsia" w:ascii="宋体" w:hAnsi="宋体"/>
          <w:b/>
          <w:bCs/>
          <w:color w:val="auto"/>
          <w:sz w:val="32"/>
          <w:szCs w:val="32"/>
          <w:highlight w:val="none"/>
        </w:rPr>
      </w:pPr>
      <w:r>
        <w:rPr>
          <w:rFonts w:hint="eastAsia" w:ascii="宋体" w:hAnsi="宋体"/>
          <w:bCs/>
          <w:color w:val="auto"/>
          <w:szCs w:val="21"/>
          <w:highlight w:val="none"/>
        </w:rPr>
        <w:br w:type="page" w:clear="all"/>
      </w:r>
      <w:bookmarkStart w:id="49" w:name="_Toc55204179"/>
      <w:r/>
      <w:bookmarkStart w:id="50" w:name="_Hlk69392822"/>
      <w:r>
        <w:rPr>
          <w:rFonts w:hint="eastAsia" w:ascii="宋体" w:hAnsi="宋体"/>
          <w:b/>
          <w:bCs/>
          <w:color w:val="auto"/>
          <w:sz w:val="44"/>
          <w:szCs w:val="36"/>
          <w:highlight w:val="none"/>
        </w:rPr>
        <w:t xml:space="preserve">第三章 合同条款及格式</w:t>
      </w:r>
      <w:bookmarkEnd w:id="49"/>
      <w:r/>
      <w:r/>
    </w:p>
    <w:p>
      <w:pPr>
        <w:pStyle w:val="930"/>
        <w:ind w:firstLine="420"/>
        <w:pageBreakBefore w:val="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737"/>
        <w:ind w:firstLine="422"/>
        <w:jc w:val="center"/>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政府采购合同（服务）（合同编号）</w:t>
      </w:r>
      <w:r/>
    </w:p>
    <w:p>
      <w:pPr>
        <w:ind w:firstLine="420"/>
        <w:rPr>
          <w:rFonts w:hint="eastAsia" w:hAnsi="宋体"/>
          <w:color w:val="auto"/>
          <w:highlight w:val="none"/>
        </w:rPr>
      </w:pPr>
      <w:r>
        <w:rPr>
          <w:rFonts w:hint="eastAsia" w:hAnsi="宋体"/>
          <w:color w:val="auto"/>
          <w:highlight w:val="none"/>
        </w:rPr>
        <w:t xml:space="preserve">项目名称：</w:t>
      </w:r>
      <w:r>
        <w:rPr>
          <w:rFonts w:hint="eastAsia" w:hAnsi="宋体"/>
          <w:color w:val="auto"/>
          <w:highlight w:val="none"/>
          <w:lang w:eastAsia="zh-CN"/>
        </w:rPr>
        <w:t xml:space="preserve">扬州大学研究生学位论文送审服务平台</w:t>
      </w:r>
      <w:r>
        <w:rPr>
          <w:rFonts w:hint="eastAsia" w:hAnsi="宋体"/>
          <w:color w:val="auto"/>
          <w:highlight w:val="none"/>
        </w:rPr>
        <w:t xml:space="preserve">     </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项目编号： </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甲方：（买方）扬州大学</w:t>
      </w:r>
      <w:r/>
    </w:p>
    <w:p>
      <w:pPr>
        <w:pStyle w:val="737"/>
        <w:ind w:firstLine="420"/>
        <w:spacing w:before="120" w:after="120" w:line="360" w:lineRule="auto"/>
        <w:rPr>
          <w:rFonts w:hint="default" w:hAnsi="宋体" w:eastAsia="宋体"/>
          <w:color w:val="auto"/>
          <w:sz w:val="21"/>
          <w:highlight w:val="none"/>
          <w:u w:val="none"/>
          <w:lang w:val="en-US" w:eastAsia="zh-CN"/>
        </w:rPr>
      </w:pPr>
      <w:r>
        <w:rPr>
          <w:rFonts w:hint="eastAsia" w:hAnsi="宋体"/>
          <w:color w:val="auto"/>
          <w:sz w:val="21"/>
          <w:highlight w:val="none"/>
        </w:rPr>
        <w:t xml:space="preserve">乙方：（卖方）</w:t>
      </w:r>
      <w:r>
        <w:rPr>
          <w:rFonts w:hint="eastAsia" w:hAnsi="宋体"/>
          <w:color w:val="auto"/>
          <w:sz w:val="21"/>
          <w:highlight w:val="none"/>
          <w:u w:val="single"/>
          <w:lang w:val="en-US" w:eastAsia="zh-CN"/>
        </w:rPr>
        <w:t xml:space="preserve">        </w:t>
      </w:r>
      <w:r>
        <w:rPr>
          <w:rFonts w:hint="eastAsia" w:hAnsi="宋体"/>
          <w:color w:val="auto"/>
          <w:sz w:val="21"/>
          <w:highlight w:val="none"/>
          <w:lang w:val="en-US" w:eastAsia="zh-CN"/>
        </w:rPr>
        <w:t xml:space="preserve">     </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lang w:val="en-US" w:eastAsia="zh-CN"/>
        </w:rPr>
        <w:t xml:space="preserve">江苏嘉加诚工程投资咨询有限公司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一、服务及产品内容</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1.1 项目（产品）名称：</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 项目服务内容：</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二、合同金额</w:t>
      </w:r>
      <w:r/>
    </w:p>
    <w:p>
      <w:pPr>
        <w:ind w:firstLine="420"/>
        <w:jc w:val="both"/>
        <w:spacing w:line="360" w:lineRule="auto"/>
        <w:widowControl w:val="off"/>
        <w:rPr>
          <w:rFonts w:hint="eastAsia" w:ascii="Times New Roman" w:hAnsi="Times New Roman"/>
          <w:color w:val="000000"/>
          <w:sz w:val="21"/>
          <w:szCs w:val="22"/>
          <w:highlight w:val="none"/>
          <w:lang w:eastAsia="zh-CN"/>
        </w:rPr>
      </w:pPr>
      <w:r>
        <w:rPr>
          <w:rFonts w:hint="eastAsia" w:ascii="Times New Roman" w:hAnsi="Times New Roman"/>
          <w:color w:val="000000"/>
          <w:sz w:val="21"/>
          <w:szCs w:val="22"/>
          <w:highlight w:val="none"/>
          <w:lang w:eastAsia="zh-CN"/>
        </w:rPr>
        <w:t xml:space="preserve">2.1本合同金额为：</w:t>
      </w:r>
      <w:r/>
    </w:p>
    <w:tbl>
      <w:tblPr>
        <w:tblStyle w:val="72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2747"/>
        <w:gridCol w:w="2891"/>
        <w:gridCol w:w="1519"/>
        <w:gridCol w:w="1734"/>
      </w:tblGrid>
      <w:tr>
        <w:trPr>
          <w:cantSplit/>
          <w:jc w:val="center"/>
          <w:trHeight w:val="677"/>
        </w:trPr>
        <w:tc>
          <w:tcPr>
            <w:tcW w:w="533" w:type="pct"/>
            <w:vAlign w:val="center"/>
            <w:textDirection w:val="lrTb"/>
            <w:noWrap w:val="false"/>
          </w:tcPr>
          <w:p>
            <w:pPr>
              <w:jc w:val="center"/>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序号</w:t>
            </w:r>
            <w:r/>
          </w:p>
        </w:tc>
        <w:tc>
          <w:tcPr>
            <w:tcW w:w="1379" w:type="pct"/>
            <w:vAlign w:val="center"/>
            <w:textDirection w:val="lrTb"/>
            <w:noWrap w:val="false"/>
          </w:tcPr>
          <w:p>
            <w:pPr>
              <w:jc w:val="center"/>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项目内容</w:t>
            </w:r>
            <w:r/>
          </w:p>
        </w:tc>
        <w:tc>
          <w:tcPr>
            <w:tcW w:w="1452" w:type="pct"/>
            <w:vAlign w:val="center"/>
            <w:textDirection w:val="lrTb"/>
            <w:noWrap w:val="false"/>
          </w:tcPr>
          <w:p>
            <w:pPr>
              <w:jc w:val="center"/>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数量</w:t>
            </w:r>
            <w:r/>
          </w:p>
        </w:tc>
        <w:tc>
          <w:tcPr>
            <w:tcW w:w="763" w:type="pct"/>
            <w:vAlign w:val="center"/>
            <w:textDirection w:val="lrTb"/>
            <w:noWrap w:val="false"/>
          </w:tcPr>
          <w:p>
            <w:pPr>
              <w:jc w:val="center"/>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单价（元）</w:t>
            </w:r>
            <w:r/>
          </w:p>
        </w:tc>
        <w:tc>
          <w:tcPr>
            <w:tcW w:w="870" w:type="pct"/>
            <w:vAlign w:val="center"/>
            <w:textDirection w:val="lrTb"/>
            <w:noWrap w:val="false"/>
          </w:tcPr>
          <w:p>
            <w:pPr>
              <w:jc w:val="center"/>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总价（元）</w:t>
            </w:r>
            <w:r/>
          </w:p>
        </w:tc>
      </w:tr>
      <w:tr>
        <w:trPr>
          <w:cantSplit/>
          <w:jc w:val="center"/>
          <w:trHeight w:val="846"/>
        </w:trPr>
        <w:tc>
          <w:tcPr>
            <w:tcW w:w="533"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p>
        </w:tc>
        <w:tc>
          <w:tcPr>
            <w:tcW w:w="1379" w:type="pct"/>
            <w:vAlign w:val="center"/>
            <w:textDirection w:val="lrTb"/>
            <w:noWrap w:val="false"/>
          </w:tcPr>
          <w:p>
            <w:pPr>
              <w:pStyle w:val="737"/>
              <w:jc w:val="center"/>
              <w:spacing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博士学位论文评审服务</w:t>
            </w:r>
            <w:r/>
          </w:p>
        </w:tc>
        <w:tc>
          <w:tcPr>
            <w:tcW w:w="1452" w:type="pct"/>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180</w:t>
            </w:r>
            <w:r/>
          </w:p>
        </w:tc>
        <w:tc>
          <w:tcPr>
            <w:tcW w:w="763" w:type="pct"/>
            <w:vAlign w:val="center"/>
            <w:textDirection w:val="lrTb"/>
            <w:noWrap w:val="false"/>
          </w:tcPr>
          <w:p>
            <w:pPr>
              <w:pStyle w:val="737"/>
              <w:jc w:val="center"/>
              <w:spacing w:line="400" w:lineRule="exact"/>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r>
            <w:r/>
          </w:p>
        </w:tc>
        <w:tc>
          <w:tcPr>
            <w:tcW w:w="870"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846"/>
        </w:trPr>
        <w:tc>
          <w:tcPr>
            <w:tcW w:w="533"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p>
        </w:tc>
        <w:tc>
          <w:tcPr>
            <w:tcW w:w="1379" w:type="pct"/>
            <w:vAlign w:val="center"/>
            <w:textDirection w:val="lrTb"/>
            <w:noWrap w:val="false"/>
          </w:tcPr>
          <w:p>
            <w:pPr>
              <w:pStyle w:val="737"/>
              <w:jc w:val="center"/>
              <w:spacing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硕士学位论文评审服务</w:t>
            </w:r>
            <w:r/>
          </w:p>
        </w:tc>
        <w:tc>
          <w:tcPr>
            <w:tcW w:w="1452" w:type="pct"/>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2800</w:t>
            </w:r>
            <w:r/>
          </w:p>
        </w:tc>
        <w:tc>
          <w:tcPr>
            <w:tcW w:w="763" w:type="pct"/>
            <w:vAlign w:val="center"/>
            <w:textDirection w:val="lrTb"/>
            <w:noWrap w:val="false"/>
          </w:tcPr>
          <w:p>
            <w:pPr>
              <w:pStyle w:val="737"/>
              <w:jc w:val="center"/>
              <w:spacing w:line="400" w:lineRule="exact"/>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r>
            <w:r/>
          </w:p>
        </w:tc>
        <w:tc>
          <w:tcPr>
            <w:tcW w:w="870"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846"/>
        </w:trPr>
        <w:tc>
          <w:tcPr>
            <w:tcW w:w="533"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p>
        </w:tc>
        <w:tc>
          <w:tcPr>
            <w:tcW w:w="1379" w:type="pct"/>
            <w:vAlign w:val="center"/>
            <w:textDirection w:val="lrTb"/>
            <w:noWrap w:val="false"/>
          </w:tcPr>
          <w:p>
            <w:pPr>
              <w:pStyle w:val="737"/>
              <w:jc w:val="center"/>
              <w:spacing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博士留学生学位论文评审服务</w:t>
            </w:r>
            <w:r/>
          </w:p>
        </w:tc>
        <w:tc>
          <w:tcPr>
            <w:tcW w:w="1452" w:type="pct"/>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25</w:t>
            </w:r>
            <w:r/>
          </w:p>
        </w:tc>
        <w:tc>
          <w:tcPr>
            <w:tcW w:w="763" w:type="pct"/>
            <w:vAlign w:val="center"/>
            <w:textDirection w:val="lrTb"/>
            <w:noWrap w:val="false"/>
          </w:tcPr>
          <w:p>
            <w:pPr>
              <w:pStyle w:val="737"/>
              <w:jc w:val="center"/>
              <w:spacing w:line="400" w:lineRule="exact"/>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r>
            <w:r/>
          </w:p>
        </w:tc>
        <w:tc>
          <w:tcPr>
            <w:tcW w:w="870"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539"/>
        </w:trPr>
        <w:tc>
          <w:tcPr>
            <w:tcW w:w="533"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w:t>
            </w:r>
            <w:r/>
          </w:p>
        </w:tc>
        <w:tc>
          <w:tcPr>
            <w:tcW w:w="1379" w:type="pct"/>
            <w:vAlign w:val="center"/>
            <w:textDirection w:val="lrTb"/>
            <w:noWrap w:val="false"/>
          </w:tcPr>
          <w:p>
            <w:pPr>
              <w:pStyle w:val="737"/>
              <w:jc w:val="center"/>
              <w:spacing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硕士留学生学位论文评审服务</w:t>
            </w:r>
            <w:r/>
          </w:p>
        </w:tc>
        <w:tc>
          <w:tcPr>
            <w:tcW w:w="1452" w:type="pct"/>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w:t>
            </w:r>
            <w:r/>
          </w:p>
        </w:tc>
        <w:tc>
          <w:tcPr>
            <w:tcW w:w="763" w:type="pct"/>
            <w:vAlign w:val="center"/>
            <w:textDirection w:val="lrTb"/>
            <w:noWrap w:val="false"/>
          </w:tcPr>
          <w:p>
            <w:pPr>
              <w:pStyle w:val="737"/>
              <w:jc w:val="center"/>
              <w:spacing w:line="400" w:lineRule="exact"/>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r>
            <w:r/>
          </w:p>
        </w:tc>
        <w:tc>
          <w:tcPr>
            <w:tcW w:w="870"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539"/>
        </w:trPr>
        <w:tc>
          <w:tcPr>
            <w:gridSpan w:val="2"/>
            <w:tcW w:w="1913" w:type="pct"/>
            <w:vAlign w:val="center"/>
            <w:textDirection w:val="lrTb"/>
            <w:noWrap w:val="false"/>
          </w:tcPr>
          <w:p>
            <w:pPr>
              <w:pStyle w:val="737"/>
              <w:jc w:val="center"/>
              <w:spacing w:line="400" w:lineRule="exact"/>
              <w:rPr>
                <w:rFonts w:hint="eastAsia" w:ascii="宋体" w:hAnsi="宋体" w:eastAsia="宋体" w:cs="宋体"/>
                <w:color w:val="ff0000"/>
                <w:sz w:val="21"/>
                <w:szCs w:val="21"/>
                <w:highlight w:val="none"/>
              </w:rPr>
            </w:pPr>
            <w:r>
              <w:rPr>
                <w:rFonts w:hint="eastAsia" w:ascii="宋体" w:hAnsi="宋体" w:eastAsia="宋体" w:cs="宋体"/>
                <w:sz w:val="21"/>
                <w:szCs w:val="21"/>
                <w:highlight w:val="none"/>
                <w:lang w:eastAsia="zh-CN"/>
              </w:rPr>
              <w:t xml:space="preserve">合计（元）</w:t>
            </w:r>
            <w:r/>
          </w:p>
        </w:tc>
        <w:tc>
          <w:tcPr>
            <w:gridSpan w:val="3"/>
            <w:tcW w:w="3086"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bl>
    <w:p>
      <w:pPr>
        <w:ind w:firstLine="420"/>
        <w:jc w:val="both"/>
        <w:spacing w:line="360" w:lineRule="auto"/>
        <w:widowControl w:val="off"/>
        <w:rPr>
          <w:rFonts w:ascii="Times New Roman" w:hAnsi="Times New Roman"/>
          <w:color w:val="000000"/>
          <w:sz w:val="21"/>
          <w:szCs w:val="22"/>
          <w:highlight w:val="none"/>
          <w:lang w:eastAsia="zh-CN"/>
        </w:rPr>
      </w:pPr>
      <w:r>
        <w:rPr>
          <w:rFonts w:hint="eastAsia" w:ascii="Times New Roman" w:hAnsi="Times New Roman"/>
          <w:color w:val="000000"/>
          <w:sz w:val="21"/>
          <w:szCs w:val="22"/>
          <w:highlight w:val="none"/>
          <w:lang w:eastAsia="zh-CN"/>
        </w:rPr>
        <w:t xml:space="preserve">最终总价按实际送审论文份数结算。</w:t>
      </w:r>
      <w:r/>
    </w:p>
    <w:p>
      <w:pPr>
        <w:ind w:firstLine="420"/>
        <w:jc w:val="both"/>
        <w:spacing w:line="360" w:lineRule="auto"/>
        <w:widowControl w:val="off"/>
        <w:rPr>
          <w:rFonts w:ascii="Times New Roman" w:hAnsi="Times New Roman"/>
          <w:color w:val="000000"/>
          <w:sz w:val="21"/>
          <w:szCs w:val="22"/>
          <w:highlight w:val="none"/>
          <w:lang w:eastAsia="zh-CN"/>
        </w:rPr>
      </w:pPr>
      <w:r>
        <w:rPr>
          <w:rFonts w:hint="eastAsia" w:ascii="Times New Roman" w:hAnsi="Times New Roman"/>
          <w:color w:val="000000"/>
          <w:sz w:val="21"/>
          <w:szCs w:val="22"/>
          <w:highlight w:val="none"/>
          <w:lang w:eastAsia="zh-CN"/>
        </w:rPr>
        <w:t xml:space="preserve">本合同价款包含所有乙方提供合同约定产品和服务的报酬及乙方提供合同中产品和服务所支出的必要费用，甲方在上述合同价款之外不再向乙方支付其他任何费用。</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三、技术资料</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3.1乙方应按招标文件规定的时间向甲方提供使用服务或产品的有关技术资料。</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四、知识产权</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五、产权担保</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5.1 乙方保证所交付的服务或产品的所有权完全属于乙方且无任何抵押、查封等产权瑕疵。</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六、履约保证金</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6.1 收取履约保证金的，应当在采购合同中约定履约保证金退还的方式、时间、条件和不予退还的情形，明确逾期退还履约保证金的违约责任。</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6.3 履约保证金扣除甲方应得的补偿后的余额，在本合同履行结束后由甲方无息退还。 </w:t>
      </w:r>
      <w:r/>
    </w:p>
    <w:p>
      <w:pPr>
        <w:pStyle w:val="737"/>
        <w:ind w:firstLine="420"/>
        <w:spacing w:before="120" w:after="120" w:line="360" w:lineRule="auto"/>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6.4</w:t>
      </w:r>
      <w:r>
        <w:rPr>
          <w:rFonts w:hint="eastAsia" w:ascii="宋体" w:hAnsi="宋体" w:cs="Times New Roman"/>
          <w:bCs/>
          <w:color w:val="auto"/>
          <w:sz w:val="21"/>
          <w:szCs w:val="21"/>
          <w:highlight w:val="none"/>
        </w:rPr>
        <w:t xml:space="preserve">合同签订前，中标供应商向采购人支付合同总金额 5%作为本合同履约保证金</w:t>
      </w:r>
      <w:r>
        <w:rPr>
          <w:rFonts w:hint="eastAsia" w:ascii="宋体" w:hAnsi="宋体" w:cs="Times New Roman"/>
          <w:bCs/>
          <w:color w:val="auto"/>
          <w:sz w:val="21"/>
          <w:szCs w:val="21"/>
          <w:highlight w:val="none"/>
          <w:lang w:val="en-US" w:eastAsia="zh-CN"/>
        </w:rPr>
        <w:t xml:space="preserve">，允许乙方自主选择支票、汇票、本票、保函等非现金形式缴纳或提交，如果乙方不同意按照规定去做，甲方有权取消本次采购中标决定。</w:t>
      </w:r>
      <w:r/>
    </w:p>
    <w:p>
      <w:pPr>
        <w:pStyle w:val="737"/>
        <w:ind w:firstLine="420"/>
        <w:spacing w:before="120" w:after="120" w:line="360" w:lineRule="auto"/>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6.5履约保证金的退还：合同履行结束后，各中标人凭采购人签署的项目验收单或项目验收报告，前往学校办理保证金退还手续。各中标人如违约，履约保证金将按规定予以扣除。采购人保留按合同条款追偿供应商赔偿损失的权利。</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七、转包或分包</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7.1本合同范围的服务或产品，应由乙方直接供应，不得转让他人供应；</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八、质保期</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u w:val="single"/>
          <w:lang w:val="en-US" w:eastAsia="zh-CN"/>
        </w:rPr>
        <w:t xml:space="preserve">/</w:t>
      </w:r>
      <w:r>
        <w:rPr>
          <w:rFonts w:hint="eastAsia" w:hAnsi="宋体"/>
          <w:color w:val="auto"/>
          <w:sz w:val="21"/>
          <w:highlight w:val="none"/>
          <w:u w:val="single"/>
        </w:rPr>
        <w:t xml:space="preserve"> </w:t>
      </w:r>
      <w:r>
        <w:rPr>
          <w:rFonts w:hint="eastAsia" w:hAnsi="宋体"/>
          <w:color w:val="auto"/>
          <w:sz w:val="21"/>
          <w:highlight w:val="none"/>
        </w:rPr>
        <w:t xml:space="preserve">年。（自交货验收合格之日起计）</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九、合同履约期</w:t>
      </w:r>
      <w:r/>
    </w:p>
    <w:p>
      <w:pPr>
        <w:pStyle w:val="737"/>
        <w:ind w:firstLine="422"/>
        <w:spacing w:before="120" w:after="120" w:line="360" w:lineRule="auto"/>
        <w:rPr>
          <w:rFonts w:hint="eastAsia" w:hAnsi="宋体"/>
          <w:b/>
          <w:bCs/>
          <w:color w:val="auto"/>
          <w:sz w:val="21"/>
          <w:highlight w:val="none"/>
          <w:lang w:val="en-US" w:eastAsia="zh-CN"/>
        </w:rPr>
      </w:pPr>
      <w:r>
        <w:rPr>
          <w:rFonts w:hint="eastAsia" w:hAnsi="宋体"/>
          <w:b/>
          <w:bCs/>
          <w:color w:val="auto"/>
          <w:sz w:val="21"/>
          <w:highlight w:val="none"/>
          <w:lang w:val="en-US" w:eastAsia="zh-CN"/>
        </w:rPr>
        <w:t xml:space="preserve"> 2026年8月1日-2027年7月31日</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w:t>
      </w:r>
      <w:r>
        <w:rPr>
          <w:rFonts w:hint="eastAsia" w:hAnsi="宋体"/>
          <w:b/>
          <w:bCs/>
          <w:color w:val="auto"/>
          <w:sz w:val="21"/>
          <w:highlight w:val="none"/>
          <w:lang w:val="en-US" w:eastAsia="zh-CN"/>
        </w:rPr>
        <w:t xml:space="preserve">合同款</w:t>
      </w:r>
      <w:r>
        <w:rPr>
          <w:rFonts w:hint="eastAsia" w:hAnsi="宋体"/>
          <w:b/>
          <w:bCs/>
          <w:color w:val="auto"/>
          <w:sz w:val="21"/>
          <w:highlight w:val="none"/>
        </w:rPr>
        <w:t xml:space="preserve">支付</w:t>
      </w:r>
      <w:r/>
    </w:p>
    <w:p>
      <w:pPr>
        <w:ind w:firstLine="420"/>
        <w:jc w:val="both"/>
        <w:spacing w:before="120" w:after="120" w:line="360" w:lineRule="auto"/>
        <w:widowControl w:val="off"/>
        <w:rPr>
          <w:rFonts w:ascii="Times New Roman" w:hAnsi="Times New Roman"/>
          <w:color w:val="000000"/>
          <w:sz w:val="21"/>
          <w:szCs w:val="22"/>
          <w:highlight w:val="none"/>
          <w:lang w:eastAsia="zh-CN"/>
        </w:rPr>
      </w:pPr>
      <w:r>
        <w:rPr>
          <w:rFonts w:hint="eastAsia" w:ascii="Times New Roman" w:hAnsi="Times New Roman"/>
          <w:color w:val="000000"/>
          <w:sz w:val="21"/>
          <w:szCs w:val="22"/>
          <w:highlight w:val="none"/>
          <w:lang w:val="en-US" w:eastAsia="zh-CN"/>
        </w:rPr>
        <w:t xml:space="preserve">10</w:t>
      </w:r>
      <w:r>
        <w:rPr>
          <w:rFonts w:hint="eastAsia" w:ascii="Times New Roman" w:hAnsi="Times New Roman"/>
          <w:color w:val="000000"/>
          <w:sz w:val="21"/>
          <w:szCs w:val="22"/>
          <w:highlight w:val="none"/>
          <w:lang w:eastAsia="zh-CN"/>
        </w:rPr>
        <w:t xml:space="preserve">.1付款方式：合同生效，提交送审后，</w:t>
      </w:r>
      <w:r>
        <w:rPr>
          <w:rFonts w:hint="eastAsia" w:ascii="Times New Roman" w:hAnsi="Times New Roman"/>
          <w:color w:val="000000"/>
          <w:sz w:val="21"/>
          <w:szCs w:val="22"/>
          <w:highlight w:val="none"/>
          <w:lang w:val="en-US" w:eastAsia="zh-CN"/>
        </w:rPr>
        <w:t xml:space="preserve">乙方</w:t>
      </w:r>
      <w:r>
        <w:rPr>
          <w:rFonts w:hint="eastAsia" w:ascii="Times New Roman" w:hAnsi="Times New Roman"/>
          <w:color w:val="000000"/>
          <w:sz w:val="21"/>
          <w:szCs w:val="22"/>
          <w:highlight w:val="none"/>
          <w:lang w:eastAsia="zh-CN"/>
        </w:rPr>
        <w:t xml:space="preserve">开具发票，甲方收到发票后，15天内付款。按批次结算。</w:t>
      </w:r>
      <w:r/>
    </w:p>
    <w:p>
      <w:pPr>
        <w:pStyle w:val="737"/>
        <w:ind w:firstLine="420"/>
        <w:spacing w:before="120" w:after="120" w:line="360" w:lineRule="auto"/>
        <w:rPr>
          <w:rFonts w:hint="eastAsia" w:ascii="Times New Roman" w:hAnsi="Times New Roman"/>
          <w:color w:val="000000"/>
          <w:sz w:val="21"/>
          <w:szCs w:val="22"/>
          <w:highlight w:val="none"/>
          <w:lang w:eastAsia="zh-CN"/>
        </w:rPr>
      </w:pPr>
      <w:r>
        <w:rPr>
          <w:rFonts w:hint="eastAsia" w:ascii="Times New Roman" w:hAnsi="Times New Roman"/>
          <w:color w:val="000000"/>
          <w:sz w:val="21"/>
          <w:szCs w:val="22"/>
          <w:highlight w:val="none"/>
          <w:lang w:val="en-US" w:eastAsia="zh-CN"/>
        </w:rPr>
        <w:t xml:space="preserve">10</w:t>
      </w:r>
      <w:r>
        <w:rPr>
          <w:rFonts w:hint="eastAsia" w:ascii="Times New Roman" w:hAnsi="Times New Roman"/>
          <w:color w:val="000000"/>
          <w:sz w:val="21"/>
          <w:szCs w:val="22"/>
          <w:highlight w:val="none"/>
          <w:lang w:eastAsia="zh-CN"/>
        </w:rPr>
        <w:t xml:space="preserve">.2当采购数量与实际使用数量不一致时，乙方根据实际使用量提供产品和服务，合同的最终结算金额按实际使用量乘以成交单价进行计算。</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十一、税费</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11.1本合同执行中相关的一切税费均由乙方负担。</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十二、质量保证及售后服务</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12.1 乙方应按招标文件规定的服务或产品性能、技术要求、质量标准向甲方提供。</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⑴更换：由乙方承担所发生的全部费用。</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⑵贬值处理：由甲乙双方合议定价。</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⑶退还处理：乙方应退还甲方支付的合同款，同时应承担该服务或产品的直接费用（运输、保险、检验、款项利息及银行手续费等）。</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12.3 如在使用过程中发生质量问题，乙方在接到甲方通知后在</w:t>
      </w:r>
      <w:r>
        <w:rPr>
          <w:rFonts w:hint="eastAsia" w:hAnsi="宋体"/>
          <w:color w:val="auto"/>
          <w:sz w:val="21"/>
          <w:highlight w:val="none"/>
          <w:u w:val="single"/>
          <w:lang w:val="en-US" w:eastAsia="zh-CN"/>
        </w:rPr>
        <w:t xml:space="preserve">   </w:t>
      </w:r>
      <w:r>
        <w:rPr>
          <w:rFonts w:hint="eastAsia" w:hAnsi="宋体"/>
          <w:color w:val="auto"/>
          <w:sz w:val="21"/>
          <w:highlight w:val="none"/>
        </w:rPr>
        <w:t xml:space="preserve">小时内到达甲方现场。</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12.4 在质保期内，乙方应对服务或产品出现的质量及安全问题负责处理解决并承担一切费用。</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12.5上述的服务或产品免费保修期为 </w:t>
      </w:r>
      <w:r>
        <w:rPr>
          <w:rFonts w:hint="eastAsia" w:hAnsi="宋体"/>
          <w:color w:val="auto"/>
          <w:sz w:val="21"/>
          <w:highlight w:val="none"/>
          <w:u w:val="single"/>
        </w:rPr>
        <w:t xml:space="preserve">  </w:t>
      </w:r>
      <w:r>
        <w:rPr>
          <w:rFonts w:hint="eastAsia" w:hAnsi="宋体"/>
          <w:color w:val="auto"/>
          <w:sz w:val="21"/>
          <w:highlight w:val="none"/>
          <w:u w:val="single"/>
          <w:lang w:val="en-US" w:eastAsia="zh-CN"/>
        </w:rPr>
        <w:t xml:space="preserve">/</w:t>
      </w:r>
      <w:r>
        <w:rPr>
          <w:rFonts w:hint="eastAsia" w:hAnsi="宋体"/>
          <w:color w:val="auto"/>
          <w:sz w:val="21"/>
          <w:highlight w:val="none"/>
          <w:u w:val="single"/>
        </w:rPr>
        <w:t xml:space="preserve">    </w:t>
      </w:r>
      <w:r>
        <w:rPr>
          <w:rFonts w:hint="eastAsia" w:hAnsi="宋体"/>
          <w:color w:val="auto"/>
          <w:sz w:val="21"/>
          <w:highlight w:val="none"/>
        </w:rPr>
        <w:t xml:space="preserve">年，因人为因素出现的故障不在免费保修范围内。超过保修期的机器设备，终生维修，维修时只收部件成本费。</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十三、调试和验收</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13.4 对技术复杂的服务或产品，甲方可请国家认可的专业检测机构参与初步验收及最终验收，并由其出具质量检测报告。</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13.5 验收时乙方必须在现场，验收完毕后作出验收结果报告；验收费用由甲乙双方协商解决。</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十四、服务或产品包装、发运及运输</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14.1 乙方应在服务或产品发运前对其进行满足运输距离、防潮、防震、防锈和防破损装卸等要求包装，以保证服务或产品安全运达甲方指定地点。</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14.3 乙方在服务或产品发运手续办理完毕后24小时内或交付到甲方48小时前通知甲方，以准备接受交付。</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14.4 服务在交付甲方前发生的风险均由乙方负责。</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14.5 服务或产品在规定的交付期限内由乙方送达甲方指定的地点视为交付，乙方同时需通知甲方服务或产品已送达。</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十五、违约责任</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15.1 甲方无正当理由拒收服务或产品的，甲方向乙方偿付拒收款项总值的百分之五违约金。</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15.3 乙方逾期交付服务或产品的，乙方应按</w:t>
      </w:r>
      <w:r>
        <w:rPr>
          <w:rFonts w:hint="eastAsia" w:hAnsi="宋体"/>
          <w:color w:val="auto"/>
          <w:sz w:val="21"/>
          <w:highlight w:val="none"/>
          <w:lang w:val="en-US" w:eastAsia="zh-CN"/>
        </w:rPr>
        <w:t xml:space="preserve">要求</w:t>
      </w:r>
      <w:r>
        <w:rPr>
          <w:rFonts w:hint="eastAsia" w:hAnsi="宋体"/>
          <w:color w:val="auto"/>
          <w:sz w:val="21"/>
          <w:highlight w:val="none"/>
        </w:rPr>
        <w:t xml:space="preserve">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十六、不可抗力事件处理</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十七、诉讼</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十八、</w:t>
      </w:r>
      <w:r>
        <w:rPr>
          <w:rFonts w:hint="eastAsia" w:ascii="宋体" w:hAnsi="宋体"/>
          <w:b w:val="0"/>
          <w:bCs w:val="0"/>
          <w:color w:val="auto"/>
          <w:szCs w:val="21"/>
          <w:highlight w:val="none"/>
        </w:rPr>
        <w:t xml:space="preserve">为落实好政府采购履约资金扶持政策，乙方可凭政府采购合同办理融资贷款，详见江苏政府采购网“政采贷”专栏。</w:t>
      </w:r>
      <w:r/>
    </w:p>
    <w:p>
      <w:pPr>
        <w:pStyle w:val="737"/>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十九、合同生效及其它</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19.1 合同经双方法定代表人或授权代表签字并加盖单位公章，</w:t>
      </w:r>
      <w:r>
        <w:rPr>
          <w:rFonts w:hint="eastAsia" w:ascii="宋体" w:hAnsi="宋体" w:eastAsia="宋体" w:cs="Times New Roman"/>
          <w:color w:val="auto"/>
          <w:sz w:val="21"/>
          <w:highlight w:val="none"/>
        </w:rPr>
        <w:t xml:space="preserve">并经</w:t>
      </w:r>
      <w:r>
        <w:rPr>
          <w:rFonts w:hint="eastAsia" w:ascii="宋体" w:hAnsi="宋体" w:eastAsia="宋体" w:cs="Times New Roman"/>
          <w:color w:val="auto"/>
          <w:sz w:val="21"/>
          <w:highlight w:val="none"/>
          <w:lang w:eastAsia="zh-CN"/>
        </w:rPr>
        <w:t xml:space="preserve">江苏嘉加诚工程投资咨询有限公司</w:t>
      </w:r>
      <w:r>
        <w:rPr>
          <w:rFonts w:hint="eastAsia" w:ascii="宋体" w:hAnsi="宋体" w:eastAsia="宋体" w:cs="Times New Roman"/>
          <w:color w:val="auto"/>
          <w:sz w:val="21"/>
          <w:highlight w:val="none"/>
        </w:rPr>
        <w:t xml:space="preserve">见证盖章后生效</w:t>
      </w:r>
      <w:r>
        <w:rPr>
          <w:rFonts w:hint="eastAsia" w:hAnsi="宋体"/>
          <w:color w:val="auto"/>
          <w:sz w:val="21"/>
          <w:highlight w:val="none"/>
        </w:rPr>
        <w:t xml:space="preserve">。</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19.2本合同未尽事宜，遵照《</w:t>
      </w:r>
      <w:r>
        <w:rPr>
          <w:rFonts w:hint="eastAsia" w:hAnsi="宋体"/>
          <w:color w:val="auto"/>
          <w:sz w:val="21"/>
          <w:highlight w:val="none"/>
          <w:lang w:eastAsia="zh-CN"/>
        </w:rPr>
        <w:t xml:space="preserve">民法典</w:t>
      </w:r>
      <w:r>
        <w:rPr>
          <w:rFonts w:hint="eastAsia" w:hAnsi="宋体"/>
          <w:color w:val="auto"/>
          <w:sz w:val="21"/>
          <w:highlight w:val="none"/>
        </w:rPr>
        <w:t xml:space="preserve">》有关条文执行。</w:t>
      </w:r>
      <w:r/>
    </w:p>
    <w:p>
      <w:pPr>
        <w:pStyle w:val="737"/>
        <w:ind w:firstLine="420"/>
        <w:spacing w:before="120" w:after="120" w:line="360" w:lineRule="auto"/>
        <w:rPr>
          <w:rFonts w:hint="eastAsia" w:hAnsi="宋体"/>
          <w:color w:val="auto"/>
          <w:sz w:val="21"/>
          <w:highlight w:val="none"/>
          <w:lang w:val="en-US" w:eastAsia="zh-CN"/>
        </w:rPr>
      </w:pPr>
      <w:r>
        <w:rPr>
          <w:rFonts w:hint="eastAsia" w:hAnsi="宋体"/>
          <w:color w:val="auto"/>
          <w:sz w:val="21"/>
          <w:highlight w:val="none"/>
          <w:lang w:val="en-US" w:eastAsia="zh-CN"/>
        </w:rPr>
        <w:t xml:space="preserve">19.3本合同项下的招标文件、投标文件、中标通知书、补充协议等相关文件为本合同不可分割的组成部分，与本合同具有同等效力。</w:t>
      </w:r>
      <w:r/>
    </w:p>
    <w:p>
      <w:pPr>
        <w:pStyle w:val="737"/>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w:t>
      </w:r>
      <w:r>
        <w:rPr>
          <w:rFonts w:hint="eastAsia" w:hAnsi="宋体"/>
          <w:color w:val="auto"/>
          <w:sz w:val="21"/>
          <w:highlight w:val="none"/>
          <w:lang w:val="en-US" w:eastAsia="zh-CN"/>
        </w:rPr>
        <w:t xml:space="preserve">4</w:t>
      </w:r>
      <w:r>
        <w:rPr>
          <w:rFonts w:hint="eastAsia" w:hAnsi="宋体"/>
          <w:color w:val="auto"/>
          <w:sz w:val="21"/>
          <w:highlight w:val="none"/>
        </w:rPr>
        <w:t xml:space="preserve"> 本合同正本一式</w:t>
      </w:r>
      <w:r>
        <w:rPr>
          <w:rFonts w:hint="eastAsia" w:hAnsi="宋体"/>
          <w:color w:val="auto"/>
          <w:sz w:val="21"/>
          <w:highlight w:val="none"/>
          <w:lang w:val="en-US" w:eastAsia="zh-CN"/>
        </w:rPr>
        <w:t xml:space="preserve">陆</w:t>
      </w:r>
      <w:r>
        <w:rPr>
          <w:rFonts w:hint="eastAsia" w:hAnsi="宋体"/>
          <w:color w:val="auto"/>
          <w:sz w:val="21"/>
          <w:highlight w:val="none"/>
        </w:rPr>
        <w:t xml:space="preserve">份，具有同等法律效力，甲</w:t>
      </w:r>
      <w:r>
        <w:rPr>
          <w:rFonts w:hint="eastAsia" w:hAnsi="宋体"/>
          <w:color w:val="auto"/>
          <w:sz w:val="21"/>
          <w:highlight w:val="none"/>
          <w:lang w:val="en-US" w:eastAsia="zh-CN"/>
        </w:rPr>
        <w:t xml:space="preserve">方四份，</w:t>
      </w:r>
      <w:r>
        <w:rPr>
          <w:rFonts w:hint="eastAsia" w:hAnsi="宋体"/>
          <w:color w:val="auto"/>
          <w:sz w:val="21"/>
          <w:highlight w:val="none"/>
        </w:rPr>
        <w:t xml:space="preserve">乙方</w:t>
      </w:r>
      <w:r>
        <w:rPr>
          <w:rFonts w:hint="eastAsia" w:hAnsi="宋体"/>
          <w:color w:val="auto"/>
          <w:sz w:val="21"/>
          <w:highlight w:val="none"/>
          <w:lang w:val="en-US" w:eastAsia="zh-CN"/>
        </w:rPr>
        <w:t xml:space="preserve">一份</w:t>
      </w:r>
      <w:r>
        <w:rPr>
          <w:rFonts w:hint="eastAsia" w:hAnsi="宋体"/>
          <w:color w:val="auto"/>
          <w:sz w:val="21"/>
          <w:highlight w:val="none"/>
        </w:rPr>
        <w:t xml:space="preserve">、见证方一份。  </w:t>
      </w:r>
      <w:r/>
    </w:p>
    <w:tbl>
      <w:tblPr>
        <w:tblStyle w:val="727"/>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vAlign w:val="top"/>
            <w:textDirection w:val="lrTb"/>
            <w:noWrap w:val="false"/>
          </w:tcPr>
          <w:p>
            <w:pPr>
              <w:pStyle w:val="737"/>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甲方：扬州大学</w:t>
            </w:r>
            <w:r/>
          </w:p>
        </w:tc>
        <w:tc>
          <w:tcPr>
            <w:tcW w:w="4238" w:type="dxa"/>
            <w:vAlign w:val="top"/>
            <w:textDirection w:val="lrTb"/>
            <w:noWrap w:val="false"/>
          </w:tcPr>
          <w:p>
            <w:pPr>
              <w:pStyle w:val="737"/>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乙方： </w:t>
            </w:r>
            <w:r/>
          </w:p>
        </w:tc>
      </w:tr>
      <w:tr>
        <w:trPr/>
        <w:tc>
          <w:tcPr>
            <w:tcW w:w="4284" w:type="dxa"/>
            <w:vAlign w:val="top"/>
            <w:textDirection w:val="lrTb"/>
            <w:noWrap w:val="false"/>
          </w:tcPr>
          <w:p>
            <w:pPr>
              <w:pStyle w:val="737"/>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地址：扬州市大学南路</w:t>
            </w:r>
            <w:r>
              <w:rPr>
                <w:rFonts w:hAnsi="宋体"/>
                <w:color w:val="auto"/>
                <w:sz w:val="21"/>
                <w:highlight w:val="none"/>
                <w:lang w:val="en-US" w:eastAsia="zh-CN"/>
              </w:rPr>
              <w:t xml:space="preserve">88号</w:t>
            </w:r>
            <w:r/>
          </w:p>
        </w:tc>
        <w:tc>
          <w:tcPr>
            <w:tcW w:w="4238" w:type="dxa"/>
            <w:vAlign w:val="top"/>
            <w:textDirection w:val="lrTb"/>
            <w:noWrap w:val="false"/>
          </w:tcPr>
          <w:p>
            <w:pPr>
              <w:pStyle w:val="737"/>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地址： </w:t>
            </w:r>
            <w:r/>
          </w:p>
        </w:tc>
      </w:tr>
      <w:tr>
        <w:trPr/>
        <w:tc>
          <w:tcPr>
            <w:tcW w:w="4284" w:type="dxa"/>
            <w:vAlign w:val="top"/>
            <w:textDirection w:val="lrTb"/>
            <w:noWrap w:val="false"/>
          </w:tcPr>
          <w:p>
            <w:pPr>
              <w:pStyle w:val="737"/>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法定代表人或授权代表：</w:t>
            </w:r>
            <w:r/>
          </w:p>
        </w:tc>
        <w:tc>
          <w:tcPr>
            <w:tcW w:w="4238" w:type="dxa"/>
            <w:vAlign w:val="top"/>
            <w:textDirection w:val="lrTb"/>
            <w:noWrap w:val="false"/>
          </w:tcPr>
          <w:p>
            <w:pPr>
              <w:pStyle w:val="737"/>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法定代表人或授权代表：</w:t>
            </w:r>
            <w:r/>
          </w:p>
        </w:tc>
      </w:tr>
      <w:tr>
        <w:trPr/>
        <w:tc>
          <w:tcPr>
            <w:tcW w:w="4284" w:type="dxa"/>
            <w:vAlign w:val="top"/>
            <w:textDirection w:val="lrTb"/>
            <w:noWrap w:val="false"/>
          </w:tcPr>
          <w:p>
            <w:pPr>
              <w:pStyle w:val="737"/>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联系电话：</w:t>
            </w:r>
            <w:r/>
          </w:p>
        </w:tc>
        <w:tc>
          <w:tcPr>
            <w:tcW w:w="4238" w:type="dxa"/>
            <w:vAlign w:val="top"/>
            <w:textDirection w:val="lrTb"/>
            <w:noWrap w:val="false"/>
          </w:tcPr>
          <w:p>
            <w:pPr>
              <w:pStyle w:val="737"/>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联系电话：</w:t>
            </w:r>
            <w:r/>
          </w:p>
        </w:tc>
      </w:tr>
      <w:tr>
        <w:trPr/>
        <w:tc>
          <w:tcPr>
            <w:tcW w:w="4284" w:type="dxa"/>
            <w:vAlign w:val="top"/>
            <w:textDirection w:val="lrTb"/>
            <w:noWrap w:val="false"/>
          </w:tcPr>
          <w:p>
            <w:pPr>
              <w:pStyle w:val="737"/>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日期：      年    月    日  </w:t>
            </w:r>
            <w:r/>
          </w:p>
        </w:tc>
        <w:tc>
          <w:tcPr>
            <w:tcW w:w="4238" w:type="dxa"/>
            <w:vAlign w:val="top"/>
            <w:textDirection w:val="lrTb"/>
            <w:noWrap w:val="false"/>
          </w:tcPr>
          <w:p>
            <w:pPr>
              <w:pStyle w:val="737"/>
              <w:spacing w:before="120" w:after="120" w:line="360" w:lineRule="auto"/>
              <w:rPr>
                <w:rFonts w:hAnsi="宋体"/>
                <w:color w:val="auto"/>
                <w:sz w:val="21"/>
                <w:highlight w:val="none"/>
                <w:lang w:val="en-US" w:eastAsia="zh-CN"/>
              </w:rPr>
            </w:pPr>
            <w:r>
              <w:rPr>
                <w:rFonts w:hint="eastAsia" w:hAnsi="宋体"/>
                <w:color w:val="auto"/>
                <w:sz w:val="21"/>
                <w:highlight w:val="none"/>
                <w:lang w:val="en-US" w:eastAsia="zh-CN"/>
              </w:rPr>
              <w:t xml:space="preserve">日期：      年    月    日</w:t>
            </w:r>
            <w:r/>
          </w:p>
        </w:tc>
      </w:tr>
    </w:tbl>
    <w:p>
      <w:pPr>
        <w:pStyle w:val="737"/>
        <w:spacing w:before="120" w:after="120" w:line="360" w:lineRule="auto"/>
        <w:rPr>
          <w:rFonts w:hint="eastAsia" w:hAnsi="宋体"/>
          <w:color w:val="auto"/>
          <w:highlight w:val="none"/>
        </w:rPr>
      </w:pPr>
      <w:r>
        <w:rPr>
          <w:rFonts w:hint="eastAsia" w:hAnsi="宋体"/>
          <w:color w:val="auto"/>
          <w:highlight w:val="none"/>
        </w:rPr>
        <w:t xml:space="preserve"> </w:t>
      </w:r>
      <w:r/>
    </w:p>
    <w:p>
      <w:pPr>
        <w:pStyle w:val="737"/>
        <w:spacing w:before="120" w:after="120" w:line="360" w:lineRule="auto"/>
        <w:rPr>
          <w:rFonts w:hint="eastAsia" w:hAnsi="宋体"/>
          <w:color w:val="auto"/>
          <w:sz w:val="21"/>
          <w:highlight w:val="none"/>
        </w:rPr>
      </w:pPr>
      <w:r>
        <w:rPr>
          <w:rFonts w:hint="eastAsia" w:hAnsi="宋体"/>
          <w:color w:val="auto"/>
          <w:highlight w:val="none"/>
        </w:rPr>
        <w:t xml:space="preserve">  </w:t>
      </w:r>
      <w:r>
        <w:rPr>
          <w:rFonts w:hint="eastAsia" w:hAnsi="宋体"/>
          <w:color w:val="auto"/>
          <w:sz w:val="21"/>
          <w:highlight w:val="none"/>
        </w:rPr>
        <w:t xml:space="preserve">见证方： </w:t>
      </w:r>
      <w:r/>
    </w:p>
    <w:p>
      <w:pPr>
        <w:pStyle w:val="737"/>
        <w:ind w:firstLine="210"/>
        <w:spacing w:before="120" w:after="120" w:line="360" w:lineRule="auto"/>
        <w:rPr>
          <w:rFonts w:hint="eastAsia" w:hAnsi="宋体"/>
          <w:color w:val="auto"/>
          <w:sz w:val="21"/>
          <w:highlight w:val="none"/>
        </w:rPr>
      </w:pPr>
      <w:r>
        <w:rPr>
          <w:rFonts w:hint="eastAsia" w:hAnsi="宋体"/>
          <w:color w:val="auto"/>
          <w:sz w:val="21"/>
          <w:highlight w:val="none"/>
        </w:rPr>
        <w:t xml:space="preserve">项目经办人： </w:t>
      </w:r>
      <w:r/>
    </w:p>
    <w:p>
      <w:pPr>
        <w:pStyle w:val="737"/>
        <w:ind w:firstLine="210"/>
        <w:spacing w:before="120" w:after="120" w:line="360" w:lineRule="auto"/>
        <w:rPr>
          <w:rFonts w:hint="eastAsia" w:hAnsi="宋体"/>
          <w:color w:val="auto"/>
          <w:sz w:val="21"/>
          <w:highlight w:val="none"/>
        </w:rPr>
      </w:pPr>
      <w:r>
        <w:rPr>
          <w:rFonts w:hint="eastAsia" w:hAnsi="宋体"/>
          <w:color w:val="auto"/>
          <w:sz w:val="21"/>
          <w:highlight w:val="none"/>
        </w:rPr>
        <w:t xml:space="preserve">日期：     年   月   日</w:t>
      </w:r>
      <w:r/>
    </w:p>
    <w:p>
      <w:pPr>
        <w:pStyle w:val="919"/>
        <w:jc w:val="center"/>
        <w:pageBreakBefore w:val="0"/>
        <w:spacing w:line="360" w:lineRule="auto"/>
        <w:rPr>
          <w:rFonts w:hint="eastAsia" w:hAnsi="宋体"/>
          <w:color w:val="auto"/>
          <w:sz w:val="21"/>
          <w:highlight w:val="none"/>
        </w:rPr>
      </w:pPr>
      <w:r>
        <w:rPr>
          <w:rFonts w:hint="eastAsia" w:hAnsi="宋体"/>
          <w:color w:val="auto"/>
          <w:sz w:val="21"/>
          <w:highlight w:val="none"/>
        </w:rPr>
        <w:t xml:space="preserve"> </w:t>
      </w:r>
      <w:bookmarkEnd w:id="50"/>
      <w:r/>
      <w:r/>
    </w:p>
    <w:p>
      <w:pPr>
        <w:pStyle w:val="919"/>
        <w:jc w:val="center"/>
        <w:pageBreakBefore w:val="0"/>
        <w:spacing w:line="360" w:lineRule="auto"/>
        <w:rPr>
          <w:rFonts w:hint="eastAsia" w:hAnsi="宋体"/>
          <w:color w:val="auto"/>
          <w:sz w:val="21"/>
          <w:highlight w:val="none"/>
        </w:rPr>
      </w:pPr>
      <w:r>
        <w:rPr>
          <w:rFonts w:hint="eastAsia" w:hAnsi="宋体"/>
          <w:color w:val="auto"/>
          <w:sz w:val="21"/>
          <w:highlight w:val="none"/>
        </w:rPr>
      </w:r>
      <w:r/>
    </w:p>
    <w:p>
      <w:pPr>
        <w:rPr>
          <w:rFonts w:hint="eastAsia"/>
        </w:rPr>
      </w:pPr>
      <w:r>
        <w:rPr>
          <w:rFonts w:hint="eastAsia"/>
        </w:rPr>
      </w:r>
      <w:r/>
    </w:p>
    <w:p>
      <w:pPr>
        <w:pStyle w:val="919"/>
        <w:jc w:val="center"/>
        <w:pageBreakBefore w:val="0"/>
        <w:spacing w:line="360" w:lineRule="auto"/>
        <w:rPr>
          <w:rFonts w:ascii="宋体" w:hAnsi="宋体"/>
          <w:color w:val="auto"/>
          <w:sz w:val="32"/>
          <w:szCs w:val="32"/>
          <w:highlight w:val="none"/>
        </w:rPr>
      </w:pPr>
      <w:r>
        <w:rPr>
          <w:rFonts w:hint="eastAsia" w:ascii="宋体" w:hAnsi="宋体"/>
          <w:color w:val="auto"/>
          <w:szCs w:val="36"/>
          <w:highlight w:val="none"/>
        </w:rPr>
        <w:t xml:space="preserve">第四章 项目需求</w:t>
      </w:r>
      <w:r/>
    </w:p>
    <w:p>
      <w:pPr>
        <w:numPr>
          <w:ilvl w:val="0"/>
          <w:numId w:val="0"/>
        </w:numPr>
        <w:ind w:firstLine="422"/>
        <w:jc w:val="both"/>
        <w:keepLines w:val="0"/>
        <w:keepNext w:val="0"/>
        <w:pageBreakBefore w:val="0"/>
        <w:spacing w:line="360" w:lineRule="auto"/>
        <w:widowControl w:val="off"/>
        <w:rPr>
          <w:rFonts w:hint="eastAsia" w:ascii="Times New Roman" w:hAnsi="Times New Roman" w:eastAsia="宋体" w:cs="Times New Roman"/>
          <w:b/>
          <w:bCs/>
          <w:color w:val="000000"/>
          <w:sz w:val="21"/>
          <w:szCs w:val="22"/>
          <w:highlight w:val="none"/>
          <w:lang w:val="en-US" w:eastAsia="zh-CN" w:bidi="ar-SA"/>
        </w:rPr>
      </w:pPr>
      <w:r/>
      <w:bookmarkStart w:id="51" w:name="_Toc37707593"/>
      <w:r/>
      <w:bookmarkStart w:id="52" w:name="_Toc267757099"/>
      <w:r/>
      <w:bookmarkStart w:id="53" w:name="_Hlk58856582"/>
      <w:r/>
      <w:bookmarkStart w:id="54" w:name="_Toc55204181"/>
      <w:r>
        <w:rPr>
          <w:rFonts w:hint="eastAsia" w:ascii="Times New Roman" w:hAnsi="Times New Roman" w:eastAsia="宋体" w:cs="Times New Roman"/>
          <w:b/>
          <w:bCs/>
          <w:color w:val="000000"/>
          <w:sz w:val="21"/>
          <w:szCs w:val="22"/>
          <w:highlight w:val="none"/>
          <w:lang w:val="en-US" w:eastAsia="zh-CN" w:bidi="ar-SA"/>
        </w:rPr>
        <w:t xml:space="preserve">1、项目内容</w:t>
      </w:r>
      <w:r/>
    </w:p>
    <w:p>
      <w:pPr>
        <w:ind w:firstLine="420"/>
        <w:jc w:val="both"/>
        <w:keepLines w:val="0"/>
        <w:keepNext w:val="0"/>
        <w:pageBreakBefore w:val="0"/>
        <w:spacing w:line="360" w:lineRule="auto"/>
        <w:widowControl w:val="off"/>
        <w:rPr>
          <w:rFonts w:ascii="Times New Roman" w:hAnsi="Times New Roman"/>
          <w:color w:val="000000"/>
          <w:sz w:val="21"/>
          <w:szCs w:val="22"/>
          <w:highlight w:val="none"/>
          <w:lang w:eastAsia="zh-CN"/>
        </w:rPr>
      </w:pPr>
      <w:r>
        <w:rPr>
          <w:rFonts w:hint="eastAsia" w:ascii="Times New Roman" w:hAnsi="Times New Roman"/>
          <w:color w:val="000000"/>
          <w:sz w:val="21"/>
          <w:szCs w:val="22"/>
          <w:highlight w:val="none"/>
          <w:lang w:eastAsia="zh-CN"/>
        </w:rPr>
        <w:t xml:space="preserve">近</w:t>
      </w:r>
      <w:r>
        <w:rPr>
          <w:rFonts w:hint="eastAsia" w:ascii="Times New Roman" w:hAnsi="Times New Roman"/>
          <w:color w:val="000000"/>
          <w:sz w:val="21"/>
          <w:szCs w:val="22"/>
          <w:highlight w:val="none"/>
          <w:lang w:val="en-US" w:eastAsia="zh-CN"/>
        </w:rPr>
        <w:t xml:space="preserve">年来</w:t>
      </w:r>
      <w:r>
        <w:rPr>
          <w:rFonts w:hint="eastAsia" w:ascii="Times New Roman" w:hAnsi="Times New Roman"/>
          <w:color w:val="000000"/>
          <w:sz w:val="21"/>
          <w:szCs w:val="22"/>
          <w:highlight w:val="none"/>
          <w:lang w:eastAsia="zh-CN"/>
        </w:rPr>
        <w:t xml:space="preserve">，为</w:t>
      </w:r>
      <w:r>
        <w:rPr>
          <w:rFonts w:hint="eastAsia" w:ascii="Times New Roman" w:hAnsi="Times New Roman"/>
          <w:color w:val="000000"/>
          <w:sz w:val="21"/>
          <w:szCs w:val="22"/>
          <w:highlight w:val="none"/>
          <w:lang w:val="en-US" w:eastAsia="zh-CN"/>
        </w:rPr>
        <w:t xml:space="preserve">切实</w:t>
      </w:r>
      <w:r>
        <w:rPr>
          <w:rFonts w:hint="eastAsia" w:ascii="Times New Roman" w:hAnsi="Times New Roman"/>
          <w:color w:val="000000"/>
          <w:sz w:val="21"/>
          <w:szCs w:val="22"/>
          <w:highlight w:val="none"/>
          <w:lang w:eastAsia="zh-CN"/>
        </w:rPr>
        <w:t xml:space="preserve">提高</w:t>
      </w:r>
      <w:r>
        <w:rPr>
          <w:rFonts w:hint="eastAsia" w:ascii="Times New Roman" w:hAnsi="Times New Roman"/>
          <w:color w:val="000000"/>
          <w:sz w:val="21"/>
          <w:szCs w:val="22"/>
          <w:highlight w:val="none"/>
          <w:lang w:val="en-US" w:eastAsia="zh-CN"/>
        </w:rPr>
        <w:t xml:space="preserve">我校</w:t>
      </w:r>
      <w:r>
        <w:rPr>
          <w:rFonts w:hint="eastAsia" w:ascii="Times New Roman" w:hAnsi="Times New Roman"/>
          <w:color w:val="000000"/>
          <w:sz w:val="21"/>
          <w:szCs w:val="22"/>
          <w:highlight w:val="none"/>
          <w:lang w:eastAsia="zh-CN"/>
        </w:rPr>
        <w:t xml:space="preserve">研究生学位论文质量，研究生院</w:t>
      </w:r>
      <w:r>
        <w:rPr>
          <w:rFonts w:hint="eastAsia" w:ascii="Times New Roman" w:hAnsi="Times New Roman"/>
          <w:color w:val="000000"/>
          <w:sz w:val="21"/>
          <w:szCs w:val="22"/>
          <w:highlight w:val="none"/>
          <w:lang w:val="en-US" w:eastAsia="zh-CN"/>
        </w:rPr>
        <w:t xml:space="preserve">与</w:t>
      </w:r>
      <w:r>
        <w:rPr>
          <w:rFonts w:hint="eastAsia" w:ascii="Times New Roman" w:hAnsi="Times New Roman"/>
          <w:color w:val="000000"/>
          <w:sz w:val="21"/>
          <w:szCs w:val="22"/>
          <w:highlight w:val="none"/>
          <w:lang w:eastAsia="zh-CN"/>
        </w:rPr>
        <w:t xml:space="preserve">各</w:t>
      </w:r>
      <w:r>
        <w:rPr>
          <w:rFonts w:hint="eastAsia" w:ascii="Times New Roman" w:hAnsi="Times New Roman"/>
          <w:color w:val="000000"/>
          <w:sz w:val="21"/>
          <w:szCs w:val="22"/>
          <w:highlight w:val="none"/>
          <w:lang w:val="en-US" w:eastAsia="zh-CN"/>
        </w:rPr>
        <w:t xml:space="preserve">二级培养单位已全面实现委托第三方平台送审研究生学位论文。第三方委托平台凭借其优势，构建了更为全面的评审专家库，不仅专家匹配精度高，而且操作流程简便，系统运行稳定，面对各类不可抗力因素时展现较强的适应能力，能</w:t>
      </w:r>
      <w:r>
        <w:rPr>
          <w:rFonts w:hint="eastAsia" w:ascii="Times New Roman" w:hAnsi="Times New Roman"/>
          <w:color w:val="000000"/>
          <w:sz w:val="21"/>
          <w:szCs w:val="22"/>
          <w:highlight w:val="none"/>
          <w:lang w:eastAsia="zh-CN"/>
        </w:rPr>
        <w:t xml:space="preserve">满足我校对于送审质量、送审时效性等方面的要求。</w:t>
      </w:r>
      <w:r/>
    </w:p>
    <w:p>
      <w:pPr>
        <w:ind w:firstLine="420"/>
        <w:jc w:val="both"/>
        <w:keepLines w:val="0"/>
        <w:keepNext w:val="0"/>
        <w:pageBreakBefore w:val="0"/>
        <w:spacing w:line="360" w:lineRule="auto"/>
        <w:widowControl w:val="off"/>
        <w:rPr>
          <w:rFonts w:hint="eastAsia" w:ascii="Times New Roman" w:hAnsi="Times New Roman"/>
          <w:color w:val="000000"/>
          <w:sz w:val="21"/>
          <w:szCs w:val="22"/>
          <w:highlight w:val="none"/>
          <w:lang w:eastAsia="zh-CN"/>
        </w:rPr>
      </w:pPr>
      <w:r>
        <w:rPr>
          <w:rFonts w:hint="eastAsia" w:ascii="Times New Roman" w:hAnsi="Times New Roman"/>
          <w:color w:val="000000"/>
          <w:sz w:val="21"/>
          <w:szCs w:val="22"/>
          <w:highlight w:val="none"/>
          <w:lang w:eastAsia="zh-CN"/>
        </w:rPr>
        <w:t xml:space="preserve">随着招生规模的不断扩大，研究生学位论文送审量逐年增加，经</w:t>
      </w:r>
      <w:r>
        <w:rPr>
          <w:rFonts w:hint="eastAsia" w:ascii="Times New Roman" w:hAnsi="Times New Roman"/>
          <w:color w:val="000000"/>
          <w:sz w:val="21"/>
          <w:szCs w:val="22"/>
          <w:highlight w:val="none"/>
          <w:lang w:val="en-US" w:eastAsia="zh-CN"/>
        </w:rPr>
        <w:t xml:space="preserve">初步</w:t>
      </w:r>
      <w:r>
        <w:rPr>
          <w:rFonts w:hint="eastAsia" w:ascii="Times New Roman" w:hAnsi="Times New Roman"/>
          <w:color w:val="000000"/>
          <w:sz w:val="21"/>
          <w:szCs w:val="22"/>
          <w:highlight w:val="none"/>
          <w:lang w:eastAsia="zh-CN"/>
        </w:rPr>
        <w:t xml:space="preserve">统计，</w:t>
      </w:r>
      <w:r>
        <w:rPr>
          <w:rFonts w:hint="eastAsia" w:ascii="Times New Roman" w:hAnsi="Times New Roman"/>
          <w:color w:val="000000"/>
          <w:sz w:val="21"/>
          <w:szCs w:val="22"/>
          <w:highlight w:val="none"/>
          <w:lang w:val="en-US" w:eastAsia="zh-CN"/>
        </w:rPr>
        <w:t xml:space="preserve">我校</w:t>
      </w:r>
      <w:r>
        <w:rPr>
          <w:rFonts w:hint="eastAsia" w:ascii="Times New Roman" w:hAnsi="Times New Roman"/>
          <w:color w:val="000000"/>
          <w:sz w:val="21"/>
          <w:szCs w:val="22"/>
          <w:highlight w:val="none"/>
          <w:lang w:eastAsia="zh-CN"/>
        </w:rPr>
        <w:t xml:space="preserve">202</w:t>
      </w:r>
      <w:r>
        <w:rPr>
          <w:rFonts w:hint="eastAsia" w:ascii="Times New Roman" w:hAnsi="Times New Roman"/>
          <w:color w:val="000000"/>
          <w:sz w:val="21"/>
          <w:szCs w:val="22"/>
          <w:highlight w:val="none"/>
          <w:lang w:val="en-US" w:eastAsia="zh-CN"/>
        </w:rPr>
        <w:t xml:space="preserve">6</w:t>
      </w:r>
      <w:r>
        <w:rPr>
          <w:rFonts w:hint="eastAsia" w:ascii="Times New Roman" w:hAnsi="Times New Roman"/>
          <w:color w:val="000000"/>
          <w:sz w:val="21"/>
          <w:szCs w:val="22"/>
          <w:highlight w:val="none"/>
          <w:lang w:eastAsia="zh-CN"/>
        </w:rPr>
        <w:t xml:space="preserve">年研究生院</w:t>
      </w:r>
      <w:r>
        <w:rPr>
          <w:rFonts w:hint="eastAsia" w:ascii="Times New Roman" w:hAnsi="Times New Roman"/>
          <w:color w:val="000000"/>
          <w:sz w:val="21"/>
          <w:szCs w:val="22"/>
          <w:highlight w:val="none"/>
          <w:lang w:val="en-US" w:eastAsia="zh-CN"/>
        </w:rPr>
        <w:t xml:space="preserve">与各二级培养单位</w:t>
      </w:r>
      <w:r>
        <w:rPr>
          <w:rFonts w:hint="eastAsia" w:ascii="Times New Roman" w:hAnsi="Times New Roman"/>
          <w:color w:val="000000"/>
          <w:sz w:val="21"/>
          <w:szCs w:val="22"/>
          <w:highlight w:val="none"/>
          <w:lang w:eastAsia="zh-CN"/>
        </w:rPr>
        <w:t xml:space="preserve">通过第三方学位论文送审平台送审学位论文约</w:t>
      </w:r>
      <w:r>
        <w:rPr>
          <w:rFonts w:hint="eastAsia" w:ascii="Times New Roman" w:hAnsi="Times New Roman"/>
          <w:color w:val="000000"/>
          <w:sz w:val="21"/>
          <w:szCs w:val="22"/>
          <w:highlight w:val="none"/>
          <w:lang w:val="en-US" w:eastAsia="zh-CN"/>
        </w:rPr>
        <w:t xml:space="preserve">9000</w:t>
      </w:r>
      <w:r>
        <w:rPr>
          <w:rFonts w:hint="eastAsia" w:ascii="Times New Roman" w:hAnsi="Times New Roman"/>
          <w:color w:val="000000"/>
          <w:sz w:val="21"/>
          <w:szCs w:val="22"/>
          <w:highlight w:val="none"/>
          <w:lang w:eastAsia="zh-CN"/>
        </w:rPr>
        <w:t xml:space="preserve">份。</w:t>
      </w:r>
      <w:r>
        <w:rPr>
          <w:rFonts w:hint="eastAsia" w:ascii="Times New Roman" w:hAnsi="Times New Roman"/>
          <w:color w:val="000000"/>
          <w:sz w:val="21"/>
          <w:szCs w:val="22"/>
          <w:highlight w:val="none"/>
          <w:lang w:val="en-US" w:eastAsia="zh-CN"/>
        </w:rPr>
        <w:t xml:space="preserve">送审工作将按年度分两个季度开展</w:t>
      </w:r>
      <w:r>
        <w:rPr>
          <w:rFonts w:hint="eastAsia" w:ascii="Times New Roman" w:hAnsi="Times New Roman"/>
          <w:color w:val="000000"/>
          <w:sz w:val="21"/>
          <w:szCs w:val="22"/>
          <w:highlight w:val="none"/>
          <w:lang w:eastAsia="zh-CN"/>
        </w:rPr>
        <w:t xml:space="preserve">，具体以实际送审实数量为准。现需要比选优质的第三方送审单位来完成我校学位论文送审服务工作。</w:t>
      </w:r>
      <w:r/>
    </w:p>
    <w:p>
      <w:pPr>
        <w:numPr>
          <w:ilvl w:val="0"/>
          <w:numId w:val="4"/>
        </w:numPr>
        <w:ind w:firstLine="422"/>
        <w:jc w:val="both"/>
        <w:keepLines w:val="0"/>
        <w:keepNext w:val="0"/>
        <w:pageBreakBefore w:val="0"/>
        <w:spacing w:line="360" w:lineRule="auto"/>
        <w:widowControl w:val="off"/>
        <w:rPr>
          <w:rFonts w:hint="eastAsia" w:ascii="Times New Roman" w:hAnsi="Times New Roman"/>
          <w:b/>
          <w:bCs/>
          <w:color w:val="auto"/>
          <w:sz w:val="21"/>
          <w:szCs w:val="22"/>
          <w:highlight w:val="none"/>
          <w:lang w:val="en-US" w:eastAsia="zh-CN" w:bidi="ar-SA"/>
        </w:rPr>
      </w:pPr>
      <w:r>
        <w:rPr>
          <w:rFonts w:hint="eastAsia" w:ascii="Times New Roman" w:hAnsi="Times New Roman"/>
          <w:b/>
          <w:bCs/>
          <w:color w:val="auto"/>
          <w:sz w:val="21"/>
          <w:szCs w:val="22"/>
          <w:highlight w:val="none"/>
          <w:lang w:val="en-US" w:eastAsia="zh-CN" w:bidi="ar-SA"/>
        </w:rPr>
        <w:t xml:space="preserve">采购项目基本情况</w:t>
      </w:r>
      <w:r/>
    </w:p>
    <w:p>
      <w:pPr>
        <w:numPr>
          <w:ilvl w:val="0"/>
          <w:numId w:val="0"/>
        </w:numPr>
        <w:ind w:firstLine="420"/>
        <w:jc w:val="both"/>
        <w:keepLines w:val="0"/>
        <w:keepNext w:val="0"/>
        <w:pageBreakBefore w:val="0"/>
        <w:spacing w:line="360" w:lineRule="auto"/>
        <w:widowControl w:val="off"/>
        <w:rPr>
          <w:rFonts w:hint="default" w:ascii="Times New Roman" w:hAnsi="Times New Roman"/>
          <w:b w:val="0"/>
          <w:bCs w:val="0"/>
          <w:color w:val="auto"/>
          <w:sz w:val="21"/>
          <w:szCs w:val="22"/>
          <w:highlight w:val="none"/>
          <w:lang w:val="en-US" w:eastAsia="zh-CN" w:bidi="ar-SA"/>
        </w:rPr>
      </w:pPr>
      <w:r>
        <w:rPr>
          <w:rFonts w:hint="default" w:ascii="Times New Roman" w:hAnsi="Times New Roman"/>
          <w:b w:val="0"/>
          <w:bCs w:val="0"/>
          <w:color w:val="auto"/>
          <w:sz w:val="21"/>
          <w:szCs w:val="22"/>
          <w:highlight w:val="none"/>
          <w:lang w:val="en-US" w:eastAsia="zh-CN" w:bidi="ar-SA"/>
        </w:rPr>
        <w:t xml:space="preserve">预算金额：</w:t>
      </w:r>
      <w:r>
        <w:rPr>
          <w:rFonts w:hint="eastAsia" w:ascii="Times New Roman" w:hAnsi="Times New Roman"/>
          <w:b w:val="0"/>
          <w:bCs w:val="0"/>
          <w:color w:val="auto"/>
          <w:sz w:val="21"/>
          <w:szCs w:val="22"/>
          <w:highlight w:val="none"/>
          <w:lang w:val="en-US" w:eastAsia="zh-CN" w:bidi="ar-SA"/>
        </w:rPr>
        <w:t xml:space="preserve">300.00</w:t>
      </w:r>
      <w:r>
        <w:rPr>
          <w:rFonts w:hint="default" w:ascii="Times New Roman" w:hAnsi="Times New Roman"/>
          <w:b w:val="0"/>
          <w:bCs w:val="0"/>
          <w:color w:val="auto"/>
          <w:sz w:val="21"/>
          <w:szCs w:val="22"/>
          <w:highlight w:val="none"/>
          <w:lang w:val="en-US" w:eastAsia="zh-CN" w:bidi="ar-SA"/>
        </w:rPr>
        <w:t xml:space="preserve">万元（采购包1：</w:t>
      </w:r>
      <w:r>
        <w:rPr>
          <w:rFonts w:hint="eastAsia" w:ascii="Times New Roman" w:hAnsi="Times New Roman"/>
          <w:b w:val="0"/>
          <w:bCs w:val="0"/>
          <w:color w:val="auto"/>
          <w:sz w:val="21"/>
          <w:szCs w:val="22"/>
          <w:highlight w:val="none"/>
          <w:lang w:val="en-US" w:eastAsia="zh-CN" w:bidi="ar-SA"/>
        </w:rPr>
        <w:t xml:space="preserve">100.00</w:t>
      </w:r>
      <w:r>
        <w:rPr>
          <w:rFonts w:hint="default" w:ascii="Times New Roman" w:hAnsi="Times New Roman"/>
          <w:b w:val="0"/>
          <w:bCs w:val="0"/>
          <w:color w:val="auto"/>
          <w:sz w:val="21"/>
          <w:szCs w:val="22"/>
          <w:highlight w:val="none"/>
          <w:lang w:val="en-US" w:eastAsia="zh-CN" w:bidi="ar-SA"/>
        </w:rPr>
        <w:t xml:space="preserve">万元；采购包2：</w:t>
      </w:r>
      <w:r>
        <w:rPr>
          <w:rFonts w:hint="eastAsia" w:ascii="Times New Roman" w:hAnsi="Times New Roman"/>
          <w:b w:val="0"/>
          <w:bCs w:val="0"/>
          <w:color w:val="auto"/>
          <w:sz w:val="21"/>
          <w:szCs w:val="22"/>
          <w:highlight w:val="none"/>
          <w:lang w:val="en-US" w:eastAsia="zh-CN" w:bidi="ar-SA"/>
        </w:rPr>
        <w:t xml:space="preserve">100.00</w:t>
      </w:r>
      <w:r>
        <w:rPr>
          <w:rFonts w:hint="default" w:ascii="Times New Roman" w:hAnsi="Times New Roman"/>
          <w:b w:val="0"/>
          <w:bCs w:val="0"/>
          <w:color w:val="auto"/>
          <w:sz w:val="21"/>
          <w:szCs w:val="22"/>
          <w:highlight w:val="none"/>
          <w:lang w:val="en-US" w:eastAsia="zh-CN" w:bidi="ar-SA"/>
        </w:rPr>
        <w:t xml:space="preserve">万元；采购包3：</w:t>
      </w:r>
      <w:r>
        <w:rPr>
          <w:rFonts w:hint="eastAsia" w:ascii="Times New Roman" w:hAnsi="Times New Roman"/>
          <w:b w:val="0"/>
          <w:bCs w:val="0"/>
          <w:color w:val="auto"/>
          <w:sz w:val="21"/>
          <w:szCs w:val="22"/>
          <w:highlight w:val="none"/>
          <w:lang w:val="en-US" w:eastAsia="zh-CN" w:bidi="ar-SA"/>
        </w:rPr>
        <w:t xml:space="preserve">100.00</w:t>
      </w:r>
      <w:r>
        <w:rPr>
          <w:rFonts w:hint="default" w:ascii="Times New Roman" w:hAnsi="Times New Roman"/>
          <w:b w:val="0"/>
          <w:bCs w:val="0"/>
          <w:color w:val="auto"/>
          <w:sz w:val="21"/>
          <w:szCs w:val="22"/>
          <w:highlight w:val="none"/>
          <w:lang w:val="en-US" w:eastAsia="zh-CN" w:bidi="ar-SA"/>
        </w:rPr>
        <w:t xml:space="preserve">万元） </w:t>
      </w:r>
      <w:r/>
    </w:p>
    <w:p>
      <w:pPr>
        <w:numPr>
          <w:ilvl w:val="0"/>
          <w:numId w:val="0"/>
        </w:numPr>
        <w:ind w:firstLine="420"/>
        <w:jc w:val="both"/>
        <w:keepLines w:val="0"/>
        <w:keepNext w:val="0"/>
        <w:pageBreakBefore w:val="0"/>
        <w:spacing w:line="360" w:lineRule="auto"/>
        <w:widowControl w:val="off"/>
        <w:rPr>
          <w:rFonts w:hint="default" w:ascii="Times New Roman" w:hAnsi="Times New Roman"/>
          <w:b w:val="0"/>
          <w:bCs w:val="0"/>
          <w:color w:val="auto"/>
          <w:sz w:val="21"/>
          <w:szCs w:val="22"/>
          <w:highlight w:val="none"/>
          <w:lang w:val="en-US" w:eastAsia="zh-CN" w:bidi="ar-SA"/>
        </w:rPr>
      </w:pPr>
      <w:r>
        <w:rPr>
          <w:rFonts w:hint="default" w:ascii="Times New Roman" w:hAnsi="Times New Roman"/>
          <w:b w:val="0"/>
          <w:bCs w:val="0"/>
          <w:color w:val="auto"/>
          <w:sz w:val="21"/>
          <w:szCs w:val="22"/>
          <w:highlight w:val="none"/>
          <w:lang w:val="en-US" w:eastAsia="zh-CN" w:bidi="ar-SA"/>
        </w:rPr>
        <w:t xml:space="preserve">最高限价（如有）：包</w:t>
      </w:r>
      <w:r>
        <w:rPr>
          <w:rFonts w:hint="eastAsia" w:ascii="Times New Roman" w:hAnsi="Times New Roman"/>
          <w:b w:val="0"/>
          <w:bCs w:val="0"/>
          <w:color w:val="auto"/>
          <w:sz w:val="21"/>
          <w:szCs w:val="22"/>
          <w:highlight w:val="none"/>
          <w:lang w:val="en-US" w:eastAsia="zh-CN" w:bidi="ar-SA"/>
        </w:rPr>
        <w:t xml:space="preserve">1</w:t>
      </w:r>
      <w:r>
        <w:rPr>
          <w:rFonts w:hint="default" w:ascii="Times New Roman" w:hAnsi="Times New Roman"/>
          <w:b w:val="0"/>
          <w:bCs w:val="0"/>
          <w:color w:val="auto"/>
          <w:sz w:val="21"/>
          <w:szCs w:val="22"/>
          <w:highlight w:val="none"/>
          <w:lang w:val="en-US" w:eastAsia="zh-CN" w:bidi="ar-SA"/>
        </w:rPr>
        <w:t xml:space="preserve">最高限价</w:t>
      </w:r>
      <w:r>
        <w:rPr>
          <w:rFonts w:hint="eastAsia" w:ascii="Times New Roman" w:hAnsi="Times New Roman"/>
          <w:b w:val="0"/>
          <w:bCs w:val="0"/>
          <w:color w:val="auto"/>
          <w:sz w:val="21"/>
          <w:szCs w:val="22"/>
          <w:highlight w:val="none"/>
          <w:lang w:val="en-US" w:eastAsia="zh-CN" w:bidi="ar-SA"/>
        </w:rPr>
        <w:t xml:space="preserve">100</w:t>
      </w:r>
      <w:r>
        <w:rPr>
          <w:rFonts w:hint="default" w:ascii="Times New Roman" w:hAnsi="Times New Roman"/>
          <w:b w:val="0"/>
          <w:bCs w:val="0"/>
          <w:color w:val="auto"/>
          <w:sz w:val="21"/>
          <w:szCs w:val="22"/>
          <w:highlight w:val="none"/>
          <w:lang w:val="en-US" w:eastAsia="zh-CN" w:bidi="ar-SA"/>
        </w:rPr>
        <w:t xml:space="preserve">万元；包</w:t>
      </w:r>
      <w:r>
        <w:rPr>
          <w:rFonts w:hint="eastAsia" w:ascii="Times New Roman" w:hAnsi="Times New Roman"/>
          <w:b w:val="0"/>
          <w:bCs w:val="0"/>
          <w:color w:val="auto"/>
          <w:sz w:val="21"/>
          <w:szCs w:val="22"/>
          <w:highlight w:val="none"/>
          <w:lang w:val="en-US" w:eastAsia="zh-CN" w:bidi="ar-SA"/>
        </w:rPr>
        <w:t xml:space="preserve">2</w:t>
      </w:r>
      <w:r>
        <w:rPr>
          <w:rFonts w:hint="default" w:ascii="Times New Roman" w:hAnsi="Times New Roman"/>
          <w:b w:val="0"/>
          <w:bCs w:val="0"/>
          <w:color w:val="auto"/>
          <w:sz w:val="21"/>
          <w:szCs w:val="22"/>
          <w:highlight w:val="none"/>
          <w:lang w:val="en-US" w:eastAsia="zh-CN" w:bidi="ar-SA"/>
        </w:rPr>
        <w:t xml:space="preserve">最高限价</w:t>
      </w:r>
      <w:r>
        <w:rPr>
          <w:rFonts w:hint="eastAsia" w:ascii="Times New Roman" w:hAnsi="Times New Roman"/>
          <w:b w:val="0"/>
          <w:bCs w:val="0"/>
          <w:color w:val="auto"/>
          <w:sz w:val="21"/>
          <w:szCs w:val="22"/>
          <w:highlight w:val="none"/>
          <w:lang w:val="en-US" w:eastAsia="zh-CN" w:bidi="ar-SA"/>
        </w:rPr>
        <w:t xml:space="preserve">100</w:t>
      </w:r>
      <w:r>
        <w:rPr>
          <w:rFonts w:hint="default" w:ascii="Times New Roman" w:hAnsi="Times New Roman"/>
          <w:b w:val="0"/>
          <w:bCs w:val="0"/>
          <w:color w:val="auto"/>
          <w:sz w:val="21"/>
          <w:szCs w:val="22"/>
          <w:highlight w:val="none"/>
          <w:lang w:val="en-US" w:eastAsia="zh-CN" w:bidi="ar-SA"/>
        </w:rPr>
        <w:t xml:space="preserve">万元；包</w:t>
      </w:r>
      <w:r>
        <w:rPr>
          <w:rFonts w:hint="eastAsia" w:ascii="Times New Roman" w:hAnsi="Times New Roman"/>
          <w:b w:val="0"/>
          <w:bCs w:val="0"/>
          <w:color w:val="auto"/>
          <w:sz w:val="21"/>
          <w:szCs w:val="22"/>
          <w:highlight w:val="none"/>
          <w:lang w:val="en-US" w:eastAsia="zh-CN" w:bidi="ar-SA"/>
        </w:rPr>
        <w:t xml:space="preserve">3</w:t>
      </w:r>
      <w:r>
        <w:rPr>
          <w:rFonts w:hint="default" w:ascii="Times New Roman" w:hAnsi="Times New Roman"/>
          <w:b w:val="0"/>
          <w:bCs w:val="0"/>
          <w:color w:val="auto"/>
          <w:sz w:val="21"/>
          <w:szCs w:val="22"/>
          <w:highlight w:val="none"/>
          <w:lang w:val="en-US" w:eastAsia="zh-CN" w:bidi="ar-SA"/>
        </w:rPr>
        <w:t xml:space="preserve">最高限价</w:t>
      </w:r>
      <w:r>
        <w:rPr>
          <w:rFonts w:hint="eastAsia" w:ascii="Times New Roman" w:hAnsi="Times New Roman"/>
          <w:b w:val="0"/>
          <w:bCs w:val="0"/>
          <w:color w:val="auto"/>
          <w:sz w:val="21"/>
          <w:szCs w:val="22"/>
          <w:highlight w:val="none"/>
          <w:lang w:val="en-US" w:eastAsia="zh-CN" w:bidi="ar-SA"/>
        </w:rPr>
        <w:t xml:space="preserve">100</w:t>
      </w:r>
      <w:r>
        <w:rPr>
          <w:rFonts w:hint="default" w:ascii="Times New Roman" w:hAnsi="Times New Roman"/>
          <w:b w:val="0"/>
          <w:bCs w:val="0"/>
          <w:color w:val="auto"/>
          <w:sz w:val="21"/>
          <w:szCs w:val="22"/>
          <w:highlight w:val="none"/>
          <w:lang w:val="en-US" w:eastAsia="zh-CN" w:bidi="ar-SA"/>
        </w:rPr>
        <w:t xml:space="preserve">万元。各投标</w:t>
      </w:r>
      <w:r>
        <w:rPr>
          <w:rFonts w:hint="eastAsia" w:ascii="Times New Roman" w:hAnsi="Times New Roman"/>
          <w:b w:val="0"/>
          <w:bCs w:val="0"/>
          <w:color w:val="auto"/>
          <w:sz w:val="21"/>
          <w:szCs w:val="22"/>
          <w:highlight w:val="none"/>
          <w:lang w:val="en-US" w:eastAsia="zh-CN" w:bidi="ar-SA"/>
        </w:rPr>
        <w:t xml:space="preserve">人</w:t>
      </w:r>
      <w:r>
        <w:rPr>
          <w:rFonts w:hint="default" w:ascii="Times New Roman" w:hAnsi="Times New Roman"/>
          <w:b w:val="0"/>
          <w:bCs w:val="0"/>
          <w:color w:val="auto"/>
          <w:sz w:val="21"/>
          <w:szCs w:val="22"/>
          <w:highlight w:val="none"/>
          <w:lang w:val="en-US" w:eastAsia="zh-CN" w:bidi="ar-SA"/>
        </w:rPr>
        <w:t xml:space="preserve">报价不得超过设定的每篇次最高限价，否则作为无效投标文件处理。  </w:t>
      </w:r>
      <w:r/>
    </w:p>
    <w:p>
      <w:pPr>
        <w:ind w:firstLine="420"/>
        <w:jc w:val="left"/>
        <w:spacing w:line="36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项目内容具体罗列如下，其中论文篇数为预估数量，本次采购以固定单价结算，包一、包二、包三均以各投标人中标单价结算，采购人不保证各包最低供应量，以各</w:t>
      </w:r>
      <w:r>
        <w:rPr>
          <w:rFonts w:hint="eastAsia" w:ascii="宋体" w:hAnsi="宋体" w:cs="宋体"/>
          <w:color w:val="auto"/>
          <w:sz w:val="21"/>
          <w:szCs w:val="21"/>
          <w:highlight w:val="none"/>
          <w:lang w:val="en-US" w:eastAsia="zh-CN"/>
        </w:rPr>
        <w:t xml:space="preserve">二级培养单位</w:t>
      </w:r>
      <w:r>
        <w:rPr>
          <w:rFonts w:hint="eastAsia" w:ascii="宋体" w:hAnsi="宋体" w:cs="宋体"/>
          <w:color w:val="auto"/>
          <w:sz w:val="21"/>
          <w:szCs w:val="21"/>
          <w:highlight w:val="none"/>
        </w:rPr>
        <w:t xml:space="preserve">自行选择的结果为准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按实结算</w:t>
      </w:r>
      <w:r>
        <w:rPr>
          <w:rFonts w:hint="eastAsia" w:ascii="宋体" w:hAnsi="宋体" w:cs="宋体"/>
          <w:color w:val="auto"/>
          <w:sz w:val="21"/>
          <w:szCs w:val="21"/>
          <w:highlight w:val="none"/>
        </w:rPr>
        <w:t xml:space="preserve">。</w:t>
      </w:r>
      <w:r/>
    </w:p>
    <w:tbl>
      <w:tblPr>
        <w:tblStyle w:val="72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1688"/>
        <w:gridCol w:w="3419"/>
      </w:tblGrid>
      <w:tr>
        <w:trPr>
          <w:jc w:val="center"/>
          <w:trHeight w:val="848"/>
        </w:trPr>
        <w:tc>
          <w:tcPr>
            <w:tcW w:w="2436" w:type="pct"/>
            <w:vAlign w:val="center"/>
            <w:textDirection w:val="lrTb"/>
            <w:noWrap w:val="false"/>
          </w:tcPr>
          <w:p>
            <w:pPr>
              <w:pStyle w:val="737"/>
              <w:jc w:val="center"/>
              <w:spacing w:line="400" w:lineRule="exact"/>
              <w:rPr>
                <w:rFonts w:hint="eastAsia" w:hAnsi="宋体" w:cs="宋体"/>
                <w:color w:val="auto"/>
                <w:sz w:val="21"/>
                <w:szCs w:val="21"/>
                <w:highlight w:val="none"/>
              </w:rPr>
            </w:pPr>
            <w:r>
              <w:rPr>
                <w:rFonts w:hint="eastAsia" w:hAnsi="宋体" w:cs="宋体"/>
                <w:color w:val="auto"/>
                <w:sz w:val="21"/>
                <w:szCs w:val="21"/>
                <w:highlight w:val="none"/>
              </w:rPr>
              <w:t xml:space="preserve">项目内容</w:t>
            </w:r>
            <w:r/>
          </w:p>
        </w:tc>
        <w:tc>
          <w:tcPr>
            <w:tcW w:w="847" w:type="pct"/>
            <w:vAlign w:val="center"/>
            <w:textDirection w:val="lrTb"/>
            <w:noWrap w:val="false"/>
          </w:tcPr>
          <w:p>
            <w:pPr>
              <w:pStyle w:val="737"/>
              <w:jc w:val="center"/>
              <w:spacing w:line="400" w:lineRule="exact"/>
              <w:rPr>
                <w:rFonts w:hint="eastAsia" w:hAnsi="宋体" w:eastAsia="宋体" w:cs="宋体"/>
                <w:color w:val="auto"/>
                <w:sz w:val="21"/>
                <w:szCs w:val="21"/>
                <w:highlight w:val="none"/>
                <w:lang w:val="en-US" w:eastAsia="zh-CN"/>
              </w:rPr>
            </w:pPr>
            <w:r>
              <w:rPr>
                <w:rFonts w:hint="eastAsia" w:hAnsi="宋体" w:cs="宋体"/>
                <w:color w:val="auto"/>
                <w:sz w:val="21"/>
                <w:szCs w:val="21"/>
                <w:highlight w:val="none"/>
              </w:rPr>
              <w:t xml:space="preserve">论文篇数</w:t>
            </w:r>
            <w:r/>
          </w:p>
        </w:tc>
        <w:tc>
          <w:tcPr>
            <w:tcW w:w="1716" w:type="pct"/>
            <w:vAlign w:val="center"/>
            <w:textDirection w:val="lrTb"/>
            <w:noWrap w:val="false"/>
          </w:tcPr>
          <w:p>
            <w:pPr>
              <w:pStyle w:val="737"/>
              <w:jc w:val="center"/>
              <w:spacing w:line="400" w:lineRule="exact"/>
              <w:rPr>
                <w:rFonts w:hint="eastAsia" w:hAnsi="宋体" w:cs="宋体"/>
                <w:color w:val="auto"/>
                <w:sz w:val="21"/>
                <w:szCs w:val="21"/>
                <w:highlight w:val="none"/>
              </w:rPr>
            </w:pPr>
            <w:r>
              <w:rPr>
                <w:rFonts w:hint="eastAsia" w:hAnsi="宋体" w:cs="宋体"/>
                <w:color w:val="auto"/>
                <w:sz w:val="21"/>
                <w:szCs w:val="21"/>
                <w:highlight w:val="none"/>
              </w:rPr>
              <w:t xml:space="preserve">每篇次最高限价</w:t>
            </w:r>
            <w:r/>
          </w:p>
        </w:tc>
      </w:tr>
      <w:tr>
        <w:trPr>
          <w:jc w:val="center"/>
        </w:trPr>
        <w:tc>
          <w:tcPr>
            <w:tcW w:w="2436" w:type="pct"/>
            <w:vAlign w:val="center"/>
            <w:textDirection w:val="lrTb"/>
            <w:noWrap w:val="false"/>
          </w:tcPr>
          <w:p>
            <w:pPr>
              <w:pStyle w:val="737"/>
              <w:jc w:val="center"/>
              <w:spacing w:line="400" w:lineRule="exact"/>
              <w:rPr>
                <w:rFonts w:hint="eastAsia" w:hAnsi="宋体" w:cs="宋体"/>
                <w:color w:val="auto"/>
                <w:sz w:val="21"/>
                <w:szCs w:val="21"/>
                <w:highlight w:val="none"/>
              </w:rPr>
            </w:pPr>
            <w:r>
              <w:rPr>
                <w:rFonts w:hint="eastAsia" w:hAnsi="宋体" w:cs="宋体"/>
                <w:color w:val="auto"/>
                <w:sz w:val="21"/>
                <w:szCs w:val="21"/>
                <w:highlight w:val="none"/>
              </w:rPr>
              <w:t xml:space="preserve">博士学位论文评审服务</w:t>
            </w:r>
            <w:r/>
          </w:p>
        </w:tc>
        <w:tc>
          <w:tcPr>
            <w:tcW w:w="847"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600</w:t>
            </w:r>
            <w:r/>
          </w:p>
        </w:tc>
        <w:tc>
          <w:tcPr>
            <w:tcW w:w="1716" w:type="pct"/>
            <w:vAlign w:val="center"/>
            <w:textDirection w:val="lrTb"/>
            <w:noWrap w:val="false"/>
          </w:tcPr>
          <w:p>
            <w:pPr>
              <w:pStyle w:val="737"/>
              <w:jc w:val="center"/>
              <w:spacing w:line="400" w:lineRule="exact"/>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500.00</w:t>
            </w:r>
            <w:r>
              <w:rPr>
                <w:rFonts w:hint="eastAsia" w:hAnsi="宋体" w:cs="宋体"/>
                <w:color w:val="auto"/>
                <w:sz w:val="21"/>
                <w:szCs w:val="21"/>
                <w:highlight w:val="none"/>
              </w:rPr>
              <w:t xml:space="preserve">元</w:t>
            </w:r>
            <w:r/>
          </w:p>
        </w:tc>
      </w:tr>
      <w:tr>
        <w:trPr>
          <w:jc w:val="center"/>
        </w:trPr>
        <w:tc>
          <w:tcPr>
            <w:tcW w:w="2436" w:type="pct"/>
            <w:vAlign w:val="center"/>
            <w:textDirection w:val="lrTb"/>
            <w:noWrap w:val="false"/>
          </w:tcPr>
          <w:p>
            <w:pPr>
              <w:pStyle w:val="737"/>
              <w:jc w:val="center"/>
              <w:spacing w:line="400" w:lineRule="exact"/>
              <w:rPr>
                <w:rFonts w:hint="eastAsia" w:hAnsi="宋体" w:cs="宋体"/>
                <w:color w:val="auto"/>
                <w:sz w:val="21"/>
                <w:szCs w:val="21"/>
                <w:highlight w:val="none"/>
              </w:rPr>
            </w:pPr>
            <w:r>
              <w:rPr>
                <w:rFonts w:hint="eastAsia" w:hAnsi="宋体" w:cs="宋体"/>
                <w:color w:val="auto"/>
                <w:sz w:val="21"/>
                <w:szCs w:val="21"/>
                <w:highlight w:val="none"/>
              </w:rPr>
              <w:t xml:space="preserve">硕士学位论文评审服务</w:t>
            </w:r>
            <w:r/>
          </w:p>
        </w:tc>
        <w:tc>
          <w:tcPr>
            <w:tcW w:w="847"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8000</w:t>
            </w:r>
            <w:r/>
          </w:p>
        </w:tc>
        <w:tc>
          <w:tcPr>
            <w:tcW w:w="1716" w:type="pct"/>
            <w:vAlign w:val="center"/>
            <w:textDirection w:val="lrTb"/>
            <w:noWrap w:val="false"/>
          </w:tcPr>
          <w:p>
            <w:pPr>
              <w:pStyle w:val="737"/>
              <w:jc w:val="center"/>
              <w:spacing w:line="400" w:lineRule="exact"/>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320.00</w:t>
            </w:r>
            <w:r>
              <w:rPr>
                <w:rFonts w:hint="eastAsia" w:hAnsi="宋体" w:cs="宋体"/>
                <w:color w:val="auto"/>
                <w:sz w:val="21"/>
                <w:szCs w:val="21"/>
                <w:highlight w:val="none"/>
              </w:rPr>
              <w:t xml:space="preserve">元</w:t>
            </w:r>
            <w:r/>
          </w:p>
        </w:tc>
      </w:tr>
      <w:tr>
        <w:trPr>
          <w:jc w:val="center"/>
        </w:trPr>
        <w:tc>
          <w:tcPr>
            <w:tcW w:w="2436" w:type="pct"/>
            <w:vAlign w:val="center"/>
            <w:textDirection w:val="lrTb"/>
            <w:noWrap w:val="false"/>
          </w:tcPr>
          <w:p>
            <w:pPr>
              <w:pStyle w:val="737"/>
              <w:jc w:val="center"/>
              <w:spacing w:line="400" w:lineRule="exact"/>
              <w:rPr>
                <w:rFonts w:hint="eastAsia" w:hAnsi="宋体" w:cs="宋体"/>
                <w:color w:val="auto"/>
                <w:sz w:val="21"/>
                <w:szCs w:val="21"/>
                <w:highlight w:val="none"/>
              </w:rPr>
            </w:pPr>
            <w:r>
              <w:rPr>
                <w:rFonts w:hint="eastAsia" w:hAnsi="宋体" w:cs="宋体"/>
                <w:color w:val="auto"/>
                <w:sz w:val="21"/>
                <w:szCs w:val="21"/>
                <w:highlight w:val="none"/>
              </w:rPr>
              <w:t xml:space="preserve">博士留学生学位论文评审服务</w:t>
            </w:r>
            <w:r/>
          </w:p>
        </w:tc>
        <w:tc>
          <w:tcPr>
            <w:tcW w:w="847"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50</w:t>
            </w:r>
            <w:r/>
          </w:p>
        </w:tc>
        <w:tc>
          <w:tcPr>
            <w:tcW w:w="1716" w:type="pct"/>
            <w:vAlign w:val="center"/>
            <w:textDirection w:val="lrTb"/>
            <w:noWrap w:val="false"/>
          </w:tcPr>
          <w:p>
            <w:pPr>
              <w:pStyle w:val="737"/>
              <w:jc w:val="center"/>
              <w:spacing w:line="400" w:lineRule="exact"/>
              <w:rPr>
                <w:rFonts w:hint="eastAsia" w:hAnsi="宋体" w:cs="宋体"/>
                <w:color w:val="auto"/>
                <w:sz w:val="21"/>
                <w:szCs w:val="21"/>
                <w:highlight w:val="none"/>
              </w:rPr>
            </w:pPr>
            <w:r>
              <w:rPr>
                <w:rFonts w:hint="eastAsia" w:hAnsi="宋体" w:cs="宋体"/>
                <w:color w:val="auto"/>
                <w:sz w:val="21"/>
                <w:szCs w:val="21"/>
                <w:highlight w:val="none"/>
                <w:lang w:val="en-US" w:eastAsia="zh-CN"/>
              </w:rPr>
              <w:t xml:space="preserve">650.00</w:t>
            </w:r>
            <w:r>
              <w:rPr>
                <w:rFonts w:hint="eastAsia" w:hAnsi="宋体" w:cs="宋体"/>
                <w:color w:val="auto"/>
                <w:sz w:val="21"/>
                <w:szCs w:val="21"/>
                <w:highlight w:val="none"/>
              </w:rPr>
              <w:t xml:space="preserve">元</w:t>
            </w:r>
            <w:r/>
          </w:p>
        </w:tc>
      </w:tr>
      <w:tr>
        <w:trPr>
          <w:jc w:val="center"/>
        </w:trPr>
        <w:tc>
          <w:tcPr>
            <w:tcW w:w="2436" w:type="pct"/>
            <w:vAlign w:val="center"/>
            <w:textDirection w:val="lrTb"/>
            <w:noWrap w:val="false"/>
          </w:tcPr>
          <w:p>
            <w:pPr>
              <w:pStyle w:val="737"/>
              <w:jc w:val="center"/>
              <w:spacing w:line="400" w:lineRule="exact"/>
              <w:rPr>
                <w:rFonts w:hint="eastAsia" w:hAnsi="宋体" w:cs="宋体"/>
                <w:color w:val="auto"/>
                <w:sz w:val="21"/>
                <w:szCs w:val="21"/>
                <w:highlight w:val="none"/>
              </w:rPr>
            </w:pPr>
            <w:r>
              <w:rPr>
                <w:rFonts w:hint="eastAsia" w:hAnsi="宋体" w:cs="宋体"/>
                <w:color w:val="auto"/>
                <w:sz w:val="21"/>
                <w:szCs w:val="21"/>
                <w:highlight w:val="none"/>
              </w:rPr>
              <w:t xml:space="preserve">硕士留学生学位论文评审服务</w:t>
            </w:r>
            <w:r/>
          </w:p>
        </w:tc>
        <w:tc>
          <w:tcPr>
            <w:tcW w:w="847"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100</w:t>
            </w:r>
            <w:r/>
          </w:p>
        </w:tc>
        <w:tc>
          <w:tcPr>
            <w:tcW w:w="1716" w:type="pct"/>
            <w:vAlign w:val="center"/>
            <w:textDirection w:val="lrTb"/>
            <w:noWrap w:val="false"/>
          </w:tcPr>
          <w:p>
            <w:pPr>
              <w:pStyle w:val="737"/>
              <w:jc w:val="center"/>
              <w:spacing w:line="400" w:lineRule="exact"/>
              <w:rPr>
                <w:rFonts w:hint="eastAsia" w:hAnsi="宋体" w:cs="宋体"/>
                <w:color w:val="auto"/>
                <w:sz w:val="21"/>
                <w:szCs w:val="21"/>
                <w:highlight w:val="none"/>
              </w:rPr>
            </w:pPr>
            <w:r>
              <w:rPr>
                <w:rFonts w:hint="eastAsia" w:hAnsi="宋体" w:cs="宋体"/>
                <w:color w:val="auto"/>
                <w:sz w:val="21"/>
                <w:szCs w:val="21"/>
                <w:highlight w:val="none"/>
              </w:rPr>
              <w:t xml:space="preserve">4</w:t>
            </w:r>
            <w:r>
              <w:rPr>
                <w:rFonts w:hint="eastAsia" w:hAnsi="宋体" w:cs="宋体"/>
                <w:color w:val="auto"/>
                <w:sz w:val="21"/>
                <w:szCs w:val="21"/>
                <w:highlight w:val="none"/>
                <w:lang w:val="en-US" w:eastAsia="zh-CN"/>
              </w:rPr>
              <w:t xml:space="preserve">5</w:t>
            </w:r>
            <w:r>
              <w:rPr>
                <w:rFonts w:hint="eastAsia" w:hAnsi="宋体" w:cs="宋体"/>
                <w:color w:val="auto"/>
                <w:sz w:val="21"/>
                <w:szCs w:val="21"/>
                <w:highlight w:val="none"/>
              </w:rPr>
              <w:t xml:space="preserve">0.00元</w:t>
            </w:r>
            <w:r/>
          </w:p>
        </w:tc>
      </w:tr>
    </w:tbl>
    <w:p>
      <w:pPr>
        <w:numPr>
          <w:ilvl w:val="0"/>
          <w:numId w:val="0"/>
        </w:numPr>
        <w:ind w:firstLine="420"/>
        <w:jc w:val="both"/>
        <w:keepLines w:val="0"/>
        <w:keepNext w:val="0"/>
        <w:pageBreakBefore w:val="0"/>
        <w:spacing w:line="360" w:lineRule="auto"/>
        <w:widowControl w:val="off"/>
        <w:rPr>
          <w:rFonts w:hint="default" w:ascii="Times New Roman" w:hAnsi="Times New Roman"/>
          <w:b w:val="0"/>
          <w:bCs w:val="0"/>
          <w:color w:val="auto"/>
          <w:sz w:val="21"/>
          <w:szCs w:val="22"/>
          <w:highlight w:val="none"/>
          <w:lang w:val="en-US" w:eastAsia="zh-CN" w:bidi="ar-SA"/>
        </w:rPr>
      </w:pPr>
      <w:r>
        <w:rPr>
          <w:rFonts w:hint="default" w:ascii="Times New Roman" w:hAnsi="Times New Roman"/>
          <w:b w:val="0"/>
          <w:bCs w:val="0"/>
          <w:color w:val="auto"/>
          <w:sz w:val="21"/>
          <w:szCs w:val="22"/>
          <w:highlight w:val="none"/>
          <w:lang w:val="en-US" w:eastAsia="zh-CN" w:bidi="ar-SA"/>
        </w:rPr>
      </w:r>
      <w:r/>
    </w:p>
    <w:p>
      <w:pPr>
        <w:numPr>
          <w:ilvl w:val="0"/>
          <w:numId w:val="0"/>
        </w:numPr>
        <w:ind w:firstLine="420"/>
        <w:jc w:val="both"/>
        <w:keepLines w:val="0"/>
        <w:keepNext w:val="0"/>
        <w:pageBreakBefore w:val="0"/>
        <w:spacing w:line="360" w:lineRule="auto"/>
        <w:widowControl w:val="off"/>
        <w:rPr>
          <w:rFonts w:hint="eastAsia" w:ascii="Times New Roman" w:hAnsi="Times New Roman" w:cs="Times New Roman"/>
          <w:b w:val="0"/>
          <w:bCs w:val="0"/>
          <w:color w:val="000000"/>
          <w:sz w:val="21"/>
          <w:szCs w:val="22"/>
          <w:highlight w:val="none"/>
          <w:lang w:val="en-US" w:eastAsia="zh-CN"/>
        </w:rPr>
      </w:pPr>
      <w:r>
        <w:rPr>
          <w:rFonts w:hint="eastAsia" w:ascii="Times New Roman" w:hAnsi="Times New Roman" w:cs="Times New Roman"/>
          <w:b w:val="0"/>
          <w:bCs w:val="0"/>
          <w:color w:val="000000"/>
          <w:sz w:val="21"/>
          <w:szCs w:val="22"/>
          <w:highlight w:val="none"/>
          <w:lang w:val="en-US" w:eastAsia="zh-CN"/>
        </w:rPr>
        <w:t xml:space="preserve">3、技术需求</w:t>
      </w:r>
      <w:r/>
    </w:p>
    <w:p>
      <w:pPr>
        <w:numPr>
          <w:ilvl w:val="0"/>
          <w:numId w:val="0"/>
        </w:numPr>
        <w:ind w:firstLine="420"/>
        <w:jc w:val="both"/>
        <w:keepLines w:val="0"/>
        <w:keepNext w:val="0"/>
        <w:pageBreakBefore w:val="0"/>
        <w:spacing w:line="360" w:lineRule="auto"/>
        <w:widowControl w:val="off"/>
        <w:rPr>
          <w:rFonts w:hint="eastAsia" w:ascii="Times New Roman" w:hAnsi="Times New Roman" w:eastAsia="宋体" w:cs="Times New Roman"/>
          <w:b w:val="0"/>
          <w:bCs w:val="0"/>
          <w:color w:val="000000"/>
          <w:sz w:val="21"/>
          <w:szCs w:val="22"/>
          <w:highlight w:val="none"/>
          <w:lang w:eastAsia="zh-CN"/>
        </w:rPr>
      </w:pPr>
      <w:r>
        <w:rPr>
          <w:rFonts w:hint="eastAsia" w:ascii="Times New Roman" w:hAnsi="Times New Roman" w:eastAsia="宋体" w:cs="Times New Roman"/>
          <w:b w:val="0"/>
          <w:bCs w:val="0"/>
          <w:color w:val="000000"/>
          <w:sz w:val="21"/>
          <w:szCs w:val="22"/>
          <w:highlight w:val="none"/>
          <w:lang w:eastAsia="zh-CN"/>
        </w:rPr>
        <w:t xml:space="preserve">供应商</w:t>
      </w:r>
      <w:r>
        <w:rPr>
          <w:rFonts w:hint="eastAsia" w:ascii="Times New Roman" w:hAnsi="Times New Roman" w:cs="Times New Roman"/>
          <w:b w:val="0"/>
          <w:bCs w:val="0"/>
          <w:color w:val="000000"/>
          <w:sz w:val="21"/>
          <w:szCs w:val="22"/>
          <w:highlight w:val="none"/>
          <w:lang w:val="en-US" w:eastAsia="zh-CN"/>
        </w:rPr>
        <w:t xml:space="preserve">提供的学位论文送审平台</w:t>
      </w:r>
      <w:r>
        <w:rPr>
          <w:rFonts w:hint="eastAsia" w:ascii="Times New Roman" w:hAnsi="Times New Roman" w:eastAsia="宋体" w:cs="Times New Roman"/>
          <w:b w:val="0"/>
          <w:bCs w:val="0"/>
          <w:color w:val="000000"/>
          <w:sz w:val="21"/>
          <w:szCs w:val="22"/>
          <w:highlight w:val="none"/>
          <w:lang w:eastAsia="zh-CN"/>
        </w:rPr>
        <w:t xml:space="preserve">应响应以下</w:t>
      </w:r>
      <w:r>
        <w:rPr>
          <w:rFonts w:hint="eastAsia" w:ascii="Times New Roman" w:hAnsi="Times New Roman" w:eastAsia="宋体" w:cs="Times New Roman"/>
          <w:b w:val="0"/>
          <w:bCs w:val="0"/>
          <w:color w:val="000000"/>
          <w:sz w:val="21"/>
          <w:szCs w:val="22"/>
          <w:highlight w:val="none"/>
          <w:lang w:val="en-US" w:eastAsia="zh-CN"/>
        </w:rPr>
        <w:t xml:space="preserve">技术</w:t>
      </w:r>
      <w:r>
        <w:rPr>
          <w:rFonts w:hint="eastAsia" w:ascii="Times New Roman" w:hAnsi="Times New Roman" w:eastAsia="宋体" w:cs="Times New Roman"/>
          <w:b w:val="0"/>
          <w:bCs w:val="0"/>
          <w:color w:val="000000"/>
          <w:sz w:val="21"/>
          <w:szCs w:val="22"/>
          <w:highlight w:val="none"/>
          <w:lang w:eastAsia="zh-CN"/>
        </w:rPr>
        <w:t xml:space="preserve">需求，由评标专家根据</w:t>
      </w:r>
      <w:r>
        <w:rPr>
          <w:rFonts w:hint="eastAsia" w:ascii="Times New Roman" w:hAnsi="Times New Roman" w:cs="Times New Roman"/>
          <w:b w:val="0"/>
          <w:bCs w:val="0"/>
          <w:color w:val="000000"/>
          <w:sz w:val="21"/>
          <w:szCs w:val="22"/>
          <w:highlight w:val="none"/>
          <w:lang w:val="en-US" w:eastAsia="zh-CN"/>
        </w:rPr>
        <w:t xml:space="preserve">演示视频</w:t>
      </w:r>
      <w:r>
        <w:rPr>
          <w:rFonts w:hint="eastAsia" w:ascii="Times New Roman" w:hAnsi="Times New Roman" w:eastAsia="宋体" w:cs="Times New Roman"/>
          <w:b w:val="0"/>
          <w:bCs w:val="0"/>
          <w:color w:val="000000"/>
          <w:sz w:val="21"/>
          <w:szCs w:val="22"/>
          <w:highlight w:val="none"/>
          <w:lang w:eastAsia="zh-CN"/>
        </w:rPr>
        <w:t xml:space="preserve">的合理性进行打分：</w:t>
      </w:r>
      <w:r/>
    </w:p>
    <w:p>
      <w:pPr>
        <w:numPr>
          <w:ilvl w:val="0"/>
          <w:numId w:val="0"/>
        </w:numPr>
        <w:ind w:firstLine="420"/>
        <w:jc w:val="both"/>
        <w:keepLines w:val="0"/>
        <w:keepNext w:val="0"/>
        <w:pageBreakBefore w:val="0"/>
        <w:spacing w:line="360" w:lineRule="auto"/>
        <w:widowControl w:val="off"/>
        <w:rPr>
          <w:rFonts w:hint="eastAsia" w:ascii="Times New Roman" w:hAnsi="Times New Roman"/>
          <w:i w:val="0"/>
          <w:iCs w:val="0"/>
          <w:color w:val="000000"/>
          <w:sz w:val="21"/>
          <w:szCs w:val="22"/>
          <w:highlight w:val="none"/>
          <w:lang w:eastAsia="zh-CN"/>
        </w:rPr>
      </w:pPr>
      <w:r>
        <w:rPr>
          <w:rFonts w:hint="eastAsia" w:ascii="Times New Roman" w:hAnsi="Times New Roman"/>
          <w:i w:val="0"/>
          <w:iCs w:val="0"/>
          <w:color w:val="000000"/>
          <w:sz w:val="21"/>
          <w:szCs w:val="22"/>
          <w:highlight w:val="none"/>
          <w:lang w:val="en-US" w:eastAsia="zh-CN" w:bidi="ar-SA"/>
        </w:rPr>
        <w:t xml:space="preserve">（1）平台</w:t>
      </w:r>
      <w:r>
        <w:rPr>
          <w:rFonts w:hint="eastAsia" w:ascii="Times New Roman" w:hAnsi="Times New Roman"/>
          <w:i w:val="0"/>
          <w:iCs w:val="0"/>
          <w:color w:val="000000"/>
          <w:sz w:val="21"/>
          <w:szCs w:val="22"/>
          <w:highlight w:val="none"/>
          <w:lang w:val="en-US" w:eastAsia="zh-CN"/>
        </w:rPr>
        <w:t xml:space="preserve">支持为我校提供</w:t>
      </w:r>
      <w:r>
        <w:rPr>
          <w:rFonts w:hint="eastAsia" w:ascii="Times New Roman" w:hAnsi="Times New Roman"/>
          <w:i w:val="0"/>
          <w:iCs w:val="0"/>
          <w:color w:val="000000"/>
          <w:sz w:val="21"/>
          <w:szCs w:val="22"/>
          <w:highlight w:val="none"/>
          <w:lang w:eastAsia="zh-CN"/>
        </w:rPr>
        <w:t xml:space="preserve">独立的登录界面和二级专属域名。</w:t>
      </w:r>
      <w:r/>
    </w:p>
    <w:p>
      <w:pPr>
        <w:numPr>
          <w:ilvl w:val="0"/>
          <w:numId w:val="0"/>
        </w:numPr>
        <w:ind w:firstLine="420"/>
        <w:jc w:val="both"/>
        <w:keepLines w:val="0"/>
        <w:keepNext w:val="0"/>
        <w:pageBreakBefore w:val="0"/>
        <w:spacing w:line="360" w:lineRule="auto"/>
        <w:widowControl w:val="off"/>
        <w:rPr>
          <w:rFonts w:hint="eastAsia" w:ascii="Times New Roman" w:hAnsi="Times New Roman"/>
          <w:i w:val="0"/>
          <w:iCs w:val="0"/>
          <w:color w:val="000000"/>
          <w:sz w:val="21"/>
          <w:szCs w:val="22"/>
          <w:highlight w:val="none"/>
          <w:lang w:eastAsia="zh-CN"/>
        </w:rPr>
      </w:pPr>
      <w:r>
        <w:rPr>
          <w:rFonts w:hint="eastAsia" w:ascii="Times New Roman" w:hAnsi="Times New Roman"/>
          <w:i w:val="0"/>
          <w:iCs w:val="0"/>
          <w:color w:val="000000"/>
          <w:sz w:val="21"/>
          <w:szCs w:val="22"/>
          <w:highlight w:val="none"/>
          <w:lang w:val="en-US" w:eastAsia="zh-CN" w:bidi="ar-SA"/>
        </w:rPr>
        <w:t xml:space="preserve">（2）平台</w:t>
      </w:r>
      <w:r>
        <w:rPr>
          <w:rFonts w:hint="eastAsia" w:cs="宋体"/>
          <w:color w:val="auto"/>
          <w:highlight w:val="none"/>
          <w:lang w:val="en-US" w:eastAsia="zh-CN"/>
        </w:rPr>
        <w:t xml:space="preserve">应</w:t>
      </w:r>
      <w:r>
        <w:rPr>
          <w:rFonts w:cs="宋体"/>
          <w:color w:val="auto"/>
          <w:highlight w:val="none"/>
        </w:rPr>
        <w:t xml:space="preserve">分为研究生院账户、学院</w:t>
      </w:r>
      <w:r>
        <w:rPr>
          <w:rFonts w:hint="eastAsia" w:cs="宋体"/>
          <w:color w:val="auto"/>
          <w:highlight w:val="none"/>
          <w:lang w:eastAsia="zh-CN"/>
        </w:rPr>
        <w:t xml:space="preserve">（</w:t>
      </w:r>
      <w:r>
        <w:rPr>
          <w:rFonts w:hint="eastAsia" w:cs="宋体"/>
          <w:color w:val="auto"/>
          <w:highlight w:val="none"/>
          <w:lang w:val="en-US" w:eastAsia="zh-CN"/>
        </w:rPr>
        <w:t xml:space="preserve">部</w:t>
      </w:r>
      <w:r>
        <w:rPr>
          <w:rFonts w:hint="eastAsia" w:cs="宋体"/>
          <w:color w:val="auto"/>
          <w:highlight w:val="none"/>
          <w:lang w:eastAsia="zh-CN"/>
        </w:rPr>
        <w:t xml:space="preserve">）</w:t>
      </w:r>
      <w:r>
        <w:rPr>
          <w:rFonts w:cs="宋体"/>
          <w:color w:val="auto"/>
          <w:highlight w:val="none"/>
        </w:rPr>
        <w:t xml:space="preserve">账户、专家账户和学生账户。各角色都有独立丰富的权限配置。研究生院账户可根据各个学院的使用情况配置相应权限。</w:t>
      </w:r>
      <w:r/>
    </w:p>
    <w:p>
      <w:pPr>
        <w:ind w:firstLine="420"/>
        <w:jc w:val="both"/>
        <w:keepLines w:val="0"/>
        <w:keepNext w:val="0"/>
        <w:pageBreakBefore w:val="0"/>
        <w:spacing w:line="360" w:lineRule="auto"/>
        <w:widowControl w:val="off"/>
        <w:rPr>
          <w:rFonts w:hint="default" w:ascii="Times New Roman" w:hAnsi="Times New Roman" w:eastAsia="宋体" w:cs="宋体"/>
          <w:i w:val="0"/>
          <w:iCs w:val="0"/>
          <w:color w:val="000000"/>
          <w:sz w:val="21"/>
          <w:szCs w:val="21"/>
          <w:highlight w:val="none"/>
          <w:u w:val="none"/>
          <w:lang w:val="en-US" w:eastAsia="zh-CN"/>
        </w:rPr>
      </w:pPr>
      <w:r>
        <w:rPr>
          <w:rFonts w:hint="eastAsia" w:ascii="Times New Roman" w:hAnsi="Times New Roman" w:eastAsia="宋体" w:cs="宋体"/>
          <w:i w:val="0"/>
          <w:iCs w:val="0"/>
          <w:color w:val="000000"/>
          <w:sz w:val="21"/>
          <w:szCs w:val="21"/>
          <w:highlight w:val="none"/>
          <w:u w:val="none"/>
          <w:lang w:val="en-US" w:eastAsia="zh-CN"/>
        </w:rPr>
        <w:t xml:space="preserve">（3）</w:t>
      </w:r>
      <w:r>
        <w:rPr>
          <w:rFonts w:hint="eastAsia" w:ascii="Times New Roman" w:hAnsi="Times New Roman"/>
          <w:i w:val="0"/>
          <w:iCs w:val="0"/>
          <w:color w:val="000000"/>
          <w:sz w:val="21"/>
          <w:szCs w:val="22"/>
          <w:highlight w:val="none"/>
          <w:u w:val="none"/>
          <w:lang w:val="en-US" w:eastAsia="zh-CN" w:bidi="ar-SA"/>
        </w:rPr>
        <w:t xml:space="preserve">平台</w:t>
      </w:r>
      <w:r>
        <w:rPr>
          <w:rFonts w:hint="eastAsia" w:ascii="Times New Roman" w:hAnsi="Times New Roman" w:eastAsia="宋体" w:cs="宋体"/>
          <w:i w:val="0"/>
          <w:iCs w:val="0"/>
          <w:color w:val="000000"/>
          <w:sz w:val="21"/>
          <w:szCs w:val="21"/>
          <w:highlight w:val="none"/>
          <w:u w:val="none"/>
          <w:lang w:val="en-US" w:eastAsia="zh-CN"/>
        </w:rPr>
        <w:t xml:space="preserve">支持对送审论文进行相关的格式检测，并下载报告</w:t>
      </w:r>
      <w:r>
        <w:rPr>
          <w:rFonts w:hint="eastAsia" w:ascii="Times New Roman" w:hAnsi="Times New Roman" w:eastAsia="宋体" w:cs="宋体"/>
          <w:i w:val="0"/>
          <w:iCs w:val="0"/>
          <w:color w:val="000000"/>
          <w:sz w:val="21"/>
          <w:szCs w:val="21"/>
          <w:highlight w:val="none"/>
          <w:u w:val="none"/>
          <w:lang w:eastAsia="zh-CN"/>
        </w:rPr>
        <w:t xml:space="preserve">。</w:t>
      </w:r>
      <w:r/>
    </w:p>
    <w:p>
      <w:pPr>
        <w:ind w:firstLine="420"/>
        <w:jc w:val="both"/>
        <w:keepLines w:val="0"/>
        <w:keepNext w:val="0"/>
        <w:pageBreakBefore w:val="0"/>
        <w:spacing w:line="360" w:lineRule="auto"/>
        <w:widowControl w:val="off"/>
        <w:rPr>
          <w:rFonts w:hint="eastAsia" w:ascii="Times New Roman" w:hAnsi="Times New Roman" w:cs="宋体"/>
          <w:i w:val="0"/>
          <w:iCs w:val="0"/>
          <w:color w:val="000000"/>
          <w:sz w:val="21"/>
          <w:szCs w:val="21"/>
          <w:highlight w:val="none"/>
          <w:u w:val="none"/>
          <w:lang w:eastAsia="zh-CN"/>
        </w:rPr>
      </w:pPr>
      <w:r>
        <w:rPr>
          <w:rFonts w:hint="eastAsia" w:ascii="Times New Roman" w:hAnsi="Times New Roman" w:cs="宋体"/>
          <w:i w:val="0"/>
          <w:iCs w:val="0"/>
          <w:color w:val="000000"/>
          <w:sz w:val="21"/>
          <w:szCs w:val="21"/>
          <w:highlight w:val="none"/>
          <w:u w:val="none"/>
          <w:lang w:eastAsia="zh-CN"/>
        </w:rPr>
        <w:t xml:space="preserve">（</w:t>
      </w:r>
      <w:r>
        <w:rPr>
          <w:rFonts w:hint="eastAsia" w:ascii="Times New Roman" w:hAnsi="Times New Roman" w:cs="宋体"/>
          <w:i w:val="0"/>
          <w:iCs w:val="0"/>
          <w:color w:val="000000"/>
          <w:sz w:val="21"/>
          <w:szCs w:val="21"/>
          <w:highlight w:val="none"/>
          <w:u w:val="none"/>
          <w:lang w:val="en-US" w:eastAsia="zh-CN"/>
        </w:rPr>
        <w:t xml:space="preserve">4</w:t>
      </w:r>
      <w:r>
        <w:rPr>
          <w:rFonts w:hint="eastAsia" w:ascii="Times New Roman" w:hAnsi="Times New Roman" w:cs="宋体"/>
          <w:i w:val="0"/>
          <w:iCs w:val="0"/>
          <w:color w:val="000000"/>
          <w:sz w:val="21"/>
          <w:szCs w:val="21"/>
          <w:highlight w:val="none"/>
          <w:u w:val="none"/>
          <w:lang w:eastAsia="zh-CN"/>
        </w:rPr>
        <w:t xml:space="preserve">）</w:t>
      </w:r>
      <w:r>
        <w:rPr>
          <w:rFonts w:hint="eastAsia" w:ascii="Times New Roman" w:hAnsi="Times New Roman"/>
          <w:i w:val="0"/>
          <w:iCs w:val="0"/>
          <w:color w:val="000000"/>
          <w:sz w:val="21"/>
          <w:szCs w:val="22"/>
          <w:highlight w:val="none"/>
          <w:u w:val="none"/>
          <w:lang w:val="en-US" w:eastAsia="zh-CN" w:bidi="ar-SA"/>
        </w:rPr>
        <w:t xml:space="preserve">平台</w:t>
      </w:r>
      <w:r>
        <w:rPr>
          <w:rFonts w:hint="eastAsia" w:ascii="Times New Roman" w:hAnsi="Times New Roman" w:cs="宋体"/>
          <w:i w:val="0"/>
          <w:iCs w:val="0"/>
          <w:color w:val="000000"/>
          <w:sz w:val="21"/>
          <w:szCs w:val="21"/>
          <w:highlight w:val="none"/>
          <w:u w:val="none"/>
          <w:lang w:val="en-US" w:eastAsia="zh-CN"/>
        </w:rPr>
        <w:t xml:space="preserve">支持</w:t>
      </w:r>
      <w:r>
        <w:rPr>
          <w:rFonts w:hint="eastAsia" w:ascii="Times New Roman" w:hAnsi="Times New Roman" w:cs="宋体"/>
          <w:i w:val="0"/>
          <w:iCs w:val="0"/>
          <w:color w:val="000000"/>
          <w:sz w:val="21"/>
          <w:szCs w:val="21"/>
          <w:highlight w:val="none"/>
          <w:u w:val="none"/>
          <w:lang w:eastAsia="zh-CN"/>
        </w:rPr>
        <w:t xml:space="preserve">盲审</w:t>
      </w:r>
      <w:r>
        <w:rPr>
          <w:rFonts w:hint="eastAsia" w:ascii="Times New Roman" w:hAnsi="Times New Roman" w:cs="宋体"/>
          <w:i w:val="0"/>
          <w:iCs w:val="0"/>
          <w:color w:val="000000"/>
          <w:sz w:val="21"/>
          <w:szCs w:val="21"/>
          <w:highlight w:val="none"/>
          <w:u w:val="none"/>
          <w:lang w:val="en-US" w:eastAsia="zh-CN"/>
        </w:rPr>
        <w:t xml:space="preserve">论文</w:t>
      </w:r>
      <w:r>
        <w:rPr>
          <w:rFonts w:hint="eastAsia" w:ascii="Times New Roman" w:hAnsi="Times New Roman" w:cs="宋体"/>
          <w:i w:val="0"/>
          <w:iCs w:val="0"/>
          <w:color w:val="000000"/>
          <w:sz w:val="21"/>
          <w:szCs w:val="21"/>
          <w:highlight w:val="none"/>
          <w:u w:val="none"/>
          <w:lang w:eastAsia="zh-CN"/>
        </w:rPr>
        <w:t xml:space="preserve">敏感信息检测（检测论文内容中是否包含学生、导师</w:t>
      </w:r>
      <w:r>
        <w:rPr>
          <w:rFonts w:hint="eastAsia" w:ascii="Times New Roman" w:hAnsi="Times New Roman" w:cs="宋体"/>
          <w:i w:val="0"/>
          <w:iCs w:val="0"/>
          <w:color w:val="000000"/>
          <w:sz w:val="21"/>
          <w:szCs w:val="21"/>
          <w:highlight w:val="none"/>
          <w:u w:val="none"/>
          <w:lang w:val="en-US" w:eastAsia="zh-CN"/>
        </w:rPr>
        <w:t xml:space="preserve">和培养单位</w:t>
      </w:r>
      <w:r>
        <w:rPr>
          <w:rFonts w:hint="eastAsia" w:ascii="Times New Roman" w:hAnsi="Times New Roman" w:cs="宋体"/>
          <w:i w:val="0"/>
          <w:iCs w:val="0"/>
          <w:color w:val="000000"/>
          <w:sz w:val="21"/>
          <w:szCs w:val="21"/>
          <w:highlight w:val="none"/>
          <w:u w:val="none"/>
          <w:lang w:eastAsia="zh-CN"/>
        </w:rPr>
        <w:t xml:space="preserve">等敏感信息），</w:t>
      </w:r>
      <w:r>
        <w:rPr>
          <w:rFonts w:hint="eastAsia" w:ascii="Times New Roman" w:hAnsi="Times New Roman" w:cs="宋体"/>
          <w:i w:val="0"/>
          <w:iCs w:val="0"/>
          <w:color w:val="000000"/>
          <w:sz w:val="21"/>
          <w:szCs w:val="21"/>
          <w:highlight w:val="none"/>
          <w:u w:val="none"/>
          <w:lang w:val="en-US" w:eastAsia="zh-CN"/>
        </w:rPr>
        <w:t xml:space="preserve">并进行标注</w:t>
      </w:r>
      <w:r>
        <w:rPr>
          <w:rFonts w:hint="eastAsia" w:ascii="Times New Roman" w:hAnsi="Times New Roman" w:cs="宋体"/>
          <w:i w:val="0"/>
          <w:iCs w:val="0"/>
          <w:color w:val="000000"/>
          <w:sz w:val="21"/>
          <w:szCs w:val="21"/>
          <w:highlight w:val="none"/>
          <w:u w:val="none"/>
          <w:lang w:eastAsia="zh-CN"/>
        </w:rPr>
        <w:t xml:space="preserve">。</w:t>
      </w:r>
      <w:r/>
    </w:p>
    <w:p>
      <w:pPr>
        <w:ind w:firstLine="420"/>
        <w:jc w:val="both"/>
        <w:keepLines w:val="0"/>
        <w:keepNext w:val="0"/>
        <w:pageBreakBefore w:val="0"/>
        <w:spacing w:line="360" w:lineRule="auto"/>
        <w:widowControl w:val="off"/>
        <w:rPr>
          <w:rFonts w:hint="eastAsia" w:ascii="Times New Roman" w:hAnsi="Times New Roman"/>
          <w:i w:val="0"/>
          <w:iCs w:val="0"/>
          <w:color w:val="000000"/>
          <w:sz w:val="21"/>
          <w:szCs w:val="22"/>
          <w:highlight w:val="none"/>
          <w:u w:val="none"/>
          <w:lang w:val="en-US" w:eastAsia="zh-CN"/>
        </w:rPr>
      </w:pPr>
      <w:r>
        <w:rPr>
          <w:rFonts w:hint="eastAsia" w:ascii="Times New Roman" w:hAnsi="Times New Roman"/>
          <w:i w:val="0"/>
          <w:iCs w:val="0"/>
          <w:color w:val="000000"/>
          <w:sz w:val="21"/>
          <w:szCs w:val="22"/>
          <w:highlight w:val="none"/>
          <w:u w:val="none"/>
          <w:lang w:eastAsia="zh-CN"/>
        </w:rPr>
        <w:t xml:space="preserve">（</w:t>
      </w:r>
      <w:r>
        <w:rPr>
          <w:rFonts w:hint="eastAsia" w:ascii="Times New Roman" w:hAnsi="Times New Roman"/>
          <w:i w:val="0"/>
          <w:iCs w:val="0"/>
          <w:color w:val="000000"/>
          <w:sz w:val="21"/>
          <w:szCs w:val="22"/>
          <w:highlight w:val="none"/>
          <w:u w:val="none"/>
          <w:lang w:val="en-US" w:eastAsia="zh-CN"/>
        </w:rPr>
        <w:t xml:space="preserve">5</w:t>
      </w:r>
      <w:r>
        <w:rPr>
          <w:rFonts w:hint="eastAsia" w:ascii="Times New Roman" w:hAnsi="Times New Roman"/>
          <w:i w:val="0"/>
          <w:iCs w:val="0"/>
          <w:color w:val="000000"/>
          <w:sz w:val="21"/>
          <w:szCs w:val="22"/>
          <w:highlight w:val="none"/>
          <w:u w:val="none"/>
          <w:lang w:eastAsia="zh-CN"/>
        </w:rPr>
        <w:t xml:space="preserve">）</w:t>
      </w:r>
      <w:r>
        <w:rPr>
          <w:rFonts w:hint="eastAsia" w:ascii="Times New Roman" w:hAnsi="Times New Roman"/>
          <w:i w:val="0"/>
          <w:iCs w:val="0"/>
          <w:color w:val="000000"/>
          <w:sz w:val="21"/>
          <w:szCs w:val="22"/>
          <w:highlight w:val="none"/>
          <w:u w:val="none"/>
          <w:lang w:val="en-US" w:eastAsia="zh-CN" w:bidi="ar-SA"/>
        </w:rPr>
        <w:t xml:space="preserve">平台</w:t>
      </w:r>
      <w:r>
        <w:rPr>
          <w:rFonts w:hint="eastAsia" w:ascii="Times New Roman" w:hAnsi="Times New Roman"/>
          <w:i w:val="0"/>
          <w:iCs w:val="0"/>
          <w:color w:val="000000"/>
          <w:sz w:val="21"/>
          <w:szCs w:val="22"/>
          <w:highlight w:val="none"/>
          <w:u w:val="none"/>
          <w:lang w:val="en-US" w:eastAsia="zh-CN"/>
        </w:rPr>
        <w:t xml:space="preserve">支持论文催审，有独立的催审管理界面，催审时以专家为单位进行催审</w:t>
      </w:r>
      <w:r>
        <w:rPr>
          <w:rFonts w:hint="eastAsia" w:ascii="Times New Roman" w:hAnsi="Times New Roman"/>
          <w:i w:val="0"/>
          <w:iCs w:val="0"/>
          <w:color w:val="000000"/>
          <w:sz w:val="21"/>
          <w:szCs w:val="22"/>
          <w:highlight w:val="none"/>
          <w:u w:val="none"/>
          <w:lang w:eastAsia="zh-CN"/>
        </w:rPr>
        <w:t xml:space="preserve">。</w:t>
      </w:r>
      <w:r/>
    </w:p>
    <w:p>
      <w:pPr>
        <w:ind w:firstLine="420"/>
        <w:jc w:val="both"/>
        <w:keepLines w:val="0"/>
        <w:keepNext w:val="0"/>
        <w:pageBreakBefore w:val="0"/>
        <w:spacing w:line="360" w:lineRule="auto"/>
        <w:widowControl w:val="off"/>
        <w:rPr>
          <w:rFonts w:ascii="Times New Roman" w:hAnsi="Times New Roman"/>
          <w:i w:val="0"/>
          <w:iCs w:val="0"/>
          <w:color w:val="000000"/>
          <w:sz w:val="21"/>
          <w:szCs w:val="22"/>
          <w:highlight w:val="none"/>
          <w:u w:val="none"/>
          <w:lang w:eastAsia="zh-CN"/>
        </w:rPr>
      </w:pPr>
      <w:r>
        <w:rPr>
          <w:rFonts w:hint="eastAsia" w:ascii="Times New Roman" w:hAnsi="Times New Roman"/>
          <w:i w:val="0"/>
          <w:iCs w:val="0"/>
          <w:color w:val="000000"/>
          <w:sz w:val="21"/>
          <w:szCs w:val="22"/>
          <w:highlight w:val="none"/>
          <w:u w:val="none"/>
          <w:lang w:eastAsia="zh-CN"/>
        </w:rPr>
        <w:t xml:space="preserve">（</w:t>
      </w:r>
      <w:r>
        <w:rPr>
          <w:rFonts w:hint="eastAsia" w:ascii="Times New Roman" w:hAnsi="Times New Roman"/>
          <w:i w:val="0"/>
          <w:iCs w:val="0"/>
          <w:color w:val="000000"/>
          <w:sz w:val="21"/>
          <w:szCs w:val="22"/>
          <w:highlight w:val="none"/>
          <w:u w:val="none"/>
          <w:lang w:val="en-US" w:eastAsia="zh-CN"/>
        </w:rPr>
        <w:t xml:space="preserve">6</w:t>
      </w:r>
      <w:r>
        <w:rPr>
          <w:rFonts w:hint="eastAsia" w:ascii="Times New Roman" w:hAnsi="Times New Roman"/>
          <w:i w:val="0"/>
          <w:iCs w:val="0"/>
          <w:color w:val="000000"/>
          <w:sz w:val="21"/>
          <w:szCs w:val="22"/>
          <w:highlight w:val="none"/>
          <w:u w:val="none"/>
          <w:lang w:eastAsia="zh-CN"/>
        </w:rPr>
        <w:t xml:space="preserve">）</w:t>
      </w:r>
      <w:r>
        <w:rPr>
          <w:rFonts w:hint="eastAsia" w:ascii="Times New Roman" w:hAnsi="Times New Roman"/>
          <w:i w:val="0"/>
          <w:iCs w:val="0"/>
          <w:color w:val="000000"/>
          <w:sz w:val="21"/>
          <w:szCs w:val="22"/>
          <w:highlight w:val="none"/>
          <w:u w:val="none"/>
          <w:lang w:val="en-US" w:eastAsia="zh-CN" w:bidi="ar-SA"/>
        </w:rPr>
        <w:t xml:space="preserve">平台</w:t>
      </w:r>
      <w:r>
        <w:rPr>
          <w:rFonts w:hint="eastAsia" w:ascii="Times New Roman" w:hAnsi="Times New Roman"/>
          <w:i w:val="0"/>
          <w:iCs w:val="0"/>
          <w:color w:val="000000"/>
          <w:sz w:val="21"/>
          <w:szCs w:val="22"/>
          <w:highlight w:val="none"/>
          <w:u w:val="none"/>
          <w:lang w:eastAsia="zh-CN"/>
        </w:rPr>
        <w:t xml:space="preserve">支持</w:t>
      </w:r>
      <w:r>
        <w:rPr>
          <w:rFonts w:hint="eastAsia" w:ascii="Times New Roman" w:hAnsi="Times New Roman"/>
          <w:i w:val="0"/>
          <w:iCs w:val="0"/>
          <w:color w:val="000000"/>
          <w:sz w:val="21"/>
          <w:szCs w:val="22"/>
          <w:highlight w:val="none"/>
          <w:u w:val="none"/>
          <w:lang w:val="en-US" w:eastAsia="zh-CN"/>
        </w:rPr>
        <w:t xml:space="preserve">用户</w:t>
      </w:r>
      <w:r>
        <w:rPr>
          <w:rFonts w:hint="eastAsia" w:ascii="Times New Roman" w:hAnsi="Times New Roman"/>
          <w:i w:val="0"/>
          <w:iCs w:val="0"/>
          <w:color w:val="000000"/>
          <w:sz w:val="21"/>
          <w:szCs w:val="22"/>
          <w:highlight w:val="none"/>
          <w:u w:val="none"/>
          <w:lang w:eastAsia="zh-CN"/>
        </w:rPr>
        <w:t xml:space="preserve">查看评审结果，</w:t>
      </w:r>
      <w:r>
        <w:rPr>
          <w:rFonts w:hint="eastAsia" w:ascii="Times New Roman" w:hAnsi="Times New Roman"/>
          <w:i w:val="0"/>
          <w:iCs w:val="0"/>
          <w:color w:val="000000"/>
          <w:sz w:val="21"/>
          <w:szCs w:val="22"/>
          <w:highlight w:val="none"/>
          <w:u w:val="none"/>
          <w:lang w:val="en-US" w:eastAsia="zh-CN"/>
        </w:rPr>
        <w:t xml:space="preserve">界面能够</w:t>
      </w:r>
      <w:r>
        <w:rPr>
          <w:rFonts w:hint="eastAsia" w:ascii="Times New Roman" w:hAnsi="Times New Roman"/>
          <w:i w:val="0"/>
          <w:iCs w:val="0"/>
          <w:color w:val="000000"/>
          <w:sz w:val="21"/>
          <w:szCs w:val="22"/>
          <w:highlight w:val="none"/>
          <w:u w:val="none"/>
          <w:lang w:eastAsia="zh-CN"/>
        </w:rPr>
        <w:t xml:space="preserve">直观显示同</w:t>
      </w:r>
      <w:r>
        <w:rPr>
          <w:rFonts w:hint="eastAsia" w:ascii="Times New Roman" w:hAnsi="Times New Roman"/>
          <w:i w:val="0"/>
          <w:iCs w:val="0"/>
          <w:color w:val="000000"/>
          <w:sz w:val="21"/>
          <w:szCs w:val="22"/>
          <w:highlight w:val="none"/>
          <w:u w:val="none"/>
          <w:lang w:val="en-US" w:eastAsia="zh-CN"/>
        </w:rPr>
        <w:t xml:space="preserve">一篇论文</w:t>
      </w:r>
      <w:r>
        <w:rPr>
          <w:rFonts w:hint="eastAsia" w:ascii="Times New Roman" w:hAnsi="Times New Roman"/>
          <w:i w:val="0"/>
          <w:iCs w:val="0"/>
          <w:color w:val="000000"/>
          <w:sz w:val="21"/>
          <w:szCs w:val="22"/>
          <w:highlight w:val="none"/>
          <w:u w:val="none"/>
          <w:lang w:eastAsia="zh-CN"/>
        </w:rPr>
        <w:t xml:space="preserve">多个评阅结果</w:t>
      </w:r>
      <w:r>
        <w:rPr>
          <w:rFonts w:hint="eastAsia" w:ascii="Times New Roman" w:hAnsi="Times New Roman"/>
          <w:i w:val="0"/>
          <w:iCs w:val="0"/>
          <w:color w:val="000000"/>
          <w:sz w:val="21"/>
          <w:szCs w:val="22"/>
          <w:highlight w:val="none"/>
          <w:u w:val="none"/>
          <w:lang w:val="en-US" w:eastAsia="zh-CN"/>
        </w:rPr>
        <w:t xml:space="preserve">的打分</w:t>
      </w:r>
      <w:r>
        <w:rPr>
          <w:rFonts w:hint="eastAsia" w:ascii="Times New Roman" w:hAnsi="Times New Roman"/>
          <w:i w:val="0"/>
          <w:iCs w:val="0"/>
          <w:color w:val="000000"/>
          <w:sz w:val="21"/>
          <w:szCs w:val="22"/>
          <w:highlight w:val="none"/>
          <w:u w:val="none"/>
          <w:lang w:eastAsia="zh-CN"/>
        </w:rPr>
        <w:t xml:space="preserve">。</w:t>
      </w:r>
      <w:r/>
    </w:p>
    <w:p>
      <w:pPr>
        <w:ind w:firstLine="420"/>
        <w:jc w:val="both"/>
        <w:keepLines w:val="0"/>
        <w:keepNext w:val="0"/>
        <w:pageBreakBefore w:val="0"/>
        <w:spacing w:line="360" w:lineRule="auto"/>
        <w:widowControl w:val="off"/>
        <w:rPr>
          <w:rFonts w:hint="eastAsia" w:ascii="Times New Roman" w:hAnsi="Times New Roman" w:eastAsia="宋体" w:cs="Times New Roman"/>
          <w:i w:val="0"/>
          <w:iCs w:val="0"/>
          <w:color w:val="000000"/>
          <w:sz w:val="21"/>
          <w:szCs w:val="22"/>
          <w:highlight w:val="none"/>
          <w:u w:val="none"/>
          <w:lang w:eastAsia="zh-CN"/>
        </w:rPr>
      </w:pPr>
      <w:r>
        <w:rPr>
          <w:rFonts w:hint="eastAsia" w:ascii="Times New Roman" w:hAnsi="Times New Roman" w:eastAsia="宋体" w:cs="Times New Roman"/>
          <w:i w:val="0"/>
          <w:iCs w:val="0"/>
          <w:color w:val="000000"/>
          <w:sz w:val="21"/>
          <w:szCs w:val="22"/>
          <w:highlight w:val="none"/>
          <w:u w:val="none"/>
          <w:lang w:eastAsia="zh-CN"/>
        </w:rPr>
        <w:t xml:space="preserve">（</w:t>
      </w:r>
      <w:r>
        <w:rPr>
          <w:rFonts w:hint="eastAsia" w:ascii="Times New Roman" w:hAnsi="Times New Roman" w:eastAsia="宋体" w:cs="Times New Roman"/>
          <w:i w:val="0"/>
          <w:iCs w:val="0"/>
          <w:color w:val="000000"/>
          <w:sz w:val="21"/>
          <w:szCs w:val="22"/>
          <w:highlight w:val="none"/>
          <w:u w:val="none"/>
          <w:lang w:val="en-US" w:eastAsia="zh-CN"/>
        </w:rPr>
        <w:t xml:space="preserve">7</w:t>
      </w:r>
      <w:r>
        <w:rPr>
          <w:rFonts w:hint="eastAsia" w:ascii="Times New Roman" w:hAnsi="Times New Roman" w:eastAsia="宋体" w:cs="Times New Roman"/>
          <w:i w:val="0"/>
          <w:iCs w:val="0"/>
          <w:color w:val="000000"/>
          <w:sz w:val="21"/>
          <w:szCs w:val="22"/>
          <w:highlight w:val="none"/>
          <w:u w:val="none"/>
          <w:lang w:eastAsia="zh-CN"/>
        </w:rPr>
        <w:t xml:space="preserve">）</w:t>
      </w:r>
      <w:r>
        <w:rPr>
          <w:rFonts w:hint="eastAsia" w:ascii="Times New Roman" w:hAnsi="Times New Roman"/>
          <w:i w:val="0"/>
          <w:iCs w:val="0"/>
          <w:color w:val="000000"/>
          <w:sz w:val="21"/>
          <w:szCs w:val="22"/>
          <w:highlight w:val="none"/>
          <w:u w:val="none"/>
          <w:lang w:val="en-US" w:eastAsia="zh-CN" w:bidi="ar-SA"/>
        </w:rPr>
        <w:t xml:space="preserve">平台</w:t>
      </w:r>
      <w:r>
        <w:rPr>
          <w:rFonts w:hint="eastAsia" w:ascii="Times New Roman" w:hAnsi="Times New Roman" w:eastAsia="宋体" w:cs="Times New Roman"/>
          <w:i w:val="0"/>
          <w:iCs w:val="0"/>
          <w:color w:val="000000"/>
          <w:sz w:val="21"/>
          <w:szCs w:val="22"/>
          <w:highlight w:val="none"/>
          <w:u w:val="none"/>
          <w:lang w:eastAsia="zh-CN"/>
        </w:rPr>
        <w:t xml:space="preserve">支持论文增评自动加送功能</w:t>
      </w:r>
      <w:r>
        <w:rPr>
          <w:rFonts w:hint="eastAsia" w:cs="宋体"/>
          <w:color w:val="auto"/>
          <w:highlight w:val="none"/>
          <w:u w:val="none"/>
          <w:lang w:eastAsia="zh-CN"/>
        </w:rPr>
        <w:t xml:space="preserve">；</w:t>
      </w:r>
      <w:r>
        <w:rPr>
          <w:rFonts w:cs="宋体"/>
          <w:color w:val="auto"/>
          <w:highlight w:val="none"/>
          <w:u w:val="none"/>
        </w:rPr>
        <w:t xml:space="preserve">支持追加专家评审和修改后再送审</w:t>
      </w:r>
      <w:r>
        <w:rPr>
          <w:rFonts w:hint="eastAsia" w:ascii="Times New Roman" w:hAnsi="Times New Roman" w:eastAsia="宋体" w:cs="Times New Roman"/>
          <w:i w:val="0"/>
          <w:iCs w:val="0"/>
          <w:color w:val="000000"/>
          <w:sz w:val="21"/>
          <w:szCs w:val="22"/>
          <w:highlight w:val="none"/>
          <w:u w:val="none"/>
          <w:lang w:eastAsia="zh-CN"/>
        </w:rPr>
        <w:t xml:space="preserve">。</w:t>
      </w:r>
      <w:r/>
    </w:p>
    <w:p>
      <w:pPr>
        <w:ind w:firstLine="420"/>
        <w:jc w:val="both"/>
        <w:keepLines w:val="0"/>
        <w:keepNext w:val="0"/>
        <w:pageBreakBefore w:val="0"/>
        <w:spacing w:line="360" w:lineRule="auto"/>
        <w:widowControl w:val="off"/>
        <w:rPr>
          <w:rFonts w:ascii="Times New Roman" w:hAnsi="Times New Roman"/>
          <w:i w:val="0"/>
          <w:iCs w:val="0"/>
          <w:color w:val="000000"/>
          <w:sz w:val="21"/>
          <w:szCs w:val="22"/>
          <w:highlight w:val="none"/>
          <w:u w:val="none"/>
          <w:lang w:eastAsia="zh-CN"/>
        </w:rPr>
      </w:pPr>
      <w:r>
        <w:rPr>
          <w:rFonts w:hint="eastAsia" w:ascii="Times New Roman" w:hAnsi="Times New Roman"/>
          <w:i w:val="0"/>
          <w:iCs w:val="0"/>
          <w:sz w:val="21"/>
          <w:szCs w:val="22"/>
          <w:highlight w:val="none"/>
          <w:u w:val="none"/>
          <w:lang w:eastAsia="zh-CN"/>
        </w:rPr>
        <w:t xml:space="preserve">（</w:t>
      </w:r>
      <w:r>
        <w:rPr>
          <w:rFonts w:hint="eastAsia" w:ascii="Times New Roman" w:hAnsi="Times New Roman"/>
          <w:i w:val="0"/>
          <w:iCs w:val="0"/>
          <w:sz w:val="21"/>
          <w:szCs w:val="22"/>
          <w:highlight w:val="none"/>
          <w:u w:val="none"/>
          <w:lang w:val="en-US" w:eastAsia="zh-CN"/>
        </w:rPr>
        <w:t xml:space="preserve">8</w:t>
      </w:r>
      <w:r>
        <w:rPr>
          <w:rFonts w:hint="eastAsia" w:ascii="Times New Roman" w:hAnsi="Times New Roman"/>
          <w:i w:val="0"/>
          <w:iCs w:val="0"/>
          <w:sz w:val="21"/>
          <w:szCs w:val="22"/>
          <w:highlight w:val="none"/>
          <w:u w:val="none"/>
          <w:lang w:eastAsia="zh-CN"/>
        </w:rPr>
        <w:t xml:space="preserve">）专家库学科覆盖</w:t>
      </w:r>
      <w:r>
        <w:rPr>
          <w:rFonts w:hint="eastAsia" w:ascii="Times New Roman" w:hAnsi="Times New Roman"/>
          <w:i w:val="0"/>
          <w:iCs w:val="0"/>
          <w:sz w:val="21"/>
          <w:szCs w:val="22"/>
          <w:highlight w:val="none"/>
          <w:u w:val="none"/>
          <w:lang w:val="en-US" w:eastAsia="zh-CN"/>
        </w:rPr>
        <w:t xml:space="preserve">我校</w:t>
      </w:r>
      <w:r>
        <w:rPr>
          <w:rFonts w:hint="eastAsia" w:ascii="Times New Roman" w:hAnsi="Times New Roman"/>
          <w:i w:val="0"/>
          <w:iCs w:val="0"/>
          <w:sz w:val="21"/>
          <w:szCs w:val="22"/>
          <w:highlight w:val="none"/>
          <w:u w:val="none"/>
          <w:lang w:eastAsia="zh-CN"/>
        </w:rPr>
        <w:t xml:space="preserve">所有学科（类别），覆盖各专业的自有全国专家库专家</w:t>
      </w:r>
      <w:r>
        <w:rPr>
          <w:rFonts w:ascii="Times New Roman" w:hAnsi="Times New Roman"/>
          <w:i w:val="0"/>
          <w:iCs w:val="0"/>
          <w:sz w:val="21"/>
          <w:szCs w:val="22"/>
          <w:highlight w:val="none"/>
          <w:u w:val="none"/>
          <w:lang w:eastAsia="zh-CN"/>
        </w:rPr>
        <w:t xml:space="preserve">1</w:t>
      </w:r>
      <w:r>
        <w:rPr>
          <w:rFonts w:hint="eastAsia" w:ascii="Times New Roman" w:hAnsi="Times New Roman"/>
          <w:i w:val="0"/>
          <w:iCs w:val="0"/>
          <w:sz w:val="21"/>
          <w:szCs w:val="22"/>
          <w:highlight w:val="none"/>
          <w:u w:val="none"/>
          <w:lang w:val="en-US" w:eastAsia="zh-CN"/>
        </w:rPr>
        <w:t xml:space="preserve">0万人</w:t>
      </w:r>
      <w:r>
        <w:rPr>
          <w:rFonts w:hint="eastAsia" w:ascii="Times New Roman" w:hAnsi="Times New Roman"/>
          <w:i w:val="0"/>
          <w:iCs w:val="0"/>
          <w:sz w:val="21"/>
          <w:szCs w:val="22"/>
          <w:highlight w:val="none"/>
          <w:u w:val="none"/>
          <w:lang w:eastAsia="zh-CN"/>
        </w:rPr>
        <w:t xml:space="preserve">以上</w:t>
      </w:r>
      <w:r>
        <w:rPr>
          <w:rFonts w:hint="eastAsia" w:ascii="Times New Roman" w:hAnsi="Times New Roman"/>
          <w:i w:val="0"/>
          <w:iCs w:val="0"/>
          <w:color w:val="000000"/>
          <w:sz w:val="21"/>
          <w:szCs w:val="22"/>
          <w:highlight w:val="none"/>
          <w:u w:val="none"/>
          <w:lang w:eastAsia="zh-CN"/>
        </w:rPr>
        <w:t xml:space="preserve">。</w:t>
      </w:r>
      <w:r/>
    </w:p>
    <w:p>
      <w:pPr>
        <w:ind w:firstLine="420"/>
        <w:jc w:val="both"/>
        <w:keepLines w:val="0"/>
        <w:keepNext w:val="0"/>
        <w:pageBreakBefore w:val="0"/>
        <w:spacing w:line="360" w:lineRule="auto"/>
        <w:widowControl w:val="off"/>
        <w:rPr>
          <w:rFonts w:hint="eastAsia" w:ascii="Times New Roman" w:hAnsi="Times New Roman"/>
          <w:i w:val="0"/>
          <w:iCs w:val="0"/>
          <w:color w:val="000000"/>
          <w:sz w:val="21"/>
          <w:szCs w:val="22"/>
          <w:highlight w:val="none"/>
          <w:u w:val="none"/>
          <w:lang w:eastAsia="zh-CN"/>
        </w:rPr>
      </w:pPr>
      <w:r>
        <w:rPr>
          <w:rFonts w:hint="eastAsia" w:ascii="Times New Roman" w:hAnsi="Times New Roman"/>
          <w:i w:val="0"/>
          <w:iCs w:val="0"/>
          <w:color w:val="000000"/>
          <w:sz w:val="21"/>
          <w:szCs w:val="22"/>
          <w:highlight w:val="none"/>
          <w:u w:val="none"/>
          <w:lang w:eastAsia="zh-CN"/>
        </w:rPr>
        <w:t xml:space="preserve">（</w:t>
      </w:r>
      <w:r>
        <w:rPr>
          <w:rFonts w:hint="eastAsia" w:ascii="Times New Roman" w:hAnsi="Times New Roman"/>
          <w:i w:val="0"/>
          <w:iCs w:val="0"/>
          <w:color w:val="000000"/>
          <w:sz w:val="21"/>
          <w:szCs w:val="22"/>
          <w:highlight w:val="none"/>
          <w:u w:val="none"/>
          <w:lang w:val="en-US" w:eastAsia="zh-CN"/>
        </w:rPr>
        <w:t xml:space="preserve">9</w:t>
      </w:r>
      <w:r>
        <w:rPr>
          <w:rFonts w:hint="eastAsia" w:ascii="Times New Roman" w:hAnsi="Times New Roman"/>
          <w:i w:val="0"/>
          <w:iCs w:val="0"/>
          <w:color w:val="000000"/>
          <w:sz w:val="21"/>
          <w:szCs w:val="22"/>
          <w:highlight w:val="none"/>
          <w:u w:val="none"/>
          <w:lang w:eastAsia="zh-CN"/>
        </w:rPr>
        <w:t xml:space="preserve">）</w:t>
      </w:r>
      <w:r>
        <w:rPr>
          <w:rFonts w:cs="宋体"/>
          <w:color w:val="auto"/>
          <w:highlight w:val="none"/>
          <w:u w:val="none"/>
        </w:rPr>
        <w:t xml:space="preserve">博士学位论文评审专家必须为相关学科</w:t>
      </w:r>
      <w:r>
        <w:rPr>
          <w:rFonts w:hint="eastAsia" w:ascii="Times New Roman" w:hAnsi="Times New Roman"/>
          <w:i w:val="0"/>
          <w:iCs w:val="0"/>
          <w:color w:val="000000"/>
          <w:sz w:val="21"/>
          <w:szCs w:val="22"/>
          <w:highlight w:val="none"/>
          <w:u w:val="none"/>
          <w:lang w:eastAsia="zh-CN"/>
        </w:rPr>
        <w:t xml:space="preserve">且熟悉本专业领域</w:t>
      </w:r>
      <w:r>
        <w:rPr>
          <w:rFonts w:cs="宋体"/>
          <w:color w:val="auto"/>
          <w:highlight w:val="none"/>
          <w:u w:val="none"/>
        </w:rPr>
        <w:t xml:space="preserve">的博导，硕士学位论文评审专家必须为相关学科</w:t>
      </w:r>
      <w:r>
        <w:rPr>
          <w:rFonts w:hint="eastAsia" w:ascii="Times New Roman" w:hAnsi="Times New Roman"/>
          <w:i w:val="0"/>
          <w:iCs w:val="0"/>
          <w:color w:val="000000"/>
          <w:sz w:val="21"/>
          <w:szCs w:val="22"/>
          <w:highlight w:val="none"/>
          <w:u w:val="none"/>
          <w:lang w:eastAsia="zh-CN"/>
        </w:rPr>
        <w:t xml:space="preserve">且熟悉本专业领域</w:t>
      </w:r>
      <w:r>
        <w:rPr>
          <w:rFonts w:cs="宋体"/>
          <w:color w:val="auto"/>
          <w:highlight w:val="none"/>
          <w:u w:val="none"/>
        </w:rPr>
        <w:t xml:space="preserve">的博导或硕导（副高及以上职称）。专家所属学校须与我校层次相近或高于我校，或专家所在学校的相关学科排名不低于我校。采购方有权提出送审高校及学科的范围，要求供应商在指定的范围内送审</w:t>
      </w:r>
      <w:r>
        <w:rPr>
          <w:rFonts w:hint="eastAsia" w:ascii="Times New Roman" w:hAnsi="Times New Roman"/>
          <w:i w:val="0"/>
          <w:iCs w:val="0"/>
          <w:color w:val="000000"/>
          <w:sz w:val="21"/>
          <w:szCs w:val="22"/>
          <w:highlight w:val="none"/>
          <w:u w:val="none"/>
          <w:lang w:eastAsia="zh-CN"/>
        </w:rPr>
        <w:t xml:space="preserve">。</w:t>
      </w:r>
      <w:r/>
    </w:p>
    <w:p>
      <w:pPr>
        <w:ind w:firstLine="420"/>
        <w:jc w:val="both"/>
        <w:keepLines w:val="0"/>
        <w:keepNext w:val="0"/>
        <w:pageBreakBefore w:val="0"/>
        <w:spacing w:line="360" w:lineRule="auto"/>
        <w:widowControl w:val="off"/>
        <w:rPr>
          <w:rFonts w:hint="eastAsia" w:ascii="Times New Roman" w:hAnsi="Times New Roman"/>
          <w:i w:val="0"/>
          <w:iCs w:val="0"/>
          <w:sz w:val="21"/>
          <w:szCs w:val="22"/>
          <w:highlight w:val="none"/>
          <w:u w:val="none"/>
          <w:lang w:eastAsia="zh-CN"/>
        </w:rPr>
      </w:pPr>
      <w:r>
        <w:rPr>
          <w:rFonts w:hint="eastAsia" w:ascii="Times New Roman" w:hAnsi="Times New Roman"/>
          <w:i w:val="0"/>
          <w:iCs w:val="0"/>
          <w:color w:val="000000"/>
          <w:sz w:val="21"/>
          <w:szCs w:val="22"/>
          <w:highlight w:val="none"/>
          <w:u w:val="none"/>
          <w:lang w:eastAsia="zh-CN"/>
        </w:rPr>
        <w:t xml:space="preserve">（1</w:t>
      </w:r>
      <w:r>
        <w:rPr>
          <w:rFonts w:hint="eastAsia" w:ascii="Times New Roman" w:hAnsi="Times New Roman"/>
          <w:i w:val="0"/>
          <w:iCs w:val="0"/>
          <w:color w:val="000000"/>
          <w:sz w:val="21"/>
          <w:szCs w:val="22"/>
          <w:highlight w:val="none"/>
          <w:u w:val="none"/>
          <w:lang w:val="en-US" w:eastAsia="zh-CN"/>
        </w:rPr>
        <w:t xml:space="preserve">0</w:t>
      </w:r>
      <w:r>
        <w:rPr>
          <w:rFonts w:hint="eastAsia" w:ascii="Times New Roman" w:hAnsi="Times New Roman"/>
          <w:i w:val="0"/>
          <w:iCs w:val="0"/>
          <w:color w:val="000000"/>
          <w:sz w:val="21"/>
          <w:szCs w:val="22"/>
          <w:highlight w:val="none"/>
          <w:u w:val="none"/>
          <w:lang w:eastAsia="zh-CN"/>
        </w:rPr>
        <w:t xml:space="preserve">）</w:t>
      </w:r>
      <w:r>
        <w:rPr>
          <w:rFonts w:hint="eastAsia" w:ascii="Times New Roman" w:hAnsi="Times New Roman"/>
          <w:i w:val="0"/>
          <w:iCs w:val="0"/>
          <w:color w:val="000000"/>
          <w:sz w:val="21"/>
          <w:szCs w:val="22"/>
          <w:highlight w:val="none"/>
          <w:u w:val="none"/>
          <w:lang w:val="en-US" w:eastAsia="zh-CN" w:bidi="ar-SA"/>
        </w:rPr>
        <w:t xml:space="preserve">平台</w:t>
      </w:r>
      <w:r>
        <w:rPr>
          <w:rFonts w:hint="eastAsia" w:ascii="Times New Roman" w:hAnsi="Times New Roman"/>
          <w:i w:val="0"/>
          <w:iCs w:val="0"/>
          <w:color w:val="000000"/>
          <w:sz w:val="21"/>
          <w:szCs w:val="22"/>
          <w:highlight w:val="none"/>
          <w:u w:val="none"/>
          <w:lang w:val="en-US" w:eastAsia="zh-CN"/>
        </w:rPr>
        <w:t xml:space="preserve">支持</w:t>
      </w:r>
      <w:r>
        <w:rPr>
          <w:rFonts w:hint="eastAsia" w:ascii="Times New Roman" w:hAnsi="Times New Roman"/>
          <w:i w:val="0"/>
          <w:iCs w:val="0"/>
          <w:sz w:val="21"/>
          <w:szCs w:val="22"/>
          <w:highlight w:val="none"/>
          <w:u w:val="none"/>
          <w:lang w:eastAsia="zh-CN"/>
        </w:rPr>
        <w:t xml:space="preserve">匹配学科专业及研究方向一致的</w:t>
      </w:r>
      <w:r>
        <w:rPr>
          <w:rFonts w:hint="eastAsia" w:ascii="Times New Roman" w:hAnsi="Times New Roman"/>
          <w:i w:val="0"/>
          <w:iCs w:val="0"/>
          <w:sz w:val="21"/>
          <w:szCs w:val="22"/>
          <w:highlight w:val="none"/>
          <w:u w:val="none"/>
          <w:lang w:val="en-US" w:eastAsia="zh-CN"/>
        </w:rPr>
        <w:t xml:space="preserve">专家</w:t>
      </w:r>
      <w:r>
        <w:rPr>
          <w:rFonts w:hint="eastAsia" w:ascii="Times New Roman" w:hAnsi="Times New Roman"/>
          <w:i w:val="0"/>
          <w:iCs w:val="0"/>
          <w:sz w:val="21"/>
          <w:szCs w:val="22"/>
          <w:highlight w:val="none"/>
          <w:u w:val="none"/>
          <w:lang w:eastAsia="zh-CN"/>
        </w:rPr>
        <w:t xml:space="preserve">进行评审并监督其评审过程，同时及时更新补充专家库新增专家信息；</w:t>
      </w:r>
      <w:r>
        <w:rPr>
          <w:rFonts w:hint="eastAsia" w:ascii="Times New Roman" w:hAnsi="Times New Roman"/>
          <w:i w:val="0"/>
          <w:iCs w:val="0"/>
          <w:sz w:val="21"/>
          <w:szCs w:val="22"/>
          <w:highlight w:val="none"/>
          <w:u w:val="none"/>
          <w:lang w:val="en-US" w:eastAsia="zh-CN"/>
        </w:rPr>
        <w:t xml:space="preserve">自设学科/新兴学科/交叉学科等无法匹配到完全一致的专家的，应在获得采购人同意的情况下寻找相近学科的专家。</w:t>
      </w:r>
      <w:r/>
    </w:p>
    <w:p>
      <w:pPr>
        <w:ind w:firstLine="420"/>
        <w:jc w:val="both"/>
        <w:keepLines w:val="0"/>
        <w:keepNext w:val="0"/>
        <w:pageBreakBefore w:val="0"/>
        <w:spacing w:line="360" w:lineRule="auto"/>
        <w:widowControl w:val="off"/>
        <w:rPr>
          <w:rFonts w:hint="eastAsia" w:ascii="Times New Roman" w:hAnsi="Times New Roman"/>
          <w:color w:val="000000"/>
          <w:sz w:val="21"/>
          <w:szCs w:val="22"/>
          <w:highlight w:val="none"/>
          <w:u w:val="none"/>
          <w:lang w:eastAsia="zh-CN"/>
        </w:rPr>
      </w:pPr>
      <w:r>
        <w:rPr>
          <w:rFonts w:hint="eastAsia" w:ascii="Times New Roman" w:hAnsi="Times New Roman"/>
          <w:color w:val="000000"/>
          <w:sz w:val="21"/>
          <w:szCs w:val="22"/>
          <w:highlight w:val="none"/>
          <w:u w:val="none"/>
          <w:lang w:eastAsia="zh-CN"/>
        </w:rPr>
        <w:t xml:space="preserve">（</w:t>
      </w:r>
      <w:r>
        <w:rPr>
          <w:rFonts w:hint="eastAsia" w:ascii="Times New Roman" w:hAnsi="Times New Roman"/>
          <w:color w:val="000000"/>
          <w:sz w:val="21"/>
          <w:szCs w:val="22"/>
          <w:highlight w:val="none"/>
          <w:u w:val="none"/>
          <w:lang w:val="en-US" w:eastAsia="zh-CN"/>
        </w:rPr>
        <w:t xml:space="preserve">11</w:t>
      </w:r>
      <w:r>
        <w:rPr>
          <w:rFonts w:hint="eastAsia" w:ascii="Times New Roman" w:hAnsi="Times New Roman"/>
          <w:color w:val="000000"/>
          <w:sz w:val="21"/>
          <w:szCs w:val="22"/>
          <w:highlight w:val="none"/>
          <w:u w:val="none"/>
          <w:lang w:eastAsia="zh-CN"/>
        </w:rPr>
        <w:t xml:space="preserve">）</w:t>
      </w:r>
      <w:r>
        <w:rPr>
          <w:rFonts w:hint="eastAsia" w:ascii="Times New Roman" w:hAnsi="Times New Roman"/>
          <w:color w:val="000000"/>
          <w:sz w:val="21"/>
          <w:szCs w:val="22"/>
          <w:highlight w:val="none"/>
          <w:u w:val="none"/>
          <w:lang w:val="en-US" w:eastAsia="zh-CN" w:bidi="ar-SA"/>
        </w:rPr>
        <w:t xml:space="preserve">平台</w:t>
      </w:r>
      <w:r>
        <w:rPr>
          <w:rFonts w:hint="eastAsia" w:ascii="Times New Roman" w:hAnsi="Times New Roman"/>
          <w:color w:val="000000"/>
          <w:sz w:val="21"/>
          <w:szCs w:val="22"/>
          <w:highlight w:val="none"/>
          <w:u w:val="none"/>
          <w:lang w:eastAsia="zh-CN"/>
        </w:rPr>
        <w:t xml:space="preserve">支持对送审论文和评审结果等进行多层文件夹管理。</w:t>
      </w:r>
      <w:r/>
    </w:p>
    <w:p>
      <w:pPr>
        <w:ind w:firstLine="420"/>
        <w:jc w:val="both"/>
        <w:keepLines w:val="0"/>
        <w:keepNext w:val="0"/>
        <w:pageBreakBefore w:val="0"/>
        <w:spacing w:line="360" w:lineRule="auto"/>
        <w:widowControl w:val="off"/>
        <w:rPr>
          <w:rFonts w:hint="eastAsia" w:ascii="Times New Roman" w:hAnsi="Times New Roman"/>
          <w:color w:val="000000"/>
          <w:sz w:val="21"/>
          <w:szCs w:val="22"/>
          <w:highlight w:val="none"/>
          <w:u w:val="none"/>
          <w:lang w:eastAsia="zh-CN"/>
        </w:rPr>
      </w:pPr>
      <w:r>
        <w:rPr>
          <w:rFonts w:hint="eastAsia" w:ascii="Times New Roman" w:hAnsi="Times New Roman"/>
          <w:color w:val="000000"/>
          <w:sz w:val="21"/>
          <w:szCs w:val="22"/>
          <w:highlight w:val="none"/>
          <w:u w:val="none"/>
          <w:lang w:eastAsia="zh-CN"/>
        </w:rPr>
        <w:t xml:space="preserve">（1</w:t>
      </w:r>
      <w:r>
        <w:rPr>
          <w:rFonts w:hint="eastAsia" w:ascii="Times New Roman" w:hAnsi="Times New Roman"/>
          <w:color w:val="000000"/>
          <w:sz w:val="21"/>
          <w:szCs w:val="22"/>
          <w:highlight w:val="none"/>
          <w:u w:val="none"/>
          <w:lang w:val="en-US" w:eastAsia="zh-CN"/>
        </w:rPr>
        <w:t xml:space="preserve">2</w:t>
      </w:r>
      <w:r>
        <w:rPr>
          <w:rFonts w:hint="eastAsia" w:ascii="Times New Roman" w:hAnsi="Times New Roman"/>
          <w:color w:val="000000"/>
          <w:sz w:val="21"/>
          <w:szCs w:val="22"/>
          <w:highlight w:val="none"/>
          <w:u w:val="none"/>
          <w:lang w:eastAsia="zh-CN"/>
        </w:rPr>
        <w:t xml:space="preserve">）可按照不同的</w:t>
      </w:r>
      <w:r>
        <w:rPr>
          <w:rFonts w:hint="eastAsia" w:ascii="Times New Roman" w:hAnsi="Times New Roman"/>
          <w:color w:val="000000"/>
          <w:sz w:val="21"/>
          <w:szCs w:val="22"/>
          <w:highlight w:val="none"/>
          <w:u w:val="none"/>
          <w:lang w:val="en-US" w:eastAsia="zh-CN"/>
        </w:rPr>
        <w:t xml:space="preserve">学院、学科</w:t>
      </w:r>
      <w:r>
        <w:rPr>
          <w:rFonts w:hint="eastAsia" w:ascii="Times New Roman" w:hAnsi="Times New Roman"/>
          <w:color w:val="000000"/>
          <w:sz w:val="21"/>
          <w:szCs w:val="22"/>
          <w:highlight w:val="none"/>
          <w:u w:val="none"/>
          <w:lang w:eastAsia="zh-CN"/>
        </w:rPr>
        <w:t xml:space="preserve">专业、</w:t>
      </w:r>
      <w:r>
        <w:rPr>
          <w:rFonts w:hint="eastAsia" w:ascii="Times New Roman" w:hAnsi="Times New Roman"/>
          <w:color w:val="000000"/>
          <w:sz w:val="21"/>
          <w:szCs w:val="22"/>
          <w:highlight w:val="none"/>
          <w:u w:val="none"/>
          <w:lang w:val="en-US" w:eastAsia="zh-CN"/>
        </w:rPr>
        <w:t xml:space="preserve">送审时间</w:t>
      </w:r>
      <w:r>
        <w:rPr>
          <w:rFonts w:hint="eastAsia" w:ascii="Times New Roman" w:hAnsi="Times New Roman"/>
          <w:color w:val="000000"/>
          <w:sz w:val="21"/>
          <w:szCs w:val="22"/>
          <w:highlight w:val="none"/>
          <w:u w:val="none"/>
          <w:lang w:eastAsia="zh-CN"/>
        </w:rPr>
        <w:t xml:space="preserve">等</w:t>
      </w:r>
      <w:r>
        <w:rPr>
          <w:rFonts w:hint="eastAsia" w:ascii="Times New Roman" w:hAnsi="Times New Roman"/>
          <w:color w:val="000000"/>
          <w:sz w:val="21"/>
          <w:szCs w:val="22"/>
          <w:highlight w:val="none"/>
          <w:u w:val="none"/>
          <w:lang w:val="en-US" w:eastAsia="zh-CN"/>
        </w:rPr>
        <w:t xml:space="preserve">分类</w:t>
      </w:r>
      <w:r>
        <w:rPr>
          <w:rFonts w:hint="eastAsia" w:ascii="Times New Roman" w:hAnsi="Times New Roman"/>
          <w:color w:val="000000"/>
          <w:sz w:val="21"/>
          <w:szCs w:val="22"/>
          <w:highlight w:val="none"/>
          <w:u w:val="none"/>
          <w:lang w:eastAsia="zh-CN"/>
        </w:rPr>
        <w:t xml:space="preserve">方式导出评审结果及评阅明细，</w:t>
      </w:r>
      <w:r>
        <w:rPr>
          <w:rFonts w:hint="eastAsia" w:ascii="Times New Roman" w:hAnsi="Times New Roman"/>
          <w:color w:val="000000"/>
          <w:sz w:val="21"/>
          <w:szCs w:val="22"/>
          <w:highlight w:val="none"/>
          <w:u w:val="none"/>
          <w:lang w:val="en-US" w:eastAsia="zh-CN"/>
        </w:rPr>
        <w:t xml:space="preserve">支持数据按照年度切换</w:t>
      </w:r>
      <w:r>
        <w:rPr>
          <w:rFonts w:hint="eastAsia" w:ascii="Times New Roman" w:hAnsi="Times New Roman"/>
          <w:color w:val="000000"/>
          <w:sz w:val="21"/>
          <w:szCs w:val="22"/>
          <w:highlight w:val="none"/>
          <w:u w:val="none"/>
          <w:lang w:eastAsia="zh-CN"/>
        </w:rPr>
        <w:t xml:space="preserve">等。</w:t>
      </w:r>
      <w:r/>
    </w:p>
    <w:p>
      <w:pPr>
        <w:numPr>
          <w:ilvl w:val="-1"/>
          <w:numId w:val="0"/>
        </w:numPr>
        <w:ind w:firstLine="420"/>
        <w:jc w:val="both"/>
        <w:keepLines w:val="0"/>
        <w:keepNext w:val="0"/>
        <w:pageBreakBefore w:val="0"/>
        <w:spacing w:line="360" w:lineRule="auto"/>
        <w:widowControl w:val="off"/>
        <w:rPr>
          <w:rFonts w:hint="eastAsia" w:ascii="Times New Roman" w:hAnsi="Times New Roman"/>
          <w:color w:val="000000"/>
          <w:sz w:val="21"/>
          <w:szCs w:val="22"/>
          <w:highlight w:val="none"/>
          <w:u w:val="none"/>
          <w:lang w:val="en-US" w:eastAsia="zh-CN"/>
        </w:rPr>
      </w:pPr>
      <w:r>
        <w:rPr>
          <w:rFonts w:hint="eastAsia" w:ascii="Times New Roman" w:hAnsi="Times New Roman"/>
          <w:color w:val="000000"/>
          <w:sz w:val="21"/>
          <w:szCs w:val="22"/>
          <w:highlight w:val="none"/>
          <w:u w:val="none"/>
          <w:lang w:val="en-US" w:eastAsia="zh-CN" w:bidi="ar-SA"/>
        </w:rPr>
        <w:t xml:space="preserve">（13）</w:t>
      </w:r>
      <w:r>
        <w:rPr>
          <w:rFonts w:cs="宋体"/>
          <w:color w:val="auto"/>
          <w:highlight w:val="none"/>
          <w:u w:val="none"/>
        </w:rPr>
        <w:t xml:space="preserve">研究生院可以通过平台对学校、学院</w:t>
      </w:r>
      <w:r>
        <w:rPr>
          <w:rFonts w:hint="eastAsia" w:cs="宋体"/>
          <w:color w:val="auto"/>
          <w:highlight w:val="none"/>
          <w:u w:val="none"/>
          <w:lang w:eastAsia="zh-CN"/>
        </w:rPr>
        <w:t xml:space="preserve">（</w:t>
      </w:r>
      <w:r>
        <w:rPr>
          <w:rFonts w:hint="eastAsia" w:cs="宋体"/>
          <w:color w:val="auto"/>
          <w:highlight w:val="none"/>
          <w:u w:val="none"/>
          <w:lang w:val="en-US" w:eastAsia="zh-CN"/>
        </w:rPr>
        <w:t xml:space="preserve">部</w:t>
      </w:r>
      <w:r>
        <w:rPr>
          <w:rFonts w:hint="eastAsia" w:cs="宋体"/>
          <w:color w:val="auto"/>
          <w:highlight w:val="none"/>
          <w:u w:val="none"/>
          <w:lang w:eastAsia="zh-CN"/>
        </w:rPr>
        <w:t xml:space="preserve">）</w:t>
      </w:r>
      <w:r>
        <w:rPr>
          <w:rFonts w:cs="宋体"/>
          <w:color w:val="auto"/>
          <w:highlight w:val="none"/>
          <w:u w:val="none"/>
        </w:rPr>
        <w:t xml:space="preserve">的送审情况进行实时监督与管理。评审过程中，各类账户均可查看评阅进度、查看和下载评阅意见信息（不能查阅或下载评审专家的具体信息）</w:t>
      </w:r>
      <w:r>
        <w:rPr>
          <w:rFonts w:hint="eastAsia" w:ascii="Times New Roman" w:hAnsi="Times New Roman"/>
          <w:color w:val="000000"/>
          <w:sz w:val="21"/>
          <w:szCs w:val="22"/>
          <w:highlight w:val="none"/>
          <w:u w:val="none"/>
          <w:lang w:val="en-US" w:eastAsia="zh-CN"/>
        </w:rPr>
        <w:t xml:space="preserve">。</w:t>
      </w:r>
      <w:r/>
    </w:p>
    <w:p>
      <w:pPr>
        <w:numPr>
          <w:ilvl w:val="-1"/>
          <w:numId w:val="0"/>
        </w:numPr>
        <w:ind w:firstLine="420"/>
        <w:jc w:val="both"/>
        <w:keepLines w:val="0"/>
        <w:keepNext w:val="0"/>
        <w:pageBreakBefore w:val="0"/>
        <w:spacing w:line="360" w:lineRule="auto"/>
        <w:widowControl w:val="off"/>
        <w:rPr>
          <w:rFonts w:hint="eastAsia" w:ascii="Times New Roman" w:hAnsi="Times New Roman" w:eastAsia="宋体" w:cs="Times New Roman"/>
          <w:color w:val="000000"/>
          <w:sz w:val="21"/>
          <w:szCs w:val="22"/>
          <w:highlight w:val="none"/>
          <w:u w:val="none"/>
          <w:lang w:val="en-US" w:eastAsia="zh-CN"/>
        </w:rPr>
      </w:pPr>
      <w:r>
        <w:rPr>
          <w:rFonts w:hint="eastAsia" w:ascii="Times New Roman" w:hAnsi="Times New Roman" w:eastAsia="宋体" w:cs="Times New Roman"/>
          <w:color w:val="000000"/>
          <w:sz w:val="21"/>
          <w:szCs w:val="22"/>
          <w:highlight w:val="none"/>
          <w:u w:val="none"/>
          <w:lang w:val="en-US" w:eastAsia="zh-CN"/>
        </w:rPr>
        <w:t xml:space="preserve">（14）有独立的消息模板菜单，支持在论文邀请、邀请过期、评审催审等各环节定制采购人专属消息模板，消息模板包括邮件通知、站内通知、微信通知、短信通知等各种渠道。</w:t>
      </w:r>
      <w:r/>
    </w:p>
    <w:p>
      <w:pPr>
        <w:numPr>
          <w:ilvl w:val="-1"/>
          <w:numId w:val="0"/>
        </w:numPr>
        <w:ind w:firstLine="420"/>
        <w:jc w:val="both"/>
        <w:keepLines w:val="0"/>
        <w:keepNext w:val="0"/>
        <w:pageBreakBefore w:val="0"/>
        <w:spacing w:line="360" w:lineRule="auto"/>
        <w:widowControl w:val="off"/>
        <w:rPr>
          <w:rFonts w:hint="eastAsia" w:ascii="Times New Roman" w:hAnsi="Times New Roman" w:eastAsia="宋体" w:cs="Times New Roman"/>
          <w:color w:val="000000"/>
          <w:sz w:val="21"/>
          <w:szCs w:val="22"/>
          <w:highlight w:val="none"/>
          <w:u w:val="none"/>
          <w:lang w:val="en-US" w:eastAsia="zh-CN"/>
        </w:rPr>
      </w:pPr>
      <w:r>
        <w:rPr>
          <w:rFonts w:hint="eastAsia" w:ascii="Times New Roman" w:hAnsi="Times New Roman" w:eastAsia="宋体" w:cs="Times New Roman"/>
          <w:color w:val="000000"/>
          <w:sz w:val="21"/>
          <w:szCs w:val="22"/>
          <w:highlight w:val="none"/>
          <w:u w:val="none"/>
          <w:lang w:val="en-US" w:eastAsia="zh-CN"/>
        </w:rPr>
        <w:t xml:space="preserve">（15）</w:t>
      </w:r>
      <w:r>
        <w:rPr>
          <w:rFonts w:hint="eastAsia" w:ascii="Times New Roman" w:hAnsi="Times New Roman"/>
          <w:color w:val="000000"/>
          <w:sz w:val="21"/>
          <w:szCs w:val="22"/>
          <w:highlight w:val="none"/>
          <w:u w:val="none"/>
          <w:lang w:val="en-US" w:eastAsia="zh-CN" w:bidi="ar-SA"/>
        </w:rPr>
        <w:t xml:space="preserve">平台</w:t>
      </w:r>
      <w:r>
        <w:rPr>
          <w:rFonts w:hint="eastAsia" w:ascii="Times New Roman" w:hAnsi="Times New Roman" w:eastAsia="宋体" w:cs="Times New Roman"/>
          <w:color w:val="000000"/>
          <w:sz w:val="21"/>
          <w:szCs w:val="22"/>
          <w:highlight w:val="none"/>
          <w:u w:val="none"/>
          <w:lang w:val="en-US" w:eastAsia="zh-CN"/>
        </w:rPr>
        <w:t xml:space="preserve">支持评阅项目管理，包括直观显示论文总数统计、状态统计（未完成、已完成）；直观显示评阅书总数统计、状态统计（待匹配、待送审、送审中、评审中、已完成）等。</w:t>
      </w:r>
      <w:r/>
    </w:p>
    <w:p>
      <w:pPr>
        <w:ind w:firstLine="422"/>
        <w:jc w:val="both"/>
        <w:keepLines w:val="0"/>
        <w:keepNext w:val="0"/>
        <w:pageBreakBefore w:val="0"/>
        <w:spacing w:line="360" w:lineRule="auto"/>
        <w:widowControl w:val="off"/>
        <w:rPr>
          <w:rFonts w:ascii="Times New Roman" w:hAnsi="Times New Roman"/>
          <w:b/>
          <w:bCs/>
          <w:color w:val="000000"/>
          <w:sz w:val="21"/>
          <w:szCs w:val="22"/>
          <w:highlight w:val="none"/>
          <w:lang w:eastAsia="zh-CN"/>
        </w:rPr>
      </w:pPr>
      <w:r>
        <w:rPr>
          <w:rFonts w:hint="eastAsia" w:ascii="Times New Roman" w:hAnsi="Times New Roman"/>
          <w:b/>
          <w:bCs/>
          <w:color w:val="000000"/>
          <w:sz w:val="21"/>
          <w:szCs w:val="22"/>
          <w:highlight w:val="none"/>
          <w:lang w:val="en-US" w:eastAsia="zh-CN"/>
        </w:rPr>
        <w:t xml:space="preserve">4</w:t>
      </w:r>
      <w:r>
        <w:rPr>
          <w:rFonts w:hint="eastAsia" w:ascii="Times New Roman" w:hAnsi="Times New Roman"/>
          <w:b/>
          <w:bCs/>
          <w:color w:val="000000"/>
          <w:sz w:val="21"/>
          <w:szCs w:val="22"/>
          <w:highlight w:val="none"/>
          <w:lang w:eastAsia="zh-CN"/>
        </w:rPr>
        <w:t xml:space="preserve">、</w:t>
      </w:r>
      <w:r>
        <w:rPr>
          <w:rFonts w:hint="eastAsia" w:ascii="Times New Roman" w:hAnsi="Times New Roman"/>
          <w:b/>
          <w:bCs/>
          <w:color w:val="000000"/>
          <w:sz w:val="21"/>
          <w:szCs w:val="22"/>
          <w:highlight w:val="none"/>
          <w:lang w:val="en-US" w:eastAsia="zh-CN"/>
        </w:rPr>
        <w:t xml:space="preserve">服务需求</w:t>
      </w:r>
      <w:r/>
    </w:p>
    <w:p>
      <w:pPr>
        <w:ind w:firstLine="420"/>
        <w:jc w:val="both"/>
        <w:keepLines w:val="0"/>
        <w:keepNext w:val="0"/>
        <w:pageBreakBefore w:val="0"/>
        <w:spacing w:line="360" w:lineRule="auto"/>
        <w:widowControl w:val="off"/>
        <w:rPr>
          <w:rFonts w:ascii="Times New Roman" w:hAnsi="Times New Roman"/>
          <w:sz w:val="21"/>
          <w:szCs w:val="22"/>
          <w:highlight w:val="none"/>
          <w:lang w:eastAsia="zh-CN"/>
        </w:rPr>
      </w:pPr>
      <w:r>
        <w:rPr>
          <w:rFonts w:hint="eastAsia" w:ascii="Times New Roman" w:hAnsi="Times New Roman"/>
          <w:sz w:val="21"/>
          <w:szCs w:val="22"/>
          <w:highlight w:val="none"/>
          <w:lang w:eastAsia="zh-CN"/>
        </w:rPr>
        <w:t xml:space="preserve">（1）</w:t>
      </w:r>
      <w:r>
        <w:rPr>
          <w:rFonts w:hint="eastAsia" w:ascii="Times New Roman" w:hAnsi="Times New Roman"/>
          <w:highlight w:val="none"/>
        </w:rPr>
        <w:t xml:space="preserve">支支持按照我校研究生管理信息系统的数据格式要求，下载评审成绩、评阅意见书等，并导入我校管理系统。</w:t>
      </w:r>
      <w:r/>
    </w:p>
    <w:p>
      <w:pPr>
        <w:ind w:firstLine="420"/>
        <w:jc w:val="both"/>
        <w:keepLines w:val="0"/>
        <w:keepNext w:val="0"/>
        <w:pageBreakBefore w:val="0"/>
        <w:spacing w:line="360" w:lineRule="auto"/>
        <w:widowControl w:val="off"/>
        <w:rPr>
          <w:rFonts w:ascii="Times New Roman" w:hAnsi="Times New Roman"/>
          <w:color w:val="000000"/>
          <w:sz w:val="21"/>
          <w:szCs w:val="22"/>
          <w:highlight w:val="none"/>
          <w:lang w:eastAsia="zh-CN"/>
        </w:rPr>
      </w:pPr>
      <w:r>
        <w:rPr>
          <w:rFonts w:hint="eastAsia" w:ascii="Times New Roman" w:hAnsi="Times New Roman"/>
          <w:color w:val="000000"/>
          <w:sz w:val="21"/>
          <w:szCs w:val="22"/>
          <w:highlight w:val="none"/>
          <w:lang w:eastAsia="zh-CN"/>
        </w:rPr>
        <w:t xml:space="preserve">（2）评审周期</w:t>
      </w:r>
      <w:r>
        <w:rPr>
          <w:rFonts w:hint="eastAsia" w:ascii="Times New Roman" w:hAnsi="Times New Roman"/>
          <w:color w:val="000000"/>
          <w:sz w:val="21"/>
          <w:szCs w:val="22"/>
          <w:highlight w:val="none"/>
          <w:lang w:val="en-US" w:eastAsia="zh-CN"/>
        </w:rPr>
        <w:t xml:space="preserve">一般不多于</w:t>
      </w:r>
      <w:r>
        <w:rPr>
          <w:rFonts w:ascii="Times New Roman" w:hAnsi="Times New Roman"/>
          <w:color w:val="000000"/>
          <w:sz w:val="21"/>
          <w:szCs w:val="22"/>
          <w:highlight w:val="none"/>
          <w:lang w:eastAsia="zh-CN"/>
        </w:rPr>
        <w:t xml:space="preserve">2</w:t>
      </w:r>
      <w:r>
        <w:rPr>
          <w:rFonts w:hint="eastAsia" w:ascii="Times New Roman" w:hAnsi="Times New Roman"/>
          <w:color w:val="000000"/>
          <w:sz w:val="21"/>
          <w:szCs w:val="22"/>
          <w:highlight w:val="none"/>
          <w:lang w:val="en-US" w:eastAsia="zh-CN"/>
        </w:rPr>
        <w:t xml:space="preserve">0</w:t>
      </w:r>
      <w:r>
        <w:rPr>
          <w:rFonts w:hint="eastAsia" w:ascii="Times New Roman" w:hAnsi="Times New Roman"/>
          <w:color w:val="000000"/>
          <w:sz w:val="21"/>
          <w:szCs w:val="22"/>
          <w:highlight w:val="none"/>
          <w:lang w:eastAsia="zh-CN"/>
        </w:rPr>
        <w:t xml:space="preserve">天，供应商需在此周期内完成送审并返回合格的评审结果；</w:t>
      </w:r>
      <w:r>
        <w:rPr>
          <w:rFonts w:hint="eastAsia" w:ascii="Times New Roman" w:hAnsi="Times New Roman"/>
          <w:color w:val="000000"/>
          <w:sz w:val="21"/>
          <w:szCs w:val="22"/>
          <w:highlight w:val="none"/>
          <w:lang w:val="en-US" w:eastAsia="zh-CN"/>
        </w:rPr>
        <w:t xml:space="preserve">必要时应能提供一定数量的加急评阅服务。</w:t>
      </w:r>
      <w:r/>
    </w:p>
    <w:p>
      <w:pPr>
        <w:ind w:firstLine="420"/>
        <w:jc w:val="both"/>
        <w:keepLines w:val="0"/>
        <w:keepNext w:val="0"/>
        <w:pageBreakBefore w:val="0"/>
        <w:spacing w:line="360" w:lineRule="auto"/>
        <w:widowControl w:val="off"/>
        <w:rPr>
          <w:rFonts w:hint="eastAsia" w:ascii="Times New Roman" w:hAnsi="Times New Roman"/>
          <w:sz w:val="21"/>
          <w:szCs w:val="22"/>
          <w:highlight w:val="none"/>
          <w:lang w:val="en-US" w:eastAsia="zh-CN"/>
        </w:rPr>
      </w:pPr>
      <w:r>
        <w:rPr>
          <w:rFonts w:hint="eastAsia" w:ascii="Times New Roman" w:hAnsi="Times New Roman"/>
          <w:sz w:val="21"/>
          <w:szCs w:val="22"/>
          <w:highlight w:val="none"/>
          <w:lang w:eastAsia="zh-CN"/>
        </w:rPr>
        <w:t xml:space="preserve">（</w:t>
      </w:r>
      <w:r>
        <w:rPr>
          <w:rFonts w:hint="eastAsia" w:ascii="Times New Roman" w:hAnsi="Times New Roman"/>
          <w:sz w:val="21"/>
          <w:szCs w:val="22"/>
          <w:highlight w:val="none"/>
          <w:lang w:val="en-US" w:eastAsia="zh-CN"/>
        </w:rPr>
        <w:t xml:space="preserve">3）同一专家在一个自然月内评审我校论文材料不超过5篇。</w:t>
      </w:r>
      <w:r/>
    </w:p>
    <w:p>
      <w:pPr>
        <w:ind w:firstLine="420"/>
        <w:jc w:val="both"/>
        <w:keepLines w:val="0"/>
        <w:keepNext w:val="0"/>
        <w:pageBreakBefore w:val="0"/>
        <w:spacing w:line="360" w:lineRule="auto"/>
        <w:widowControl w:val="off"/>
        <w:rPr>
          <w:rFonts w:hint="eastAsia" w:ascii="Times New Roman" w:hAnsi="Times New Roman"/>
          <w:sz w:val="21"/>
          <w:szCs w:val="22"/>
          <w:highlight w:val="none"/>
          <w:lang w:val="en-US" w:eastAsia="zh-CN"/>
        </w:rPr>
      </w:pPr>
      <w:r>
        <w:rPr>
          <w:rFonts w:hint="eastAsia" w:ascii="Times New Roman" w:hAnsi="Times New Roman"/>
          <w:sz w:val="21"/>
          <w:szCs w:val="22"/>
          <w:highlight w:val="none"/>
          <w:lang w:val="en-US" w:eastAsia="zh-CN"/>
        </w:rPr>
        <w:t xml:space="preserve">（4）供应商需按照采购人提供的评阅意见书配置评审体系，评阅体系页面表单布局应实现对纸质评阅书的基本还原。</w:t>
      </w:r>
      <w:r/>
    </w:p>
    <w:p>
      <w:pPr>
        <w:ind w:firstLine="420"/>
        <w:jc w:val="both"/>
        <w:keepLines w:val="0"/>
        <w:keepNext w:val="0"/>
        <w:pageBreakBefore w:val="0"/>
        <w:spacing w:line="360" w:lineRule="auto"/>
        <w:widowControl w:val="off"/>
        <w:rPr>
          <w:rFonts w:hint="default" w:ascii="Times New Roman" w:hAnsi="Times New Roman"/>
          <w:sz w:val="21"/>
          <w:szCs w:val="22"/>
          <w:highlight w:val="none"/>
          <w:lang w:val="en-US" w:eastAsia="zh-CN"/>
        </w:rPr>
      </w:pPr>
      <w:r>
        <w:rPr>
          <w:rFonts w:hint="eastAsia" w:ascii="Times New Roman" w:hAnsi="Times New Roman"/>
          <w:sz w:val="21"/>
          <w:szCs w:val="22"/>
          <w:highlight w:val="none"/>
          <w:lang w:val="en-US" w:eastAsia="zh-CN"/>
        </w:rPr>
        <w:t xml:space="preserve">（5）供应商应提供完整的服务团队，包括但不限于项目联络人、送审团队、技术人员等。提供送审全委托辅助服务，无需采购人登录平台操作即可完成评审流程，但需接受采购人监督。</w:t>
      </w:r>
      <w:r/>
    </w:p>
    <w:p>
      <w:pPr>
        <w:ind w:firstLine="420"/>
        <w:jc w:val="both"/>
        <w:keepLines w:val="0"/>
        <w:keepNext w:val="0"/>
        <w:pageBreakBefore w:val="0"/>
        <w:spacing w:line="360" w:lineRule="auto"/>
        <w:widowControl w:val="off"/>
        <w:rPr>
          <w:rFonts w:ascii="Times New Roman" w:hAnsi="Times New Roman"/>
          <w:color w:val="000000"/>
          <w:sz w:val="21"/>
          <w:szCs w:val="22"/>
          <w:highlight w:val="none"/>
          <w:lang w:eastAsia="zh-CN"/>
        </w:rPr>
      </w:pPr>
      <w:r>
        <w:rPr>
          <w:rFonts w:hint="eastAsia" w:ascii="Times New Roman" w:hAnsi="Times New Roman"/>
          <w:color w:val="000000"/>
          <w:sz w:val="21"/>
          <w:szCs w:val="22"/>
          <w:highlight w:val="none"/>
          <w:lang w:eastAsia="zh-CN"/>
        </w:rPr>
        <w:t xml:space="preserve">（</w:t>
      </w:r>
      <w:r>
        <w:rPr>
          <w:rFonts w:hint="eastAsia" w:ascii="Times New Roman" w:hAnsi="Times New Roman"/>
          <w:color w:val="000000"/>
          <w:sz w:val="21"/>
          <w:szCs w:val="22"/>
          <w:highlight w:val="none"/>
          <w:lang w:val="en-US" w:eastAsia="zh-CN"/>
        </w:rPr>
        <w:t xml:space="preserve">6</w:t>
      </w:r>
      <w:r>
        <w:rPr>
          <w:rFonts w:hint="eastAsia" w:ascii="Times New Roman" w:hAnsi="Times New Roman"/>
          <w:color w:val="000000"/>
          <w:sz w:val="21"/>
          <w:szCs w:val="22"/>
          <w:highlight w:val="none"/>
          <w:lang w:eastAsia="zh-CN"/>
        </w:rPr>
        <w:t xml:space="preserve">）供应商需提供7x24小时的在线技术支持与服务，如在使用过程中因软件自身问题导致</w:t>
      </w:r>
      <w:r>
        <w:rPr>
          <w:rFonts w:hint="eastAsia" w:ascii="Times New Roman" w:hAnsi="Times New Roman"/>
          <w:color w:val="000000"/>
          <w:sz w:val="21"/>
          <w:szCs w:val="22"/>
          <w:highlight w:val="none"/>
          <w:lang w:val="en-US" w:eastAsia="zh-CN"/>
        </w:rPr>
        <w:t xml:space="preserve">采购人</w:t>
      </w:r>
      <w:r>
        <w:rPr>
          <w:rFonts w:hint="eastAsia" w:ascii="Times New Roman" w:hAnsi="Times New Roman"/>
          <w:color w:val="000000"/>
          <w:sz w:val="21"/>
          <w:szCs w:val="22"/>
          <w:highlight w:val="none"/>
          <w:lang w:eastAsia="zh-CN"/>
        </w:rPr>
        <w:t xml:space="preserve">无法正常使用，供应商应在1小时内响应，</w:t>
      </w:r>
      <w:r>
        <w:rPr>
          <w:rFonts w:hint="eastAsia" w:ascii="Times New Roman" w:hAnsi="Times New Roman"/>
          <w:sz w:val="21"/>
          <w:szCs w:val="22"/>
          <w:highlight w:val="none"/>
          <w:lang w:eastAsia="zh-CN"/>
        </w:rPr>
        <w:t xml:space="preserve">24</w:t>
      </w:r>
      <w:r>
        <w:rPr>
          <w:rFonts w:hint="eastAsia" w:ascii="Times New Roman" w:hAnsi="Times New Roman"/>
          <w:color w:val="000000"/>
          <w:sz w:val="21"/>
          <w:szCs w:val="22"/>
          <w:highlight w:val="none"/>
          <w:lang w:eastAsia="zh-CN"/>
        </w:rPr>
        <w:t xml:space="preserve">小时内解决问题。</w:t>
      </w:r>
      <w:r/>
    </w:p>
    <w:p>
      <w:pPr>
        <w:ind w:firstLine="420"/>
        <w:jc w:val="both"/>
        <w:keepLines w:val="0"/>
        <w:keepNext w:val="0"/>
        <w:pageBreakBefore w:val="0"/>
        <w:spacing w:line="360" w:lineRule="auto"/>
        <w:widowControl w:val="off"/>
        <w:rPr>
          <w:rFonts w:hint="eastAsia" w:ascii="Times New Roman" w:hAnsi="Times New Roman"/>
          <w:color w:val="auto"/>
          <w:sz w:val="21"/>
          <w:szCs w:val="22"/>
          <w:highlight w:val="none"/>
          <w:lang w:eastAsia="zh-CN"/>
        </w:rPr>
      </w:pPr>
      <w:r>
        <w:rPr>
          <w:rFonts w:hint="eastAsia" w:ascii="Times New Roman" w:hAnsi="Times New Roman"/>
          <w:color w:val="auto"/>
          <w:sz w:val="21"/>
          <w:szCs w:val="22"/>
          <w:highlight w:val="none"/>
          <w:lang w:eastAsia="zh-CN"/>
        </w:rPr>
        <w:t xml:space="preserve">（</w:t>
      </w:r>
      <w:r>
        <w:rPr>
          <w:rFonts w:hint="eastAsia" w:ascii="Times New Roman" w:hAnsi="Times New Roman"/>
          <w:color w:val="auto"/>
          <w:sz w:val="21"/>
          <w:szCs w:val="22"/>
          <w:highlight w:val="none"/>
          <w:lang w:val="en-US" w:eastAsia="zh-CN"/>
        </w:rPr>
        <w:t xml:space="preserve">7</w:t>
      </w:r>
      <w:r>
        <w:rPr>
          <w:rFonts w:hint="eastAsia" w:ascii="Times New Roman" w:hAnsi="Times New Roman"/>
          <w:color w:val="auto"/>
          <w:sz w:val="21"/>
          <w:szCs w:val="22"/>
          <w:highlight w:val="none"/>
          <w:lang w:eastAsia="zh-CN"/>
        </w:rPr>
        <w:t xml:space="preserve">）培训计划：供应商提供免费的操作及维护培训，日常随时响应采购人需求，并加强实操指导；供应商应对用户提供及时、有效的培训服务。应用人员的能力和水平是保持软件发挥良好效益的必要保障，应保证使用人员能独立在日常工作中熟练使用软件。经双方确认后制定合理的培训方案，提供技术、业务的咨询、交流和产品、技术的培训。</w:t>
      </w:r>
      <w:r/>
    </w:p>
    <w:p>
      <w:pPr>
        <w:ind w:firstLine="420"/>
        <w:jc w:val="both"/>
        <w:keepLines w:val="0"/>
        <w:keepNext w:val="0"/>
        <w:pageBreakBefore w:val="0"/>
        <w:spacing w:line="360" w:lineRule="auto"/>
        <w:widowControl w:val="off"/>
        <w:rPr>
          <w:rFonts w:hint="eastAsia" w:ascii="Times New Roman" w:hAnsi="Times New Roman"/>
          <w:color w:val="auto"/>
          <w:sz w:val="21"/>
          <w:szCs w:val="22"/>
          <w:highlight w:val="none"/>
          <w:lang w:eastAsia="zh-CN"/>
        </w:rPr>
      </w:pPr>
      <w:r>
        <w:rPr>
          <w:rFonts w:hint="eastAsia" w:ascii="Times New Roman" w:hAnsi="Times New Roman"/>
          <w:color w:val="auto"/>
          <w:sz w:val="21"/>
          <w:szCs w:val="22"/>
          <w:highlight w:val="none"/>
          <w:lang w:eastAsia="zh-CN"/>
        </w:rPr>
        <w:t xml:space="preserve">（</w:t>
      </w:r>
      <w:r>
        <w:rPr>
          <w:rFonts w:hint="eastAsia" w:ascii="Times New Roman" w:hAnsi="Times New Roman"/>
          <w:color w:val="auto"/>
          <w:sz w:val="21"/>
          <w:szCs w:val="22"/>
          <w:highlight w:val="none"/>
          <w:lang w:val="en-US" w:eastAsia="zh-CN"/>
        </w:rPr>
        <w:t xml:space="preserve">8</w:t>
      </w:r>
      <w:r>
        <w:rPr>
          <w:rFonts w:hint="eastAsia" w:ascii="Times New Roman" w:hAnsi="Times New Roman"/>
          <w:color w:val="auto"/>
          <w:sz w:val="21"/>
          <w:szCs w:val="22"/>
          <w:highlight w:val="none"/>
          <w:lang w:eastAsia="zh-CN"/>
        </w:rPr>
        <w:t xml:space="preserve">）严格遵守保密原则，不得向除评审专家外的第三方提供采购方所提交的所有送审材料及相关信息，也不得向第三方提供评审专家名单和评审结果，否则将承担一切法律责任。供应商应在投标文件中提供保密措施及具体方案。</w:t>
      </w:r>
      <w:r/>
    </w:p>
    <w:p>
      <w:pPr>
        <w:ind w:firstLine="420"/>
        <w:jc w:val="both"/>
        <w:keepLines w:val="0"/>
        <w:keepNext w:val="0"/>
        <w:pageBreakBefore w:val="0"/>
        <w:spacing w:line="360" w:lineRule="auto"/>
        <w:widowControl w:val="off"/>
        <w:rPr>
          <w:rFonts w:hint="eastAsia" w:ascii="Times New Roman" w:hAnsi="Times New Roman"/>
          <w:color w:val="auto"/>
          <w:sz w:val="21"/>
          <w:szCs w:val="22"/>
          <w:highlight w:val="none"/>
          <w:lang w:eastAsia="zh-CN"/>
        </w:rPr>
      </w:pPr>
      <w:r>
        <w:rPr>
          <w:rFonts w:hint="eastAsia" w:ascii="Times New Roman" w:hAnsi="Times New Roman"/>
          <w:color w:val="auto"/>
          <w:sz w:val="21"/>
          <w:szCs w:val="22"/>
          <w:highlight w:val="none"/>
          <w:lang w:eastAsia="zh-CN"/>
        </w:rPr>
        <w:t xml:space="preserve">（</w:t>
      </w:r>
      <w:r>
        <w:rPr>
          <w:rFonts w:hint="eastAsia" w:ascii="Times New Roman" w:hAnsi="Times New Roman"/>
          <w:color w:val="auto"/>
          <w:sz w:val="21"/>
          <w:szCs w:val="22"/>
          <w:highlight w:val="none"/>
          <w:lang w:val="en-US" w:eastAsia="zh-CN"/>
        </w:rPr>
        <w:t xml:space="preserve">9</w:t>
      </w:r>
      <w:r>
        <w:rPr>
          <w:rFonts w:hint="eastAsia" w:ascii="Times New Roman" w:hAnsi="Times New Roman"/>
          <w:color w:val="auto"/>
          <w:sz w:val="21"/>
          <w:szCs w:val="22"/>
          <w:highlight w:val="none"/>
          <w:lang w:eastAsia="zh-CN"/>
        </w:rPr>
        <w:t xml:space="preserve">）供应商须提供内容详细的整体服务方案，覆盖关于我校送审论文全过程管理。</w:t>
      </w:r>
      <w:r/>
    </w:p>
    <w:p>
      <w:pPr>
        <w:ind w:firstLine="420"/>
        <w:jc w:val="both"/>
        <w:keepLines w:val="0"/>
        <w:keepNext w:val="0"/>
        <w:pageBreakBefore w:val="0"/>
        <w:spacing w:line="360" w:lineRule="auto"/>
        <w:widowControl w:val="off"/>
        <w:rPr>
          <w:rFonts w:hint="eastAsia" w:ascii="Times New Roman" w:hAnsi="Times New Roman"/>
          <w:color w:val="auto"/>
          <w:sz w:val="21"/>
          <w:szCs w:val="22"/>
          <w:highlight w:val="none"/>
          <w:lang w:eastAsia="zh-CN"/>
        </w:rPr>
      </w:pPr>
      <w:r>
        <w:rPr>
          <w:rFonts w:hint="eastAsia" w:ascii="Times New Roman" w:hAnsi="Times New Roman"/>
          <w:color w:val="auto"/>
          <w:sz w:val="21"/>
          <w:szCs w:val="22"/>
          <w:highlight w:val="none"/>
          <w:lang w:eastAsia="zh-CN"/>
        </w:rPr>
        <w:t xml:space="preserve">（</w:t>
      </w:r>
      <w:r>
        <w:rPr>
          <w:rFonts w:hint="eastAsia" w:ascii="Times New Roman" w:hAnsi="Times New Roman"/>
          <w:color w:val="auto"/>
          <w:sz w:val="21"/>
          <w:szCs w:val="22"/>
          <w:highlight w:val="none"/>
          <w:lang w:val="en-US" w:eastAsia="zh-CN"/>
        </w:rPr>
        <w:t xml:space="preserve">10</w:t>
      </w:r>
      <w:r>
        <w:rPr>
          <w:rFonts w:hint="eastAsia" w:ascii="Times New Roman" w:hAnsi="Times New Roman"/>
          <w:color w:val="auto"/>
          <w:sz w:val="21"/>
          <w:szCs w:val="22"/>
          <w:highlight w:val="none"/>
          <w:lang w:eastAsia="zh-CN"/>
        </w:rPr>
        <w:t xml:space="preserve">）制定适用本校的实施计划包括并不限于追踪机制、预防超期管理、进度保证措施、应急预案和突发情况处理流程等。</w:t>
      </w:r>
      <w:r/>
    </w:p>
    <w:p>
      <w:pPr>
        <w:ind w:firstLine="420"/>
        <w:jc w:val="both"/>
        <w:keepLines w:val="0"/>
        <w:keepNext w:val="0"/>
        <w:pageBreakBefore w:val="0"/>
        <w:spacing w:line="360" w:lineRule="auto"/>
        <w:widowControl w:val="off"/>
        <w:rPr>
          <w:rFonts w:hint="eastAsia" w:ascii="Times New Roman" w:hAnsi="Times New Roman"/>
          <w:color w:val="auto"/>
          <w:sz w:val="21"/>
          <w:szCs w:val="22"/>
          <w:highlight w:val="none"/>
          <w:lang w:eastAsia="zh-CN"/>
        </w:rPr>
      </w:pPr>
      <w:r>
        <w:rPr>
          <w:rFonts w:hint="eastAsia" w:ascii="Times New Roman" w:hAnsi="Times New Roman"/>
          <w:color w:val="auto"/>
          <w:sz w:val="21"/>
          <w:szCs w:val="22"/>
          <w:highlight w:val="none"/>
          <w:lang w:eastAsia="zh-CN"/>
        </w:rPr>
        <w:t xml:space="preserve">（</w:t>
      </w:r>
      <w:r>
        <w:rPr>
          <w:rFonts w:hint="eastAsia" w:ascii="Times New Roman" w:hAnsi="Times New Roman"/>
          <w:color w:val="auto"/>
          <w:sz w:val="21"/>
          <w:szCs w:val="22"/>
          <w:highlight w:val="none"/>
          <w:lang w:val="en-US" w:eastAsia="zh-CN"/>
        </w:rPr>
        <w:t xml:space="preserve">11</w:t>
      </w:r>
      <w:r>
        <w:rPr>
          <w:rFonts w:hint="eastAsia" w:ascii="Times New Roman" w:hAnsi="Times New Roman"/>
          <w:color w:val="auto"/>
          <w:sz w:val="21"/>
          <w:szCs w:val="22"/>
          <w:highlight w:val="none"/>
          <w:lang w:eastAsia="zh-CN"/>
        </w:rPr>
        <w:t xml:space="preserve">）检查专家评阅结果，发现评阅结果宽泛、评阅意见不具体</w:t>
      </w:r>
      <w:r>
        <w:rPr>
          <w:rFonts w:hint="eastAsia" w:ascii="Times New Roman" w:hAnsi="Times New Roman"/>
          <w:color w:val="auto"/>
          <w:sz w:val="21"/>
          <w:szCs w:val="22"/>
          <w:highlight w:val="none"/>
          <w:lang w:val="en-US" w:eastAsia="zh-CN"/>
        </w:rPr>
        <w:t xml:space="preserve">或明显错误</w:t>
      </w:r>
      <w:r>
        <w:rPr>
          <w:rFonts w:hint="eastAsia" w:ascii="Times New Roman" w:hAnsi="Times New Roman"/>
          <w:color w:val="auto"/>
          <w:sz w:val="21"/>
          <w:szCs w:val="22"/>
          <w:highlight w:val="none"/>
          <w:lang w:eastAsia="zh-CN"/>
        </w:rPr>
        <w:t xml:space="preserve">的情况，供应商应及时联系专家修改</w:t>
      </w:r>
      <w:r>
        <w:rPr>
          <w:rFonts w:hint="eastAsia" w:ascii="Times New Roman" w:hAnsi="Times New Roman"/>
          <w:color w:val="auto"/>
          <w:sz w:val="21"/>
          <w:szCs w:val="22"/>
          <w:highlight w:val="none"/>
          <w:lang w:val="en-US" w:eastAsia="zh-CN"/>
        </w:rPr>
        <w:t xml:space="preserve">完善</w:t>
      </w:r>
      <w:r>
        <w:rPr>
          <w:rFonts w:hint="eastAsia" w:ascii="Times New Roman" w:hAnsi="Times New Roman"/>
          <w:color w:val="auto"/>
          <w:sz w:val="21"/>
          <w:szCs w:val="22"/>
          <w:highlight w:val="none"/>
          <w:lang w:eastAsia="zh-CN"/>
        </w:rPr>
        <w:t xml:space="preserve">。</w:t>
      </w:r>
      <w:r/>
    </w:p>
    <w:p>
      <w:pPr>
        <w:ind w:firstLine="420"/>
        <w:jc w:val="both"/>
        <w:keepLines w:val="0"/>
        <w:keepNext w:val="0"/>
        <w:pageBreakBefore w:val="0"/>
        <w:spacing w:line="360" w:lineRule="auto"/>
        <w:widowControl w:val="off"/>
        <w:rPr>
          <w:rFonts w:hint="eastAsia" w:ascii="Times New Roman" w:hAnsi="Times New Roman"/>
          <w:color w:val="auto"/>
          <w:sz w:val="21"/>
          <w:szCs w:val="22"/>
          <w:highlight w:val="none"/>
          <w:lang w:eastAsia="zh-CN"/>
        </w:rPr>
      </w:pPr>
      <w:r>
        <w:rPr>
          <w:rFonts w:hint="eastAsia" w:ascii="Times New Roman" w:hAnsi="Times New Roman"/>
          <w:color w:val="auto"/>
          <w:sz w:val="21"/>
          <w:szCs w:val="22"/>
          <w:highlight w:val="none"/>
          <w:lang w:eastAsia="zh-CN"/>
        </w:rPr>
        <w:t xml:space="preserve">（</w:t>
      </w:r>
      <w:r>
        <w:rPr>
          <w:rFonts w:hint="eastAsia" w:ascii="Times New Roman" w:hAnsi="Times New Roman"/>
          <w:color w:val="auto"/>
          <w:sz w:val="21"/>
          <w:szCs w:val="22"/>
          <w:highlight w:val="none"/>
          <w:lang w:val="en-US" w:eastAsia="zh-CN"/>
        </w:rPr>
        <w:t xml:space="preserve">12</w:t>
      </w:r>
      <w:r>
        <w:rPr>
          <w:rFonts w:hint="eastAsia" w:ascii="Times New Roman" w:hAnsi="Times New Roman"/>
          <w:color w:val="auto"/>
          <w:sz w:val="21"/>
          <w:szCs w:val="22"/>
          <w:highlight w:val="none"/>
          <w:lang w:eastAsia="zh-CN"/>
        </w:rPr>
        <w:t xml:space="preserve">）供应商在完成论文送审服务后，需对评审结果质量终身负责，同时长期提供平台的免费查询功能，以供随时查阅、下载、使用评审结果。</w:t>
      </w:r>
      <w:r/>
    </w:p>
    <w:p>
      <w:pPr>
        <w:ind w:firstLine="422"/>
        <w:jc w:val="both"/>
        <w:keepLines w:val="0"/>
        <w:keepNext w:val="0"/>
        <w:pageBreakBefore w:val="0"/>
        <w:spacing w:line="360" w:lineRule="auto"/>
        <w:widowControl w:val="off"/>
        <w:rPr>
          <w:rFonts w:ascii="Times New Roman" w:hAnsi="Times New Roman"/>
          <w:b/>
          <w:bCs/>
          <w:color w:val="000000"/>
          <w:sz w:val="21"/>
          <w:szCs w:val="22"/>
          <w:highlight w:val="none"/>
          <w:lang w:eastAsia="zh-CN"/>
        </w:rPr>
      </w:pPr>
      <w:r>
        <w:rPr>
          <w:rFonts w:hint="eastAsia" w:ascii="Times New Roman" w:hAnsi="Times New Roman"/>
          <w:b/>
          <w:bCs/>
          <w:color w:val="000000"/>
          <w:sz w:val="21"/>
          <w:szCs w:val="22"/>
          <w:highlight w:val="none"/>
          <w:lang w:val="en-US" w:eastAsia="zh-CN"/>
        </w:rPr>
        <w:t xml:space="preserve">5</w:t>
      </w:r>
      <w:r>
        <w:rPr>
          <w:rFonts w:hint="eastAsia" w:ascii="Times New Roman" w:hAnsi="Times New Roman"/>
          <w:b/>
          <w:bCs/>
          <w:color w:val="000000"/>
          <w:sz w:val="21"/>
          <w:szCs w:val="22"/>
          <w:highlight w:val="none"/>
          <w:lang w:eastAsia="zh-CN"/>
        </w:rPr>
        <w:t xml:space="preserve">、付款方式</w:t>
      </w:r>
      <w:r/>
    </w:p>
    <w:p>
      <w:pPr>
        <w:ind w:firstLine="420"/>
        <w:jc w:val="both"/>
        <w:keepLines w:val="0"/>
        <w:keepNext w:val="0"/>
        <w:pageBreakBefore w:val="0"/>
        <w:spacing w:line="360" w:lineRule="auto"/>
        <w:widowControl w:val="off"/>
        <w:rPr>
          <w:rFonts w:ascii="Times New Roman" w:hAnsi="Times New Roman"/>
          <w:color w:val="000000"/>
          <w:sz w:val="21"/>
          <w:szCs w:val="22"/>
          <w:highlight w:val="none"/>
          <w:lang w:eastAsia="zh-CN"/>
        </w:rPr>
      </w:pPr>
      <w:r>
        <w:rPr>
          <w:rFonts w:hint="eastAsia" w:ascii="Times New Roman" w:hAnsi="Times New Roman"/>
          <w:color w:val="000000"/>
          <w:sz w:val="21"/>
          <w:szCs w:val="22"/>
          <w:highlight w:val="none"/>
          <w:lang w:eastAsia="zh-CN"/>
        </w:rPr>
        <w:t xml:space="preserve">（1）合同生效，提交送审后，供应商开具发票，</w:t>
      </w:r>
      <w:r>
        <w:rPr>
          <w:rFonts w:hint="eastAsia" w:ascii="Times New Roman" w:hAnsi="Times New Roman"/>
          <w:color w:val="000000"/>
          <w:sz w:val="21"/>
          <w:szCs w:val="22"/>
          <w:highlight w:val="none"/>
          <w:lang w:val="en-US" w:eastAsia="zh-CN"/>
        </w:rPr>
        <w:t xml:space="preserve">采购人</w:t>
      </w:r>
      <w:r>
        <w:rPr>
          <w:rFonts w:hint="eastAsia" w:ascii="Times New Roman" w:hAnsi="Times New Roman"/>
          <w:color w:val="000000"/>
          <w:sz w:val="21"/>
          <w:szCs w:val="22"/>
          <w:highlight w:val="none"/>
          <w:lang w:eastAsia="zh-CN"/>
        </w:rPr>
        <w:t xml:space="preserve">收到发票后，15天内付款。按批次结算。</w:t>
      </w:r>
      <w:r/>
    </w:p>
    <w:p>
      <w:pPr>
        <w:ind w:firstLine="420"/>
        <w:jc w:val="both"/>
        <w:keepLines w:val="0"/>
        <w:keepNext w:val="0"/>
        <w:pageBreakBefore w:val="0"/>
        <w:spacing w:line="360" w:lineRule="auto"/>
        <w:widowControl w:val="off"/>
        <w:rPr>
          <w:rFonts w:ascii="Times New Roman" w:hAnsi="Times New Roman"/>
          <w:color w:val="000000"/>
          <w:sz w:val="21"/>
          <w:szCs w:val="22"/>
          <w:highlight w:val="none"/>
          <w:lang w:eastAsia="zh-CN"/>
        </w:rPr>
      </w:pPr>
      <w:r>
        <w:rPr>
          <w:rFonts w:hint="eastAsia" w:ascii="Times New Roman" w:hAnsi="Times New Roman"/>
          <w:color w:val="000000"/>
          <w:sz w:val="21"/>
          <w:szCs w:val="22"/>
          <w:highlight w:val="none"/>
          <w:lang w:eastAsia="zh-CN"/>
        </w:rPr>
        <w:t xml:space="preserve">（2）当采购数量与实际使用数量不一致时，</w:t>
      </w:r>
      <w:r>
        <w:rPr>
          <w:rFonts w:hint="eastAsia" w:ascii="Times New Roman" w:hAnsi="Times New Roman"/>
          <w:color w:val="000000"/>
          <w:sz w:val="21"/>
          <w:szCs w:val="22"/>
          <w:highlight w:val="none"/>
          <w:lang w:val="en-US" w:eastAsia="zh-CN"/>
        </w:rPr>
        <w:t xml:space="preserve">供应商</w:t>
      </w:r>
      <w:r>
        <w:rPr>
          <w:rFonts w:hint="eastAsia" w:ascii="Times New Roman" w:hAnsi="Times New Roman"/>
          <w:color w:val="000000"/>
          <w:sz w:val="21"/>
          <w:szCs w:val="22"/>
          <w:highlight w:val="none"/>
          <w:lang w:eastAsia="zh-CN"/>
        </w:rPr>
        <w:t xml:space="preserve">根据实际使用量提供产品和服务，合同的最终结算金额按实际使用量乘以成交单价进行计算。</w:t>
      </w:r>
      <w:r/>
    </w:p>
    <w:p>
      <w:pPr>
        <w:ind w:firstLine="422"/>
        <w:jc w:val="both"/>
        <w:keepLines w:val="0"/>
        <w:keepNext w:val="0"/>
        <w:pageBreakBefore w:val="0"/>
        <w:spacing w:line="360" w:lineRule="auto"/>
        <w:widowControl w:val="off"/>
        <w:rPr>
          <w:rFonts w:ascii="Times New Roman" w:hAnsi="Times New Roman"/>
          <w:color w:val="000000"/>
          <w:sz w:val="21"/>
          <w:szCs w:val="22"/>
          <w:highlight w:val="none"/>
          <w:lang w:eastAsia="zh-CN"/>
        </w:rPr>
      </w:pPr>
      <w:r>
        <w:rPr>
          <w:rFonts w:hint="eastAsia" w:ascii="Times New Roman" w:hAnsi="Times New Roman"/>
          <w:b/>
          <w:bCs/>
          <w:color w:val="000000"/>
          <w:sz w:val="21"/>
          <w:szCs w:val="22"/>
          <w:highlight w:val="none"/>
          <w:lang w:val="en-US" w:eastAsia="zh-CN"/>
        </w:rPr>
        <w:t xml:space="preserve">6</w:t>
      </w:r>
      <w:r>
        <w:rPr>
          <w:rFonts w:hint="eastAsia" w:ascii="Times New Roman" w:hAnsi="Times New Roman"/>
          <w:b/>
          <w:bCs/>
          <w:color w:val="000000"/>
          <w:sz w:val="21"/>
          <w:szCs w:val="22"/>
          <w:highlight w:val="none"/>
          <w:lang w:eastAsia="zh-CN"/>
        </w:rPr>
        <w:t xml:space="preserve">、服务期限</w:t>
      </w:r>
      <w:r/>
    </w:p>
    <w:p>
      <w:pPr>
        <w:ind w:firstLine="420"/>
        <w:jc w:val="both"/>
        <w:keepLines w:val="0"/>
        <w:keepNext w:val="0"/>
        <w:pageBreakBefore w:val="0"/>
        <w:spacing w:line="360" w:lineRule="auto"/>
        <w:widowControl w:val="off"/>
        <w:rPr>
          <w:rFonts w:ascii="Times New Roman" w:hAnsi="Times New Roman"/>
          <w:color w:val="000000"/>
          <w:sz w:val="21"/>
          <w:szCs w:val="22"/>
          <w:highlight w:val="none"/>
          <w:lang w:val="zh-CN" w:eastAsia="zh-CN"/>
        </w:rPr>
      </w:pPr>
      <w:r>
        <w:rPr>
          <w:rFonts w:hint="eastAsia" w:ascii="Times New Roman" w:hAnsi="Times New Roman"/>
          <w:color w:val="000000"/>
          <w:sz w:val="21"/>
          <w:szCs w:val="22"/>
          <w:highlight w:val="none"/>
          <w:lang w:eastAsia="zh-CN"/>
        </w:rPr>
        <w:t xml:space="preserve">自合同签订之日起1年整。一年合同期满前，经采购人组织评审，对服务情况满意的，经双方商定同意，可续签服务合同。续签最多不超过2次，一年一签。</w:t>
      </w:r>
      <w:r/>
    </w:p>
    <w:p>
      <w:pPr>
        <w:numPr>
          <w:ilvl w:val="0"/>
          <w:numId w:val="5"/>
        </w:numPr>
        <w:ind w:firstLine="422"/>
        <w:jc w:val="left"/>
        <w:keepLines w:val="0"/>
        <w:keepNext w:val="0"/>
        <w:pageBreakBefore w:val="0"/>
        <w:spacing w:line="48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eastAsia="zh-CN"/>
        </w:rPr>
        <w:t xml:space="preserve">如</w:t>
      </w:r>
      <w:r>
        <w:rPr>
          <w:rFonts w:hint="eastAsia" w:ascii="宋体" w:hAnsi="宋体" w:eastAsia="宋体" w:cs="宋体"/>
          <w:b/>
          <w:bCs/>
          <w:sz w:val="21"/>
          <w:szCs w:val="21"/>
          <w:highlight w:val="none"/>
          <w:lang w:val="en-US" w:eastAsia="zh-CN"/>
        </w:rPr>
        <w:t xml:space="preserve">中标</w:t>
      </w:r>
      <w:r>
        <w:rPr>
          <w:rFonts w:hint="eastAsia" w:ascii="宋体" w:hAnsi="宋体" w:eastAsia="宋体" w:cs="宋体"/>
          <w:b/>
          <w:bCs/>
          <w:sz w:val="21"/>
          <w:szCs w:val="21"/>
          <w:highlight w:val="none"/>
          <w:lang w:eastAsia="zh-CN"/>
        </w:rPr>
        <w:t xml:space="preserve">候选供应商在规定时间不与学校签订合同、主动放弃成交资格或无正当理由终止合同履行的，将列入学校不良行为记录名单，我校保留在一至三年内禁止其参加学校采购活动的权利。</w:t>
      </w:r>
      <w:r/>
    </w:p>
    <w:p>
      <w:pPr>
        <w:ind w:firstLine="422"/>
        <w:jc w:val="left"/>
        <w:spacing w:line="480" w:lineRule="exact"/>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Times New Roman" w:hAnsi="Times New Roman"/>
          <w:b/>
          <w:bCs/>
          <w:color w:val="000000" w:themeColor="text1"/>
          <w:sz w:val="21"/>
          <w:szCs w:val="22"/>
          <w:highlight w:val="none"/>
          <w:lang w:val="en-US" w:eastAsia="zh-CN" w:bidi="ar-SA"/>
          <w14:textFill>
            <w14:solidFill>
              <w14:schemeClr w14:val="tx1"/>
            </w14:solidFill>
          </w14:textFill>
        </w:rPr>
        <w:t xml:space="preserve">8、</w:t>
      </w:r>
      <w:bookmarkEnd w:id="51"/>
      <w:r/>
      <w:bookmarkEnd w:id="52"/>
      <w:r/>
      <w:bookmarkEnd w:id="53"/>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演示要求</w:t>
      </w:r>
      <w:r/>
    </w:p>
    <w:p>
      <w:pPr>
        <w:ind w:firstLine="422"/>
        <w:jc w:val="left"/>
        <w:spacing w:line="480" w:lineRule="exact"/>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（1）投标人需按照招标文件规定的演示内容制作演示视频文件，视频文件的格式为*.mp4或*.avi，投标人须将视频文件分段压缩为*.zip文件上传(</w:t>
      </w:r>
      <w:r>
        <w:rPr>
          <w:rFonts w:hint="eastAsia" w:ascii="宋体" w:hAnsi="宋体" w:cs="宋体"/>
          <w:b/>
          <w:bCs/>
          <w:color w:val="000000" w:themeColor="text1"/>
          <w:szCs w:val="21"/>
          <w:highlight w:val="none"/>
          <w14:textFill>
            <w14:solidFill>
              <w14:schemeClr w14:val="tx1"/>
            </w14:solidFill>
          </w14:textFill>
        </w:rPr>
        <w:t xml:space="preserve">单个视频附件压缩包大小不得超过50M，整体附件压缩包不得超过300M，压缩包文件格式为zip格式。</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)。上传的演示视频将作为投标文件的组成部分，视频时长总计不超过15分钟。</w:t>
      </w:r>
      <w:r/>
    </w:p>
    <w:p>
      <w:pPr>
        <w:ind w:firstLine="422"/>
        <w:jc w:val="left"/>
        <w:spacing w:line="480" w:lineRule="exact"/>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（2）投标人采用类似真实系统针对具体演示内容进行展示，并录制演示视频文件，视频画面须清晰。视频文件未提供或因供应商自身原因无法打开的不得分。</w:t>
      </w:r>
      <w:r/>
    </w:p>
    <w:p>
      <w:pPr>
        <w:rPr>
          <w:rFonts w:hint="eastAsia" w:ascii="宋体" w:hAnsi="宋体" w:eastAsia="宋体" w:cs="Times New Roman"/>
          <w:b/>
          <w:bCs/>
          <w:color w:val="auto"/>
          <w:sz w:val="44"/>
          <w:szCs w:val="36"/>
          <w:highlight w:val="none"/>
          <w:lang w:val="en-US" w:eastAsia="zh-CN" w:bidi="ar-SA"/>
        </w:rPr>
      </w:pPr>
      <w:r>
        <w:rPr>
          <w:rFonts w:hint="eastAsia" w:ascii="宋体" w:hAnsi="宋体" w:eastAsia="宋体" w:cs="Times New Roman"/>
          <w:b/>
          <w:bCs/>
          <w:color w:val="auto"/>
          <w:sz w:val="44"/>
          <w:szCs w:val="36"/>
          <w:highlight w:val="none"/>
          <w:lang w:val="en-US" w:eastAsia="zh-CN" w:bidi="ar-SA"/>
        </w:rPr>
        <w:br w:type="page" w:clear="all"/>
      </w:r>
      <w:r/>
    </w:p>
    <w:p>
      <w:pPr>
        <w:pStyle w:val="941"/>
        <w:numPr>
          <w:ilvl w:val="0"/>
          <w:numId w:val="0"/>
        </w:numPr>
        <w:ind w:firstLine="883"/>
        <w:jc w:val="center"/>
        <w:pageBreakBefore w:val="0"/>
        <w:spacing w:line="360" w:lineRule="auto"/>
        <w:rPr>
          <w:rFonts w:hint="eastAsia" w:ascii="宋体" w:hAnsi="宋体"/>
          <w:b/>
          <w:bCs/>
          <w:color w:val="auto"/>
          <w:sz w:val="44"/>
          <w:szCs w:val="36"/>
          <w:highlight w:val="none"/>
        </w:rPr>
      </w:pPr>
      <w:r>
        <w:rPr>
          <w:rFonts w:hint="eastAsia" w:ascii="宋体" w:hAnsi="宋体" w:eastAsia="宋体" w:cs="Times New Roman"/>
          <w:b/>
          <w:bCs/>
          <w:color w:val="auto"/>
          <w:sz w:val="44"/>
          <w:szCs w:val="36"/>
          <w:highlight w:val="none"/>
          <w:lang w:val="en-US" w:eastAsia="zh-CN" w:bidi="ar-SA"/>
        </w:rPr>
        <w:t xml:space="preserve">第五章</w:t>
      </w:r>
      <w:r>
        <w:rPr>
          <w:rFonts w:hint="eastAsia" w:ascii="宋体" w:hAnsi="宋体" w:cs="Times New Roman"/>
          <w:b/>
          <w:bCs/>
          <w:color w:val="auto"/>
          <w:sz w:val="44"/>
          <w:szCs w:val="36"/>
          <w:highlight w:val="none"/>
          <w:lang w:val="en-US" w:eastAsia="zh-CN" w:bidi="ar-SA"/>
        </w:rPr>
        <w:t xml:space="preserve"> </w:t>
      </w:r>
      <w:r>
        <w:rPr>
          <w:rFonts w:hint="eastAsia" w:ascii="宋体" w:hAnsi="宋体"/>
          <w:b/>
          <w:bCs/>
          <w:color w:val="auto"/>
          <w:sz w:val="44"/>
          <w:szCs w:val="36"/>
          <w:highlight w:val="none"/>
        </w:rPr>
        <w:t xml:space="preserve">评标方法及评标标准</w:t>
      </w:r>
      <w:bookmarkEnd w:id="54"/>
      <w:r/>
      <w:r/>
    </w:p>
    <w:p>
      <w:pPr>
        <w:numPr>
          <w:ilvl w:val="0"/>
          <w:numId w:val="6"/>
        </w:numPr>
        <w:ind w:firstLine="422"/>
        <w:keepLines w:val="0"/>
        <w:keepNext w:val="0"/>
        <w:pageBreakBefore w:val="0"/>
        <w:spacing w:line="360" w:lineRule="auto"/>
        <w:rPr>
          <w:color w:val="auto"/>
          <w:highlight w:val="none"/>
        </w:rPr>
      </w:pPr>
      <w:r>
        <w:rPr>
          <w:rFonts w:hint="eastAsia"/>
          <w:b/>
          <w:bCs/>
          <w:color w:val="auto"/>
          <w:highlight w:val="none"/>
        </w:rPr>
        <w:t xml:space="preserve">评标方法</w:t>
      </w:r>
      <w:r/>
    </w:p>
    <w:p>
      <w:pPr>
        <w:pStyle w:val="952"/>
        <w:ind w:firstLine="420"/>
        <w:keepLines w:val="0"/>
        <w:keepNext w:val="0"/>
        <w:pageBreakBefore w:val="0"/>
        <w:spacing w:line="360" w:lineRule="auto"/>
        <w:rPr>
          <w:rFonts w:hint="eastAsia" w:ascii="Times New Roman" w:hAnsi="Times New Roman"/>
          <w:sz w:val="21"/>
          <w:szCs w:val="21"/>
          <w:highlight w:val="none"/>
        </w:rPr>
      </w:pPr>
      <w:r/>
      <w:bookmarkStart w:id="55" w:name="_Toc449017024"/>
      <w:r/>
      <w:bookmarkStart w:id="56" w:name="_Toc449016388"/>
      <w:r>
        <w:rPr>
          <w:rFonts w:hint="eastAsia" w:ascii="Times New Roman" w:hAnsi="Times New Roman"/>
          <w:sz w:val="21"/>
          <w:szCs w:val="21"/>
          <w:highlight w:val="none"/>
        </w:rPr>
        <w:t xml:space="preserve">本项目采用综合评分法，评委会将对确定为实质性响应采购文件要求的投标文件进行评价和比较。评审结果按综合得分由高到低顺序排列。得分相同的，按报价由低到高顺序排列。得分且报价相同的并列，投标文件满足采购文件全部实质性要求，且按照评审因素的量化指标评审得分最高的前三名供应商为中标候选人。</w:t>
      </w:r>
      <w:r/>
    </w:p>
    <w:p>
      <w:pPr>
        <w:ind w:firstLine="422"/>
        <w:keepLines w:val="0"/>
        <w:keepNext w:val="0"/>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w:t>
      </w:r>
      <w:bookmarkStart w:id="57" w:name="OLE_LINK2"/>
      <w:r>
        <w:rPr>
          <w:rFonts w:hint="eastAsia" w:ascii="Times New Roman" w:hAnsi="Times New Roman"/>
          <w:sz w:val="21"/>
          <w:szCs w:val="21"/>
          <w:highlight w:val="none"/>
          <w:lang w:val="en-US" w:eastAsia="zh-CN"/>
        </w:rPr>
        <w:t xml:space="preserve">或重新招标</w:t>
      </w:r>
      <w:bookmarkEnd w:id="57"/>
      <w:r>
        <w:rPr>
          <w:rFonts w:hint="eastAsia" w:ascii="Times New Roman" w:hAnsi="Times New Roman"/>
          <w:sz w:val="21"/>
          <w:szCs w:val="21"/>
          <w:highlight w:val="none"/>
        </w:rPr>
        <w:t xml:space="preserve">；排名第二的中标候选人因同样的原因不能签订合同的，采购人可以确定排名第三的中标候选人为中标人</w:t>
      </w:r>
      <w:r>
        <w:rPr>
          <w:rFonts w:hint="eastAsia" w:ascii="Times New Roman" w:hAnsi="Times New Roman"/>
          <w:sz w:val="21"/>
          <w:szCs w:val="21"/>
          <w:highlight w:val="none"/>
          <w:lang w:val="en-US" w:eastAsia="zh-CN"/>
        </w:rPr>
        <w:t xml:space="preserve">或重新招标</w:t>
      </w:r>
      <w:r>
        <w:rPr>
          <w:rFonts w:hint="eastAsia" w:ascii="Times New Roman" w:hAnsi="Times New Roman"/>
          <w:sz w:val="21"/>
          <w:szCs w:val="21"/>
          <w:highlight w:val="none"/>
        </w:rPr>
        <w:t xml:space="preserve">；以此类推，直至选出合格的中标人。</w:t>
      </w:r>
      <w:r>
        <w:rPr>
          <w:rFonts w:hint="eastAsia" w:ascii="Times New Roman" w:hAnsi="Times New Roman"/>
          <w:sz w:val="21"/>
          <w:szCs w:val="21"/>
          <w:highlight w:val="none"/>
          <w:lang w:val="en-US" w:eastAsia="zh-CN"/>
        </w:rPr>
        <w:t xml:space="preserve">单包</w:t>
      </w:r>
      <w:r>
        <w:rPr>
          <w:rFonts w:hint="eastAsia" w:ascii="Times New Roman" w:hAnsi="Times New Roman"/>
          <w:sz w:val="21"/>
          <w:szCs w:val="21"/>
          <w:highlight w:val="none"/>
        </w:rPr>
        <w:t xml:space="preserve">有效中标候选人不足三家的，本项目终止采购。</w:t>
      </w:r>
      <w:r/>
    </w:p>
    <w:p>
      <w:pPr>
        <w:ind w:firstLine="422"/>
        <w:keepLines w:val="0"/>
        <w:keepNext w:val="0"/>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若同一投标人在</w:t>
      </w:r>
      <w:r>
        <w:rPr>
          <w:rFonts w:hint="eastAsia" w:ascii="Times New Roman" w:hAnsi="Times New Roman"/>
          <w:sz w:val="21"/>
          <w:szCs w:val="21"/>
          <w:highlight w:val="none"/>
          <w:lang w:val="en-US" w:eastAsia="zh-CN"/>
        </w:rPr>
        <w:t xml:space="preserve">多个包中</w:t>
      </w:r>
      <w:r>
        <w:rPr>
          <w:rFonts w:hint="eastAsia" w:ascii="Times New Roman" w:hAnsi="Times New Roman"/>
          <w:sz w:val="21"/>
          <w:szCs w:val="21"/>
          <w:highlight w:val="none"/>
        </w:rPr>
        <w:t xml:space="preserve">同时总分排名第一，且投标报价不同，则根据其报价</w:t>
      </w:r>
      <w:r>
        <w:rPr>
          <w:rFonts w:hint="eastAsia" w:ascii="Times New Roman" w:hAnsi="Times New Roman"/>
          <w:sz w:val="21"/>
          <w:szCs w:val="21"/>
          <w:highlight w:val="none"/>
          <w:lang w:val="en-US" w:eastAsia="zh-CN"/>
        </w:rPr>
        <w:t xml:space="preserve">总价</w:t>
      </w:r>
      <w:r>
        <w:rPr>
          <w:rFonts w:hint="eastAsia" w:ascii="Times New Roman" w:hAnsi="Times New Roman"/>
          <w:sz w:val="21"/>
          <w:szCs w:val="21"/>
          <w:highlight w:val="none"/>
        </w:rPr>
        <w:t xml:space="preserve">最低的确定为相应包</w:t>
      </w:r>
      <w:r>
        <w:rPr>
          <w:rFonts w:hint="eastAsia" w:ascii="Times New Roman" w:hAnsi="Times New Roman"/>
          <w:sz w:val="21"/>
          <w:szCs w:val="21"/>
          <w:highlight w:val="none"/>
          <w:lang w:val="en-US" w:eastAsia="zh-CN"/>
        </w:rPr>
        <w:t xml:space="preserve">的</w:t>
      </w:r>
      <w:r>
        <w:rPr>
          <w:rFonts w:hint="eastAsia" w:ascii="Times New Roman" w:hAnsi="Times New Roman"/>
          <w:sz w:val="21"/>
          <w:szCs w:val="21"/>
          <w:highlight w:val="none"/>
        </w:rPr>
        <w:t xml:space="preserve">第一中标候选人，其他包不再参与中标候选人推选，以此类推。</w:t>
      </w:r>
      <w:r/>
    </w:p>
    <w:p>
      <w:pPr>
        <w:ind w:firstLine="422"/>
        <w:keepLines w:val="0"/>
        <w:keepNext w:val="0"/>
        <w:pageBreakBefore w:val="0"/>
        <w:spacing w:line="360" w:lineRule="auto"/>
        <w:rPr>
          <w:rFonts w:hint="eastAsia"/>
          <w:highlight w:val="none"/>
        </w:rPr>
      </w:pPr>
      <w:r>
        <w:rPr>
          <w:rFonts w:hint="eastAsia" w:ascii="Times New Roman" w:hAnsi="Times New Roman"/>
          <w:sz w:val="21"/>
          <w:szCs w:val="21"/>
          <w:highlight w:val="none"/>
        </w:rPr>
        <w:t xml:space="preserve">若同一投标人在</w:t>
      </w:r>
      <w:r>
        <w:rPr>
          <w:rFonts w:hint="eastAsia" w:ascii="Times New Roman" w:hAnsi="Times New Roman"/>
          <w:sz w:val="21"/>
          <w:szCs w:val="21"/>
          <w:highlight w:val="none"/>
          <w:lang w:val="en-US" w:eastAsia="zh-CN"/>
        </w:rPr>
        <w:t xml:space="preserve">多个包中</w:t>
      </w:r>
      <w:r>
        <w:rPr>
          <w:rFonts w:hint="eastAsia" w:ascii="Times New Roman" w:hAnsi="Times New Roman"/>
          <w:sz w:val="21"/>
          <w:szCs w:val="21"/>
          <w:highlight w:val="none"/>
        </w:rPr>
        <w:t xml:space="preserve">同时总分排名第一，且投标报价相同，则根据包一</w:t>
      </w:r>
      <w:r>
        <w:rPr>
          <w:rFonts w:hint="eastAsia" w:ascii="Times New Roman" w:hAnsi="Times New Roman"/>
          <w:sz w:val="21"/>
          <w:szCs w:val="21"/>
          <w:highlight w:val="none"/>
          <w:lang w:val="en-US" w:eastAsia="zh-CN"/>
        </w:rPr>
        <w:t xml:space="preserve">至</w:t>
      </w:r>
      <w:r>
        <w:rPr>
          <w:rFonts w:hint="eastAsia" w:ascii="Times New Roman" w:hAnsi="Times New Roman"/>
          <w:sz w:val="21"/>
          <w:szCs w:val="21"/>
          <w:highlight w:val="none"/>
        </w:rPr>
        <w:t xml:space="preserve">包二</w:t>
      </w:r>
      <w:r>
        <w:rPr>
          <w:rFonts w:hint="eastAsia" w:ascii="Times New Roman" w:hAnsi="Times New Roman"/>
          <w:sz w:val="21"/>
          <w:szCs w:val="21"/>
          <w:highlight w:val="none"/>
          <w:lang w:val="en-US" w:eastAsia="zh-CN"/>
        </w:rPr>
        <w:t xml:space="preserve">至包三</w:t>
      </w:r>
      <w:r>
        <w:rPr>
          <w:rFonts w:hint="eastAsia" w:ascii="Times New Roman" w:hAnsi="Times New Roman"/>
          <w:sz w:val="21"/>
          <w:szCs w:val="21"/>
          <w:highlight w:val="none"/>
        </w:rPr>
        <w:t xml:space="preserve">的顺序，确定中标候选人。同一投标人已在前包被确定为第一中标候选人，其他包不再参与中标候选人推选，以此类推。</w:t>
      </w:r>
      <w:r/>
    </w:p>
    <w:p>
      <w:pPr>
        <w:ind w:firstLine="422"/>
        <w:keepLines w:val="0"/>
        <w:keepNext w:val="0"/>
        <w:pageBreakBefore w:val="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二、政府采购政策功能落实</w:t>
      </w:r>
      <w:bookmarkEnd w:id="55"/>
      <w:r/>
      <w:bookmarkEnd w:id="56"/>
      <w:r/>
      <w:r/>
    </w:p>
    <w:p>
      <w:pPr>
        <w:ind w:firstLine="422"/>
        <w:keepLines w:val="0"/>
        <w:keepNext w:val="0"/>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1、中小企业</w:t>
      </w:r>
      <w:r/>
    </w:p>
    <w:p>
      <w:pPr>
        <w:ind w:firstLine="422"/>
        <w:keepLines w:val="0"/>
        <w:keepNext w:val="0"/>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（1）供应商需按照采购文件的要求提供相应的《中小企业声明函》。</w:t>
      </w:r>
      <w:r/>
    </w:p>
    <w:p>
      <w:pPr>
        <w:ind w:firstLine="422"/>
        <w:keepLines w:val="0"/>
        <w:keepNext w:val="0"/>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（2）企业标准请参照《关于印发中小企业划型标准规定的通知》（工信部联企业[2011]300号）文件规定自行填写。</w:t>
      </w:r>
      <w:r/>
    </w:p>
    <w:p>
      <w:pPr>
        <w:ind w:firstLine="422"/>
        <w:keepLines w:val="0"/>
        <w:keepNext w:val="0"/>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  2、残疾人福利单位</w:t>
      </w:r>
      <w:r/>
    </w:p>
    <w:p>
      <w:pPr>
        <w:ind w:firstLine="422"/>
        <w:keepLines w:val="0"/>
        <w:keepNext w:val="0"/>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（1）本项目对残疾人福利性单位视同小型、微型企业。</w:t>
      </w:r>
      <w:r/>
    </w:p>
    <w:p>
      <w:pPr>
        <w:ind w:firstLine="422"/>
        <w:keepLines w:val="0"/>
        <w:keepNext w:val="0"/>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（2）残疾人福利单位需按照采购文件的要求提供《残疾人福利性单位声明函》。</w:t>
      </w:r>
      <w:r/>
    </w:p>
    <w:p>
      <w:pPr>
        <w:ind w:firstLine="422"/>
        <w:keepLines w:val="0"/>
        <w:keepNext w:val="0"/>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（3）残疾人福利单位标准请参照《关于促进残疾人就业政府采购政策的通知》（财库〔2017〕141号）。</w:t>
      </w:r>
      <w:r/>
    </w:p>
    <w:p>
      <w:pPr>
        <w:ind w:firstLine="422"/>
        <w:keepLines w:val="0"/>
        <w:keepNext w:val="0"/>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  3、监狱和戒毒企业</w:t>
      </w:r>
      <w:r/>
    </w:p>
    <w:p>
      <w:pPr>
        <w:ind w:firstLine="422"/>
        <w:keepLines w:val="0"/>
        <w:keepNext w:val="0"/>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（1）本项目对监狱和戒毒企业（简称监狱企业）视同小型、微型企业。</w:t>
      </w:r>
      <w:r/>
    </w:p>
    <w:p>
      <w:pPr>
        <w:ind w:firstLine="422"/>
        <w:keepLines w:val="0"/>
        <w:keepNext w:val="0"/>
        <w:pageBreakBefore w:val="0"/>
        <w:spacing w:line="360" w:lineRule="auto"/>
        <w:rPr>
          <w:rFonts w:hint="eastAsia" w:ascii="Times New Roman" w:hAnsi="Times New Roman"/>
          <w:sz w:val="21"/>
          <w:szCs w:val="21"/>
          <w:highlight w:val="none"/>
        </w:rPr>
      </w:pPr>
      <w:r>
        <w:rPr>
          <w:rFonts w:hint="eastAsia" w:ascii="Times New Roman" w:hAnsi="Times New Roman"/>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2"/>
        <w:keepLines w:val="0"/>
        <w:keepNext w:val="0"/>
        <w:pageBreakBefore w:val="0"/>
        <w:spacing w:line="360" w:lineRule="auto"/>
        <w:rPr>
          <w:rFonts w:hint="eastAsia" w:ascii="宋体" w:hAnsi="宋体"/>
          <w:b/>
          <w:bCs/>
          <w:color w:val="auto"/>
          <w:highlight w:val="none"/>
          <w:lang w:val="en-US" w:eastAsia="zh-CN"/>
        </w:rPr>
      </w:pPr>
      <w:r>
        <w:rPr>
          <w:rFonts w:hint="eastAsia" w:ascii="Times New Roman" w:hAnsi="Times New Roman"/>
          <w:sz w:val="21"/>
          <w:szCs w:val="21"/>
          <w:highlight w:val="none"/>
        </w:rPr>
        <w:t xml:space="preserve">（3）监狱企业标准请参照《关于政府采购支持监狱企业发展有关问题的通知》（财库[2014]68号）。</w:t>
      </w:r>
      <w:bookmarkStart w:id="65" w:name="_GoBack"/>
      <w:r>
        <w:rPr>
          <w:rFonts w:hint="eastAsia" w:ascii="宋体" w:hAnsi="宋体"/>
          <w:b/>
          <w:color w:val="auto"/>
          <w:szCs w:val="21"/>
          <w:highlight w:val="none"/>
          <w:lang w:val="en-US" w:eastAsia="zh-CN"/>
        </w:rPr>
      </w:r>
      <w:r/>
    </w:p>
    <w:p>
      <w:pPr>
        <w:ind w:firstLine="422"/>
        <w:keepLines w:val="0"/>
        <w:keepNext w:val="0"/>
        <w:pageBreakBefore w:val="0"/>
        <w:spacing w:line="360" w:lineRule="auto"/>
        <w:rPr>
          <w:rFonts w:hint="eastAsia" w:ascii="宋体" w:hAnsi="宋体"/>
          <w:b/>
          <w:bCs/>
          <w:color w:val="auto"/>
          <w:highlight w:val="none"/>
          <w:lang w:val="en-US" w:eastAsia="zh-CN"/>
        </w:rPr>
      </w:pPr>
      <w:r>
        <w:rPr>
          <w:rFonts w:hint="eastAsia" w:ascii="宋体" w:hAnsi="宋体"/>
          <w:b/>
          <w:color w:val="auto"/>
          <w:szCs w:val="21"/>
          <w:highlight w:val="none"/>
          <w:lang w:val="en-US" w:eastAsia="zh-CN"/>
        </w:rPr>
        <w:t xml:space="preserve">三、评标标准</w:t>
      </w:r>
      <w:bookmarkEnd w:id="65"/>
      <w:r/>
      <w:r/>
    </w:p>
    <w:p>
      <w:pPr>
        <w:ind w:firstLine="211"/>
        <w:keepLines w:val="0"/>
        <w:keepNext w:val="0"/>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highlight w:val="none"/>
        </w:rPr>
        <w:t xml:space="preserve">包一、包二、包三：</w:t>
      </w:r>
      <w:r/>
    </w:p>
    <w:tbl>
      <w:tblPr>
        <w:tblStyle w:val="727"/>
        <w:tblW w:w="8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7000"/>
      </w:tblGrid>
      <w:tr>
        <w:trPr>
          <w:cantSplit/>
          <w:jc w:val="center"/>
          <w:trHeight w:val="700"/>
        </w:trPr>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keepLines w:val="0"/>
              <w:keepNext w:val="0"/>
              <w:pageBreakBefore w:val="0"/>
              <w:spacing w:before="93" w:line="240" w:lineRule="auto"/>
              <w:rPr>
                <w:rFonts w:hint="eastAsia" w:ascii="宋体" w:hAnsi="宋体" w:cs="宋体"/>
                <w:szCs w:val="21"/>
                <w:highlight w:val="none"/>
              </w:rPr>
            </w:pPr>
            <w:r>
              <w:rPr>
                <w:rFonts w:hint="eastAsia" w:ascii="宋体" w:hAnsi="宋体" w:cs="宋体"/>
                <w:szCs w:val="21"/>
                <w:highlight w:val="none"/>
              </w:rPr>
              <w:t xml:space="preserve">项 目</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center"/>
              <w:keepLines w:val="0"/>
              <w:keepNext w:val="0"/>
              <w:pageBreakBefore w:val="0"/>
              <w:spacing w:before="93" w:line="240" w:lineRule="auto"/>
              <w:rPr>
                <w:rFonts w:hint="eastAsia" w:ascii="宋体" w:hAnsi="宋体" w:cs="宋体"/>
                <w:szCs w:val="21"/>
                <w:highlight w:val="none"/>
              </w:rPr>
            </w:pPr>
            <w:r>
              <w:rPr>
                <w:rFonts w:hint="eastAsia" w:ascii="宋体" w:hAnsi="宋体" w:cs="宋体"/>
                <w:szCs w:val="21"/>
                <w:highlight w:val="none"/>
              </w:rPr>
              <w:t xml:space="preserve">评分标准</w:t>
            </w:r>
            <w:r/>
          </w:p>
        </w:tc>
      </w:tr>
      <w:tr>
        <w:trPr>
          <w:cantSplit/>
          <w:jc w:val="center"/>
          <w:trHeight w:val="841"/>
        </w:trPr>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keepLines w:val="0"/>
              <w:keepNext w:val="0"/>
              <w:pageBreakBefore w:val="0"/>
              <w:spacing w:line="240" w:lineRule="auto"/>
              <w:rPr>
                <w:rFonts w:hint="eastAsia" w:ascii="宋体" w:hAnsi="宋体" w:cs="宋体"/>
                <w:szCs w:val="21"/>
                <w:highlight w:val="none"/>
              </w:rPr>
            </w:pPr>
            <w:r>
              <w:rPr>
                <w:rFonts w:hint="eastAsia" w:ascii="宋体" w:hAnsi="宋体" w:cs="宋体"/>
                <w:szCs w:val="21"/>
                <w:highlight w:val="none"/>
              </w:rPr>
              <w:t xml:space="preserve">报价</w:t>
            </w:r>
            <w:r/>
          </w:p>
          <w:p>
            <w:pPr>
              <w:jc w:val="center"/>
              <w:keepLines w:val="0"/>
              <w:keepNext w:val="0"/>
              <w:pageBreakBefore w:val="0"/>
              <w:spacing w:line="24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7000" w:type="dxa"/>
            <w:vAlign w:val="center"/>
            <w:textDirection w:val="lrTb"/>
            <w:noWrap w:val="false"/>
          </w:tcPr>
          <w:p>
            <w:pPr>
              <w:jc w:val="left"/>
              <w:keepLines w:val="0"/>
              <w:keepNext w:val="0"/>
              <w:pageBreakBefore w:val="0"/>
              <w:spacing w:line="240" w:lineRule="auto"/>
              <w:rPr>
                <w:rFonts w:hint="eastAsia" w:ascii="宋体" w:hAnsi="宋体" w:cs="宋体"/>
                <w:szCs w:val="21"/>
                <w:highlight w:val="none"/>
              </w:rPr>
            </w:pPr>
            <w:r>
              <w:rPr>
                <w:rFonts w:hint="eastAsia" w:ascii="宋体" w:hAnsi="宋体" w:cs="宋体"/>
                <w:szCs w:val="21"/>
                <w:highlight w:val="none"/>
              </w:rPr>
              <w:t xml:space="preserve">采用低价优先法计算，即满足招标文件要求且投标价格最低的投标报价为评标基准价，其价格分为满分。</w:t>
            </w:r>
            <w:r/>
          </w:p>
          <w:p>
            <w:pPr>
              <w:jc w:val="left"/>
              <w:keepLines w:val="0"/>
              <w:keepNext w:val="0"/>
              <w:pageBreakBefore w:val="0"/>
              <w:spacing w:line="240" w:lineRule="auto"/>
              <w:rPr>
                <w:rFonts w:hint="eastAsia" w:ascii="宋体" w:hAnsi="宋体" w:cs="宋体"/>
                <w:szCs w:val="21"/>
                <w:highlight w:val="none"/>
              </w:rPr>
            </w:pPr>
            <w:r>
              <w:rPr>
                <w:rFonts w:hint="eastAsia" w:ascii="宋体" w:hAnsi="宋体" w:cs="宋体"/>
                <w:szCs w:val="21"/>
                <w:highlight w:val="none"/>
              </w:rPr>
              <w:t xml:space="preserve">其他供应商的价格分统一按照下列公式计算：投标报价得分=（评标基准价/投标报价）×</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（小数点保留两位）</w:t>
            </w:r>
            <w:r/>
          </w:p>
        </w:tc>
      </w:tr>
      <w:tr>
        <w:trPr>
          <w:cantSplit/>
          <w:jc w:val="center"/>
          <w:trHeight w:val="585"/>
        </w:trPr>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2"/>
              <w:jc w:val="center"/>
              <w:keepLines w:val="0"/>
              <w:keepNext w:val="0"/>
              <w:pageBreakBefore w:val="0"/>
              <w:spacing w:before="0" w:after="0" w:line="240" w:lineRule="auto"/>
              <w:widowControl/>
              <w:rPr>
                <w:rFonts w:hint="eastAsia" w:cs="宋体"/>
                <w:sz w:val="21"/>
                <w:szCs w:val="21"/>
                <w:highlight w:val="none"/>
                <w:lang w:val="en-US" w:eastAsia="zh-CN" w:bidi="ar-SA"/>
              </w:rPr>
            </w:pPr>
            <w:r>
              <w:rPr>
                <w:rFonts w:hint="eastAsia" w:cs="宋体"/>
                <w:sz w:val="21"/>
                <w:szCs w:val="21"/>
                <w:highlight w:val="none"/>
                <w:lang w:val="en-US" w:eastAsia="zh-CN" w:bidi="ar-SA"/>
              </w:rPr>
              <w:t xml:space="preserve">演示部分</w:t>
            </w:r>
            <w:r/>
          </w:p>
          <w:p>
            <w:pPr>
              <w:pStyle w:val="962"/>
              <w:jc w:val="center"/>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15</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none" w:color="000000" w:sz="4" w:space="0"/>
              <w:bottom w:val="single" w:color="auto" w:sz="4" w:space="0"/>
              <w:right w:val="single" w:color="auto" w:sz="4" w:space="0"/>
            </w:tcBorders>
            <w:tcW w:w="7000" w:type="dxa"/>
            <w:vAlign w:val="top"/>
            <w:textDirection w:val="lrTb"/>
            <w:noWrap w:val="false"/>
          </w:tcPr>
          <w:p>
            <w:pPr>
              <w:keepLines w:val="0"/>
              <w:keepNext w:val="0"/>
              <w:pageBreakBefore w:val="0"/>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按照招标文件第四章项目需求中</w:t>
            </w:r>
            <w:r>
              <w:rPr>
                <w:rFonts w:hint="eastAsia" w:ascii="宋体" w:hAnsi="宋体" w:cs="宋体"/>
                <w:sz w:val="21"/>
                <w:szCs w:val="21"/>
                <w:highlight w:val="none"/>
                <w:lang w:val="en-US" w:eastAsia="zh-CN" w:bidi="ar-SA"/>
              </w:rPr>
              <w:t xml:space="preserve">技术需求</w:t>
            </w:r>
            <w:r>
              <w:rPr>
                <w:rFonts w:hint="eastAsia" w:ascii="宋体" w:hAnsi="宋体" w:eastAsia="宋体" w:cs="宋体"/>
                <w:sz w:val="21"/>
                <w:szCs w:val="21"/>
                <w:highlight w:val="none"/>
                <w:lang w:val="en-US" w:eastAsia="zh-CN" w:bidi="ar-SA"/>
              </w:rPr>
              <w:t xml:space="preserve">逐项进行</w:t>
            </w:r>
            <w:r>
              <w:rPr>
                <w:rFonts w:hint="eastAsia" w:ascii="宋体" w:hAnsi="宋体" w:cs="宋体"/>
                <w:sz w:val="21"/>
                <w:szCs w:val="21"/>
                <w:highlight w:val="none"/>
                <w:lang w:val="en-US" w:eastAsia="zh-CN" w:bidi="ar-SA"/>
              </w:rPr>
              <w:t xml:space="preserve">视频</w:t>
            </w:r>
            <w:r>
              <w:rPr>
                <w:rFonts w:hint="eastAsia" w:ascii="宋体" w:hAnsi="宋体" w:eastAsia="宋体" w:cs="宋体"/>
                <w:sz w:val="21"/>
                <w:szCs w:val="21"/>
                <w:highlight w:val="none"/>
                <w:lang w:val="en-US" w:eastAsia="zh-CN" w:bidi="ar-SA"/>
              </w:rPr>
              <w:t xml:space="preserve">演示（共15条），每提供一项功能演示得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rPr>
                <w:rFonts w:hint="eastAsia" w:ascii="宋体" w:hAnsi="宋体" w:cs="宋体"/>
                <w:sz w:val="21"/>
                <w:szCs w:val="21"/>
                <w:highlight w:val="none"/>
                <w:lang w:val="en-US" w:eastAsia="zh-CN" w:bidi="ar-SA"/>
              </w:rPr>
              <w:t xml:space="preserve">，满分15分。</w:t>
            </w:r>
            <w:r/>
          </w:p>
        </w:tc>
      </w:tr>
      <w:tr>
        <w:trPr>
          <w:cantSplit/>
          <w:jc w:val="center"/>
          <w:trHeight w:val="789"/>
        </w:trPr>
        <w:tc>
          <w:tcPr>
            <w:tcBorders>
              <w:top w:val="single" w:color="auto" w:sz="4" w:space="0"/>
              <w:left w:val="single" w:color="auto" w:sz="4" w:space="0"/>
              <w:right w:val="single" w:color="auto" w:sz="4" w:space="0"/>
            </w:tcBorders>
            <w:tcW w:w="1383" w:type="dxa"/>
            <w:vAlign w:val="center"/>
            <w:vMerge w:val="restart"/>
            <w:textDirection w:val="lrTb"/>
            <w:noWrap w:val="false"/>
          </w:tcPr>
          <w:p>
            <w:pPr>
              <w:jc w:val="center"/>
              <w:keepLines w:val="0"/>
              <w:keepNext w:val="0"/>
              <w:pageBreakBefore w:val="0"/>
              <w:spacing w:line="240" w:lineRule="auto"/>
              <w:rPr>
                <w:rFonts w:hint="eastAsia" w:ascii="宋体" w:hAnsi="宋体" w:cs="宋体"/>
                <w:szCs w:val="21"/>
                <w:highlight w:val="none"/>
              </w:rPr>
            </w:pPr>
            <w:r>
              <w:rPr>
                <w:rFonts w:hint="eastAsia" w:ascii="宋体" w:hAnsi="宋体" w:cs="宋体"/>
                <w:szCs w:val="21"/>
                <w:highlight w:val="none"/>
                <w:lang w:val="en-US" w:eastAsia="zh-CN"/>
              </w:rPr>
              <w:t xml:space="preserve">服务指标响应</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7000" w:type="dxa"/>
            <w:vAlign w:val="top"/>
            <w:textDirection w:val="lrTb"/>
            <w:noWrap w:val="false"/>
          </w:tcPr>
          <w:p>
            <w:pPr>
              <w:keepLines w:val="0"/>
              <w:keepNext w:val="0"/>
              <w:pageBreakBefore w:val="0"/>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供应商送审平台通过网络安全等级保护测评（三级及以上）测评结果为基本符合</w:t>
            </w:r>
            <w:r>
              <w:rPr>
                <w:rFonts w:hint="eastAsia" w:ascii="宋体" w:hAnsi="宋体" w:cs="宋体"/>
                <w:sz w:val="21"/>
                <w:szCs w:val="21"/>
                <w:highlight w:val="none"/>
                <w:lang w:val="en-US" w:eastAsia="zh-CN" w:bidi="ar-SA"/>
              </w:rPr>
              <w:t xml:space="preserve">或符合</w:t>
            </w:r>
            <w:r>
              <w:rPr>
                <w:rFonts w:hint="eastAsia" w:ascii="宋体" w:hAnsi="宋体" w:eastAsia="宋体" w:cs="宋体"/>
                <w:sz w:val="21"/>
                <w:szCs w:val="21"/>
                <w:highlight w:val="none"/>
                <w:lang w:val="en-US" w:eastAsia="zh-CN" w:bidi="ar-SA"/>
              </w:rPr>
              <w:t xml:space="preserve">，且等级测评的符合率大于80%，提供第三方出具的网络安全等级评测报告结论页复印件及信息系统安全等级保护备案证明复印件及加盖公章。具备得3分，不具备或其他不得分。</w:t>
            </w:r>
            <w:r/>
          </w:p>
        </w:tc>
      </w:tr>
      <w:tr>
        <w:trPr>
          <w:cantSplit/>
          <w:jc w:val="center"/>
          <w:trHeight w:val="602"/>
        </w:trPr>
        <w:tc>
          <w:tcPr>
            <w:tcBorders>
              <w:left w:val="single" w:color="auto" w:sz="4" w:space="0"/>
              <w:right w:val="single" w:color="auto" w:sz="4" w:space="0"/>
            </w:tcBorders>
            <w:tcW w:w="1383" w:type="dxa"/>
            <w:vAlign w:val="center"/>
            <w:vMerge w:val="continue"/>
            <w:textDirection w:val="lrTb"/>
            <w:noWrap w:val="false"/>
          </w:tcPr>
          <w:p>
            <w:pPr>
              <w:jc w:val="center"/>
              <w:keepLines w:val="0"/>
              <w:keepNext w:val="0"/>
              <w:pageBreakBefore w:val="0"/>
              <w:spacing w:line="24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7000" w:type="dxa"/>
            <w:vAlign w:val="top"/>
            <w:textDirection w:val="lrTb"/>
            <w:noWrap w:val="false"/>
          </w:tcPr>
          <w:p>
            <w:pPr>
              <w:keepLines w:val="0"/>
              <w:keepNext w:val="0"/>
              <w:pageBreakBefore w:val="0"/>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供应商提供学位论文送审服务相关的知识产权证明（</w:t>
            </w:r>
            <w:r>
              <w:rPr>
                <w:rFonts w:hint="eastAsia" w:ascii="宋体" w:hAnsi="宋体" w:cs="宋体"/>
                <w:sz w:val="21"/>
                <w:szCs w:val="21"/>
                <w:highlight w:val="none"/>
                <w:lang w:val="en-US" w:eastAsia="zh-CN" w:bidi="ar-SA"/>
              </w:rPr>
              <w:t xml:space="preserve">包括但不限于专利、计算机软件著作权等类型</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响应文件中提供相关有效证书扫描件</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每项证明得1分，最高得4分。</w:t>
            </w:r>
            <w:r/>
          </w:p>
        </w:tc>
      </w:tr>
      <w:tr>
        <w:trPr>
          <w:cantSplit/>
          <w:jc w:val="center"/>
          <w:trHeight w:val="789"/>
        </w:trPr>
        <w:tc>
          <w:tcPr>
            <w:tcBorders>
              <w:left w:val="single" w:color="auto" w:sz="4" w:space="0"/>
              <w:bottom w:val="single" w:color="auto" w:sz="4" w:space="0"/>
              <w:right w:val="single" w:color="auto" w:sz="4" w:space="0"/>
            </w:tcBorders>
            <w:tcW w:w="1383" w:type="dxa"/>
            <w:vAlign w:val="center"/>
            <w:vMerge w:val="continue"/>
            <w:textDirection w:val="lrTb"/>
            <w:noWrap w:val="false"/>
          </w:tcPr>
          <w:p>
            <w:pPr>
              <w:jc w:val="center"/>
              <w:keepLines w:val="0"/>
              <w:keepNext w:val="0"/>
              <w:pageBreakBefore w:val="0"/>
              <w:spacing w:line="24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7000" w:type="dxa"/>
            <w:vAlign w:val="top"/>
            <w:textDirection w:val="lrTb"/>
            <w:noWrap w:val="false"/>
          </w:tcPr>
          <w:p>
            <w:pPr>
              <w:keepLines w:val="0"/>
              <w:keepNext w:val="0"/>
              <w:pageBreakBefore w:val="0"/>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投标人具有强大的评审专家资源储备库。需提供专家库截图证明。专家数量在10万及以上的得5分，专家数量在5万及以上不足10万的得3分，专家数量在3万及以上不足5万的得1分，低于3万的不得分。</w:t>
            </w:r>
            <w:r/>
          </w:p>
          <w:p>
            <w:pPr>
              <w:keepLines w:val="0"/>
              <w:keepNext w:val="0"/>
              <w:pageBreakBefore w:val="0"/>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未按要求提供的不计分。</w:t>
            </w:r>
            <w:r/>
          </w:p>
        </w:tc>
      </w:tr>
      <w:tr>
        <w:trPr>
          <w:cantSplit/>
          <w:jc w:val="center"/>
          <w:trHeight w:val="792"/>
        </w:trPr>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2"/>
              <w:jc w:val="center"/>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业绩</w:t>
            </w:r>
            <w:r/>
          </w:p>
          <w:p>
            <w:pPr>
              <w:pStyle w:val="962"/>
              <w:jc w:val="center"/>
              <w:keepLines w:val="0"/>
              <w:keepNext w:val="0"/>
              <w:pageBreakBefore w:val="0"/>
              <w:spacing w:before="0" w:after="0" w:line="240" w:lineRule="auto"/>
              <w:widowControl/>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none" w:color="000000" w:sz="4" w:space="0"/>
              <w:bottom w:val="single" w:color="auto" w:sz="4" w:space="0"/>
              <w:right w:val="single" w:color="auto" w:sz="4" w:space="0"/>
            </w:tcBorders>
            <w:tcW w:w="7000" w:type="dxa"/>
            <w:vAlign w:val="top"/>
            <w:textDirection w:val="lrTb"/>
            <w:noWrap w:val="false"/>
          </w:tcPr>
          <w:p>
            <w:pPr>
              <w:keepLines w:val="0"/>
              <w:keepNext w:val="0"/>
              <w:pageBreakBefore w:val="0"/>
              <w:spacing w:after="0" w:line="240" w:lineRule="auto"/>
              <w:shd w:val="clear" w:color="auto" w:fill="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投标人202</w:t>
            </w: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zh-CN" w:eastAsia="zh-CN" w:bidi="ar-SA"/>
              </w:rPr>
              <w:t xml:space="preserve">年1月1日至今承担过类似项目（以合同签订日期为准)，每个项目得1分，最高得</w:t>
            </w:r>
            <w:r>
              <w:rPr>
                <w:rFonts w:hint="eastAsia" w:ascii="宋体" w:hAnsi="宋体" w:cs="宋体"/>
                <w:sz w:val="21"/>
                <w:szCs w:val="21"/>
                <w:highlight w:val="none"/>
                <w:lang w:val="en-US" w:eastAsia="zh-CN" w:bidi="ar-SA"/>
              </w:rPr>
              <w:t xml:space="preserve">10</w:t>
            </w:r>
            <w:r>
              <w:rPr>
                <w:rFonts w:hint="eastAsia" w:ascii="宋体" w:hAnsi="宋体" w:eastAsia="宋体" w:cs="宋体"/>
                <w:sz w:val="21"/>
                <w:szCs w:val="21"/>
                <w:highlight w:val="none"/>
                <w:lang w:val="zh-CN" w:eastAsia="zh-CN" w:bidi="ar-SA"/>
              </w:rPr>
              <w:t xml:space="preserve">分。（提供合同</w:t>
            </w:r>
            <w:r>
              <w:rPr>
                <w:rFonts w:hint="eastAsia" w:ascii="宋体" w:hAnsi="宋体" w:eastAsia="宋体" w:cs="宋体"/>
                <w:sz w:val="21"/>
                <w:szCs w:val="21"/>
                <w:highlight w:val="none"/>
                <w:lang w:val="en-US" w:eastAsia="zh-CN" w:bidi="ar-SA"/>
              </w:rPr>
              <w:t xml:space="preserve">及中标通知书原件扫描上传</w:t>
            </w:r>
            <w:r>
              <w:rPr>
                <w:rFonts w:hint="eastAsia" w:ascii="宋体" w:hAnsi="宋体" w:eastAsia="宋体" w:cs="宋体"/>
                <w:sz w:val="21"/>
                <w:szCs w:val="21"/>
                <w:highlight w:val="none"/>
                <w:lang w:val="zh-CN" w:eastAsia="zh-CN" w:bidi="ar-SA"/>
              </w:rPr>
              <w:t xml:space="preserve">，</w:t>
            </w:r>
            <w:r>
              <w:rPr>
                <w:rFonts w:hint="eastAsia" w:ascii="宋体" w:hAnsi="宋体" w:cs="宋体"/>
                <w:sz w:val="21"/>
                <w:szCs w:val="21"/>
                <w:highlight w:val="none"/>
                <w:lang w:val="en-US" w:eastAsia="zh-CN" w:bidi="ar-SA"/>
              </w:rPr>
              <w:t xml:space="preserve">同一甲方不同年限不累计得分，</w:t>
            </w:r>
            <w:r>
              <w:rPr>
                <w:rFonts w:hint="eastAsia" w:ascii="宋体" w:hAnsi="宋体" w:eastAsia="宋体" w:cs="宋体"/>
                <w:sz w:val="21"/>
                <w:szCs w:val="21"/>
                <w:highlight w:val="none"/>
                <w:lang w:val="zh-CN" w:eastAsia="zh-CN" w:bidi="ar-SA"/>
              </w:rPr>
              <w:t xml:space="preserve">不</w:t>
            </w:r>
            <w:r>
              <w:rPr>
                <w:rFonts w:hint="eastAsia" w:ascii="宋体" w:hAnsi="宋体" w:cs="宋体"/>
                <w:sz w:val="21"/>
                <w:szCs w:val="21"/>
                <w:highlight w:val="none"/>
                <w:lang w:val="en-US" w:eastAsia="zh-CN" w:bidi="ar-SA"/>
              </w:rPr>
              <w:t xml:space="preserve">未</w:t>
            </w:r>
            <w:r>
              <w:rPr>
                <w:rFonts w:hint="eastAsia" w:ascii="宋体" w:hAnsi="宋体" w:eastAsia="宋体" w:cs="宋体"/>
                <w:sz w:val="21"/>
                <w:szCs w:val="21"/>
                <w:highlight w:val="none"/>
                <w:lang w:val="zh-CN" w:eastAsia="zh-CN" w:bidi="ar-SA"/>
              </w:rPr>
              <w:t xml:space="preserve">提供不得分）</w:t>
            </w:r>
            <w:r/>
          </w:p>
        </w:tc>
      </w:tr>
      <w:tr>
        <w:trPr>
          <w:cantSplit/>
          <w:jc w:val="center"/>
          <w:trHeight w:val="792"/>
        </w:trPr>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2"/>
              <w:jc w:val="center"/>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服务团队</w:t>
            </w:r>
            <w:r/>
          </w:p>
          <w:p>
            <w:pPr>
              <w:pStyle w:val="962"/>
              <w:jc w:val="center"/>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6</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none" w:color="000000" w:sz="4" w:space="0"/>
              <w:bottom w:val="single" w:color="auto" w:sz="4" w:space="0"/>
              <w:right w:val="single" w:color="auto" w:sz="4" w:space="0"/>
            </w:tcBorders>
            <w:tcW w:w="7000" w:type="dxa"/>
            <w:vAlign w:val="top"/>
            <w:textDirection w:val="lrTb"/>
            <w:noWrap w:val="false"/>
          </w:tcPr>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拟投入本项目的实施人员每有一个信息安全工程师证书的得1分，满分3分；每有一个网络安全员证书的得1分，满分3分。</w:t>
            </w:r>
            <w:r/>
          </w:p>
          <w:p>
            <w:pPr>
              <w:keepLines w:val="0"/>
              <w:keepNext w:val="0"/>
              <w:pageBreakBefore w:val="0"/>
              <w:spacing w:after="0" w:line="240" w:lineRule="auto"/>
              <w:widowControl/>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需提供相关人员证书复印件及近三个月内任意一个月的社保缴纳证明。</w:t>
            </w:r>
            <w:r/>
          </w:p>
        </w:tc>
      </w:tr>
      <w:tr>
        <w:trPr>
          <w:cantSplit/>
          <w:jc w:val="center"/>
          <w:trHeight w:val="792"/>
        </w:trPr>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2"/>
              <w:jc w:val="center"/>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整体服务方案（</w:t>
            </w:r>
            <w:r>
              <w:rPr>
                <w:rFonts w:hint="eastAsia" w:cs="宋体"/>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none" w:color="000000" w:sz="4" w:space="0"/>
              <w:bottom w:val="single" w:color="auto" w:sz="4" w:space="0"/>
              <w:right w:val="single" w:color="auto" w:sz="4" w:space="0"/>
            </w:tcBorders>
            <w:tcW w:w="7000" w:type="dxa"/>
            <w:vAlign w:val="top"/>
            <w:textDirection w:val="lrTb"/>
            <w:noWrap w:val="false"/>
          </w:tcPr>
          <w:p>
            <w:pPr>
              <w:keepLines w:val="0"/>
              <w:keepNext w:val="0"/>
              <w:pageBreakBefore w:val="0"/>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供应商根据项目需求，结合自身平台特色编制项目实施方案。</w:t>
            </w:r>
            <w:r/>
          </w:p>
          <w:p>
            <w:pPr>
              <w:keepLines w:val="0"/>
              <w:keepNext w:val="0"/>
              <w:pageBreakBefore w:val="0"/>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项目实施方案全面、逻辑清晰、可行性强，能够满足项目实际需求，拟送审院校清单符合采购人实际需要的，得</w:t>
            </w:r>
            <w:r>
              <w:rPr>
                <w:rFonts w:hint="eastAsia" w:ascii="宋体" w:hAnsi="宋体" w:cs="宋体"/>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t xml:space="preserve">分；</w:t>
            </w:r>
            <w:r/>
          </w:p>
          <w:p>
            <w:pPr>
              <w:keepLines w:val="0"/>
              <w:keepNext w:val="0"/>
              <w:pageBreakBefore w:val="0"/>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项目实施方案基本完整、逻辑较清晰、具有一定可行性，能够满足项目基本需求，拟送审院校清单经过采购人调整后能够基本满足采购人需要的，得</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p>
            <w:pPr>
              <w:keepLines w:val="0"/>
              <w:keepNext w:val="0"/>
              <w:pageBreakBefore w:val="0"/>
              <w:spacing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项目实施方案不完整、或逻辑不清晰、可行性一般，或送审院校清单与采购人需求差距较大的，得</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分；</w:t>
            </w:r>
            <w:r/>
          </w:p>
          <w:p>
            <w:pPr>
              <w:keepLines w:val="0"/>
              <w:keepNext w:val="0"/>
              <w:pageBreakBefore w:val="0"/>
              <w:spacing w:after="0" w:line="240" w:lineRule="auto"/>
              <w:widowControl/>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未提供相关内容的，得0分。</w:t>
            </w:r>
            <w:r/>
          </w:p>
        </w:tc>
      </w:tr>
      <w:tr>
        <w:trPr>
          <w:cantSplit/>
          <w:jc w:val="center"/>
          <w:trHeight w:val="792"/>
        </w:trPr>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2"/>
              <w:jc w:val="center"/>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售后服务</w:t>
            </w:r>
            <w:r/>
          </w:p>
          <w:p>
            <w:pPr>
              <w:pStyle w:val="962"/>
              <w:jc w:val="center"/>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none" w:color="000000" w:sz="4" w:space="0"/>
              <w:bottom w:val="single" w:color="auto" w:sz="4" w:space="0"/>
              <w:right w:val="single" w:color="auto" w:sz="4" w:space="0"/>
            </w:tcBorders>
            <w:tcW w:w="7000" w:type="dxa"/>
            <w:vAlign w:val="top"/>
            <w:textDirection w:val="lrTb"/>
            <w:noWrap w:val="false"/>
          </w:tcPr>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售后服务方案应包括服务内容、服务承诺、服务响应时间、服务方式、人员配备等情况。</w:t>
            </w:r>
            <w:r/>
          </w:p>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方案细致全面、工作安排合理、可行性强，完全响应需求的得</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方案较为合理，质量、进度描述详细且具有可行性的得4分；</w:t>
            </w:r>
            <w:r/>
          </w:p>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方案具有明显不合理项、描述欠缺的得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p>
          <w:p>
            <w:pPr>
              <w:keepLines w:val="0"/>
              <w:keepNext w:val="0"/>
              <w:pageBreakBefore w:val="0"/>
              <w:spacing w:line="240" w:lineRule="auto"/>
              <w:widowControl/>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未提供不得分。</w:t>
            </w:r>
            <w:r/>
          </w:p>
        </w:tc>
      </w:tr>
      <w:tr>
        <w:trPr>
          <w:cantSplit/>
          <w:jc w:val="center"/>
          <w:trHeight w:val="792"/>
        </w:trPr>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2"/>
              <w:jc w:val="center"/>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技术服务培训（</w:t>
            </w:r>
            <w:r>
              <w:rPr>
                <w:rFonts w:hint="eastAsia"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none" w:color="000000" w:sz="4" w:space="0"/>
              <w:bottom w:val="single" w:color="auto" w:sz="4" w:space="0"/>
              <w:right w:val="single" w:color="auto" w:sz="4" w:space="0"/>
            </w:tcBorders>
            <w:tcW w:w="7000" w:type="dxa"/>
            <w:vAlign w:val="top"/>
            <w:textDirection w:val="lrTb"/>
            <w:noWrap w:val="false"/>
          </w:tcPr>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从培训方案全面性、培训内容实用性、培训资料齐全性方面进行评分。方案细致全面、工作安排合理、可行性强，完全响应需求的得</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方案较为合理，质量、进度描述详细且具有可行性的得</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分；</w:t>
            </w:r>
            <w:r/>
          </w:p>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方案具有明显不合理项、描述欠缺的得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p>
          <w:p>
            <w:pPr>
              <w:keepLines w:val="0"/>
              <w:keepNext w:val="0"/>
              <w:pageBreakBefore w:val="0"/>
              <w:spacing w:line="240" w:lineRule="auto"/>
              <w:widowControl/>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未提供不得分。</w:t>
            </w:r>
            <w:r/>
          </w:p>
        </w:tc>
      </w:tr>
      <w:tr>
        <w:trPr>
          <w:cantSplit/>
          <w:jc w:val="center"/>
          <w:trHeight w:val="792"/>
        </w:trPr>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pStyle w:val="962"/>
              <w:jc w:val="center"/>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保密服务</w:t>
            </w:r>
            <w:r/>
          </w:p>
          <w:p>
            <w:pPr>
              <w:pStyle w:val="962"/>
              <w:jc w:val="center"/>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tc>
        <w:tc>
          <w:tcPr>
            <w:tcBorders>
              <w:top w:val="single" w:color="auto" w:sz="4" w:space="0"/>
              <w:left w:val="none" w:color="000000" w:sz="4" w:space="0"/>
              <w:bottom w:val="single" w:color="auto" w:sz="4" w:space="0"/>
              <w:right w:val="single" w:color="auto" w:sz="4" w:space="0"/>
            </w:tcBorders>
            <w:tcW w:w="7000" w:type="dxa"/>
            <w:vAlign w:val="top"/>
            <w:textDirection w:val="lrTb"/>
            <w:noWrap w:val="false"/>
          </w:tcPr>
          <w:p>
            <w:pPr>
              <w:pStyle w:val="962"/>
              <w:jc w:val="left"/>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保密措施及方案综合评审：保密制度完整性、泄密处罚可行性、技术保障可靠性方面进行评分。</w:t>
            </w:r>
            <w:r/>
          </w:p>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措施及方案细致全面、工作安排合理、可行性强，完全响应需求的得</w:t>
            </w:r>
            <w:r>
              <w:rPr>
                <w:rFonts w:hint="eastAsia" w:ascii="宋体" w:hAnsi="宋体" w:cs="宋体"/>
                <w:sz w:val="21"/>
                <w:szCs w:val="21"/>
                <w:highlight w:val="none"/>
                <w:lang w:val="en-US" w:eastAsia="zh-CN" w:bidi="ar-SA"/>
              </w:rPr>
              <w:t xml:space="preserve">7</w:t>
            </w:r>
            <w:r>
              <w:rPr>
                <w:rFonts w:hint="eastAsia" w:ascii="宋体" w:hAnsi="宋体" w:eastAsia="宋体" w:cs="宋体"/>
                <w:sz w:val="21"/>
                <w:szCs w:val="21"/>
                <w:highlight w:val="none"/>
                <w:lang w:val="en-US" w:eastAsia="zh-CN" w:bidi="ar-SA"/>
              </w:rPr>
              <w:t xml:space="preserve">分；</w:t>
            </w:r>
            <w:r/>
          </w:p>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措施及方案较为合理，质量、进度描述详细且具有可行性的得4分；</w:t>
            </w:r>
            <w:r/>
          </w:p>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措施及方案具有明显不合理项、描述欠缺的得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p>
          <w:p>
            <w:pPr>
              <w:pStyle w:val="962"/>
              <w:jc w:val="left"/>
              <w:keepLines w:val="0"/>
              <w:keepNext w:val="0"/>
              <w:pageBreakBefore w:val="0"/>
              <w:spacing w:before="0" w:after="0" w:line="240" w:lineRule="auto"/>
              <w:widowControl/>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未提供不得分。</w:t>
            </w:r>
            <w:r/>
          </w:p>
        </w:tc>
      </w:tr>
      <w:tr>
        <w:trPr>
          <w:cantSplit/>
          <w:jc w:val="center"/>
          <w:trHeight w:val="1702"/>
        </w:trPr>
        <w:tc>
          <w:tcPr>
            <w:tcBorders>
              <w:top w:val="single" w:color="auto" w:sz="4" w:space="0"/>
              <w:left w:val="single" w:color="auto" w:sz="4" w:space="0"/>
              <w:right w:val="single" w:color="auto" w:sz="4" w:space="0"/>
            </w:tcBorders>
            <w:tcW w:w="1383" w:type="dxa"/>
            <w:vAlign w:val="center"/>
            <w:textDirection w:val="lrTb"/>
            <w:noWrap w:val="false"/>
          </w:tcPr>
          <w:p>
            <w:pPr>
              <w:pStyle w:val="962"/>
              <w:jc w:val="center"/>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实施计划和进度保障</w:t>
            </w:r>
            <w:r/>
          </w:p>
          <w:p>
            <w:pPr>
              <w:pStyle w:val="962"/>
              <w:jc w:val="center"/>
              <w:keepLines w:val="0"/>
              <w:keepNext w:val="0"/>
              <w:pageBreakBefore w:val="0"/>
              <w:spacing w:before="0" w:after="0"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（6分）</w:t>
            </w:r>
            <w:r/>
          </w:p>
        </w:tc>
        <w:tc>
          <w:tcPr>
            <w:tcBorders>
              <w:top w:val="single" w:color="auto" w:sz="4" w:space="0"/>
              <w:left w:val="none" w:color="000000" w:sz="4" w:space="0"/>
              <w:bottom w:val="single" w:color="auto" w:sz="4" w:space="0"/>
              <w:right w:val="single" w:color="auto" w:sz="4" w:space="0"/>
            </w:tcBorders>
            <w:tcW w:w="7000" w:type="dxa"/>
            <w:vAlign w:val="top"/>
            <w:textDirection w:val="lrTb"/>
            <w:noWrap w:val="false"/>
          </w:tcPr>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制定项目实施计划、进度安排及应急保障措施。从进度计划的合理性、措施保障完整性、注意事项完善性、人员安排充分性方面进行评分，措施及方案细致全面、工作安排合理、可行性强，完全响应需求的得6分；</w:t>
            </w:r>
            <w:r/>
          </w:p>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措施及方案较为合理，质量、进度描述详细且具有可行性的得4分；</w:t>
            </w:r>
            <w:r/>
          </w:p>
          <w:p>
            <w:pPr>
              <w:keepLines w:val="0"/>
              <w:keepNext w:val="0"/>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措施及方案具有明显不合理项、描述欠缺的得2分；</w:t>
            </w:r>
            <w:r/>
          </w:p>
          <w:p>
            <w:pPr>
              <w:pStyle w:val="962"/>
              <w:jc w:val="left"/>
              <w:keepLines w:val="0"/>
              <w:keepNext w:val="0"/>
              <w:pageBreakBefore w:val="0"/>
              <w:spacing w:before="0" w:after="0" w:line="240" w:lineRule="auto"/>
              <w:widowControl/>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en-US" w:eastAsia="zh-CN" w:bidi="ar-SA"/>
              </w:rPr>
              <w:t xml:space="preserve">未提供不得分。</w:t>
            </w:r>
            <w:r/>
          </w:p>
        </w:tc>
      </w:tr>
    </w:tbl>
    <w:p>
      <w:pPr>
        <w:numPr>
          <w:ilvl w:val="0"/>
          <w:numId w:val="0"/>
        </w:numPr>
        <w:contextualSpacing/>
        <w:ind w:firstLine="422"/>
        <w:keepLines w:val="0"/>
        <w:keepNext w:val="0"/>
        <w:pageBreakBefore w:val="0"/>
        <w:spacing w:line="360" w:lineRule="auto"/>
        <w:tabs>
          <w:tab w:val="left" w:pos="1134" w:leader="none"/>
        </w:tabs>
        <w:rPr>
          <w:rFonts w:hint="eastAsia" w:ascii="Times New Roman" w:hAnsi="Times New Roman" w:eastAsia="宋体" w:cs="Times New Roman"/>
          <w:b/>
          <w:color w:val="auto"/>
          <w:szCs w:val="21"/>
          <w:highlight w:val="none"/>
          <w:lang w:eastAsia="zh-CN"/>
        </w:rPr>
      </w:pPr>
      <w:r>
        <w:rPr>
          <w:rFonts w:hint="eastAsia" w:ascii="Times New Roman" w:hAnsi="Times New Roman" w:eastAsia="宋体" w:cs="Times New Roman"/>
          <w:b/>
          <w:color w:val="auto"/>
          <w:sz w:val="21"/>
          <w:szCs w:val="21"/>
          <w:highlight w:val="none"/>
          <w:lang w:val="en-US" w:eastAsia="zh-CN" w:bidi="ar-SA"/>
        </w:rPr>
        <w:t xml:space="preserve">四、本次采购执行财政部发布《关于推动解决政府采购异常低价问题的通知》财库〔2026〕2号）的文件要求。</w:t>
      </w:r>
      <w:r/>
    </w:p>
    <w:p>
      <w:pPr>
        <w:numPr>
          <w:ilvl w:val="0"/>
          <w:numId w:val="0"/>
        </w:numPr>
        <w:contextualSpacing/>
        <w:ind w:firstLine="420"/>
        <w:keepLines w:val="0"/>
        <w:keepNext w:val="0"/>
        <w:pageBreakBefore w:val="0"/>
        <w:spacing w:line="360" w:lineRule="auto"/>
        <w:tabs>
          <w:tab w:val="left" w:pos="1134" w:leader="none"/>
        </w:tabs>
        <w:rPr>
          <w:rFonts w:hint="eastAsia"/>
          <w:szCs w:val="21"/>
          <w:highlight w:val="none"/>
        </w:rPr>
      </w:pPr>
      <w:r>
        <w:rPr>
          <w:rFonts w:hint="eastAsia"/>
          <w:szCs w:val="21"/>
          <w:highlight w:val="none"/>
        </w:rPr>
        <w:t xml:space="preserve">（一）评审过程中出现下列情形之一的，</w:t>
      </w:r>
      <w:r>
        <w:rPr>
          <w:rFonts w:hint="eastAsia"/>
          <w:szCs w:val="21"/>
          <w:highlight w:val="none"/>
          <w:lang w:eastAsia="zh-CN"/>
        </w:rPr>
        <w:t xml:space="preserve">评标委员会</w:t>
      </w:r>
      <w:r>
        <w:rPr>
          <w:rFonts w:hint="eastAsia"/>
          <w:szCs w:val="21"/>
          <w:highlight w:val="none"/>
        </w:rPr>
        <w:t xml:space="preserve">应当启动异常低价投标（响应）审查程序：</w:t>
      </w:r>
      <w:r/>
    </w:p>
    <w:p>
      <w:pPr>
        <w:contextualSpacing/>
        <w:ind w:firstLine="420"/>
        <w:keepLines w:val="0"/>
        <w:keepNext w:val="0"/>
        <w:pageBreakBefore w:val="0"/>
        <w:spacing w:line="360" w:lineRule="auto"/>
        <w:tabs>
          <w:tab w:val="left" w:pos="1134" w:leader="none"/>
        </w:tabs>
        <w:rPr>
          <w:rFonts w:hint="eastAsia"/>
          <w:szCs w:val="21"/>
          <w:highlight w:val="none"/>
        </w:rPr>
      </w:pPr>
      <w:r>
        <w:rPr>
          <w:rFonts w:hint="eastAsia"/>
          <w:szCs w:val="21"/>
          <w:highlight w:val="none"/>
        </w:rPr>
        <w:t xml:space="preserve">1.投标（响应）报价低于全部通过符合性审查供应商投标（响应）报价平均值50%的，即投标（响应）报价&lt;全部通过符合性审查供应商投标（响应）报价平均值×50%；</w:t>
      </w:r>
      <w:r/>
    </w:p>
    <w:p>
      <w:pPr>
        <w:contextualSpacing/>
        <w:ind w:firstLine="420"/>
        <w:keepLines w:val="0"/>
        <w:keepNext w:val="0"/>
        <w:pageBreakBefore w:val="0"/>
        <w:spacing w:line="360" w:lineRule="auto"/>
        <w:tabs>
          <w:tab w:val="left" w:pos="1134" w:leader="none"/>
        </w:tabs>
        <w:rPr>
          <w:rFonts w:hint="eastAsia"/>
          <w:szCs w:val="21"/>
          <w:highlight w:val="none"/>
        </w:rPr>
      </w:pPr>
      <w:r>
        <w:rPr>
          <w:rFonts w:hint="eastAsia"/>
          <w:szCs w:val="21"/>
          <w:highlight w:val="none"/>
        </w:rPr>
        <w:t xml:space="preserve">2.投标（响应）报价低于通过符合性审查的次低报价供应商投标（响应）报价50%的，即投标（响应）报价&lt;通过符合性审查的次低报价供应商投标（响应）报价×50%；</w:t>
      </w:r>
      <w:r/>
    </w:p>
    <w:p>
      <w:pPr>
        <w:contextualSpacing/>
        <w:ind w:firstLine="420"/>
        <w:keepLines w:val="0"/>
        <w:keepNext w:val="0"/>
        <w:pageBreakBefore w:val="0"/>
        <w:spacing w:line="360" w:lineRule="auto"/>
        <w:tabs>
          <w:tab w:val="left" w:pos="1134" w:leader="none"/>
        </w:tabs>
        <w:rPr>
          <w:rFonts w:hint="eastAsia"/>
          <w:szCs w:val="21"/>
          <w:highlight w:val="none"/>
        </w:rPr>
      </w:pPr>
      <w:r>
        <w:rPr>
          <w:rFonts w:hint="eastAsia"/>
          <w:szCs w:val="21"/>
          <w:highlight w:val="none"/>
        </w:rPr>
        <w:t xml:space="preserve">3.投标（响应）报价低于采购项目最高限价45%的，即投标（响应）报价&lt;采购项目最高限价×45%；</w:t>
      </w:r>
      <w:r/>
    </w:p>
    <w:p>
      <w:pPr>
        <w:contextualSpacing/>
        <w:ind w:firstLine="420"/>
        <w:keepLines w:val="0"/>
        <w:keepNext w:val="0"/>
        <w:pageBreakBefore w:val="0"/>
        <w:spacing w:line="360" w:lineRule="auto"/>
        <w:tabs>
          <w:tab w:val="left" w:pos="1134" w:leader="none"/>
        </w:tabs>
        <w:rPr>
          <w:rFonts w:hint="eastAsia"/>
          <w:szCs w:val="21"/>
          <w:highlight w:val="none"/>
        </w:rPr>
      </w:pPr>
      <w:r>
        <w:rPr>
          <w:rFonts w:hint="eastAsia"/>
          <w:szCs w:val="21"/>
          <w:highlight w:val="none"/>
        </w:rPr>
        <w:t xml:space="preserve">4.</w:t>
      </w:r>
      <w:r>
        <w:rPr>
          <w:rFonts w:hint="eastAsia"/>
          <w:szCs w:val="21"/>
          <w:highlight w:val="none"/>
          <w:lang w:eastAsia="zh-CN"/>
        </w:rPr>
        <w:t xml:space="preserve">评标委员会</w:t>
      </w:r>
      <w:r>
        <w:rPr>
          <w:rFonts w:hint="eastAsia"/>
          <w:szCs w:val="21"/>
          <w:highlight w:val="none"/>
        </w:rPr>
        <w:t xml:space="preserve">基于专业判断，认为供应商报价过低，有可能影响产品质量或者不能诚信履约的其他情形。</w:t>
      </w:r>
      <w:r/>
    </w:p>
    <w:p>
      <w:pPr>
        <w:contextualSpacing/>
        <w:ind w:firstLine="420"/>
        <w:keepLines w:val="0"/>
        <w:keepNext w:val="0"/>
        <w:pageBreakBefore w:val="0"/>
        <w:spacing w:line="360" w:lineRule="auto"/>
        <w:tabs>
          <w:tab w:val="left" w:pos="1134" w:leader="none"/>
        </w:tabs>
        <w:rPr>
          <w:rFonts w:hint="eastAsia"/>
          <w:szCs w:val="21"/>
          <w:highlight w:val="none"/>
        </w:rPr>
      </w:pPr>
      <w:r>
        <w:rPr>
          <w:rFonts w:hint="eastAsia"/>
          <w:szCs w:val="21"/>
          <w:highlight w:val="none"/>
        </w:rPr>
        <w:t xml:space="preserve">（二）</w:t>
      </w:r>
      <w:r>
        <w:rPr>
          <w:rFonts w:hint="eastAsia"/>
          <w:szCs w:val="21"/>
          <w:highlight w:val="none"/>
          <w:lang w:eastAsia="zh-CN"/>
        </w:rPr>
        <w:t xml:space="preserve">评标委员会</w:t>
      </w:r>
      <w:r>
        <w:rPr>
          <w:rFonts w:hint="eastAsia"/>
          <w:szCs w:val="21"/>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contextualSpacing/>
        <w:ind w:firstLine="420"/>
        <w:keepLines w:val="0"/>
        <w:keepNext w:val="0"/>
        <w:pageBreakBefore w:val="0"/>
        <w:spacing w:line="360" w:lineRule="auto"/>
        <w:tabs>
          <w:tab w:val="left" w:pos="1134" w:leader="none"/>
        </w:tabs>
        <w:rPr>
          <w:rFonts w:hint="eastAsia"/>
          <w:szCs w:val="21"/>
          <w:highlight w:val="none"/>
        </w:rPr>
      </w:pPr>
      <w:r>
        <w:rPr>
          <w:rFonts w:hint="eastAsia"/>
          <w:szCs w:val="21"/>
          <w:highlight w:val="none"/>
          <w:lang w:eastAsia="zh-CN"/>
        </w:rPr>
        <w:t xml:space="preserve">评标委员会</w:t>
      </w:r>
      <w:r>
        <w:rPr>
          <w:rFonts w:hint="eastAsia"/>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szCs w:val="21"/>
          <w:highlight w:val="none"/>
          <w:lang w:eastAsia="zh-CN"/>
        </w:rPr>
        <w:t xml:space="preserve">评标委员会</w:t>
      </w:r>
      <w:r>
        <w:rPr>
          <w:rFonts w:hint="eastAsia"/>
          <w:szCs w:val="21"/>
          <w:highlight w:val="none"/>
        </w:rPr>
        <w:t xml:space="preserve">应当将其作为无效投标（响应）处理。</w:t>
      </w:r>
      <w:r/>
    </w:p>
    <w:p>
      <w:pPr>
        <w:contextualSpacing/>
        <w:ind w:firstLine="420"/>
        <w:keepLines w:val="0"/>
        <w:keepNext w:val="0"/>
        <w:pageBreakBefore w:val="0"/>
        <w:spacing w:line="360" w:lineRule="auto"/>
        <w:tabs>
          <w:tab w:val="left" w:pos="1134" w:leader="none"/>
        </w:tabs>
        <w:rPr>
          <w:rFonts w:hint="eastAsia"/>
          <w:szCs w:val="21"/>
          <w:highlight w:val="none"/>
        </w:rPr>
      </w:pPr>
      <w:r>
        <w:rPr>
          <w:rFonts w:hint="eastAsia"/>
          <w:szCs w:val="21"/>
          <w:highlight w:val="none"/>
        </w:rPr>
        <w:t xml:space="preserve">采购人、采购代理机构应当为</w:t>
      </w:r>
      <w:r>
        <w:rPr>
          <w:rFonts w:hint="eastAsia"/>
          <w:szCs w:val="21"/>
          <w:highlight w:val="none"/>
          <w:lang w:eastAsia="zh-CN"/>
        </w:rPr>
        <w:t xml:space="preserve">评标委员会</w:t>
      </w:r>
      <w:r>
        <w:rPr>
          <w:rFonts w:hint="eastAsia"/>
          <w:szCs w:val="21"/>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szCs w:val="21"/>
          <w:highlight w:val="none"/>
          <w:lang w:eastAsia="zh-CN"/>
        </w:rPr>
        <w:t xml:space="preserve">评标委员会</w:t>
      </w:r>
      <w:r>
        <w:rPr>
          <w:rFonts w:hint="eastAsia"/>
          <w:szCs w:val="21"/>
          <w:highlight w:val="none"/>
        </w:rPr>
        <w:t xml:space="preserve">借助互联网等渠道查询相关信息的，应当严格遵守评审工作纪律，不得实施影响评审公正的行为。</w:t>
      </w:r>
      <w:r/>
    </w:p>
    <w:p>
      <w:pPr>
        <w:pStyle w:val="963"/>
        <w:numPr>
          <w:ilvl w:val="0"/>
          <w:numId w:val="0"/>
        </w:numPr>
        <w:ind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rPr>
          <w:rFonts w:hint="eastAsia" w:ascii="宋体" w:hAnsi="宋体"/>
          <w:color w:val="auto"/>
          <w:highlight w:val="none"/>
        </w:rPr>
      </w:pPr>
      <w:r>
        <w:rPr>
          <w:rFonts w:hint="eastAsia" w:ascii="宋体" w:hAnsi="宋体"/>
          <w:color w:val="auto"/>
          <w:highlight w:val="none"/>
        </w:rPr>
        <w:br w:type="page" w:clear="all"/>
      </w:r>
      <w:r/>
    </w:p>
    <w:p>
      <w:pPr>
        <w:pStyle w:val="919"/>
        <w:jc w:val="center"/>
        <w:pageBreakBefore w:val="0"/>
        <w:spacing w:line="360" w:lineRule="auto"/>
        <w:rPr>
          <w:rFonts w:ascii="宋体" w:hAnsi="宋体"/>
          <w:color w:val="auto"/>
          <w:highlight w:val="none"/>
        </w:rPr>
      </w:pPr>
      <w:r>
        <w:rPr>
          <w:rFonts w:hint="eastAsia" w:ascii="宋体" w:hAnsi="宋体"/>
          <w:color w:val="auto"/>
          <w:highlight w:val="none"/>
        </w:rPr>
        <w:t xml:space="preserve">第六章 投标文件格式 </w:t>
      </w:r>
      <w:r/>
    </w:p>
    <w:p>
      <w:pPr>
        <w:pageBreakBefore w:val="0"/>
        <w:spacing w:line="360" w:lineRule="auto"/>
        <w:rPr>
          <w:rFonts w:ascii="黑体" w:eastAsia="黑体"/>
          <w:bCs/>
          <w:color w:val="auto"/>
          <w:sz w:val="44"/>
          <w:highlight w:val="none"/>
        </w:rPr>
      </w:pPr>
      <w:r>
        <w:rPr>
          <w:rFonts w:ascii="黑体" w:eastAsia="黑体"/>
          <w:bCs/>
          <w:color w:val="auto"/>
          <w:sz w:val="44"/>
          <w:highlight w:val="none"/>
        </w:rPr>
      </w:r>
      <w:r/>
    </w:p>
    <w:p>
      <w:pPr>
        <w:jc w:val="center"/>
        <w:pageBreakBefore w:val="0"/>
        <w:spacing w:line="360" w:lineRule="auto"/>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pageBreakBefore w:val="0"/>
        <w:spacing w:line="360" w:lineRule="auto"/>
        <w:rPr>
          <w:rFonts w:ascii="宋体" w:hAnsi="宋体"/>
          <w:b/>
          <w:color w:val="auto"/>
          <w:sz w:val="36"/>
          <w:highlight w:val="none"/>
        </w:rPr>
      </w:pPr>
      <w:r>
        <w:rPr>
          <w:rFonts w:ascii="宋体" w:hAnsi="宋体"/>
          <w:b/>
          <w:color w:val="auto"/>
          <w:sz w:val="36"/>
          <w:highlight w:val="none"/>
        </w:rPr>
      </w:r>
      <w:r/>
    </w:p>
    <w:p>
      <w:pPr>
        <w:jc w:val="center"/>
        <w:pageBreakBefore w:val="0"/>
        <w:spacing w:line="360" w:lineRule="auto"/>
        <w:rPr>
          <w:rFonts w:ascii="宋体" w:hAnsi="宋体"/>
          <w:b/>
          <w:color w:val="auto"/>
          <w:sz w:val="36"/>
          <w:highlight w:val="none"/>
        </w:rPr>
      </w:pPr>
      <w:r>
        <w:rPr>
          <w:rFonts w:ascii="宋体" w:hAnsi="宋体"/>
          <w:b/>
          <w:color w:val="auto"/>
          <w:sz w:val="36"/>
          <w:highlight w:val="none"/>
        </w:rPr>
      </w:r>
      <w:r/>
    </w:p>
    <w:p>
      <w:pPr>
        <w:ind w:firstLine="1807"/>
        <w:pageBreakBefore w:val="0"/>
        <w:spacing w:line="36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807"/>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pageBreakBefore w:val="0"/>
        <w:spacing w:line="360" w:lineRule="auto"/>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807"/>
        <w:pageBreakBefore w:val="0"/>
        <w:spacing w:line="360" w:lineRule="auto"/>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41"/>
        <w:ind w:firstLine="643"/>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pageBreakBefore w:val="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pageBreakBefore w:val="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jc w:val="center"/>
        <w:pageBreakBefore w:val="0"/>
        <w:spacing w:line="360" w:lineRule="auto"/>
        <w:rPr>
          <w:rFonts w:ascii="宋体" w:hAnsi="宋体"/>
          <w:b/>
          <w:color w:val="auto"/>
          <w:sz w:val="72"/>
          <w:highlight w:val="none"/>
        </w:rPr>
      </w:pPr>
      <w:r>
        <w:rPr>
          <w:rFonts w:ascii="宋体" w:hAnsi="宋体"/>
          <w:b/>
          <w:color w:val="auto"/>
          <w:sz w:val="72"/>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pStyle w:val="734"/>
        <w:rPr>
          <w:highlight w:val="none"/>
        </w:rPr>
      </w:pPr>
      <w:r>
        <w:rPr>
          <w:highlight w:val="none"/>
        </w:rPr>
      </w:r>
      <w:r/>
    </w:p>
    <w:p>
      <w:pPr>
        <w:pStyle w:val="920"/>
        <w:pageBreakBefore w:val="0"/>
        <w:spacing w:line="360" w:lineRule="auto"/>
        <w:rPr>
          <w:rFonts w:ascii="宋体" w:hAnsi="宋体" w:eastAsia="宋体"/>
          <w:b w:val="0"/>
          <w:color w:val="auto"/>
          <w:sz w:val="32"/>
          <w:szCs w:val="32"/>
          <w:highlight w:val="none"/>
        </w:rPr>
      </w:pPr>
      <w:r>
        <w:rPr>
          <w:rFonts w:hint="eastAsia" w:ascii="宋体" w:hAnsi="宋体" w:eastAsia="宋体"/>
          <w:color w:val="auto"/>
          <w:sz w:val="32"/>
          <w:highlight w:val="none"/>
        </w:rPr>
        <w:t xml:space="preserve">一、资格审查响应对照表</w:t>
      </w:r>
      <w:r/>
    </w:p>
    <w:tbl>
      <w:tblPr>
        <w:tblStyle w:val="727"/>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序号</w:t>
            </w:r>
            <w:r/>
          </w:p>
        </w:tc>
        <w:tc>
          <w:tcPr>
            <w:tcW w:w="6311"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207"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58"/>
        </w:trPr>
        <w:tc>
          <w:tcPr>
            <w:gridSpan w:val="3"/>
            <w:tcW w:w="9178" w:type="dxa"/>
            <w:vAlign w:val="center"/>
            <w:textDirection w:val="lrTb"/>
            <w:noWrap w:val="false"/>
          </w:tcPr>
          <w:p>
            <w:pPr>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567"/>
        </w:trPr>
        <w:tc>
          <w:tcPr>
            <w:tcW w:w="660" w:type="dxa"/>
            <w:vAlign w:val="center"/>
            <w:textDirection w:val="lrTb"/>
            <w:noWrap w:val="false"/>
          </w:tcPr>
          <w:p>
            <w:pPr>
              <w:jc w:val="center"/>
              <w:pageBreakBefore w:val="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highlight w:val="none"/>
              </w:rPr>
              <w:t xml:space="preserve">法人或者其他组织的营业执照等证明文件，自然人的身份证明；</w:t>
            </w:r>
            <w:r/>
          </w:p>
        </w:tc>
        <w:tc>
          <w:tcPr>
            <w:tcW w:w="2207" w:type="dxa"/>
            <w:vAlign w:val="center"/>
            <w:textDirection w:val="lrTb"/>
            <w:noWrap w:val="false"/>
          </w:tcPr>
          <w:p>
            <w:pPr>
              <w:pageBreakBefore w:val="0"/>
              <w:spacing w:line="360" w:lineRule="auto"/>
              <w:rPr>
                <w:rFonts w:ascii="宋体" w:hAnsi="宋体"/>
                <w:b/>
                <w:color w:val="auto"/>
                <w:sz w:val="21"/>
                <w:szCs w:val="21"/>
                <w:highlight w:val="none"/>
              </w:rPr>
            </w:pPr>
            <w:r>
              <w:rPr>
                <w:rFonts w:ascii="宋体" w:hAnsi="宋体"/>
                <w:b/>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highlight w:val="none"/>
              </w:rPr>
              <w:t xml:space="preserve">上一年度的财务状况报告（成立不满一年无需提供）；</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s="宋体"/>
                <w:i w:val="0"/>
                <w:iCs w:val="0"/>
                <w:color w:val="auto"/>
                <w:szCs w:val="21"/>
                <w:highlight w:val="none"/>
                <w:u w:val="none"/>
              </w:rPr>
              <w:t xml:space="preserve">依法缴纳税收和社会保障资金的相关材料（提供提交</w:t>
            </w:r>
            <w:r>
              <w:rPr>
                <w:rFonts w:hint="eastAsia" w:ascii="宋体" w:hAnsi="宋体" w:cs="宋体"/>
                <w:i w:val="0"/>
                <w:iCs w:val="0"/>
                <w:color w:val="auto"/>
                <w:szCs w:val="21"/>
                <w:highlight w:val="none"/>
                <w:u w:val="none"/>
                <w:lang w:val="en-US" w:eastAsia="zh-CN"/>
              </w:rPr>
              <w:t xml:space="preserve">投标</w:t>
            </w:r>
            <w:r>
              <w:rPr>
                <w:rFonts w:hint="eastAsia" w:ascii="宋体" w:hAnsi="宋体" w:cs="宋体"/>
                <w:i w:val="0"/>
                <w:iCs w:val="0"/>
                <w:color w:val="auto"/>
                <w:szCs w:val="21"/>
                <w:highlight w:val="none"/>
                <w:u w:val="none"/>
              </w:rPr>
              <w:t xml:space="preserve">文件截止时间前一年内至少一个月依法缴纳税收及缴纳社会保障资金的证明材料。</w:t>
            </w:r>
            <w:r>
              <w:rPr>
                <w:rFonts w:hint="eastAsia" w:ascii="宋体" w:hAnsi="宋体" w:cs="宋体"/>
                <w:i w:val="0"/>
                <w:iCs w:val="0"/>
                <w:color w:val="auto"/>
                <w:szCs w:val="21"/>
                <w:highlight w:val="none"/>
                <w:u w:val="none"/>
                <w:lang w:val="en-US" w:eastAsia="zh-CN"/>
              </w:rPr>
              <w:t xml:space="preserve">投标人</w:t>
            </w:r>
            <w:r>
              <w:rPr>
                <w:rFonts w:hint="eastAsia" w:ascii="宋体" w:hAnsi="宋体" w:cs="宋体"/>
                <w:i w:val="0"/>
                <w:iCs w:val="0"/>
                <w:color w:val="auto"/>
                <w:szCs w:val="21"/>
                <w:highlight w:val="none"/>
                <w:u w:val="none"/>
              </w:rPr>
              <w:t xml:space="preserve">依法享受缓缴、免缴税收、社会保障资金的提供证明材料。新成立企业距投标截止日不足30日的，可不提供，以新办企业营业执照发放日期为准）</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highlight w:val="none"/>
              </w:rPr>
              <w:t xml:space="preserve">具备履行合同所必需的设备和专业技术能力的书面声明；</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highlight w:val="none"/>
              </w:rPr>
              <w:t xml:space="preserve">参加政府采购活动前3年内在经营活动中没有重大违法记录的书面声明。</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w:t>
            </w:r>
            <w:r/>
          </w:p>
        </w:tc>
        <w:tc>
          <w:tcPr>
            <w:tcW w:w="6311" w:type="dxa"/>
            <w:vAlign w:val="center"/>
            <w:textDirection w:val="lrTb"/>
            <w:noWrap w:val="false"/>
          </w:tcPr>
          <w:p>
            <w:pPr>
              <w:pageBreakBefore w:val="0"/>
              <w:spacing w:line="360" w:lineRule="auto"/>
              <w:rPr>
                <w:rFonts w:ascii="宋体" w:hAnsi="宋体"/>
                <w:iCs/>
                <w:color w:val="auto"/>
                <w:sz w:val="21"/>
                <w:szCs w:val="21"/>
                <w:highlight w:val="none"/>
              </w:rPr>
            </w:pPr>
            <w:r>
              <w:rPr>
                <w:rFonts w:hint="eastAsia" w:ascii="宋体" w:hAnsi="宋体"/>
                <w:color w:val="auto"/>
                <w:sz w:val="21"/>
                <w:szCs w:val="21"/>
                <w:highlight w:val="none"/>
                <w:lang w:val="en-US" w:eastAsia="zh-CN"/>
              </w:rPr>
              <w:t xml:space="preserve">供应商信用承诺函。</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67"/>
        </w:trPr>
        <w:tc>
          <w:tcPr>
            <w:tcW w:w="660" w:type="dxa"/>
            <w:vAlign w:val="center"/>
            <w:textDirection w:val="lrTb"/>
            <w:noWrap w:val="false"/>
          </w:tcPr>
          <w:p>
            <w:pPr>
              <w:jc w:val="center"/>
              <w:pageBreakBefore w:val="0"/>
              <w:spacing w:line="360" w:lineRule="auto"/>
              <w:rPr>
                <w:rFonts w:hint="default" w:ascii="宋体" w:hAnsi="宋体"/>
                <w:color w:val="auto"/>
                <w:sz w:val="21"/>
                <w:szCs w:val="21"/>
                <w:highlight w:val="none"/>
                <w:lang w:val="en-US"/>
              </w:rPr>
            </w:pPr>
            <w:r>
              <w:rPr>
                <w:rFonts w:hint="default" w:ascii="宋体" w:hAnsi="宋体"/>
                <w:color w:val="auto"/>
                <w:sz w:val="21"/>
                <w:szCs w:val="21"/>
                <w:highlight w:val="none"/>
                <w:lang w:val="en-US"/>
              </w:rPr>
              <w:t xml:space="preserve">7</w:t>
            </w:r>
            <w:r/>
          </w:p>
        </w:tc>
        <w:tc>
          <w:tcPr>
            <w:tcW w:w="6311" w:type="dxa"/>
            <w:vAlign w:val="center"/>
            <w:textDirection w:val="lrTb"/>
            <w:noWrap w:val="false"/>
          </w:tcPr>
          <w:p>
            <w:pPr>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未被“信用中国”网站、“中国政府采购网"列入失信被执行人、重大税收违法案件当事人名单、政府采购严重违法失信行为记录名单及其他不符合《中华人民共和国政府采购法》第二十二条规定条件的信用记录。</w:t>
            </w:r>
            <w:r/>
          </w:p>
        </w:tc>
        <w:tc>
          <w:tcPr>
            <w:tcW w:w="2207" w:type="dxa"/>
            <w:vAlign w:val="center"/>
            <w:textDirection w:val="lrTb"/>
            <w:noWrap w:val="false"/>
          </w:tcPr>
          <w:p>
            <w:pPr>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426"/>
        </w:trPr>
        <w:tc>
          <w:tcPr>
            <w:gridSpan w:val="3"/>
            <w:tcW w:w="9178" w:type="dxa"/>
            <w:vAlign w:val="center"/>
            <w:textDirection w:val="lrTb"/>
            <w:noWrap w:val="false"/>
          </w:tcPr>
          <w:p>
            <w:pPr>
              <w:pageBreakBefore w:val="0"/>
              <w:spacing w:line="360" w:lineRule="auto"/>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26"/>
        </w:trPr>
        <w:tc>
          <w:tcPr>
            <w:tcW w:w="660" w:type="dxa"/>
            <w:vAlign w:val="center"/>
            <w:textDirection w:val="lrTb"/>
            <w:noWrap w:val="false"/>
          </w:tcPr>
          <w:p>
            <w:pPr>
              <w:jc w:val="center"/>
              <w:pageBreakBefore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10</w:t>
            </w:r>
            <w:r/>
          </w:p>
        </w:tc>
        <w:tc>
          <w:tcPr>
            <w:tcW w:w="6311" w:type="dxa"/>
            <w:vAlign w:val="center"/>
            <w:textDirection w:val="lrTb"/>
            <w:noWrap w:val="false"/>
          </w:tcPr>
          <w:p>
            <w:pPr>
              <w:jc w:val="left"/>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36"/>
        </w:trPr>
        <w:tc>
          <w:tcPr>
            <w:tcW w:w="660" w:type="dxa"/>
            <w:vAlign w:val="center"/>
            <w:textDirection w:val="lrTb"/>
            <w:noWrap w:val="false"/>
          </w:tcPr>
          <w:p>
            <w:pPr>
              <w:jc w:val="center"/>
              <w:pageBreakBefore w:val="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11</w:t>
            </w:r>
            <w:r/>
          </w:p>
        </w:tc>
        <w:tc>
          <w:tcPr>
            <w:tcW w:w="6311" w:type="dxa"/>
            <w:vAlign w:val="center"/>
            <w:textDirection w:val="lrTb"/>
            <w:noWrap w:val="false"/>
          </w:tcPr>
          <w:p>
            <w:pPr>
              <w:jc w:val="left"/>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trHeight w:val="436"/>
        </w:trPr>
        <w:tc>
          <w:tcPr>
            <w:tcW w:w="660" w:type="dxa"/>
            <w:vAlign w:val="center"/>
            <w:textDirection w:val="lrTb"/>
            <w:noWrap w:val="false"/>
          </w:tcPr>
          <w:p>
            <w:pPr>
              <w:jc w:val="center"/>
              <w:pageBreakBefore w:val="0"/>
              <w:spacing w:line="360" w:lineRule="auto"/>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12</w:t>
            </w:r>
            <w:r/>
          </w:p>
        </w:tc>
        <w:tc>
          <w:tcPr>
            <w:tcW w:w="6311" w:type="dxa"/>
            <w:vAlign w:val="center"/>
            <w:textDirection w:val="lrTb"/>
            <w:noWrap w:val="false"/>
          </w:tcPr>
          <w:p>
            <w:pPr>
              <w:jc w:val="left"/>
              <w:pageBreakBefore w:val="0"/>
              <w:spacing w:line="360" w:lineRule="auto"/>
              <w:rPr>
                <w:rFonts w:hint="eastAsia" w:ascii="宋体" w:hAnsi="宋体"/>
                <w:iCs/>
                <w:color w:val="auto"/>
                <w:szCs w:val="21"/>
                <w:highlight w:val="none"/>
              </w:rPr>
            </w:pPr>
            <w:r>
              <w:rPr>
                <w:rFonts w:hint="eastAsia" w:ascii="宋体" w:hAnsi="宋体"/>
                <w:iCs/>
                <w:color w:val="auto"/>
                <w:szCs w:val="21"/>
                <w:highlight w:val="none"/>
              </w:rPr>
              <w:t xml:space="preserve">本项目专门面向中小企业采购。投标人参加投标时须提供《中小企业声明函》，《中小企业声明函》不符合要求或未提供的，投标文件无效。残疾人福利性单位、监狱和戒毒企业（简称监狱企业）视同小型、微型企业。（投标人按要求填写并提供《中小微企业声明函》或《残疾人福利性单位声明函》，或提供由省级以上监狱管理局、戒毒管理局（含新疆生产建设兵团）出具的属于监狱企业的证明文件。</w:t>
            </w:r>
            <w:r/>
          </w:p>
        </w:tc>
        <w:tc>
          <w:tcPr>
            <w:tcW w:w="2207"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ind w:firstLine="1476"/>
        <w:pageBreakBefore w:val="0"/>
        <w:spacing w:before="156" w:after="156" w:line="360" w:lineRule="auto"/>
        <w:rPr>
          <w:rFonts w:hint="eastAsia" w:ascii="宋体" w:hAnsi="宋体"/>
          <w:b/>
          <w:bCs/>
          <w:color w:val="auto"/>
          <w:highlight w:val="none"/>
        </w:rPr>
        <w:sectPr>
          <w:headerReference w:type="default" r:id="rId9"/>
          <w:footerReference w:type="default" r:id="rId11"/>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
          <w:bCs/>
          <w:color w:val="auto"/>
          <w:highlight w:val="none"/>
        </w:rPr>
      </w:r>
      <w:r/>
    </w:p>
    <w:p>
      <w:pPr>
        <w:jc w:val="center"/>
        <w:pageBreakBefore w:val="0"/>
        <w:spacing w:before="156" w:after="156"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具备履行合同所必需的设备和专业技术能力的书面声明</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pageBreakBefore w:val="0"/>
        <w:spacing w:line="360" w:lineRule="auto"/>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pStyle w:val="941"/>
        <w:ind w:firstLine="723"/>
        <w:pageBreakBefore w:val="0"/>
        <w:spacing w:line="360" w:lineRule="auto"/>
        <w:rPr>
          <w:rFonts w:ascii="宋体" w:hAnsi="宋体"/>
          <w:b/>
          <w:color w:val="auto"/>
          <w:sz w:val="36"/>
          <w:highlight w:val="none"/>
        </w:rPr>
      </w:pPr>
      <w:r>
        <w:rPr>
          <w:rFonts w:ascii="宋体" w:hAnsi="宋体"/>
          <w:b/>
          <w:color w:val="auto"/>
          <w:sz w:val="36"/>
          <w:highlight w:val="none"/>
        </w:rPr>
      </w:r>
      <w:r/>
    </w:p>
    <w:p>
      <w:pPr>
        <w:pageBreakBefore w:val="0"/>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pageBreakBefore w:val="0"/>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pageBreakBefore w:val="0"/>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pStyle w:val="941"/>
        <w:ind w:firstLine="723"/>
        <w:jc w:val="right"/>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contextualSpacing/>
        <w:pageBreakBefore w:val="0"/>
        <w:spacing w:line="360" w:lineRule="auto"/>
        <w:rPr>
          <w:rFonts w:ascii="宋体" w:hAnsi="宋体"/>
          <w:b/>
          <w:color w:val="auto"/>
          <w:sz w:val="36"/>
          <w:highlight w:val="none"/>
        </w:rPr>
      </w:pPr>
      <w:r>
        <w:rPr>
          <w:rFonts w:ascii="宋体" w:hAnsi="宋体"/>
          <w:b/>
          <w:color w:val="auto"/>
          <w:sz w:val="36"/>
          <w:highlight w:val="none"/>
        </w:rPr>
      </w:r>
      <w:r/>
    </w:p>
    <w:p>
      <w:pPr>
        <w:jc w:val="center"/>
        <w:pageBreakBefore w:val="0"/>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pageBreakBefore w:val="0"/>
        <w:spacing w:line="360" w:lineRule="auto"/>
        <w:rPr>
          <w:rFonts w:ascii="宋体" w:hAnsi="宋体"/>
          <w:color w:val="auto"/>
          <w:highlight w:val="none"/>
        </w:rPr>
      </w:pPr>
      <w:r>
        <w:rPr>
          <w:rFonts w:ascii="宋体" w:hAnsi="宋体"/>
          <w:color w:val="auto"/>
          <w:highlight w:val="none"/>
        </w:rPr>
      </w:r>
      <w:r/>
    </w:p>
    <w:p>
      <w:pPr>
        <w:jc w:val="center"/>
        <w:pageBreakBefore w:val="0"/>
        <w:spacing w:after="312"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声  明</w:t>
      </w:r>
      <w:r/>
    </w:p>
    <w:p>
      <w:pPr>
        <w:pageBreakBefore w:val="0"/>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pageBreakBefore w:val="0"/>
        <w:spacing w:line="360" w:lineRule="auto"/>
        <w:rPr>
          <w:rFonts w:ascii="宋体" w:hAnsi="宋体"/>
          <w:bCs/>
          <w:color w:val="auto"/>
          <w:highlight w:val="none"/>
          <w:u w:val="single"/>
        </w:rPr>
      </w:pPr>
      <w:r>
        <w:rPr>
          <w:rFonts w:hint="eastAsia" w:ascii="宋体" w:hAnsi="宋体"/>
          <w:bCs/>
          <w:color w:val="auto"/>
          <w:highlight w:val="none"/>
        </w:rPr>
        <w:t xml:space="preserve">                                    法定代表人签章： </w:t>
      </w:r>
      <w:r>
        <w:rPr>
          <w:rFonts w:hint="eastAsia" w:ascii="宋体" w:hAnsi="宋体"/>
          <w:bCs/>
          <w:color w:val="auto"/>
          <w:highlight w:val="none"/>
          <w:u w:val="single"/>
        </w:rPr>
        <w:t xml:space="preserve">                         </w:t>
      </w:r>
      <w:r/>
    </w:p>
    <w:p>
      <w:pPr>
        <w:jc w:val="right"/>
        <w:pageBreakBefore w:val="0"/>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ascii="宋体" w:hAnsi="宋体"/>
          <w:b/>
          <w:bCs/>
          <w:color w:val="auto"/>
          <w:highlight w:val="none"/>
        </w:rPr>
      </w:pPr>
      <w:r>
        <w:rPr>
          <w:rFonts w:ascii="宋体" w:hAnsi="宋体"/>
          <w:b/>
          <w:bCs/>
          <w:color w:val="auto"/>
          <w:highlight w:val="none"/>
        </w:rPr>
      </w:r>
      <w:r/>
    </w:p>
    <w:p>
      <w:pPr>
        <w:jc w:val="center"/>
        <w:pageBreakBefore w:val="0"/>
        <w:spacing w:line="360" w:lineRule="auto"/>
        <w:rPr>
          <w:rFonts w:hint="eastAsia" w:ascii="方正仿宋_GBK" w:eastAsia="宋体"/>
          <w:color w:val="auto"/>
          <w:szCs w:val="32"/>
          <w:highlight w:val="none"/>
          <w:lang w:eastAsia="zh-CN"/>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w:t>
      </w:r>
      <w:r>
        <w:rPr>
          <w:rFonts w:hint="eastAsia" w:ascii="宋体" w:hAnsi="宋体"/>
          <w:b/>
          <w:color w:val="auto"/>
          <w:szCs w:val="21"/>
          <w:highlight w:val="none"/>
          <w:lang w:val="en-US" w:eastAsia="zh-CN"/>
        </w:rPr>
        <w:t xml:space="preserve">函</w:t>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承诺主体名称：</w:t>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pageBreakBefore w:val="0"/>
        <w:spacing w:line="360" w:lineRule="auto"/>
        <w:rPr>
          <w:rFonts w:hint="eastAsia"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承诺单位（签章）：            法定代表人（负责人）：</w:t>
      </w:r>
      <w:r/>
    </w:p>
    <w:p>
      <w:pPr>
        <w:jc w:val="center"/>
        <w:pageBreakBefore w:val="0"/>
        <w:spacing w:line="360" w:lineRule="auto"/>
        <w:rPr>
          <w:rFonts w:ascii="宋体" w:hAnsi="宋体"/>
          <w:b/>
          <w:bCs/>
          <w:color w:val="auto"/>
          <w:highlight w:val="none"/>
        </w:rPr>
      </w:pPr>
      <w:r>
        <w:rPr>
          <w:rFonts w:hint="eastAsia" w:ascii="宋体" w:hAnsi="宋体"/>
          <w:color w:val="auto"/>
          <w:szCs w:val="21"/>
          <w:highlight w:val="none"/>
        </w:rPr>
        <w:t xml:space="preserve">　　　　　　　　　      　年    月    日</w:t>
      </w:r>
      <w:r/>
    </w:p>
    <w:p>
      <w:pPr>
        <w:pageBreakBefore w:val="0"/>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r/>
    </w:p>
    <w:p>
      <w:pPr>
        <w:jc w:val="center"/>
        <w:pageBreakBefore w:val="0"/>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投标函格式</w:t>
      </w:r>
      <w:r/>
    </w:p>
    <w:p>
      <w:pPr>
        <w:pStyle w:val="952"/>
        <w:ind w:firstLine="0"/>
        <w:pageBreakBefore w:val="0"/>
        <w:spacing w:before="0" w:after="0"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致：</w:t>
      </w:r>
      <w:r>
        <w:rPr>
          <w:rFonts w:hint="eastAsia" w:hAnsi="宋体"/>
          <w:color w:val="auto"/>
          <w:sz w:val="21"/>
          <w:highlight w:val="none"/>
          <w:lang w:eastAsia="zh-CN"/>
        </w:rPr>
        <w:t xml:space="preserve">江苏嘉加诚工程投资咨询有限公司</w:t>
      </w:r>
      <w:r/>
    </w:p>
    <w:p>
      <w:pPr>
        <w:pStyle w:val="952"/>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52"/>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952"/>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952"/>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952"/>
        <w:ind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952"/>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952"/>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52"/>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52"/>
        <w:ind w:left="425" w:firstLine="105"/>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95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95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95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95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95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95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95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952"/>
        <w:ind w:firstLine="478"/>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pageBreakBefore w:val="0"/>
        <w:spacing w:line="360" w:lineRule="auto"/>
        <w:rPr>
          <w:rFonts w:ascii="宋体" w:hAnsi="宋体"/>
          <w:b/>
          <w:color w:val="auto"/>
          <w:sz w:val="28"/>
          <w:szCs w:val="28"/>
          <w:highlight w:val="none"/>
        </w:rPr>
      </w:pPr>
      <w:r>
        <w:rPr>
          <w:rFonts w:hint="eastAsia" w:ascii="宋体" w:hAnsi="宋体"/>
          <w:b/>
          <w:color w:val="auto"/>
          <w:sz w:val="32"/>
          <w:szCs w:val="32"/>
          <w:highlight w:val="none"/>
        </w:rPr>
        <w:br w:type="page" w:clear="all"/>
      </w:r>
      <w:r>
        <w:rPr>
          <w:rFonts w:hint="eastAsia" w:ascii="宋体" w:hAnsi="宋体"/>
          <w:b/>
          <w:color w:val="auto"/>
          <w:sz w:val="28"/>
          <w:szCs w:val="28"/>
          <w:highlight w:val="none"/>
        </w:rPr>
        <w:t xml:space="preserve">法人授权书</w:t>
      </w:r>
      <w:r/>
    </w:p>
    <w:p>
      <w:pPr>
        <w:pStyle w:val="953"/>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53"/>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53"/>
        <w:ind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53"/>
        <w:ind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w:t>
      </w:r>
      <w:r/>
    </w:p>
    <w:p>
      <w:pPr>
        <w:pStyle w:val="953"/>
        <w:ind w:firstLine="420"/>
        <w:pageBreakBefore w:val="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53"/>
        <w:ind w:firstLine="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53"/>
        <w:ind w:firstLine="420"/>
        <w:pageBreakBefore w:val="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53"/>
        <w:ind w:firstLine="420"/>
        <w:pageBreakBefore w:val="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pageBreakBefore w:val="0"/>
        <w:spacing w:line="360" w:lineRule="auto"/>
        <w:rPr>
          <w:rFonts w:ascii="宋体" w:hAnsi="宋体"/>
          <w:bCs/>
          <w:color w:val="auto"/>
          <w:highlight w:val="none"/>
        </w:rPr>
      </w:pPr>
      <w:r>
        <w:rPr>
          <w:rFonts w:ascii="宋体" w:hAnsi="宋体"/>
          <w:bCs/>
          <w:color w:val="auto"/>
          <w:highlight w:val="none"/>
        </w:rPr>
      </w:r>
      <w:r/>
    </w:p>
    <w:p>
      <w:pPr>
        <w:pageBreakBefore w:val="0"/>
        <w:spacing w:line="360" w:lineRule="auto"/>
        <w:rPr>
          <w:rFonts w:ascii="宋体" w:hAnsi="宋体"/>
          <w:bCs/>
          <w:color w:val="auto"/>
          <w:sz w:val="24"/>
          <w:highlight w:val="none"/>
        </w:rPr>
      </w:pPr>
      <w:r>
        <w:rPr>
          <w:rFonts w:ascii="宋体" w:hAnsi="宋体"/>
          <w:bCs/>
          <w:color w:val="auto"/>
          <w:sz w:val="24"/>
          <w:highlight w:val="none"/>
        </w:rPr>
      </w:r>
      <w:r/>
    </w:p>
    <w:p>
      <w:pPr>
        <w:ind w:firstLine="420"/>
        <w:pageBreakBefore w:val="0"/>
        <w:spacing w:line="360" w:lineRule="auto"/>
        <w:rPr>
          <w:rFonts w:hint="eastAsia" w:ascii="宋体" w:hAnsi="宋体"/>
          <w:bCs/>
          <w:color w:val="auto"/>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pStyle w:val="920"/>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二、符合性审查响应对照表</w:t>
      </w:r>
      <w:r/>
    </w:p>
    <w:tbl>
      <w:tblPr>
        <w:tblStyle w:val="727"/>
        <w:tblW w:w="8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jc w:val="center"/>
          <w:trHeight w:val="882"/>
        </w:trPr>
        <w:tc>
          <w:tcPr>
            <w:tcW w:w="646"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889"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61"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189"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1</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61"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c>
          <w:tcPr>
            <w:tcW w:w="1189"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417"/>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4889"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61"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89"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Style w:val="920"/>
        <w:pageBreakBefore w:val="0"/>
        <w:spacing w:line="360" w:lineRule="auto"/>
        <w:rPr>
          <w:rFonts w:ascii="宋体" w:hAnsi="宋体" w:eastAsia="宋体"/>
          <w:color w:val="auto"/>
          <w:sz w:val="28"/>
          <w:szCs w:val="28"/>
          <w:highlight w:val="none"/>
        </w:rPr>
      </w:pPr>
      <w:r>
        <w:rPr>
          <w:rFonts w:hint="eastAsia" w:ascii="宋体" w:hAnsi="宋体" w:eastAsia="宋体"/>
          <w:color w:val="auto"/>
          <w:sz w:val="28"/>
          <w:szCs w:val="28"/>
          <w:highlight w:val="none"/>
        </w:rPr>
        <w:t xml:space="preserve">三、非实质性响应对照表</w:t>
      </w:r>
      <w:r/>
    </w:p>
    <w:p>
      <w:pPr>
        <w:pageBreakBefore w:val="0"/>
        <w:spacing w:line="360" w:lineRule="auto"/>
        <w:rPr>
          <w:rFonts w:ascii="宋体" w:hAnsi="宋体"/>
          <w:b/>
          <w:color w:val="auto"/>
          <w:sz w:val="32"/>
          <w:szCs w:val="32"/>
          <w:highlight w:val="none"/>
        </w:rPr>
      </w:pPr>
      <w:r>
        <w:rPr>
          <w:rFonts w:ascii="宋体" w:hAnsi="宋体"/>
          <w:b/>
          <w:color w:val="auto"/>
          <w:sz w:val="32"/>
          <w:szCs w:val="32"/>
          <w:highlight w:val="none"/>
        </w:rPr>
      </w:r>
      <w:r/>
    </w:p>
    <w:tbl>
      <w:tblPr>
        <w:tblStyle w:val="727"/>
        <w:tblW w:w="8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jc w:val="center"/>
          <w:trHeight w:val="882"/>
        </w:trPr>
        <w:tc>
          <w:tcPr>
            <w:tcW w:w="646"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4485" w:type="dxa"/>
            <w:vAlign w:val="center"/>
            <w:textDirection w:val="lrTb"/>
            <w:noWrap w:val="false"/>
          </w:tcPr>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800"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pageBreakBefore w:val="0"/>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454" w:type="dxa"/>
            <w:vAlign w:val="center"/>
            <w:textDirection w:val="lrTb"/>
            <w:noWrap w:val="false"/>
          </w:tcPr>
          <w:p>
            <w:pPr>
              <w:jc w:val="center"/>
              <w:pageBreakBefore w:val="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b/>
                <w:color w:val="auto"/>
                <w:szCs w:val="21"/>
                <w:highlight w:val="none"/>
              </w:rPr>
            </w:pPr>
            <w:r>
              <w:rPr>
                <w:rFonts w:hint="eastAsia" w:ascii="宋体" w:hAnsi="宋体"/>
                <w:color w:val="auto"/>
                <w:szCs w:val="21"/>
                <w:highlight w:val="none"/>
              </w:rPr>
              <w:t xml:space="preserve">1</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800"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c>
          <w:tcPr>
            <w:tcW w:w="1454" w:type="dxa"/>
            <w:vAlign w:val="center"/>
            <w:textDirection w:val="lrTb"/>
            <w:noWrap w:val="false"/>
          </w:tcPr>
          <w:p>
            <w:pPr>
              <w:pageBreakBefore w:val="0"/>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85"/>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780"/>
        </w:trPr>
        <w:tc>
          <w:tcPr>
            <w:tcW w:w="646"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4485" w:type="dxa"/>
            <w:vAlign w:val="center"/>
            <w:textDirection w:val="lrTb"/>
            <w:noWrap w:val="false"/>
          </w:tcPr>
          <w:p>
            <w:pPr>
              <w:pageBreakBefore w:val="0"/>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800"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454" w:type="dxa"/>
            <w:vAlign w:val="center"/>
            <w:textDirection w:val="lrTb"/>
            <w:noWrap w:val="false"/>
          </w:tcPr>
          <w:p>
            <w:pP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pageBreakBefore w:val="0"/>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pageBreakBefore w:val="0"/>
        <w:spacing w:line="360" w:lineRule="auto"/>
        <w:rPr>
          <w:color w:val="auto"/>
          <w:highlight w:val="none"/>
        </w:rPr>
      </w:pPr>
      <w:r>
        <w:rPr>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center"/>
        <w:pageBreakBefore w:val="0"/>
        <w:spacing w:before="312" w:after="312" w:line="360" w:lineRule="auto"/>
        <w:rPr>
          <w:b/>
          <w:bCs/>
          <w:color w:val="auto"/>
          <w:sz w:val="28"/>
          <w:szCs w:val="28"/>
          <w:highlight w:val="none"/>
        </w:rPr>
      </w:pPr>
      <w:r>
        <w:rPr>
          <w:rFonts w:hint="eastAsia"/>
          <w:b/>
          <w:bCs/>
          <w:color w:val="auto"/>
          <w:sz w:val="28"/>
          <w:szCs w:val="28"/>
          <w:highlight w:val="none"/>
        </w:rPr>
        <w:t xml:space="preserve">中小企业声明函（工程、服务）</w:t>
      </w:r>
      <w:r/>
    </w:p>
    <w:p>
      <w:pPr>
        <w:ind w:firstLine="420"/>
        <w:jc w:val="left"/>
        <w:pageBreakBefore w:val="0"/>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color w:val="auto"/>
          <w:highlight w:val="none"/>
          <w:u w:val="single"/>
        </w:rPr>
        <w:t xml:space="preserve">（软件和信息技术服务业）</w:t>
      </w:r>
      <w:r>
        <w:rPr>
          <w:rFonts w:hint="eastAsia" w:ascii="宋体" w:hAnsi="宋体"/>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pageBreakBefore w:val="0"/>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（软件和信息技术服务业）（不得对行业类别修改）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pageBreakBefore w:val="0"/>
        <w:spacing w:line="360" w:lineRule="auto"/>
        <w:rPr>
          <w:color w:val="auto"/>
          <w:highlight w:val="none"/>
        </w:rPr>
      </w:pPr>
      <w:r>
        <w:rPr>
          <w:rFonts w:hint="eastAsia"/>
          <w:color w:val="auto"/>
          <w:highlight w:val="none"/>
        </w:rPr>
        <w:t xml:space="preserve">……</w:t>
      </w:r>
      <w:r/>
    </w:p>
    <w:p>
      <w:pPr>
        <w:ind w:firstLine="420"/>
        <w:jc w:val="left"/>
        <w:pageBreakBefore w:val="0"/>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pageBreakBefore w:val="0"/>
        <w:spacing w:line="360" w:lineRule="auto"/>
        <w:rPr>
          <w:color w:val="auto"/>
          <w:highlight w:val="none"/>
        </w:rPr>
      </w:pPr>
      <w:r>
        <w:rPr>
          <w:color w:val="auto"/>
          <w:highlight w:val="none"/>
        </w:rPr>
      </w:r>
      <w:r/>
    </w:p>
    <w:p>
      <w:pPr>
        <w:pageBreakBefore w:val="0"/>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pageBreakBefore w:val="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pageBreakBefore w:val="0"/>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pageBreakBefore w:val="0"/>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pageBreakBefore w:val="0"/>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pageBreakBefore w:val="0"/>
        <w:spacing w:line="360" w:lineRule="auto"/>
        <w:rPr>
          <w:color w:val="auto"/>
          <w:highlight w:val="none"/>
        </w:rPr>
      </w:pPr>
      <w:r>
        <w:rPr>
          <w:rFonts w:hint="eastAsia"/>
          <w:color w:val="auto"/>
          <w:highlight w:val="none"/>
        </w:rPr>
        <w:t xml:space="preserve">企业名称（盖章）：</w:t>
      </w:r>
      <w:r/>
    </w:p>
    <w:p>
      <w:pPr>
        <w:ind w:firstLine="4620"/>
        <w:jc w:val="left"/>
        <w:pageBreakBefore w:val="0"/>
        <w:spacing w:line="360" w:lineRule="auto"/>
        <w:rPr>
          <w:color w:val="auto"/>
          <w:highlight w:val="none"/>
        </w:rPr>
      </w:pPr>
      <w:r>
        <w:rPr>
          <w:rFonts w:hint="eastAsia"/>
          <w:color w:val="auto"/>
          <w:highlight w:val="none"/>
        </w:rPr>
        <w:t xml:space="preserve">日 期：</w:t>
      </w:r>
      <w:r/>
    </w:p>
    <w:p>
      <w:pPr>
        <w:pStyle w:val="920"/>
        <w:pageBreakBefore w:val="0"/>
        <w:spacing w:before="300" w:after="300" w:line="360" w:lineRule="auto"/>
        <w:widowControl/>
        <w:rPr>
          <w:rFonts w:ascii="宋体" w:hAnsi="宋体" w:eastAsia="宋体"/>
          <w:color w:val="auto"/>
          <w:sz w:val="28"/>
          <w:szCs w:val="28"/>
          <w:highlight w:val="none"/>
        </w:rPr>
      </w:pPr>
      <w:r>
        <w:rPr>
          <w:rFonts w:hint="eastAsia" w:ascii="宋体" w:hAnsi="宋体" w:eastAsia="宋体" w:cs="微软雅黑"/>
          <w:bCs w:val="0"/>
          <w:color w:val="auto"/>
          <w:sz w:val="28"/>
          <w:szCs w:val="28"/>
          <w:highlight w:val="none"/>
        </w:rPr>
        <w:t xml:space="preserve">中小微企业划型标准 </w:t>
      </w:r>
      <w:r/>
    </w:p>
    <w:p>
      <w:pPr>
        <w:pStyle w:val="938"/>
        <w:ind w:firstLine="420"/>
        <w:pageBreakBefore w:val="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43"/>
          <w:rFonts w:hint="eastAsia" w:ascii="宋体" w:hAnsi="宋体" w:cs="仿宋"/>
          <w:color w:val="auto"/>
          <w:sz w:val="21"/>
          <w:szCs w:val="21"/>
          <w:highlight w:val="none"/>
        </w:rPr>
        <w:t xml:space="preserve">中小微企业划型标准如下：</w:t>
      </w:r>
      <w:r/>
    </w:p>
    <w:tbl>
      <w:tblPr>
        <w:tblStyle w:val="727"/>
        <w:tblW w:w="8781"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jc w:val="center"/>
          <w:tblCellSpacing w:w="15" w:type="dxa"/>
          <w:trHeight w:val="285"/>
        </w:trPr>
        <w:tc>
          <w:tcPr>
            <w:tcMar>
              <w:left w:w="105" w:type="dxa"/>
              <w:top w:w="0" w:type="dxa"/>
              <w:right w:w="105" w:type="dxa"/>
              <w:bottom w:w="0" w:type="dxa"/>
            </w:tcMar>
            <w:tcW w:w="1766"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中型</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小型</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766"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50≤Y＜500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工业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X＜20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Y＜300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20≤X＜200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5≤X＜20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X＜5</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50≤X＜300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10≤X＜50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X＜20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20≤X＜100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X＜20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20≤X＜300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X＜20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38"/>
              <w:ind w:firstLine="420"/>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X＜100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X＜100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X＜10</w:t>
            </w:r>
            <w:r/>
          </w:p>
        </w:tc>
      </w:tr>
      <w:tr>
        <w:trPr>
          <w:jc w:val="center"/>
          <w:tblCellSpacing w:w="15" w:type="dxa"/>
          <w:trHeight w:val="225"/>
        </w:trPr>
        <w:tc>
          <w:tcPr>
            <w:tcW w:w="1766" w:type="dxa"/>
            <w:vAlign w:val="center"/>
            <w:vMerge w:val="continue"/>
            <w:textDirection w:val="lrTb"/>
            <w:noWrap w:val="false"/>
          </w:tcPr>
          <w:p>
            <w:pPr>
              <w:jc w:val="center"/>
              <w:pageBreakBefore w:val="0"/>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766"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155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35"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人</w:t>
            </w:r>
            <w:r/>
          </w:p>
        </w:tc>
        <w:tc>
          <w:tcPr>
            <w:tcMar>
              <w:left w:w="105" w:type="dxa"/>
              <w:top w:w="0" w:type="dxa"/>
              <w:right w:w="105" w:type="dxa"/>
              <w:bottom w:w="0" w:type="dxa"/>
            </w:tcMar>
            <w:tcW w:w="1447"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189" w:type="dxa"/>
            <w:vAlign w:val="center"/>
            <w:textDirection w:val="lrTb"/>
            <w:noWrap w:val="false"/>
          </w:tcPr>
          <w:p>
            <w:pPr>
              <w:pStyle w:val="938"/>
              <w:jc w:val="center"/>
              <w:pageBreakBefore w:val="0"/>
              <w:spacing w:after="150" w:line="360" w:lineRule="auto"/>
              <w:widowControl/>
              <w:rPr>
                <w:rFonts w:ascii="宋体" w:hAnsi="宋体"/>
                <w:color w:val="auto"/>
                <w:sz w:val="21"/>
                <w:szCs w:val="21"/>
                <w:highlight w:val="none"/>
              </w:rPr>
            </w:pPr>
            <w:r>
              <w:rPr>
                <w:rStyle w:val="943"/>
                <w:rFonts w:hint="eastAsia" w:ascii="宋体" w:hAnsi="宋体" w:cs="仿宋"/>
                <w:color w:val="auto"/>
                <w:sz w:val="21"/>
                <w:szCs w:val="21"/>
                <w:highlight w:val="none"/>
              </w:rPr>
              <w:t xml:space="preserve">X＜10</w:t>
            </w:r>
            <w:r/>
          </w:p>
        </w:tc>
      </w:tr>
    </w:tbl>
    <w:p>
      <w:pPr>
        <w:pStyle w:val="938"/>
        <w:ind w:firstLine="422"/>
        <w:pageBreakBefore w:val="0"/>
        <w:spacing w:before="300" w:after="452" w:line="360" w:lineRule="auto"/>
        <w:widowControl/>
        <w:rPr>
          <w:rFonts w:ascii="宋体" w:hAnsi="宋体" w:cs="Arial"/>
          <w:b/>
          <w:bCs/>
          <w:color w:val="auto"/>
          <w:highlight w:val="none"/>
        </w:rPr>
      </w:pPr>
      <w:r>
        <w:rPr>
          <w:rStyle w:val="943"/>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70"/>
        <w:jc w:val="center"/>
        <w:pageBreakBefore w:val="0"/>
        <w:spacing w:line="360" w:lineRule="auto"/>
        <w:rPr>
          <w:color w:val="auto"/>
          <w:highlight w:val="none"/>
        </w:rPr>
      </w:pPr>
      <w:r>
        <w:rPr>
          <w:rStyle w:val="943"/>
          <w:rFonts w:ascii="宋体" w:hAnsi="宋体" w:cs="仿宋"/>
          <w:b w:val="0"/>
          <w:color w:val="auto"/>
          <w:sz w:val="21"/>
          <w:szCs w:val="21"/>
          <w:highlight w:val="none"/>
        </w:rPr>
        <w:br w:type="page" w:clear="all"/>
      </w:r>
      <w:r>
        <w:rPr>
          <w:rFonts w:hint="eastAsia" w:ascii="宋体" w:hAnsi="宋体"/>
          <w:color w:val="auto"/>
          <w:sz w:val="28"/>
          <w:szCs w:val="28"/>
          <w:highlight w:val="none"/>
        </w:rPr>
        <w:t xml:space="preserve">残疾人福利性单位声明函</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pageBreakBefore w:val="0"/>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pageBreakBefore w:val="0"/>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pageBreakBefore w:val="0"/>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pageBreakBefore w:val="0"/>
        <w:spacing w:line="360" w:lineRule="auto"/>
        <w:tabs>
          <w:tab w:val="left" w:pos="4860" w:leader="none"/>
        </w:tabs>
        <w:rPr>
          <w:rFonts w:hint="eastAsia" w:ascii="宋体" w:hAnsi="宋体"/>
          <w:color w:val="auto"/>
          <w:highlight w:val="none"/>
        </w:rPr>
      </w:pPr>
      <w:r>
        <w:rPr>
          <w:rFonts w:hint="eastAsia" w:ascii="宋体" w:hAnsi="宋体"/>
          <w:color w:val="auto"/>
          <w:szCs w:val="21"/>
          <w:highlight w:val="none"/>
        </w:rPr>
        <w:t xml:space="preserve">                       </w:t>
      </w: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right="1560" w:firstLine="420"/>
        <w:jc w:val="center"/>
        <w:pageBreakBefore w:val="0"/>
        <w:spacing w:line="360" w:lineRule="auto"/>
        <w:tabs>
          <w:tab w:val="left" w:pos="4860" w:leader="none"/>
        </w:tabs>
        <w:rPr>
          <w:rFonts w:ascii="宋体" w:hAnsi="宋体"/>
          <w:color w:val="auto"/>
          <w:highlight w:val="none"/>
        </w:rPr>
      </w:pPr>
      <w:r>
        <w:rPr>
          <w:rFonts w:ascii="宋体" w:hAnsi="宋体"/>
          <w:color w:val="auto"/>
          <w:highlight w:val="none"/>
        </w:rPr>
      </w:r>
      <w:r>
        <w:rPr>
          <w:rFonts w:ascii="宋体" w:hAnsi="宋体"/>
          <w:color w:val="auto"/>
          <w:highlight w:val="none"/>
        </w:rP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right="1560" w:firstLine="420"/>
        <w:jc w:val="center"/>
        <w:pageBreakBefore w:val="0"/>
        <w:spacing w:line="360" w:lineRule="auto"/>
        <w:tabs>
          <w:tab w:val="left" w:pos="4860" w:leader="none"/>
        </w:tabs>
        <w:rPr>
          <w:rFonts w:ascii="宋体" w:hAnsi="宋体"/>
          <w:color w:val="auto"/>
          <w:highlight w:val="none"/>
        </w:rPr>
      </w:pPr>
      <w:r>
        <w:rPr>
          <w:rFonts w:hint="eastAsia" w:ascii="宋体" w:hAnsi="宋体"/>
          <w:color w:val="auto"/>
          <w:szCs w:val="21"/>
          <w:highlight w:val="none"/>
        </w:rPr>
      </w:r>
      <w:r>
        <w:rPr>
          <w:rFonts w:hint="eastAsia" w:ascii="宋体" w:hAnsi="宋体"/>
          <w:color w:val="auto"/>
          <w:szCs w:val="21"/>
          <w:highlight w:val="none"/>
        </w:rP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jc w:val="left"/>
        <w:pageBreakBefore w:val="0"/>
        <w:spacing w:line="360" w:lineRule="auto"/>
        <w:widowControl/>
        <w:rPr>
          <w:rFonts w:ascii="宋体" w:hAnsi="宋体" w:cs="Arial"/>
          <w:b/>
          <w:bCs/>
          <w:color w:val="auto"/>
          <w:highlight w:val="none"/>
        </w:rPr>
      </w:pPr>
      <w:r>
        <w:rPr>
          <w:rFonts w:ascii="宋体" w:hAnsi="宋体" w:cs="Arial"/>
          <w:b/>
          <w:bCs/>
          <w:color w:val="auto"/>
          <w:highlight w:val="none"/>
        </w:rPr>
      </w:r>
      <w:r/>
    </w:p>
    <w:p>
      <w:pPr>
        <w:pageBreakBefore w:val="0"/>
        <w:spacing w:line="360" w:lineRule="auto"/>
        <w:rPr>
          <w:rFonts w:hint="eastAsia" w:ascii="宋体" w:hAnsi="宋体" w:eastAsia="宋体" w:cs="宋体"/>
          <w:bCs w:val="0"/>
          <w:color w:val="auto"/>
          <w:sz w:val="32"/>
          <w:szCs w:val="32"/>
          <w:highlight w:val="none"/>
        </w:rPr>
      </w:pPr>
      <w:r>
        <w:rPr>
          <w:rFonts w:hint="eastAsia" w:ascii="宋体" w:hAnsi="宋体" w:eastAsia="宋体" w:cs="宋体"/>
          <w:bCs w:val="0"/>
          <w:color w:val="auto"/>
          <w:sz w:val="32"/>
          <w:szCs w:val="32"/>
          <w:highlight w:val="none"/>
        </w:rPr>
        <w:br w:type="page" w:clear="all"/>
      </w:r>
      <w:r/>
    </w:p>
    <w:p>
      <w:pPr>
        <w:pStyle w:val="920"/>
        <w:ind w:firstLine="3213"/>
        <w:jc w:val="both"/>
        <w:pageBreakBefore w:val="0"/>
        <w:spacing w:line="360" w:lineRule="auto"/>
        <w:rPr>
          <w:rFonts w:hint="eastAsia"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pageBreakBefore w:val="0"/>
        <w:spacing w:line="360" w:lineRule="auto"/>
        <w:rPr>
          <w:color w:val="auto"/>
          <w:szCs w:val="21"/>
          <w:highlight w:val="none"/>
        </w:rPr>
      </w:pPr>
      <w:r>
        <w:rPr>
          <w:rFonts w:hint="eastAsia" w:ascii="宋体" w:hAnsi="宋体"/>
          <w:color w:val="auto"/>
          <w:szCs w:val="21"/>
          <w:highlight w:val="none"/>
        </w:rPr>
        <w:t xml:space="preserve">项目名称：</w:t>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2"/>
        <w:pageBreakBefore w:val="0"/>
        <w:spacing w:after="312" w:line="360" w:lineRule="auto"/>
        <w:rPr>
          <w:rFonts w:hint="eastAsia" w:ascii="宋体" w:hAnsi="宋体"/>
          <w:color w:val="auto"/>
          <w:szCs w:val="21"/>
          <w:highlight w:val="none"/>
        </w:rPr>
      </w:pPr>
      <w:r>
        <w:rPr>
          <w:rFonts w:hint="eastAsia" w:ascii="宋体" w:hAnsi="宋体"/>
          <w:color w:val="auto"/>
          <w:szCs w:val="21"/>
          <w:highlight w:val="none"/>
        </w:rPr>
        <w:t xml:space="preserve">分包号：</w:t>
      </w:r>
      <w:r/>
    </w:p>
    <w:p>
      <w:pPr>
        <w:ind w:firstLine="482"/>
        <w:pageBreakBefore w:val="0"/>
        <w:spacing w:after="312" w:line="360" w:lineRule="auto"/>
        <w:rPr>
          <w:rFonts w:ascii="宋体" w:hAnsi="宋体"/>
          <w:color w:val="auto"/>
          <w:szCs w:val="21"/>
          <w:highlight w:val="none"/>
        </w:rPr>
      </w:pPr>
      <w:r>
        <w:rPr>
          <w:rFonts w:ascii="宋体" w:hAnsi="宋体"/>
          <w:color w:val="auto"/>
          <w:szCs w:val="21"/>
          <w:highlight w:val="none"/>
        </w:rPr>
      </w:r>
      <w:r/>
    </w:p>
    <w:tbl>
      <w:tblPr>
        <w:tblStyle w:val="72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2747"/>
        <w:gridCol w:w="2891"/>
        <w:gridCol w:w="1519"/>
        <w:gridCol w:w="1734"/>
      </w:tblGrid>
      <w:tr>
        <w:trPr>
          <w:cantSplit/>
          <w:jc w:val="center"/>
          <w:trHeight w:val="677"/>
        </w:trPr>
        <w:tc>
          <w:tcPr>
            <w:tcW w:w="533" w:type="pct"/>
            <w:vAlign w:val="center"/>
            <w:textDirection w:val="lrTb"/>
            <w:noWrap w:val="false"/>
          </w:tcPr>
          <w:p>
            <w:pPr>
              <w:jc w:val="center"/>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序号</w:t>
            </w:r>
            <w:r/>
          </w:p>
        </w:tc>
        <w:tc>
          <w:tcPr>
            <w:tcW w:w="1379" w:type="pct"/>
            <w:vAlign w:val="center"/>
            <w:textDirection w:val="lrTb"/>
            <w:noWrap w:val="false"/>
          </w:tcPr>
          <w:p>
            <w:pPr>
              <w:jc w:val="center"/>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项目内容</w:t>
            </w:r>
            <w:r/>
          </w:p>
        </w:tc>
        <w:tc>
          <w:tcPr>
            <w:tcW w:w="1452" w:type="pct"/>
            <w:vAlign w:val="center"/>
            <w:textDirection w:val="lrTb"/>
            <w:noWrap w:val="false"/>
          </w:tcPr>
          <w:p>
            <w:pPr>
              <w:jc w:val="center"/>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数量</w:t>
            </w:r>
            <w:r/>
          </w:p>
        </w:tc>
        <w:tc>
          <w:tcPr>
            <w:tcW w:w="763" w:type="pct"/>
            <w:vAlign w:val="center"/>
            <w:textDirection w:val="lrTb"/>
            <w:noWrap w:val="false"/>
          </w:tcPr>
          <w:p>
            <w:pPr>
              <w:jc w:val="center"/>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单价（元）</w:t>
            </w:r>
            <w:r/>
          </w:p>
        </w:tc>
        <w:tc>
          <w:tcPr>
            <w:tcW w:w="870" w:type="pct"/>
            <w:vAlign w:val="center"/>
            <w:textDirection w:val="lrTb"/>
            <w:noWrap w:val="false"/>
          </w:tcPr>
          <w:p>
            <w:pPr>
              <w:jc w:val="center"/>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总价（元）</w:t>
            </w:r>
            <w:r/>
          </w:p>
        </w:tc>
      </w:tr>
      <w:tr>
        <w:trPr>
          <w:cantSplit/>
          <w:jc w:val="center"/>
          <w:trHeight w:val="846"/>
        </w:trPr>
        <w:tc>
          <w:tcPr>
            <w:tcW w:w="533"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p>
        </w:tc>
        <w:tc>
          <w:tcPr>
            <w:tcW w:w="1379" w:type="pct"/>
            <w:vAlign w:val="center"/>
            <w:textDirection w:val="lrTb"/>
            <w:noWrap w:val="false"/>
          </w:tcPr>
          <w:p>
            <w:pPr>
              <w:pStyle w:val="737"/>
              <w:jc w:val="center"/>
              <w:spacing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博士学位论文评审服务</w:t>
            </w:r>
            <w:r/>
          </w:p>
        </w:tc>
        <w:tc>
          <w:tcPr>
            <w:tcW w:w="1452" w:type="pct"/>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180</w:t>
            </w:r>
            <w:r/>
          </w:p>
        </w:tc>
        <w:tc>
          <w:tcPr>
            <w:tcW w:w="763" w:type="pct"/>
            <w:vAlign w:val="center"/>
            <w:textDirection w:val="lrTb"/>
            <w:noWrap w:val="false"/>
          </w:tcPr>
          <w:p>
            <w:pPr>
              <w:pStyle w:val="737"/>
              <w:jc w:val="center"/>
              <w:spacing w:line="400" w:lineRule="exact"/>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r>
            <w:r/>
          </w:p>
        </w:tc>
        <w:tc>
          <w:tcPr>
            <w:tcW w:w="870"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846"/>
        </w:trPr>
        <w:tc>
          <w:tcPr>
            <w:tcW w:w="533"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p>
        </w:tc>
        <w:tc>
          <w:tcPr>
            <w:tcW w:w="1379" w:type="pct"/>
            <w:vAlign w:val="center"/>
            <w:textDirection w:val="lrTb"/>
            <w:noWrap w:val="false"/>
          </w:tcPr>
          <w:p>
            <w:pPr>
              <w:pStyle w:val="737"/>
              <w:jc w:val="center"/>
              <w:spacing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硕士学位论文评审服务</w:t>
            </w:r>
            <w:r/>
          </w:p>
        </w:tc>
        <w:tc>
          <w:tcPr>
            <w:tcW w:w="1452" w:type="pct"/>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2800</w:t>
            </w:r>
            <w:r/>
          </w:p>
        </w:tc>
        <w:tc>
          <w:tcPr>
            <w:tcW w:w="763" w:type="pct"/>
            <w:vAlign w:val="center"/>
            <w:textDirection w:val="lrTb"/>
            <w:noWrap w:val="false"/>
          </w:tcPr>
          <w:p>
            <w:pPr>
              <w:pStyle w:val="737"/>
              <w:jc w:val="center"/>
              <w:spacing w:line="400" w:lineRule="exact"/>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r>
            <w:r/>
          </w:p>
        </w:tc>
        <w:tc>
          <w:tcPr>
            <w:tcW w:w="870"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846"/>
        </w:trPr>
        <w:tc>
          <w:tcPr>
            <w:tcW w:w="533"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p>
        </w:tc>
        <w:tc>
          <w:tcPr>
            <w:tcW w:w="1379" w:type="pct"/>
            <w:vAlign w:val="center"/>
            <w:textDirection w:val="lrTb"/>
            <w:noWrap w:val="false"/>
          </w:tcPr>
          <w:p>
            <w:pPr>
              <w:pStyle w:val="737"/>
              <w:jc w:val="center"/>
              <w:spacing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博士留学生学位论文评审服务</w:t>
            </w:r>
            <w:r/>
          </w:p>
        </w:tc>
        <w:tc>
          <w:tcPr>
            <w:tcW w:w="1452" w:type="pct"/>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25</w:t>
            </w:r>
            <w:r/>
          </w:p>
        </w:tc>
        <w:tc>
          <w:tcPr>
            <w:tcW w:w="763" w:type="pct"/>
            <w:vAlign w:val="center"/>
            <w:textDirection w:val="lrTb"/>
            <w:noWrap w:val="false"/>
          </w:tcPr>
          <w:p>
            <w:pPr>
              <w:pStyle w:val="737"/>
              <w:jc w:val="center"/>
              <w:spacing w:line="400" w:lineRule="exact"/>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r>
            <w:r/>
          </w:p>
        </w:tc>
        <w:tc>
          <w:tcPr>
            <w:tcW w:w="870"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539"/>
        </w:trPr>
        <w:tc>
          <w:tcPr>
            <w:tcW w:w="533"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w:t>
            </w:r>
            <w:r/>
          </w:p>
        </w:tc>
        <w:tc>
          <w:tcPr>
            <w:tcW w:w="1379" w:type="pct"/>
            <w:vAlign w:val="center"/>
            <w:textDirection w:val="lrTb"/>
            <w:noWrap w:val="false"/>
          </w:tcPr>
          <w:p>
            <w:pPr>
              <w:pStyle w:val="737"/>
              <w:jc w:val="center"/>
              <w:spacing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硕士留学生学位论文评审服务</w:t>
            </w:r>
            <w:r/>
          </w:p>
        </w:tc>
        <w:tc>
          <w:tcPr>
            <w:tcW w:w="1452" w:type="pct"/>
            <w:vAlign w:val="center"/>
            <w:textDirection w:val="lrTb"/>
            <w:noWrap w:val="false"/>
          </w:tcPr>
          <w:p>
            <w:pPr>
              <w:jc w:val="center"/>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w:t>
            </w:r>
            <w:r/>
          </w:p>
        </w:tc>
        <w:tc>
          <w:tcPr>
            <w:tcW w:w="763" w:type="pct"/>
            <w:vAlign w:val="center"/>
            <w:textDirection w:val="lrTb"/>
            <w:noWrap w:val="false"/>
          </w:tcPr>
          <w:p>
            <w:pPr>
              <w:pStyle w:val="737"/>
              <w:jc w:val="center"/>
              <w:spacing w:line="400" w:lineRule="exact"/>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r>
            <w:r/>
          </w:p>
        </w:tc>
        <w:tc>
          <w:tcPr>
            <w:tcW w:w="870"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539"/>
        </w:trPr>
        <w:tc>
          <w:tcPr>
            <w:gridSpan w:val="2"/>
            <w:tcW w:w="1913" w:type="pct"/>
            <w:vAlign w:val="center"/>
            <w:textDirection w:val="lrTb"/>
            <w:noWrap w:val="false"/>
          </w:tcPr>
          <w:p>
            <w:pPr>
              <w:pStyle w:val="737"/>
              <w:jc w:val="center"/>
              <w:spacing w:line="400" w:lineRule="exact"/>
              <w:rPr>
                <w:rFonts w:hint="eastAsia" w:ascii="宋体" w:hAnsi="宋体" w:eastAsia="宋体" w:cs="宋体"/>
                <w:color w:val="ff0000"/>
                <w:sz w:val="21"/>
                <w:szCs w:val="21"/>
                <w:highlight w:val="none"/>
              </w:rPr>
            </w:pPr>
            <w:r>
              <w:rPr>
                <w:rFonts w:hint="eastAsia" w:ascii="宋体" w:hAnsi="宋体" w:eastAsia="宋体" w:cs="宋体"/>
                <w:sz w:val="21"/>
                <w:szCs w:val="21"/>
                <w:highlight w:val="none"/>
                <w:lang w:eastAsia="zh-CN"/>
              </w:rPr>
              <w:t xml:space="preserve">合计（元）</w:t>
            </w:r>
            <w:r/>
          </w:p>
        </w:tc>
        <w:tc>
          <w:tcPr>
            <w:gridSpan w:val="3"/>
            <w:tcW w:w="3086" w:type="pct"/>
            <w:vAlign w:val="center"/>
            <w:textDirection w:val="lrTb"/>
            <w:noWrap w:val="false"/>
          </w:tcPr>
          <w:p>
            <w:pPr>
              <w:jc w:val="both"/>
              <w:spacing w:after="348"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bl>
    <w:p>
      <w:pPr>
        <w:ind w:firstLine="482"/>
        <w:pageBreakBefore w:val="0"/>
        <w:spacing w:after="312" w:line="360" w:lineRule="auto"/>
        <w:rPr>
          <w:rFonts w:ascii="宋体" w:hAnsi="宋体"/>
          <w:color w:val="auto"/>
          <w:szCs w:val="21"/>
          <w:highlight w:val="none"/>
        </w:rPr>
      </w:pPr>
      <w:r>
        <w:rPr>
          <w:rFonts w:ascii="宋体" w:hAnsi="宋体"/>
          <w:color w:val="auto"/>
          <w:szCs w:val="21"/>
          <w:highlight w:val="none"/>
        </w:rPr>
      </w:r>
      <w:r/>
    </w:p>
    <w:p>
      <w:pPr>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8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                                           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jc w:val="center"/>
        <w:pageBreakBefore w:val="0"/>
        <w:spacing w:line="360" w:lineRule="auto"/>
        <w:rPr>
          <w:rFonts w:ascii="宋体" w:hAnsi="宋体"/>
          <w:b/>
          <w:color w:val="auto"/>
          <w:szCs w:val="21"/>
          <w:highlight w:val="none"/>
        </w:rPr>
      </w:pPr>
      <w:r>
        <w:rPr>
          <w:rFonts w:ascii="宋体" w:hAnsi="宋体"/>
          <w:b/>
          <w:color w:val="auto"/>
          <w:szCs w:val="21"/>
          <w:highlight w:val="none"/>
        </w:rPr>
      </w:r>
      <w:r/>
    </w:p>
    <w:p>
      <w:pPr>
        <w:ind w:firstLine="480"/>
        <w:pageBreakBefore w:val="0"/>
        <w:spacing w:line="360" w:lineRule="auto"/>
        <w:rPr>
          <w:rFonts w:ascii="宋体" w:hAnsi="宋体"/>
          <w:color w:val="auto"/>
          <w:szCs w:val="21"/>
          <w:highlight w:val="none"/>
        </w:rPr>
      </w:pPr>
      <w:r>
        <w:rPr>
          <w:rFonts w:ascii="宋体" w:hAnsi="宋体"/>
          <w:color w:val="auto"/>
          <w:szCs w:val="21"/>
          <w:highlight w:val="none"/>
        </w:rPr>
      </w:r>
      <w:r/>
    </w:p>
    <w:p>
      <w:pPr>
        <w:ind w:firstLine="420"/>
        <w:jc w:val="both"/>
        <w:keepLines w:val="0"/>
        <w:keepNext w:val="0"/>
        <w:pageBreakBefore w:val="0"/>
        <w:spacing w:line="360" w:lineRule="auto"/>
        <w:widowControl w:val="off"/>
        <w:rPr>
          <w:rFonts w:hint="eastAsia" w:ascii="宋体" w:hAnsi="宋体" w:eastAsia="宋体" w:cs="宋体"/>
          <w:b w:val="0"/>
          <w:bCs w:val="0"/>
          <w:i w:val="0"/>
          <w:iCs/>
          <w:color w:val="auto"/>
          <w:sz w:val="21"/>
          <w:szCs w:val="21"/>
          <w:highlight w:val="none"/>
          <w:u w:val="none"/>
        </w:rPr>
      </w:pPr>
      <w:r>
        <w:rPr>
          <w:rFonts w:hint="default" w:ascii="宋体" w:hAnsi="宋体" w:cs="宋体"/>
          <w:b w:val="0"/>
          <w:bCs w:val="0"/>
          <w:i w:val="0"/>
          <w:iCs/>
          <w:color w:val="auto"/>
          <w:sz w:val="21"/>
          <w:szCs w:val="21"/>
          <w:highlight w:val="none"/>
          <w:u w:val="none"/>
          <w:lang w:val="en-US" w:eastAsia="zh-CN"/>
        </w:rPr>
        <w:t xml:space="preserve">1</w:t>
      </w:r>
      <w:r>
        <w:rPr>
          <w:rFonts w:hint="eastAsia" w:ascii="宋体" w:hAnsi="宋体" w:eastAsia="宋体" w:cs="宋体"/>
          <w:b w:val="0"/>
          <w:bCs w:val="0"/>
          <w:i w:val="0"/>
          <w:iCs/>
          <w:color w:val="auto"/>
          <w:sz w:val="21"/>
          <w:szCs w:val="21"/>
          <w:highlight w:val="none"/>
          <w:u w:val="none"/>
          <w:lang w:val="en-US" w:eastAsia="zh-CN"/>
        </w:rPr>
        <w:t xml:space="preserve">、</w:t>
      </w:r>
      <w:r>
        <w:rPr>
          <w:rFonts w:hint="eastAsia" w:ascii="宋体" w:hAnsi="宋体" w:eastAsia="宋体" w:cs="宋体"/>
          <w:b w:val="0"/>
          <w:bCs w:val="0"/>
          <w:i w:val="0"/>
          <w:iCs/>
          <w:color w:val="auto"/>
          <w:sz w:val="21"/>
          <w:szCs w:val="21"/>
          <w:highlight w:val="none"/>
          <w:u w:val="none"/>
        </w:rPr>
        <w:t xml:space="preserve">投标报价应包括采购文件所规定的采购范围的全部内容。</w:t>
      </w:r>
      <w:r/>
    </w:p>
    <w:p>
      <w:pPr>
        <w:pStyle w:val="921"/>
        <w:pageBreakBefore w:val="0"/>
        <w:spacing w:line="360" w:lineRule="auto"/>
        <w:rPr>
          <w:rFonts w:ascii="宋体" w:hAnsi="宋体"/>
          <w:b w:val="0"/>
          <w:bCs w:val="0"/>
          <w:i w:val="0"/>
          <w:iCs/>
          <w:color w:val="auto"/>
          <w:sz w:val="32"/>
          <w:szCs w:val="32"/>
          <w:highlight w:val="none"/>
          <w:u w:val="none"/>
        </w:rPr>
      </w:pPr>
      <w:r>
        <w:rPr>
          <w:rFonts w:hint="default" w:ascii="宋体" w:hAnsi="宋体" w:cs="宋体"/>
          <w:b w:val="0"/>
          <w:bCs w:val="0"/>
          <w:i w:val="0"/>
          <w:iCs/>
          <w:color w:val="auto"/>
          <w:spacing w:val="-3"/>
          <w:sz w:val="21"/>
          <w:highlight w:val="none"/>
          <w:u w:val="none"/>
          <w:lang w:val="en-US" w:eastAsia="zh-CN"/>
        </w:rPr>
        <w:t xml:space="preserve">2</w:t>
      </w:r>
      <w:r>
        <w:rPr>
          <w:rFonts w:hint="eastAsia" w:ascii="宋体" w:hAnsi="宋体" w:eastAsia="宋体" w:cs="宋体"/>
          <w:b w:val="0"/>
          <w:bCs w:val="0"/>
          <w:i w:val="0"/>
          <w:iCs/>
          <w:color w:val="auto"/>
          <w:spacing w:val="-3"/>
          <w:sz w:val="21"/>
          <w:highlight w:val="none"/>
          <w:u w:val="none"/>
          <w:lang w:val="en-US" w:eastAsia="zh-CN"/>
        </w:rPr>
        <w:t xml:space="preserve">、</w:t>
      </w:r>
      <w:r>
        <w:rPr>
          <w:rFonts w:hint="eastAsia" w:ascii="宋体" w:hAnsi="宋体" w:eastAsia="宋体" w:cs="宋体"/>
          <w:b w:val="0"/>
          <w:bCs w:val="0"/>
          <w:i w:val="0"/>
          <w:iCs/>
          <w:color w:val="auto"/>
          <w:spacing w:val="-3"/>
          <w:sz w:val="21"/>
          <w:highlight w:val="none"/>
          <w:u w:val="none"/>
        </w:rPr>
        <w:t xml:space="preserve">如有分包，投标人投任何一个包的标的，都需单独填写开标一览表。</w:t>
      </w:r>
      <w:r/>
    </w:p>
    <w:p>
      <w:pPr>
        <w:jc w:val="center"/>
        <w:pageBreakBefore w:val="0"/>
        <w:spacing w:line="360" w:lineRule="auto"/>
        <w:widowControl/>
        <w:rPr>
          <w:rFonts w:ascii="宋体" w:hAnsi="宋体" w:eastAsia="宋体"/>
          <w:color w:val="auto"/>
          <w:sz w:val="28"/>
          <w:szCs w:val="28"/>
          <w:highlight w:val="none"/>
        </w:rPr>
      </w:pPr>
      <w:r>
        <w:rPr>
          <w:rFonts w:hint="eastAsia" w:ascii="宋体" w:hAnsi="宋体"/>
          <w:color w:val="auto"/>
          <w:sz w:val="32"/>
          <w:szCs w:val="32"/>
          <w:highlight w:val="none"/>
        </w:rPr>
        <w:br w:type="page" w:clear="all"/>
      </w:r>
      <w:r>
        <w:rPr>
          <w:rFonts w:hint="eastAsia" w:ascii="宋体" w:hAnsi="宋体"/>
          <w:b/>
          <w:bCs/>
          <w:color w:val="auto"/>
          <w:sz w:val="28"/>
          <w:szCs w:val="28"/>
          <w:highlight w:val="none"/>
          <w:lang w:val="en-US" w:eastAsia="zh-CN"/>
        </w:rPr>
        <w:t xml:space="preserve">五</w:t>
      </w:r>
      <w:r>
        <w:rPr>
          <w:rFonts w:hint="eastAsia" w:ascii="宋体" w:hAnsi="宋体" w:eastAsia="宋体"/>
          <w:b/>
          <w:bCs/>
          <w:color w:val="auto"/>
          <w:sz w:val="28"/>
          <w:szCs w:val="28"/>
          <w:highlight w:val="none"/>
        </w:rPr>
        <w:t xml:space="preserve">、技术参数响应及偏离表</w:t>
      </w:r>
      <w:r/>
    </w:p>
    <w:tbl>
      <w:tblPr>
        <w:tblStyle w:val="727"/>
        <w:tblW w:w="84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jc w:val="center"/>
        </w:trPr>
        <w:tc>
          <w:tcPr>
            <w:tcW w:w="793"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2147"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招标要求</w:t>
            </w:r>
            <w:r/>
          </w:p>
        </w:tc>
        <w:tc>
          <w:tcPr>
            <w:tcW w:w="2330"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投标响应</w:t>
            </w:r>
            <w:r/>
          </w:p>
        </w:tc>
        <w:tc>
          <w:tcPr>
            <w:tcW w:w="2031"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1108" w:type="dxa"/>
            <w:vAlign w:val="center"/>
            <w:textDirection w:val="lrTb"/>
            <w:noWrap w:val="false"/>
          </w:tcPr>
          <w:p>
            <w:pPr>
              <w:jc w:val="cente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640"/>
        </w:trPr>
        <w:tc>
          <w:tcPr>
            <w:tcW w:w="793"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147"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330"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2031"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c>
          <w:tcPr>
            <w:tcW w:w="1108" w:type="dxa"/>
            <w:vAlign w:val="top"/>
            <w:textDirection w:val="lrTb"/>
            <w:noWrap w:val="false"/>
          </w:tcPr>
          <w:p>
            <w:pPr>
              <w:jc w:val="center"/>
              <w:pageBreakBefore w:val="0"/>
              <w:spacing w:line="360" w:lineRule="auto"/>
              <w:rPr>
                <w:rFonts w:ascii="宋体" w:hAnsi="宋体"/>
                <w:color w:val="auto"/>
                <w:szCs w:val="21"/>
                <w:highlight w:val="none"/>
              </w:rPr>
            </w:pPr>
            <w:r>
              <w:rPr>
                <w:rFonts w:ascii="宋体" w:hAnsi="宋体"/>
                <w:color w:val="auto"/>
                <w:szCs w:val="21"/>
                <w:highlight w:val="none"/>
              </w:rPr>
            </w:r>
            <w:r/>
          </w:p>
        </w:tc>
      </w:tr>
    </w:tbl>
    <w:p>
      <w:pPr>
        <w:pageBreakBefore w:val="0"/>
        <w:spacing w:line="360" w:lineRule="auto"/>
        <w:rPr>
          <w:rFonts w:ascii="宋体" w:hAnsi="宋体"/>
          <w:color w:val="auto"/>
          <w:szCs w:val="21"/>
          <w:highlight w:val="none"/>
        </w:rPr>
      </w:pPr>
      <w:r>
        <w:rPr>
          <w:rFonts w:ascii="宋体" w:hAnsi="宋体"/>
          <w:color w:val="auto"/>
          <w:szCs w:val="21"/>
          <w:highlight w:val="none"/>
        </w:rPr>
      </w:r>
      <w:r/>
    </w:p>
    <w:p>
      <w:pPr>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2、行数不够，可自行添加。</w:t>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jc w:val="center"/>
        <w:pageBreakBefore w:val="0"/>
        <w:spacing w:line="360" w:lineRule="auto"/>
        <w:rPr>
          <w:rFonts w:ascii="黑体" w:hAnsi="Arial" w:eastAsia="黑体"/>
          <w:b/>
          <w:color w:val="auto"/>
          <w:sz w:val="36"/>
          <w:highlight w:val="none"/>
        </w:rPr>
      </w:pPr>
      <w:r>
        <w:rPr>
          <w:rFonts w:ascii="黑体" w:hAnsi="Arial" w:eastAsia="黑体"/>
          <w:b/>
          <w:color w:val="auto"/>
          <w:sz w:val="36"/>
          <w:highlight w:val="none"/>
        </w:rPr>
      </w:r>
      <w:r/>
    </w:p>
    <w:p>
      <w:pPr>
        <w:pageBreakBefore w:val="0"/>
        <w:spacing w:line="360" w:lineRule="auto"/>
        <w:rPr>
          <w:rFonts w:ascii="黑体" w:hAnsi="Arial" w:eastAsia="黑体"/>
          <w:color w:val="auto"/>
          <w:sz w:val="32"/>
          <w:highlight w:val="none"/>
        </w:rPr>
      </w:pPr>
      <w:r>
        <w:rPr>
          <w:rFonts w:ascii="黑体" w:hAnsi="Arial" w:eastAsia="黑体"/>
          <w:color w:val="auto"/>
          <w:sz w:val="32"/>
          <w:highlight w:val="none"/>
        </w:rPr>
      </w:r>
      <w:r/>
    </w:p>
    <w:p>
      <w:pPr>
        <w:pageBreakBefore w:val="0"/>
        <w:spacing w:line="360" w:lineRule="auto"/>
        <w:rPr>
          <w:rFonts w:ascii="黑体" w:hAnsi="Arial" w:eastAsia="黑体"/>
          <w:color w:val="auto"/>
          <w:sz w:val="32"/>
          <w:highlight w:val="none"/>
        </w:rPr>
      </w:pPr>
      <w:r>
        <w:rPr>
          <w:rFonts w:ascii="黑体" w:hAnsi="Arial" w:eastAsia="黑体"/>
          <w:color w:val="auto"/>
          <w:sz w:val="32"/>
          <w:highlight w:val="none"/>
        </w:rPr>
      </w:r>
      <w:r/>
    </w:p>
    <w:p>
      <w:pPr>
        <w:jc w:val="center"/>
        <w:pageBreakBefore w:val="0"/>
        <w:spacing w:line="360" w:lineRule="auto"/>
        <w:rPr>
          <w:rFonts w:ascii="宋体" w:hAnsi="宋体"/>
          <w:color w:val="auto"/>
          <w:sz w:val="32"/>
          <w:szCs w:val="32"/>
          <w:highlight w:val="none"/>
        </w:rPr>
      </w:pPr>
      <w:r>
        <w:rPr>
          <w:rFonts w:hint="eastAsia" w:ascii="黑体" w:hAnsi="Arial" w:eastAsia="黑体"/>
          <w:color w:val="auto"/>
          <w:sz w:val="32"/>
          <w:highlight w:val="none"/>
        </w:rPr>
        <w:br w:type="page" w:clear="all"/>
      </w:r>
      <w:bookmarkStart w:id="58" w:name="_Hlt26955054"/>
      <w:r/>
      <w:bookmarkEnd w:id="58"/>
      <w:r/>
      <w:bookmarkStart w:id="59" w:name="_Toc113352363"/>
      <w:r>
        <w:rPr>
          <w:rFonts w:hint="eastAsia" w:ascii="宋体" w:hAnsi="宋体"/>
          <w:b/>
          <w:bCs/>
          <w:color w:val="auto"/>
          <w:sz w:val="28"/>
          <w:szCs w:val="28"/>
          <w:highlight w:val="none"/>
          <w:lang w:val="en-US" w:eastAsia="zh-CN"/>
        </w:rPr>
        <w:t xml:space="preserve">六</w:t>
      </w:r>
      <w:r>
        <w:rPr>
          <w:rFonts w:hint="eastAsia" w:ascii="宋体" w:hAnsi="宋体"/>
          <w:b/>
          <w:bCs/>
          <w:color w:val="auto"/>
          <w:sz w:val="28"/>
          <w:szCs w:val="28"/>
          <w:highlight w:val="none"/>
        </w:rPr>
        <w:t xml:space="preserve">、商务条款响应及偏离表</w:t>
      </w:r>
      <w:bookmarkEnd w:id="59"/>
      <w:r/>
      <w:r/>
    </w:p>
    <w:tbl>
      <w:tblPr>
        <w:tblStyle w:val="727"/>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vAlign w:val="top"/>
            <w:textDirection w:val="lrTb"/>
            <w:noWrap w:val="false"/>
          </w:tcPr>
          <w:p>
            <w:pPr>
              <w:jc w:val="center"/>
              <w:pageBreakBefore w:val="0"/>
              <w:spacing w:before="156" w:line="360" w:lineRule="auto"/>
              <w:rPr>
                <w:rFonts w:hint="eastAsia" w:ascii="仿宋_GB2312"/>
                <w:color w:val="auto"/>
                <w:szCs w:val="21"/>
                <w:highlight w:val="none"/>
              </w:rPr>
            </w:pPr>
            <w:r>
              <w:rPr>
                <w:rFonts w:hint="eastAsia" w:ascii="仿宋_GB2312"/>
                <w:color w:val="auto"/>
                <w:szCs w:val="21"/>
                <w:highlight w:val="none"/>
              </w:rPr>
              <w:t xml:space="preserve">服务方式</w:t>
            </w:r>
            <w:r/>
          </w:p>
        </w:tc>
        <w:tc>
          <w:tcPr>
            <w:tcW w:w="2502" w:type="dxa"/>
            <w:vAlign w:val="top"/>
            <w:textDirection w:val="lrTb"/>
            <w:noWrap w:val="false"/>
          </w:tcPr>
          <w:p>
            <w:pPr>
              <w:pageBreakBefore w:val="0"/>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vAlign w:val="top"/>
            <w:textDirection w:val="lrTb"/>
            <w:noWrap w:val="false"/>
          </w:tcPr>
          <w:p>
            <w:pPr>
              <w:jc w:val="center"/>
              <w:pageBreakBefore w:val="0"/>
              <w:spacing w:before="156" w:line="360" w:lineRule="auto"/>
              <w:rPr>
                <w:rFonts w:hint="eastAsia" w:ascii="仿宋_GB2312"/>
                <w:color w:val="auto"/>
                <w:szCs w:val="21"/>
                <w:highlight w:val="none"/>
              </w:rPr>
            </w:pPr>
            <w:r>
              <w:rPr>
                <w:rFonts w:hint="eastAsia" w:ascii="仿宋_GB2312"/>
                <w:color w:val="auto"/>
                <w:szCs w:val="21"/>
                <w:highlight w:val="none"/>
              </w:rPr>
              <w:t xml:space="preserve">服务地点</w:t>
            </w:r>
            <w:r/>
          </w:p>
        </w:tc>
        <w:tc>
          <w:tcPr>
            <w:tcW w:w="2502" w:type="dxa"/>
            <w:vAlign w:val="top"/>
            <w:textDirection w:val="lrTb"/>
            <w:noWrap w:val="false"/>
          </w:tcPr>
          <w:p>
            <w:pPr>
              <w:pageBreakBefore w:val="0"/>
              <w:spacing w:before="156" w:line="360" w:lineRule="auto"/>
              <w:rPr>
                <w:rFonts w:hint="eastAsia" w:ascii="仿宋_GB2312" w:hAnsi="宋体"/>
                <w:color w:val="auto"/>
                <w:szCs w:val="21"/>
                <w:highlight w:val="none"/>
              </w:rPr>
            </w:pPr>
            <w:r>
              <w:rPr>
                <w:rFonts w:hint="eastAsia" w:ascii="仿宋_GB2312" w:hAnsi="宋体"/>
                <w:color w:val="auto"/>
                <w:szCs w:val="21"/>
                <w:highlight w:val="none"/>
              </w:rPr>
            </w:r>
            <w:r/>
          </w:p>
        </w:tc>
        <w:tc>
          <w:tcPr>
            <w:tcW w:w="1837"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ind w:left="43"/>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vAlign w:val="top"/>
            <w:textDirection w:val="lrTb"/>
            <w:noWrap w:val="false"/>
          </w:tcPr>
          <w:p>
            <w:pP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324" w:type="dxa"/>
            <w:vAlign w:val="top"/>
            <w:textDirection w:val="lrTb"/>
            <w:noWrap w:val="false"/>
          </w:tcPr>
          <w:p>
            <w:pPr>
              <w:jc w:val="center"/>
              <w:pageBreakBefore w:val="0"/>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pageBreakBefore w:val="0"/>
        <w:spacing w:line="360" w:lineRule="auto"/>
        <w:rPr>
          <w:rFonts w:ascii="仿宋_GB2312" w:hAnsi="Arial"/>
          <w:color w:val="auto"/>
          <w:sz w:val="30"/>
          <w:highlight w:val="none"/>
        </w:rPr>
      </w:pPr>
      <w:r>
        <w:rPr>
          <w:rFonts w:ascii="仿宋_GB2312" w:hAnsi="Arial"/>
          <w:color w:val="auto"/>
          <w:sz w:val="30"/>
          <w:highlight w:val="none"/>
        </w:rPr>
      </w:r>
      <w:r/>
    </w:p>
    <w:p>
      <w:pPr>
        <w:pStyle w:val="921"/>
        <w:ind w:firstLine="480"/>
        <w:pageBreakBefore w:val="0"/>
        <w:spacing w:line="360" w:lineRule="auto"/>
        <w:rPr>
          <w:rFonts w:ascii="宋体" w:hAnsi="宋体"/>
          <w:color w:val="auto"/>
          <w:sz w:val="24"/>
          <w:highlight w:val="none"/>
        </w:rPr>
      </w:pPr>
      <w:r/>
      <w:bookmarkStart w:id="60" w:name="_Hlt26955066"/>
      <w:r/>
      <w:bookmarkEnd w:id="60"/>
      <w:r/>
      <w:bookmarkStart w:id="61" w:name="_Hlt26671374"/>
      <w:r/>
      <w:bookmarkEnd w:id="61"/>
      <w:r/>
      <w:bookmarkStart w:id="62" w:name="_Hlt26609389"/>
      <w:r/>
      <w:bookmarkEnd w:id="62"/>
      <w:r/>
      <w:bookmarkStart w:id="63" w:name="_Toc462564146"/>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w:t>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r/>
    </w:p>
    <w:p>
      <w:pPr>
        <w:pStyle w:val="921"/>
        <w:ind w:firstLine="480"/>
        <w:pageBreakBefore w:val="0"/>
        <w:spacing w:line="360" w:lineRule="auto"/>
        <w:rPr>
          <w:rFonts w:ascii="宋体" w:hAnsi="宋体"/>
          <w:color w:val="auto"/>
          <w:sz w:val="24"/>
          <w:highlight w:val="none"/>
        </w:rPr>
      </w:pPr>
      <w:r>
        <w:rPr>
          <w:rFonts w:ascii="宋体" w:hAnsi="宋体"/>
          <w:color w:val="auto"/>
          <w:sz w:val="24"/>
          <w:highlight w:val="none"/>
        </w:rPr>
      </w:r>
      <w:bookmarkEnd w:id="63"/>
      <w:r/>
      <w:r/>
    </w:p>
    <w:p>
      <w:pPr>
        <w:pageBreakBefore w:val="0"/>
        <w:spacing w:line="360" w:lineRule="auto"/>
        <w:rPr>
          <w:rFonts w:hint="eastAsia" w:ascii="宋体" w:hAnsi="宋体"/>
          <w:b/>
          <w:color w:val="auto"/>
          <w:sz w:val="28"/>
          <w:szCs w:val="28"/>
          <w:highlight w:val="none"/>
        </w:rPr>
      </w:pPr>
      <w:r/>
      <w:bookmarkStart w:id="64" w:name="_格式2__法定代表人授权书"/>
      <w:r/>
      <w:bookmarkEnd w:id="64"/>
      <w:r>
        <w:rPr>
          <w:rFonts w:ascii="宋体" w:hAnsi="宋体"/>
          <w:b/>
          <w:color w:val="auto"/>
          <w:highlight w:val="none"/>
        </w:rPr>
        <w:br w:type="page" w:clear="all"/>
      </w:r>
      <w:r/>
    </w:p>
    <w:p>
      <w:pPr>
        <w:jc w:val="center"/>
        <w:pageBreakBefore w:val="0"/>
        <w:spacing w:line="360" w:lineRule="auto"/>
        <w:widowControl/>
        <w:rPr>
          <w:rFonts w:ascii="宋体" w:hAnsi="宋体"/>
          <w:b/>
          <w:color w:val="auto"/>
          <w:highlight w:val="none"/>
        </w:rPr>
      </w:pPr>
      <w:r>
        <w:rPr>
          <w:rFonts w:hint="eastAsia" w:ascii="宋体" w:hAnsi="宋体"/>
          <w:b/>
          <w:color w:val="auto"/>
          <w:sz w:val="28"/>
          <w:szCs w:val="28"/>
          <w:highlight w:val="none"/>
        </w:rPr>
        <w:t xml:space="preserve">主要标的信息（中标后将公示）</w:t>
      </w:r>
      <w:r/>
    </w:p>
    <w:p>
      <w:pPr>
        <w:pageBreakBefore w:val="0"/>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27"/>
        <w:tblW w:w="83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jc w:val="center"/>
        </w:trPr>
        <w:tc>
          <w:tcPr>
            <w:tcW w:w="4255" w:type="dxa"/>
            <w:vAlign w:val="top"/>
            <w:textDirection w:val="lrTb"/>
            <w:noWrap w:val="false"/>
          </w:tcPr>
          <w:p>
            <w:pPr>
              <w:jc w:val="center"/>
              <w:pageBreakBefore w:val="0"/>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4131" w:type="dxa"/>
            <w:vAlign w:val="top"/>
            <w:textDirection w:val="lrTb"/>
            <w:noWrap w:val="false"/>
          </w:tcPr>
          <w:p>
            <w:pPr>
              <w:jc w:val="cente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jc w:val="center"/>
          <w:trHeight w:val="3810"/>
        </w:trPr>
        <w:tc>
          <w:tcPr>
            <w:tcW w:w="4255" w:type="dxa"/>
            <w:vAlign w:val="top"/>
            <w:textDirection w:val="lrTb"/>
            <w:noWrap w:val="false"/>
          </w:tcPr>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4131" w:type="dxa"/>
            <w:vAlign w:val="top"/>
            <w:textDirection w:val="lrTb"/>
            <w:noWrap w:val="false"/>
          </w:tcPr>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pageBreakBefore w:val="0"/>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pageBreakBefore w:val="0"/>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ind w:firstLine="0"/>
        <w:pageBreakBefore w:val="0"/>
        <w:spacing w:line="240" w:lineRule="auto"/>
        <w:rPr>
          <w:rFonts w:hint="eastAsia" w:ascii="宋体" w:hAnsi="宋体"/>
          <w:color w:val="auto"/>
          <w:highlight w:val="none"/>
        </w:rPr>
      </w:pPr>
      <w:r>
        <w:rPr>
          <w:rFonts w:hint="eastAsia" w:ascii="宋体" w:hAnsi="宋体"/>
          <w:color w:val="auto"/>
          <w:highlight w:val="none"/>
        </w:rPr>
      </w:r>
      <w:r/>
    </w:p>
    <w:sectPr>
      <w:head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20</w:t>
                    </w:r>
                    <w:r>
                      <w:rPr>
                        <w:lang w:val="zh-CN"/>
                      </w:rPr>
                      <w:fldChar w:fldCharType="end"/>
                    </w:r>
                    <w:r/>
                  </w:p>
                  <w:p>
                    <w:r/>
                    <w:r/>
                  </w:p>
                </w:txbxContent>
              </v:textbox>
            </v:shape>
          </w:pict>
        </mc:Fallback>
      </mc:AlternateContent>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sz w:val="21"/>
        <w:szCs w:val="21"/>
      </w:rPr>
      <w:pBdr>
        <w:bottom w:val="single" w:color="auto" w:sz="4" w:space="0"/>
      </w:pBdr>
    </w:pPr>
    <w:r>
      <w:rPr>
        <w:rFonts w:hint="eastAsia" w:ascii="宋体" w:hAnsi="宋体"/>
        <w:b/>
        <w:bCs/>
        <w:color w:val="auto"/>
        <w:sz w:val="21"/>
        <w:szCs w:val="21"/>
        <w:highlight w:val="none"/>
        <w:lang w:eastAsia="zh-CN"/>
      </w:rPr>
      <w:t xml:space="preserve">JSZC-320000-JJJC-G2026-0009</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lang w:eastAsia="zh-CN"/>
      </w:rPr>
      <w:t xml:space="preserve">扬州大学研究生学位论文送审服务平台</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sz w:val="21"/>
        <w:szCs w:val="21"/>
      </w:rPr>
      <w:pBdr>
        <w:bottom w:val="single" w:color="auto" w:sz="4" w:space="0"/>
      </w:pBdr>
    </w:pPr>
    <w:r>
      <w:rPr>
        <w:rFonts w:hint="eastAsia" w:ascii="宋体" w:hAnsi="宋体"/>
        <w:b/>
        <w:bCs/>
        <w:color w:val="auto"/>
        <w:sz w:val="21"/>
        <w:szCs w:val="21"/>
        <w:highlight w:val="none"/>
        <w:lang w:eastAsia="zh-CN"/>
      </w:rPr>
      <w:t xml:space="preserve">JSZC-320000-JJJC-G2026-0009</w:t>
    </w:r>
    <w:r>
      <w:rPr>
        <w:rFonts w:hint="eastAsia" w:ascii="宋体" w:hAnsi="宋体"/>
        <w:b/>
        <w:bCs/>
        <w:color w:val="auto"/>
        <w:sz w:val="21"/>
        <w:szCs w:val="21"/>
        <w:highlight w:val="none"/>
        <w:lang w:val="en-US" w:eastAsia="zh-CN"/>
      </w:rPr>
      <w:t xml:space="preserve">                               </w:t>
    </w:r>
    <w:r>
      <w:rPr>
        <w:rFonts w:hint="eastAsia" w:ascii="宋体" w:hAnsi="宋体"/>
        <w:b/>
        <w:bCs/>
        <w:color w:val="auto"/>
        <w:sz w:val="21"/>
        <w:szCs w:val="21"/>
        <w:highlight w:val="none"/>
        <w:lang w:eastAsia="zh-CN"/>
      </w:rPr>
      <w:t xml:space="preserve">扬州大学研究生学位论文送审服务平台</w:t>
    </w:r>
    <w:r/>
  </w:p>
  <w:p>
    <w:pPr>
      <w:pStyle w:val="741"/>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6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2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2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28"/>
    <w:link w:val="945"/>
    <w:uiPriority w:val="0"/>
    <w:qFormat/>
    <w:pPr>
      <w:jc w:val="both"/>
      <w:widowControl w:val="off"/>
    </w:pPr>
    <w:rPr>
      <w:rFonts w:hint="default" w:ascii="Calibri" w:hAnsi="Calibri" w:eastAsia="宋体" w:cs="Times New Roman"/>
      <w:sz w:val="21"/>
      <w:szCs w:val="22"/>
      <w:lang w:val="en-US" w:eastAsia="zh-CN" w:bidi="ar-SA"/>
    </w:rPr>
  </w:style>
  <w:style w:type="paragraph" w:styleId="717">
    <w:name w:val="Heading 1"/>
    <w:basedOn w:val="716"/>
    <w:next w:val="716"/>
    <w:link w:val="771"/>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72"/>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73"/>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74"/>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75"/>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76"/>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78"/>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79"/>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List Bullet 2"/>
    <w:basedOn w:val="716"/>
    <w:uiPriority w:val="99"/>
    <w:semiHidden/>
    <w:unhideWhenUsed/>
    <w:qFormat/>
    <w:pPr>
      <w:numPr>
        <w:ilvl w:val="0"/>
        <w:numId w:val="1"/>
      </w:numPr>
    </w:pPr>
  </w:style>
  <w:style w:type="paragraph" w:styleId="729">
    <w:name w:val="toc 7"/>
    <w:basedOn w:val="716"/>
    <w:next w:val="716"/>
    <w:uiPriority w:val="39"/>
    <w:unhideWhenUsed/>
    <w:qFormat/>
    <w:pPr>
      <w:ind w:left="1701" w:right="0" w:firstLine="0"/>
      <w:spacing w:after="57"/>
    </w:p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annotation text"/>
    <w:basedOn w:val="716"/>
    <w:uiPriority w:val="99"/>
    <w:semiHidden/>
    <w:unhideWhenUsed/>
    <w:qFormat/>
    <w:pPr>
      <w:jc w:val="left"/>
    </w:pPr>
  </w:style>
  <w:style w:type="paragraph" w:styleId="732">
    <w:name w:val="Body Text"/>
    <w:basedOn w:val="716"/>
    <w:next w:val="733"/>
    <w:uiPriority w:val="0"/>
    <w:qFormat/>
    <w:rPr>
      <w:rFonts w:ascii="楷体_GB2312" w:hAnsi="Arial" w:eastAsia="楷体_GB2312"/>
      <w:sz w:val="28"/>
      <w:szCs w:val="28"/>
    </w:rPr>
  </w:style>
  <w:style w:type="paragraph" w:styleId="733">
    <w:name w:val="Body Text 2"/>
    <w:basedOn w:val="716"/>
    <w:uiPriority w:val="0"/>
    <w:qFormat/>
    <w:pPr>
      <w:spacing w:after="120" w:line="480" w:lineRule="auto"/>
    </w:pPr>
  </w:style>
  <w:style w:type="paragraph" w:styleId="734">
    <w:name w:val="Body Text Indent"/>
    <w:basedOn w:val="716"/>
    <w:next w:val="716"/>
    <w:uiPriority w:val="0"/>
    <w:qFormat/>
    <w:pPr>
      <w:ind w:firstLine="645"/>
    </w:pPr>
    <w:rPr>
      <w:rFonts w:ascii="楷体_GB2312" w:eastAsia="楷体_GB2312"/>
      <w:sz w:val="32"/>
      <w:szCs w:val="32"/>
    </w:rPr>
  </w:style>
  <w:style w:type="paragraph" w:styleId="735">
    <w:name w:val="toc 5"/>
    <w:basedOn w:val="716"/>
    <w:next w:val="716"/>
    <w:uiPriority w:val="39"/>
    <w:unhideWhenUsed/>
    <w:qFormat/>
    <w:pPr>
      <w:ind w:left="1134" w:right="0" w:firstLine="0"/>
      <w:spacing w:after="57"/>
    </w:pPr>
  </w:style>
  <w:style w:type="paragraph" w:styleId="736">
    <w:name w:val="toc 3"/>
    <w:basedOn w:val="716"/>
    <w:next w:val="716"/>
    <w:uiPriority w:val="39"/>
    <w:unhideWhenUsed/>
    <w:qFormat/>
    <w:pPr>
      <w:ind w:left="567" w:right="0" w:firstLine="0"/>
      <w:spacing w:after="57"/>
    </w:pPr>
  </w:style>
  <w:style w:type="paragraph" w:styleId="737">
    <w:name w:val="Plain Text"/>
    <w:basedOn w:val="716"/>
    <w:uiPriority w:val="99"/>
    <w:qFormat/>
    <w:rPr>
      <w:rFonts w:ascii="宋体" w:hAnsi="Courier New"/>
      <w:sz w:val="20"/>
      <w:szCs w:val="21"/>
    </w:rPr>
  </w:style>
  <w:style w:type="paragraph" w:styleId="738">
    <w:name w:val="toc 8"/>
    <w:basedOn w:val="716"/>
    <w:next w:val="716"/>
    <w:uiPriority w:val="39"/>
    <w:unhideWhenUsed/>
    <w:qFormat/>
    <w:pPr>
      <w:ind w:left="1984" w:right="0" w:firstLine="0"/>
      <w:spacing w:after="57"/>
    </w:pPr>
  </w:style>
  <w:style w:type="paragraph" w:styleId="739">
    <w:name w:val="endnote text"/>
    <w:basedOn w:val="716"/>
    <w:link w:val="917"/>
    <w:uiPriority w:val="99"/>
    <w:semiHidden/>
    <w:unhideWhenUsed/>
    <w:qFormat/>
    <w:pPr>
      <w:spacing w:after="0" w:line="240" w:lineRule="auto"/>
    </w:pPr>
    <w:rPr>
      <w:sz w:val="20"/>
    </w:rPr>
  </w:style>
  <w:style w:type="paragraph" w:styleId="740">
    <w:name w:val="Footer"/>
    <w:basedOn w:val="716"/>
    <w:link w:val="790"/>
    <w:uiPriority w:val="99"/>
    <w:unhideWhenUsed/>
    <w:qFormat/>
    <w:pPr>
      <w:spacing w:after="0" w:line="240" w:lineRule="auto"/>
      <w:tabs>
        <w:tab w:val="center" w:pos="7143" w:leader="none"/>
        <w:tab w:val="right" w:pos="14287" w:leader="none"/>
      </w:tabs>
    </w:pPr>
  </w:style>
  <w:style w:type="paragraph" w:styleId="741">
    <w:name w:val="Header"/>
    <w:basedOn w:val="716"/>
    <w:link w:val="788"/>
    <w:uiPriority w:val="99"/>
    <w:unhideWhenUsed/>
    <w:qFormat/>
    <w:pPr>
      <w:spacing w:after="0" w:line="240" w:lineRule="auto"/>
      <w:tabs>
        <w:tab w:val="center" w:pos="7143" w:leader="none"/>
        <w:tab w:val="right" w:pos="14287" w:leader="none"/>
      </w:tabs>
    </w:pPr>
  </w:style>
  <w:style w:type="paragraph" w:styleId="742">
    <w:name w:val="toc 1"/>
    <w:basedOn w:val="716"/>
    <w:next w:val="716"/>
    <w:uiPriority w:val="39"/>
    <w:unhideWhenUsed/>
    <w:qFormat/>
    <w:pPr>
      <w:ind w:left="0" w:right="0" w:firstLine="0"/>
      <w:spacing w:after="57"/>
    </w:pPr>
  </w:style>
  <w:style w:type="paragraph" w:styleId="743">
    <w:name w:val="toc 4"/>
    <w:basedOn w:val="716"/>
    <w:next w:val="716"/>
    <w:uiPriority w:val="39"/>
    <w:unhideWhenUsed/>
    <w:qFormat/>
    <w:pPr>
      <w:ind w:left="850" w:right="0" w:firstLine="0"/>
      <w:spacing w:after="57"/>
    </w:pPr>
  </w:style>
  <w:style w:type="paragraph" w:styleId="744">
    <w:name w:val="Subtitle"/>
    <w:basedOn w:val="716"/>
    <w:next w:val="716"/>
    <w:link w:val="783"/>
    <w:uiPriority w:val="11"/>
    <w:qFormat/>
    <w:pPr>
      <w:spacing w:before="200" w:after="200"/>
    </w:pPr>
    <w:rPr>
      <w:sz w:val="24"/>
      <w:szCs w:val="24"/>
    </w:rPr>
  </w:style>
  <w:style w:type="paragraph" w:styleId="745">
    <w:name w:val="footnote text"/>
    <w:basedOn w:val="716"/>
    <w:link w:val="916"/>
    <w:uiPriority w:val="99"/>
    <w:semiHidden/>
    <w:unhideWhenUsed/>
    <w:qFormat/>
    <w:pPr>
      <w:spacing w:after="40" w:line="240" w:lineRule="auto"/>
    </w:pPr>
    <w:rPr>
      <w:sz w:val="18"/>
    </w:rPr>
  </w:style>
  <w:style w:type="paragraph" w:styleId="746">
    <w:name w:val="toc 6"/>
    <w:basedOn w:val="716"/>
    <w:next w:val="716"/>
    <w:uiPriority w:val="39"/>
    <w:unhideWhenUsed/>
    <w:qFormat/>
    <w:pPr>
      <w:ind w:left="1417" w:right="0" w:firstLine="0"/>
      <w:spacing w:after="57"/>
    </w:pPr>
  </w:style>
  <w:style w:type="paragraph" w:styleId="747">
    <w:name w:val="table of figures"/>
    <w:basedOn w:val="716"/>
    <w:next w:val="716"/>
    <w:uiPriority w:val="99"/>
    <w:unhideWhenUsed/>
    <w:qFormat/>
    <w:pPr>
      <w:spacing w:after="0" w:afterAutospacing="0"/>
    </w:pPr>
  </w:style>
  <w:style w:type="paragraph" w:styleId="748">
    <w:name w:val="toc 2"/>
    <w:basedOn w:val="716"/>
    <w:next w:val="716"/>
    <w:uiPriority w:val="39"/>
    <w:unhideWhenUsed/>
    <w:qFormat/>
    <w:pPr>
      <w:ind w:left="283" w:right="0" w:firstLine="0"/>
      <w:spacing w:after="57"/>
    </w:pPr>
  </w:style>
  <w:style w:type="paragraph" w:styleId="749">
    <w:name w:val="toc 9"/>
    <w:basedOn w:val="716"/>
    <w:next w:val="716"/>
    <w:uiPriority w:val="39"/>
    <w:unhideWhenUsed/>
    <w:qFormat/>
    <w:pPr>
      <w:ind w:left="2268" w:right="0" w:firstLine="0"/>
      <w:spacing w:after="57"/>
    </w:pPr>
  </w:style>
  <w:style w:type="paragraph" w:styleId="750">
    <w:name w:val="Normal (Web)"/>
    <w:basedOn w:val="716"/>
    <w:uiPriority w:val="99"/>
    <w:semiHidden/>
    <w:unhideWhenUsed/>
    <w:qFormat/>
    <w:pPr>
      <w:ind w:left="0" w:right="0"/>
      <w:jc w:val="left"/>
      <w:spacing w:before="0" w:beforeAutospacing="1" w:after="0" w:afterAutospacing="1"/>
    </w:pPr>
    <w:rPr>
      <w:sz w:val="24"/>
      <w:lang w:val="en-US" w:eastAsia="zh-CN" w:bidi="ar"/>
    </w:rPr>
  </w:style>
  <w:style w:type="paragraph" w:styleId="751">
    <w:name w:val="Title"/>
    <w:basedOn w:val="716"/>
    <w:next w:val="716"/>
    <w:link w:val="782"/>
    <w:uiPriority w:val="10"/>
    <w:qFormat/>
    <w:pPr>
      <w:contextualSpacing/>
      <w:spacing w:before="300" w:after="200"/>
    </w:pPr>
    <w:rPr>
      <w:sz w:val="48"/>
      <w:szCs w:val="48"/>
    </w:rPr>
  </w:style>
  <w:style w:type="paragraph" w:styleId="752">
    <w:name w:val="Body Text First Indent 2"/>
    <w:basedOn w:val="734"/>
    <w:uiPriority w:val="99"/>
    <w:unhideWhenUsed/>
    <w:qFormat/>
    <w:pPr>
      <w:ind w:firstLine="420"/>
    </w:p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Strong"/>
    <w:basedOn w:val="726"/>
    <w:uiPriority w:val="22"/>
    <w:qFormat/>
    <w:rPr>
      <w:b/>
    </w:rPr>
  </w:style>
  <w:style w:type="character" w:styleId="755">
    <w:name w:val="endnote reference"/>
    <w:uiPriority w:val="99"/>
    <w:semiHidden/>
    <w:unhideWhenUsed/>
    <w:qFormat/>
    <w:rPr>
      <w:vertAlign w:val="superscript"/>
    </w:rPr>
  </w:style>
  <w:style w:type="character" w:styleId="756">
    <w:name w:val="Hyperlink"/>
    <w:uiPriority w:val="99"/>
    <w:unhideWhenUsed/>
    <w:qFormat/>
    <w:rPr>
      <w:color w:val="0000ff" w:themeColor="hyperlink"/>
      <w:u w:val="single"/>
      <w14:textFill>
        <w14:solidFill>
          <w14:schemeClr w14:val="hlink"/>
        </w14:solidFill>
      </w14:textFill>
    </w:rPr>
  </w:style>
  <w:style w:type="character" w:styleId="757">
    <w:name w:val="footnote reference"/>
    <w:uiPriority w:val="99"/>
    <w:unhideWhenUsed/>
    <w:qFormat/>
    <w:rPr>
      <w:vertAlign w:val="superscript"/>
    </w:rPr>
  </w:style>
  <w:style w:type="paragraph" w:styleId="758" w:customStyle="1">
    <w:name w:val="正文（缩进）"/>
    <w:basedOn w:val="716"/>
    <w:next w:val="759"/>
    <w:uiPriority w:val="0"/>
    <w:qFormat/>
    <w:pPr>
      <w:ind w:firstLine="480"/>
      <w:spacing w:before="156" w:after="156"/>
    </w:pPr>
  </w:style>
  <w:style w:type="paragraph" w:styleId="759" w:customStyle="1">
    <w:name w:val="Char Char Char Char Char Char Char Char Char"/>
    <w:basedOn w:val="716"/>
    <w:next w:val="760"/>
    <w:uiPriority w:val="0"/>
    <w:qFormat/>
    <w:pPr>
      <w:ind w:left="360" w:firstLine="5784"/>
      <w:jc w:val="both"/>
      <w:spacing w:before="0" w:after="0" w:line="240" w:lineRule="auto"/>
      <w:widowControl w:val="off"/>
    </w:pPr>
  </w:style>
  <w:style w:type="paragraph" w:styleId="760" w:customStyle="1">
    <w:name w:val="正文文本 21"/>
    <w:basedOn w:val="716"/>
    <w:next w:val="761"/>
    <w:uiPriority w:val="0"/>
    <w:qFormat/>
    <w:pPr>
      <w:spacing w:after="120" w:line="480" w:lineRule="auto"/>
    </w:pPr>
  </w:style>
  <w:style w:type="paragraph" w:styleId="761" w:customStyle="1">
    <w:name w:val="默认段落字体 Para Char Char Char Char Char Char Char"/>
    <w:basedOn w:val="716"/>
    <w:next w:val="762"/>
    <w:uiPriority w:val="1723"/>
    <w:qFormat/>
    <w:pPr>
      <w:ind w:firstLine="200"/>
    </w:pPr>
    <w:rPr>
      <w:rFonts w:cs="Arial"/>
    </w:rPr>
  </w:style>
  <w:style w:type="paragraph" w:styleId="762" w:customStyle="1">
    <w:name w:val="样式 首行缩进:  2 字符"/>
    <w:basedOn w:val="716"/>
    <w:next w:val="763"/>
    <w:uiPriority w:val="0"/>
    <w:qFormat/>
    <w:pPr>
      <w:ind w:left="480" w:firstLine="5856"/>
      <w:jc w:val="both"/>
      <w:spacing w:before="0" w:after="0" w:line="360" w:lineRule="auto"/>
      <w:widowControl w:val="off"/>
    </w:pPr>
  </w:style>
  <w:style w:type="paragraph" w:styleId="763" w:customStyle="1">
    <w:name w:val="样式 段后: 0.25 行"/>
    <w:basedOn w:val="716"/>
    <w:next w:val="764"/>
    <w:uiPriority w:val="0"/>
    <w:qFormat/>
    <w:pPr>
      <w:ind w:left="420" w:firstLine="5796"/>
      <w:spacing w:before="0" w:after="0" w:line="300" w:lineRule="auto"/>
      <w:widowControl/>
    </w:pPr>
  </w:style>
  <w:style w:type="paragraph" w:styleId="764" w:customStyle="1">
    <w:name w:val="正文 New New New New New New New New New New New New New New"/>
    <w:next w:val="765"/>
    <w:uiPriority w:val="0"/>
    <w:qFormat/>
    <w:pPr>
      <w:ind w:firstLine="2048"/>
      <w:jc w:val="both"/>
      <w:widowControl w:val="off"/>
    </w:pPr>
    <w:rPr>
      <w:rFonts w:ascii="Calibri" w:hAnsi="Calibri" w:eastAsia="宋体" w:cs="Times New Roman"/>
      <w:lang w:val="en-US" w:eastAsia="zh-CN" w:bidi="ar-SA"/>
    </w:rPr>
  </w:style>
  <w:style w:type="paragraph" w:styleId="765" w:customStyle="1">
    <w:name w:val="目录 91"/>
    <w:basedOn w:val="716"/>
    <w:next w:val="716"/>
    <w:uiPriority w:val="39"/>
    <w:unhideWhenUsed/>
    <w:qFormat/>
    <w:pPr>
      <w:ind w:left="2268" w:right="0" w:firstLine="0"/>
      <w:spacing w:after="57"/>
    </w:pPr>
  </w:style>
  <w:style w:type="paragraph" w:styleId="766" w:customStyle="1">
    <w:name w:val="Default"/>
    <w:next w:val="716"/>
    <w:uiPriority w:val="0"/>
    <w:qFormat/>
    <w:pPr>
      <w:widowControl w:val="off"/>
    </w:pPr>
    <w:rPr>
      <w:rFonts w:hint="default" w:ascii="宋体" w:hAnsi="Times New Roman" w:eastAsia="宋体" w:cs="宋体"/>
      <w:color w:val="000000"/>
      <w:sz w:val="24"/>
      <w:szCs w:val="24"/>
      <w:lang w:val="en-US" w:eastAsia="zh-CN" w:bidi="ar-SA"/>
    </w:rPr>
  </w:style>
  <w:style w:type="paragraph" w:styleId="767" w:customStyle="1">
    <w:name w:val="正文文本1"/>
    <w:basedOn w:val="768"/>
    <w:uiPriority w:val="0"/>
    <w:qFormat/>
    <w:pPr>
      <w:spacing w:after="120"/>
    </w:pPr>
    <w:rPr>
      <w:lang w:eastAsia="en-US"/>
    </w:rPr>
  </w:style>
  <w:style w:type="paragraph" w:styleId="768" w:customStyle="1">
    <w:name w:val="正文1"/>
    <w:basedOn w:val="716"/>
    <w:next w:val="767"/>
    <w:uiPriority w:val="0"/>
    <w:qFormat/>
    <w:pPr>
      <w:jc w:val="left"/>
      <w:spacing w:line="360" w:lineRule="atLeast"/>
    </w:pPr>
    <w:rPr>
      <w:rFonts w:ascii="宋体" w:hAnsi="Calibri" w:eastAsia="宋体" w:cs="Times New Roman"/>
      <w:sz w:val="24"/>
      <w:szCs w:val="20"/>
    </w:rPr>
  </w:style>
  <w:style w:type="paragraph" w:styleId="769" w:customStyle="1">
    <w:name w:val="正文文本缩进11"/>
    <w:basedOn w:val="716"/>
    <w:next w:val="716"/>
    <w:uiPriority w:val="99"/>
    <w:unhideWhenUsed/>
    <w:qFormat/>
    <w:pPr>
      <w:ind w:firstLine="540"/>
      <w:spacing w:line="400" w:lineRule="exact"/>
    </w:pPr>
    <w:rPr>
      <w:sz w:val="24"/>
    </w:rPr>
  </w:style>
  <w:style w:type="paragraph" w:styleId="770" w:customStyle="1">
    <w:name w:val="标题 31"/>
    <w:basedOn w:val="716"/>
    <w:next w:val="716"/>
    <w:uiPriority w:val="0"/>
    <w:qFormat/>
    <w:pPr>
      <w:keepLines/>
      <w:keepNext/>
      <w:spacing w:before="260" w:after="260" w:line="416" w:lineRule="auto"/>
      <w:outlineLvl w:val="2"/>
    </w:pPr>
    <w:rPr>
      <w:b/>
      <w:bCs/>
      <w:sz w:val="32"/>
      <w:szCs w:val="32"/>
    </w:rPr>
  </w:style>
  <w:style w:type="character" w:styleId="771" w:customStyle="1">
    <w:name w:val="Heading 1 Char"/>
    <w:link w:val="717"/>
    <w:uiPriority w:val="9"/>
    <w:qFormat/>
    <w:rPr>
      <w:rFonts w:ascii="Arial" w:hAnsi="Arial" w:eastAsia="Arial" w:cs="Arial"/>
      <w:sz w:val="40"/>
      <w:szCs w:val="40"/>
    </w:rPr>
  </w:style>
  <w:style w:type="character" w:styleId="772" w:customStyle="1">
    <w:name w:val="Heading 2 Char"/>
    <w:link w:val="718"/>
    <w:uiPriority w:val="9"/>
    <w:qFormat/>
    <w:rPr>
      <w:rFonts w:ascii="Arial" w:hAnsi="Arial" w:eastAsia="Arial" w:cs="Arial"/>
      <w:sz w:val="34"/>
    </w:rPr>
  </w:style>
  <w:style w:type="character" w:styleId="773" w:customStyle="1">
    <w:name w:val="Heading 3 Char"/>
    <w:link w:val="719"/>
    <w:uiPriority w:val="9"/>
    <w:qFormat/>
    <w:rPr>
      <w:rFonts w:ascii="Arial" w:hAnsi="Arial" w:eastAsia="Arial" w:cs="Arial"/>
      <w:sz w:val="30"/>
      <w:szCs w:val="30"/>
    </w:rPr>
  </w:style>
  <w:style w:type="character" w:styleId="774" w:customStyle="1">
    <w:name w:val="Heading 4 Char"/>
    <w:link w:val="720"/>
    <w:uiPriority w:val="9"/>
    <w:qFormat/>
    <w:rPr>
      <w:rFonts w:ascii="Arial" w:hAnsi="Arial" w:eastAsia="Arial" w:cs="Arial"/>
      <w:b/>
      <w:bCs/>
      <w:sz w:val="26"/>
      <w:szCs w:val="26"/>
    </w:rPr>
  </w:style>
  <w:style w:type="character" w:styleId="775" w:customStyle="1">
    <w:name w:val="Heading 5 Char"/>
    <w:link w:val="721"/>
    <w:uiPriority w:val="9"/>
    <w:qFormat/>
    <w:rPr>
      <w:rFonts w:ascii="Arial" w:hAnsi="Arial" w:eastAsia="Arial" w:cs="Arial"/>
      <w:b/>
      <w:bCs/>
      <w:sz w:val="24"/>
      <w:szCs w:val="24"/>
    </w:rPr>
  </w:style>
  <w:style w:type="character" w:styleId="776" w:customStyle="1">
    <w:name w:val="Heading 6 Char"/>
    <w:link w:val="722"/>
    <w:uiPriority w:val="9"/>
    <w:qFormat/>
    <w:rPr>
      <w:rFonts w:ascii="Arial" w:hAnsi="Arial" w:eastAsia="Arial" w:cs="Arial"/>
      <w:b/>
      <w:bCs/>
      <w:sz w:val="22"/>
      <w:szCs w:val="22"/>
    </w:rPr>
  </w:style>
  <w:style w:type="character" w:styleId="777" w:customStyle="1">
    <w:name w:val="Heading 7 Char"/>
    <w:link w:val="723"/>
    <w:uiPriority w:val="9"/>
    <w:qFormat/>
    <w:rPr>
      <w:rFonts w:ascii="Arial" w:hAnsi="Arial" w:eastAsia="Arial" w:cs="Arial"/>
      <w:b/>
      <w:bCs/>
      <w:i/>
      <w:iCs/>
      <w:sz w:val="22"/>
      <w:szCs w:val="22"/>
    </w:rPr>
  </w:style>
  <w:style w:type="character" w:styleId="778" w:customStyle="1">
    <w:name w:val="Heading 8 Char"/>
    <w:link w:val="724"/>
    <w:uiPriority w:val="9"/>
    <w:qFormat/>
    <w:rPr>
      <w:rFonts w:ascii="Arial" w:hAnsi="Arial" w:eastAsia="Arial" w:cs="Arial"/>
      <w:i/>
      <w:iCs/>
      <w:sz w:val="22"/>
      <w:szCs w:val="22"/>
    </w:rPr>
  </w:style>
  <w:style w:type="character" w:styleId="779" w:customStyle="1">
    <w:name w:val="Heading 9 Char"/>
    <w:link w:val="725"/>
    <w:uiPriority w:val="9"/>
    <w:qFormat/>
    <w:rPr>
      <w:rFonts w:ascii="Arial" w:hAnsi="Arial" w:eastAsia="Arial" w:cs="Arial"/>
      <w:i/>
      <w:iCs/>
      <w:sz w:val="21"/>
      <w:szCs w:val="21"/>
    </w:rPr>
  </w:style>
  <w:style w:type="paragraph" w:styleId="780">
    <w:name w:val="List Paragraph"/>
    <w:basedOn w:val="716"/>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51"/>
    <w:uiPriority w:val="10"/>
    <w:qFormat/>
    <w:rPr>
      <w:sz w:val="48"/>
      <w:szCs w:val="48"/>
    </w:rPr>
  </w:style>
  <w:style w:type="character" w:styleId="783" w:customStyle="1">
    <w:name w:val="Subtitle Char"/>
    <w:link w:val="744"/>
    <w:uiPriority w:val="11"/>
    <w:qFormat/>
    <w:rPr>
      <w:sz w:val="24"/>
      <w:szCs w:val="24"/>
    </w:rPr>
  </w:style>
  <w:style w:type="paragraph" w:styleId="784">
    <w:name w:val="Quote"/>
    <w:basedOn w:val="716"/>
    <w:next w:val="716"/>
    <w:link w:val="785"/>
    <w:uiPriority w:val="29"/>
    <w:qFormat/>
    <w:pPr>
      <w:ind w:left="720" w:right="720"/>
    </w:pPr>
    <w:rPr>
      <w:i/>
    </w:rPr>
  </w:style>
  <w:style w:type="character" w:styleId="785" w:customStyle="1">
    <w:name w:val="Quote Char"/>
    <w:link w:val="784"/>
    <w:uiPriority w:val="29"/>
    <w:qFormat/>
    <w:rPr>
      <w:i/>
    </w:rPr>
  </w:style>
  <w:style w:type="paragraph" w:styleId="786">
    <w:name w:val="Intense Quote"/>
    <w:basedOn w:val="716"/>
    <w:next w:val="716"/>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link w:val="741"/>
    <w:uiPriority w:val="99"/>
    <w:qFormat/>
  </w:style>
  <w:style w:type="character" w:styleId="789" w:customStyle="1">
    <w:name w:val="Footer Char"/>
    <w:link w:val="740"/>
    <w:uiPriority w:val="99"/>
    <w:qFormat/>
  </w:style>
  <w:style w:type="character" w:styleId="790" w:customStyle="1">
    <w:name w:val="Caption Char"/>
    <w:link w:val="740"/>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45"/>
    <w:uiPriority w:val="99"/>
    <w:qFormat/>
    <w:rPr>
      <w:sz w:val="18"/>
    </w:rPr>
  </w:style>
  <w:style w:type="character" w:styleId="917" w:customStyle="1">
    <w:name w:val="Endnote Text Char"/>
    <w:link w:val="739"/>
    <w:uiPriority w:val="99"/>
    <w:qFormat/>
    <w:rPr>
      <w:sz w:val="20"/>
    </w:rPr>
  </w:style>
  <w:style w:type="paragraph" w:styleId="918" w:customStyle="1">
    <w:name w:val="TOC Heading"/>
    <w:uiPriority w:val="39"/>
    <w:unhideWhenUsed/>
    <w:qFormat/>
    <w:rPr>
      <w:rFonts w:hint="default" w:ascii="Times New Roman" w:hAnsi="Times New Roman" w:eastAsia="宋体" w:cs="Times New Roman"/>
    </w:rPr>
  </w:style>
  <w:style w:type="paragraph" w:styleId="919" w:customStyle="1">
    <w:name w:val="标题 11"/>
    <w:basedOn w:val="716"/>
    <w:next w:val="716"/>
    <w:uiPriority w:val="9"/>
    <w:qFormat/>
    <w:pPr>
      <w:keepLines/>
      <w:keepNext/>
      <w:spacing w:before="340" w:after="330" w:line="578" w:lineRule="auto"/>
      <w:outlineLvl w:val="0"/>
    </w:pPr>
    <w:rPr>
      <w:b/>
      <w:bCs/>
      <w:sz w:val="44"/>
      <w:szCs w:val="44"/>
    </w:rPr>
  </w:style>
  <w:style w:type="paragraph" w:styleId="920" w:customStyle="1">
    <w:name w:val="标题 211"/>
    <w:basedOn w:val="716"/>
    <w:next w:val="9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1" w:customStyle="1">
    <w:name w:val="正文缩进11"/>
    <w:basedOn w:val="716"/>
    <w:uiPriority w:val="0"/>
    <w:unhideWhenUsed/>
    <w:qFormat/>
    <w:pPr>
      <w:ind w:firstLine="420"/>
    </w:pPr>
  </w:style>
  <w:style w:type="character" w:styleId="922" w:customStyle="1">
    <w:name w:val="默认段落字体1"/>
    <w:link w:val="716"/>
    <w:uiPriority w:val="1"/>
    <w:unhideWhenUsed/>
    <w:qFormat/>
  </w:style>
  <w:style w:type="table" w:styleId="923" w:customStyle="1">
    <w:name w:val="普通表格1"/>
    <w:uiPriority w:val="99"/>
    <w:unhideWhenUsed/>
    <w:qFormat/>
    <w:tblPr/>
  </w:style>
  <w:style w:type="paragraph" w:styleId="924" w:customStyle="1">
    <w:name w:val="引文目录1"/>
    <w:basedOn w:val="716"/>
    <w:next w:val="716"/>
    <w:uiPriority w:val="0"/>
    <w:qFormat/>
    <w:pPr>
      <w:ind w:left="420"/>
    </w:pPr>
  </w:style>
  <w:style w:type="paragraph" w:styleId="925" w:customStyle="1">
    <w:name w:val="批注文字1"/>
    <w:basedOn w:val="716"/>
    <w:link w:val="926"/>
    <w:uiPriority w:val="0"/>
    <w:qFormat/>
    <w:pPr>
      <w:jc w:val="left"/>
    </w:pPr>
  </w:style>
  <w:style w:type="character" w:styleId="926" w:customStyle="1">
    <w:name w:val="批注文字 Char"/>
    <w:link w:val="925"/>
    <w:uiPriority w:val="0"/>
    <w:qFormat/>
    <w:rPr>
      <w:rFonts w:ascii="Calibri" w:hAnsi="Calibri"/>
      <w:sz w:val="21"/>
      <w:szCs w:val="22"/>
    </w:rPr>
  </w:style>
  <w:style w:type="paragraph" w:styleId="927" w:customStyle="1">
    <w:name w:val="正文文本111"/>
    <w:basedOn w:val="716"/>
    <w:next w:val="928"/>
    <w:uiPriority w:val="0"/>
    <w:qFormat/>
    <w:rPr>
      <w:rFonts w:ascii="楷体_GB2312" w:hAnsi="Arial" w:eastAsia="楷体_GB2312"/>
      <w:sz w:val="28"/>
      <w:szCs w:val="28"/>
    </w:rPr>
  </w:style>
  <w:style w:type="paragraph" w:styleId="928" w:customStyle="1">
    <w:name w:val="正文文本 211"/>
    <w:basedOn w:val="716"/>
    <w:uiPriority w:val="0"/>
    <w:qFormat/>
    <w:pPr>
      <w:spacing w:after="120" w:line="480" w:lineRule="auto"/>
    </w:pPr>
  </w:style>
  <w:style w:type="paragraph" w:styleId="929" w:customStyle="1">
    <w:name w:val="列表项目符号 21"/>
    <w:basedOn w:val="716"/>
    <w:uiPriority w:val="0"/>
    <w:qFormat/>
    <w:pPr>
      <w:numPr>
        <w:ilvl w:val="0"/>
        <w:numId w:val="2"/>
      </w:numPr>
    </w:pPr>
  </w:style>
  <w:style w:type="paragraph" w:styleId="930" w:customStyle="1">
    <w:name w:val="纯文本11"/>
    <w:basedOn w:val="716"/>
    <w:uiPriority w:val="99"/>
    <w:qFormat/>
    <w:rPr>
      <w:rFonts w:ascii="宋体" w:hAnsi="Courier New"/>
      <w:sz w:val="20"/>
      <w:szCs w:val="21"/>
    </w:rPr>
  </w:style>
  <w:style w:type="paragraph" w:styleId="931" w:customStyle="1">
    <w:name w:val="批注框文本1"/>
    <w:basedOn w:val="716"/>
    <w:link w:val="932"/>
    <w:uiPriority w:val="0"/>
    <w:qFormat/>
    <w:rPr>
      <w:sz w:val="18"/>
      <w:szCs w:val="18"/>
    </w:rPr>
  </w:style>
  <w:style w:type="character" w:styleId="932" w:customStyle="1">
    <w:name w:val="批注框文本 Char"/>
    <w:link w:val="931"/>
    <w:uiPriority w:val="0"/>
    <w:qFormat/>
    <w:rPr>
      <w:sz w:val="18"/>
      <w:szCs w:val="18"/>
    </w:rPr>
  </w:style>
  <w:style w:type="paragraph" w:styleId="933" w:customStyle="1">
    <w:name w:val="页脚1"/>
    <w:basedOn w:val="716"/>
    <w:uiPriority w:val="99"/>
    <w:unhideWhenUsed/>
    <w:qFormat/>
    <w:pPr>
      <w:jc w:val="left"/>
      <w:tabs>
        <w:tab w:val="center" w:pos="4153" w:leader="none"/>
        <w:tab w:val="right" w:pos="8306" w:leader="none"/>
      </w:tabs>
    </w:pPr>
    <w:rPr>
      <w:sz w:val="18"/>
      <w:szCs w:val="18"/>
    </w:rPr>
  </w:style>
  <w:style w:type="paragraph" w:styleId="934" w:customStyle="1">
    <w:name w:val="寄信人地址1"/>
    <w:basedOn w:val="716"/>
    <w:uiPriority w:val="99"/>
    <w:unhideWhenUsed/>
    <w:qFormat/>
    <w:rPr>
      <w:rFonts w:ascii="Arial" w:hAnsi="Arial"/>
    </w:rPr>
  </w:style>
  <w:style w:type="paragraph" w:styleId="935" w:customStyle="1">
    <w:name w:val="页眉1"/>
    <w:basedOn w:val="71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6" w:customStyle="1">
    <w:name w:val="目录 11"/>
    <w:basedOn w:val="716"/>
    <w:next w:val="716"/>
    <w:uiPriority w:val="39"/>
    <w:unhideWhenUsed/>
    <w:qFormat/>
  </w:style>
  <w:style w:type="paragraph" w:styleId="937" w:customStyle="1">
    <w:name w:val="信息标题1"/>
    <w:basedOn w:val="71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38" w:customStyle="1">
    <w:name w:val="普通(网站)1"/>
    <w:basedOn w:val="716"/>
    <w:uiPriority w:val="0"/>
    <w:qFormat/>
    <w:rPr>
      <w:rFonts w:ascii="Times New Roman" w:hAnsi="Times New Roman"/>
      <w:sz w:val="24"/>
    </w:rPr>
  </w:style>
  <w:style w:type="paragraph" w:styleId="939" w:customStyle="1">
    <w:name w:val="批注主题1"/>
    <w:basedOn w:val="925"/>
    <w:next w:val="925"/>
    <w:link w:val="940"/>
    <w:uiPriority w:val="0"/>
    <w:qFormat/>
    <w:rPr>
      <w:b/>
      <w:bCs/>
    </w:rPr>
  </w:style>
  <w:style w:type="character" w:styleId="940" w:customStyle="1">
    <w:name w:val="批注主题 Char"/>
    <w:link w:val="939"/>
    <w:uiPriority w:val="0"/>
    <w:qFormat/>
    <w:rPr>
      <w:rFonts w:ascii="Calibri" w:hAnsi="Calibri"/>
      <w:b/>
      <w:bCs/>
      <w:sz w:val="21"/>
      <w:szCs w:val="22"/>
    </w:rPr>
  </w:style>
  <w:style w:type="paragraph" w:styleId="941" w:customStyle="1">
    <w:name w:val="正文首行缩进 211"/>
    <w:basedOn w:val="769"/>
    <w:next w:val="716"/>
    <w:uiPriority w:val="0"/>
    <w:qFormat/>
    <w:pPr>
      <w:ind w:firstLine="420"/>
      <w:spacing w:before="100" w:beforeAutospacing="1"/>
    </w:pPr>
    <w:rPr>
      <w:rFonts w:ascii="Times New Roman" w:hAnsi="Times New Roman" w:eastAsia="宋体"/>
      <w:sz w:val="20"/>
      <w:szCs w:val="21"/>
    </w:rPr>
  </w:style>
  <w:style w:type="table" w:styleId="942" w:customStyle="1">
    <w:name w:val="网格型1"/>
    <w:basedOn w:val="923"/>
    <w:uiPriority w:val="59"/>
    <w:qFormat/>
    <w:tblPr/>
  </w:style>
  <w:style w:type="character" w:styleId="943" w:customStyle="1">
    <w:name w:val="要点1"/>
    <w:link w:val="716"/>
    <w:uiPriority w:val="0"/>
    <w:qFormat/>
    <w:rPr>
      <w:b/>
    </w:rPr>
  </w:style>
  <w:style w:type="character" w:styleId="944" w:customStyle="1">
    <w:name w:val="超链接1"/>
    <w:link w:val="716"/>
    <w:uiPriority w:val="0"/>
    <w:qFormat/>
    <w:rPr>
      <w:color w:val="0000ff"/>
      <w:u w:val="single"/>
    </w:rPr>
  </w:style>
  <w:style w:type="character" w:styleId="945" w:customStyle="1">
    <w:name w:val="批注引用1"/>
    <w:link w:val="716"/>
    <w:uiPriority w:val="0"/>
    <w:qFormat/>
    <w:rPr>
      <w:sz w:val="21"/>
      <w:szCs w:val="21"/>
    </w:rPr>
  </w:style>
  <w:style w:type="paragraph" w:styleId="946" w:customStyle="1">
    <w:name w:val="一级条标题"/>
    <w:basedOn w:val="947"/>
    <w:next w:val="9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7" w:customStyle="1">
    <w:name w:val="章标题"/>
    <w:next w:val="94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8" w:customStyle="1">
    <w:name w:val="正文11"/>
    <w:next w:val="94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9" w:customStyle="1">
    <w:name w:val="正文首行缩进 21"/>
    <w:basedOn w:val="950"/>
    <w:next w:val="716"/>
    <w:uiPriority w:val="0"/>
    <w:qFormat/>
    <w:pPr>
      <w:ind w:firstLine="420"/>
    </w:pPr>
  </w:style>
  <w:style w:type="paragraph" w:styleId="950" w:customStyle="1">
    <w:name w:val="正文文本缩进1"/>
    <w:basedOn w:val="948"/>
    <w:next w:val="716"/>
    <w:uiPriority w:val="0"/>
    <w:qFormat/>
    <w:pPr>
      <w:ind w:firstLine="540"/>
      <w:spacing w:line="400" w:lineRule="exact"/>
    </w:pPr>
    <w:rPr>
      <w:sz w:val="24"/>
    </w:rPr>
  </w:style>
  <w:style w:type="paragraph" w:styleId="951" w:customStyle="1">
    <w:name w:val="段"/>
    <w:basedOn w:val="768"/>
    <w:next w:val="716"/>
    <w:uiPriority w:val="0"/>
    <w:qFormat/>
    <w:pPr>
      <w:ind w:firstLine="200"/>
      <w:widowControl/>
    </w:pPr>
    <w:rPr>
      <w:sz w:val="20"/>
    </w:rPr>
  </w:style>
  <w:style w:type="paragraph" w:styleId="952"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953" w:customStyle="1">
    <w:name w:val="Char"/>
    <w:basedOn w:val="716"/>
    <w:uiPriority w:val="0"/>
    <w:qFormat/>
    <w:pPr>
      <w:ind w:firstLine="200"/>
      <w:tabs>
        <w:tab w:val="left" w:pos="360" w:leader="none"/>
      </w:tabs>
    </w:pPr>
    <w:rPr>
      <w:rFonts w:ascii="Times New Roman" w:hAnsi="Times New Roman"/>
      <w:sz w:val="28"/>
      <w:szCs w:val="30"/>
    </w:rPr>
  </w:style>
  <w:style w:type="paragraph" w:styleId="954" w:customStyle="1">
    <w:name w:val="正文空2格  1."/>
    <w:basedOn w:val="716"/>
    <w:uiPriority w:val="0"/>
    <w:qFormat/>
    <w:pPr>
      <w:ind w:firstLine="480"/>
    </w:pPr>
    <w:rPr>
      <w:rFonts w:cs="宋体"/>
      <w:sz w:val="28"/>
      <w:szCs w:val="20"/>
    </w:rPr>
  </w:style>
  <w:style w:type="paragraph" w:styleId="955" w:customStyle="1">
    <w:name w:val="标题 21"/>
    <w:basedOn w:val="716"/>
    <w:next w:val="956"/>
    <w:uiPriority w:val="9"/>
    <w:qFormat/>
    <w:pPr>
      <w:keepLines/>
      <w:keepNext/>
      <w:spacing w:before="260" w:after="260" w:line="416" w:lineRule="auto"/>
      <w:outlineLvl w:val="1"/>
    </w:pPr>
    <w:rPr>
      <w:rFonts w:ascii="Cambria" w:hAnsi="Cambria"/>
      <w:b/>
      <w:bCs/>
      <w:sz w:val="32"/>
      <w:szCs w:val="32"/>
    </w:rPr>
  </w:style>
  <w:style w:type="paragraph" w:styleId="956" w:customStyle="1">
    <w:name w:val="正文首行缩进1"/>
    <w:basedOn w:val="957"/>
    <w:uiPriority w:val="0"/>
    <w:qFormat/>
    <w:pPr>
      <w:ind w:firstLine="425"/>
      <w:spacing w:before="100" w:after="100" w:line="360" w:lineRule="atLeast"/>
    </w:pPr>
    <w:rPr>
      <w:rFonts w:ascii="Times New Roman" w:hAnsi="Times New Roman" w:eastAsia="宋体" w:cs="Times New Roman"/>
    </w:rPr>
  </w:style>
  <w:style w:type="paragraph" w:styleId="957" w:customStyle="1">
    <w:name w:val="正文文本11"/>
    <w:basedOn w:val="716"/>
    <w:next w:val="760"/>
    <w:uiPriority w:val="0"/>
    <w:qFormat/>
    <w:rPr>
      <w:rFonts w:ascii="楷体_GB2312" w:hAnsi="Arial" w:eastAsia="楷体_GB2312"/>
      <w:sz w:val="28"/>
      <w:szCs w:val="28"/>
    </w:rPr>
  </w:style>
  <w:style w:type="paragraph" w:styleId="958" w:customStyle="1">
    <w:name w:val="正文缩进1"/>
    <w:basedOn w:val="716"/>
    <w:uiPriority w:val="0"/>
    <w:unhideWhenUsed/>
    <w:qFormat/>
    <w:pPr>
      <w:ind w:firstLine="420"/>
    </w:pPr>
    <w:rPr>
      <w:rFonts w:ascii="Calibri" w:hAnsi="Calibri" w:eastAsia="宋体" w:cs="Times New Roman"/>
    </w:rPr>
  </w:style>
  <w:style w:type="paragraph" w:styleId="959" w:customStyle="1">
    <w:name w:val="纯文本1"/>
    <w:basedOn w:val="948"/>
    <w:uiPriority w:val="0"/>
    <w:qFormat/>
    <w:rPr>
      <w:rFonts w:ascii="宋体" w:hAnsi="Courier New"/>
      <w:sz w:val="20"/>
      <w:szCs w:val="20"/>
    </w:rPr>
  </w:style>
  <w:style w:type="paragraph" w:styleId="960" w:customStyle="1">
    <w:name w:val="Body Text First Indent 21"/>
    <w:basedOn w:val="961"/>
    <w:uiPriority w:val="0"/>
    <w:qFormat/>
    <w:pPr>
      <w:ind w:firstLine="420"/>
    </w:pPr>
  </w:style>
  <w:style w:type="paragraph" w:styleId="961" w:customStyle="1">
    <w:name w:val="Body Text Indent1"/>
    <w:basedOn w:val="716"/>
    <w:uiPriority w:val="0"/>
    <w:qFormat/>
    <w:pPr>
      <w:ind w:left="420"/>
    </w:pPr>
  </w:style>
  <w:style w:type="paragraph" w:styleId="962" w:customStyle="1">
    <w:name w:val="Table Paragraph"/>
    <w:basedOn w:val="716"/>
    <w:uiPriority w:val="1"/>
    <w:qFormat/>
    <w:rPr>
      <w:rFonts w:ascii="宋体" w:hAnsi="宋体" w:cs="宋体"/>
      <w:lang w:val="zh-CN" w:bidi="zh-CN"/>
    </w:rPr>
  </w:style>
  <w:style w:type="paragraph" w:styleId="963" w:customStyle="1">
    <w:name w:val="ListBullet21"/>
    <w:basedOn w:val="716"/>
    <w:uiPriority w:val="0"/>
    <w:qFormat/>
    <w:pPr>
      <w:numPr>
        <w:ilvl w:val="0"/>
        <w:numId w:val="3"/>
      </w:numPr>
      <w:tabs>
        <w:tab w:val="decimal" w:pos="780" w:leader="none"/>
      </w:tabs>
    </w:pPr>
  </w:style>
  <w:style w:type="paragraph" w:styleId="964" w:customStyle="1">
    <w:name w:val="标题 51"/>
    <w:basedOn w:val="716"/>
    <w:next w:val="958"/>
    <w:uiPriority w:val="0"/>
    <w:qFormat/>
    <w:pPr>
      <w:keepNext/>
      <w:outlineLvl w:val="4"/>
    </w:pPr>
    <w:rPr>
      <w:rFonts w:ascii="宋体"/>
      <w:color w:val="000000"/>
      <w:sz w:val="28"/>
      <w:szCs w:val="28"/>
    </w:rPr>
  </w:style>
  <w:style w:type="paragraph" w:styleId="965" w:customStyle="1">
    <w:name w:val="Table Text"/>
    <w:basedOn w:val="716"/>
    <w:uiPriority w:val="0"/>
    <w:semiHidden/>
    <w:qFormat/>
    <w:rPr>
      <w:rFonts w:ascii="Arial" w:hAnsi="Arial" w:eastAsia="Arial" w:cs="Arial"/>
      <w:sz w:val="21"/>
      <w:szCs w:val="21"/>
      <w:lang w:val="en-US" w:eastAsia="en-US" w:bidi="ar-SA"/>
    </w:rPr>
  </w:style>
  <w:style w:type="table" w:styleId="966"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高中翠</cp:lastModifiedBy>
  <cp:revision>7</cp:revision>
  <dcterms:created xsi:type="dcterms:W3CDTF">2023-07-07T02:21:00Z</dcterms:created>
  <dcterms:modified xsi:type="dcterms:W3CDTF">2026-05-22T08:31:01Z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D4A2AF12AE554C839B92A964C731DFFB_13</vt:lpwstr>
  </property>
  <property fmtid="{D5CDD505-2E9C-101B-9397-08002B2CF9AE}" pid="4" name="KSOTemplateDocerSaveRecord">
    <vt:lpwstr>eyJoZGlkIjoiNGQxNDc2MDRlOGNjZTkzNzg3OTc2NmEyZjk1MjBjMmQiLCJ1c2VySWQiOiI1NTE4MTkxMjAifQ==</vt:lpwstr>
  </property>
</Properties>
</file>