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eastAsia="方正小标宋_GBK"/>
          <w:bCs/>
          <w:spacing w:val="20"/>
          <w:sz w:val="44"/>
        </w:rPr>
        <w:t xml:space="preserve">启东市民政局2026-2029年政府购买居家养老上门服务</w:t>
      </w:r>
      <w:r>
        <w:rPr>
          <w:rFonts w:hint="eastAsia" w:eastAsia="方正小标宋_GBK"/>
          <w:bCs/>
          <w:spacing w:val="20"/>
          <w:sz w:val="44"/>
        </w:rPr>
        <w:t xml:space="preserve">项</w:t>
      </w:r>
      <w:r>
        <w:rPr>
          <w:rFonts w:eastAsia="方正小标宋_GBK"/>
          <w:bCs/>
          <w:spacing w:val="20"/>
          <w:sz w:val="44"/>
        </w:rPr>
        <w:t xml:space="preserve">目</w:t>
      </w:r>
      <w:r/>
    </w:p>
    <w:p>
      <w:pPr>
        <w:jc w:val="center"/>
        <w:rPr>
          <w:rFonts w:eastAsia="方正小标宋_GBK"/>
          <w:bCs/>
          <w:sz w:val="100"/>
          <w:szCs w:val="100"/>
        </w:rPr>
      </w:pPr>
      <w:r>
        <w:rPr>
          <w:rFonts w:eastAsia="方正小标宋_GBK"/>
          <w:bCs/>
          <w:sz w:val="100"/>
          <w:szCs w:val="100"/>
        </w:rPr>
        <w:t xml:space="preserve">政府采购招标文件</w:t>
      </w:r>
      <w:r/>
    </w:p>
    <w:p>
      <w:pPr>
        <w:pStyle w:val="865"/>
        <w:spacing w:line="500" w:lineRule="exact"/>
        <w:rPr>
          <w:rFonts w:eastAsia="方正小标宋_GBK"/>
          <w:b w:val="0"/>
          <w:bCs/>
        </w:rPr>
      </w:pPr>
      <w:r>
        <w:rPr>
          <w:rFonts w:eastAsia="方正小标宋_GBK"/>
          <w:b w:val="0"/>
          <w:bCs/>
        </w:rPr>
      </w:r>
      <w:r/>
    </w:p>
    <w:p>
      <w:pPr>
        <w:pStyle w:val="865"/>
        <w:spacing w:line="500" w:lineRule="exact"/>
        <w:rPr>
          <w:rFonts w:eastAsia="方正小标宋_GBK"/>
          <w:b w:val="0"/>
          <w:bCs/>
          <w:sz w:val="36"/>
          <w:szCs w:val="36"/>
        </w:rPr>
      </w:pPr>
      <w:r>
        <w:rPr>
          <w:rFonts w:eastAsia="方正小标宋_GBK"/>
          <w:b w:val="0"/>
          <w:bCs/>
          <w:sz w:val="36"/>
          <w:szCs w:val="36"/>
        </w:rPr>
        <w:t xml:space="preserve">项目编号：JSZC-320681-JZCG-G2026-0022</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22"/>
        <w:ind w:firstLine="0"/>
        <w:rPr>
          <w:rFonts w:ascii="Times New Roman" w:hAnsi="Times New Roman" w:eastAsia="楷体"/>
          <w:sz w:val="44"/>
          <w:szCs w:val="44"/>
        </w:rPr>
      </w:pPr>
      <w:r>
        <w:rPr>
          <w:rFonts w:ascii="Times New Roman" w:hAnsi="Times New Roman" w:eastAsia="楷体"/>
          <w:sz w:val="44"/>
          <w:szCs w:val="44"/>
          <w:u w:val="single"/>
        </w:rPr>
        <w:t xml:space="preserve">2026</w:t>
      </w:r>
      <w:r>
        <w:rPr>
          <w:rFonts w:ascii="Times New Roman" w:hAnsi="Times New Roman" w:eastAsia="楷体"/>
          <w:sz w:val="44"/>
          <w:szCs w:val="44"/>
        </w:rPr>
        <w:t xml:space="preserve">年</w:t>
      </w:r>
      <w:r>
        <w:rPr>
          <w:rFonts w:ascii="Times New Roman" w:hAnsi="Times New Roman" w:eastAsia="楷体"/>
          <w:sz w:val="44"/>
          <w:szCs w:val="44"/>
          <w:u w:val="single"/>
        </w:rPr>
        <w:t xml:space="preserve">5</w:t>
      </w:r>
      <w:r>
        <w:rPr>
          <w:rFonts w:ascii="Times New Roman" w:hAnsi="Times New Roman" w:eastAsia="楷体"/>
          <w:sz w:val="44"/>
          <w:szCs w:val="44"/>
        </w:rPr>
        <w:t xml:space="preserve">月</w:t>
      </w:r>
      <w:r>
        <w:rPr>
          <w:rFonts w:ascii="Times New Roman" w:hAnsi="Times New Roman" w:eastAsia="楷体"/>
          <w:sz w:val="44"/>
          <w:szCs w:val="44"/>
          <w:u w:val="single"/>
        </w:rPr>
        <w:t xml:space="preserve">13</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启东市金桥路199号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 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  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  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  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  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  </w:t>
      </w:r>
      <w:bookmarkStart w:id="1" w:name="OLE_LINK7"/>
      <w:r/>
      <w:bookmarkStart w:id="2" w:name="OLE_LINK5"/>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hint="eastAsia" w:eastAsia="方正仿宋_GBK"/>
          <w:sz w:val="28"/>
          <w:szCs w:val="28"/>
        </w:rPr>
        <w:t xml:space="preserve">启东市民政局</w:t>
      </w:r>
      <w:r>
        <w:rPr>
          <w:rFonts w:eastAsia="方正仿宋_GBK"/>
          <w:sz w:val="28"/>
          <w:szCs w:val="28"/>
        </w:rPr>
        <w:t xml:space="preserve">]的委托，启东市公共资源交易中心就[</w:t>
      </w:r>
      <w:bookmarkStart w:id="4" w:name="OLE_LINK1"/>
      <w:r>
        <w:rPr>
          <w:rFonts w:eastAsia="方正仿宋_GBK"/>
          <w:sz w:val="28"/>
          <w:szCs w:val="28"/>
        </w:rPr>
        <w:t xml:space="preserve">启东市民政局2026-2029年政府购买居家养老上门服务项目</w:t>
      </w:r>
      <w:bookmarkEnd w:id="4"/>
      <w:r>
        <w:rPr>
          <w:rFonts w:eastAsia="方正仿宋_GBK"/>
          <w:sz w:val="28"/>
          <w:szCs w:val="28"/>
        </w:rPr>
        <w:t xml:space="preserve">]（项目编号：JSZC-320681-JZCG-G2026-0022）进行公开招标采购，欢迎符合条件的供应商投标。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[启东市民政局2026-2029年政府购买居家养老上门服务项目]的潜在投标人应在江苏政府采购网获取招标文件，并于</w:t>
      </w:r>
      <w:r>
        <w:rPr>
          <w:rFonts w:hint="eastAsia" w:eastAsia="方正仿宋_GBK"/>
          <w:sz w:val="28"/>
          <w:szCs w:val="28"/>
        </w:rPr>
        <w:t xml:space="preserve">2026</w:t>
      </w:r>
      <w:r>
        <w:rPr>
          <w:rFonts w:eastAsia="方正仿宋_GBK"/>
          <w:sz w:val="28"/>
          <w:szCs w:val="28"/>
        </w:rPr>
        <w:t xml:space="preserve">年6月</w:t>
      </w:r>
      <w:r>
        <w:rPr>
          <w:rFonts w:hint="default" w:eastAsia="方正仿宋_GBK"/>
          <w:sz w:val="28"/>
          <w:szCs w:val="28"/>
          <w:lang w:val="en-US"/>
        </w:rPr>
        <w:t xml:space="preserve">3</w:t>
      </w:r>
      <w:r>
        <w:rPr>
          <w:rFonts w:eastAsia="方正仿宋_GBK"/>
          <w:sz w:val="28"/>
          <w:szCs w:val="28"/>
        </w:rPr>
        <w:t xml:space="preserve">日9点00分（北京时间）前递交投标文件。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项目编号：JSZC-320681-JZCG-G2026-0022</w:t>
      </w:r>
      <w:r/>
    </w:p>
    <w:p>
      <w:pPr>
        <w:ind w:firstLine="560"/>
        <w:spacing w:line="500" w:lineRule="exact"/>
        <w:rPr>
          <w:rFonts w:eastAsia="方正仿宋_GBK"/>
          <w:sz w:val="28"/>
          <w:szCs w:val="28"/>
        </w:rPr>
      </w:pPr>
      <w:r>
        <w:rPr>
          <w:rFonts w:eastAsia="方正仿宋_GBK"/>
          <w:sz w:val="28"/>
          <w:szCs w:val="28"/>
        </w:rPr>
        <w:t xml:space="preserve">项目名称：启东市民政局2026-2029年政府购买居家养老上门服务项目</w:t>
      </w:r>
      <w:r/>
    </w:p>
    <w:p>
      <w:pPr>
        <w:ind w:firstLine="560"/>
        <w:spacing w:line="500" w:lineRule="exact"/>
        <w:rPr>
          <w:rFonts w:eastAsia="方正仿宋_GBK"/>
          <w:sz w:val="28"/>
          <w:szCs w:val="28"/>
        </w:rPr>
      </w:pPr>
      <w:r>
        <w:rPr>
          <w:rFonts w:eastAsia="方正仿宋_GBK"/>
          <w:sz w:val="28"/>
          <w:szCs w:val="28"/>
        </w:rPr>
        <w:t xml:space="preserve">项目类型：服务</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其他未列明行业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1006.9872</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各标包单价及总价最高限价见下表：</w:t>
      </w:r>
      <w:r/>
    </w:p>
    <w:tbl>
      <w:tblPr>
        <w:tblStyle w:val="970"/>
        <w:tblW w:w="96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481"/>
        <w:gridCol w:w="1912"/>
        <w:gridCol w:w="1916"/>
        <w:gridCol w:w="1243"/>
      </w:tblGrid>
      <w:tr>
        <w:trPr>
          <w:trHeight w:val="660"/>
        </w:trPr>
        <w:tc>
          <w:tcPr>
            <w:tcW w:w="1050"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标包号</w:t>
            </w:r>
            <w:r/>
          </w:p>
        </w:tc>
        <w:tc>
          <w:tcPr>
            <w:tcW w:w="3481"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采购内容简述</w:t>
            </w:r>
            <w:r/>
          </w:p>
        </w:tc>
        <w:tc>
          <w:tcPr>
            <w:tcW w:w="1912"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人数</w:t>
            </w:r>
            <w:r/>
          </w:p>
        </w:tc>
        <w:tc>
          <w:tcPr>
            <w:tcW w:w="1916"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最高限价</w:t>
            </w:r>
            <w:r/>
          </w:p>
          <w:p>
            <w:pPr>
              <w:jc w:val="center"/>
              <w:rPr>
                <w:rFonts w:ascii="方正仿宋_GBK" w:hAnsi="宋体" w:eastAsia="方正仿宋_GBK"/>
                <w:b/>
                <w:bCs/>
                <w:szCs w:val="21"/>
              </w:rPr>
            </w:pPr>
            <w:r>
              <w:rPr>
                <w:rFonts w:hint="eastAsia" w:ascii="方正仿宋_GBK" w:hAnsi="宋体" w:eastAsia="方正仿宋_GBK"/>
                <w:b/>
                <w:bCs/>
                <w:szCs w:val="21"/>
              </w:rPr>
              <w:t xml:space="preserve">单价</w:t>
            </w:r>
            <w:r/>
          </w:p>
        </w:tc>
        <w:tc>
          <w:tcPr>
            <w:tcW w:w="1243"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各标包最高限价总价（元/年）</w:t>
            </w:r>
            <w:r/>
          </w:p>
        </w:tc>
      </w:tr>
      <w:tr>
        <w:trPr>
          <w:trHeight w:val="975"/>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一标包</w:t>
            </w:r>
            <w:r/>
          </w:p>
        </w:tc>
        <w:tc>
          <w:tcPr>
            <w:tcW w:w="3481"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居家养老线上服务,建立启东市智慧养老综合平台；建立呼叫中心提供24小时全天候服务，包括紧急救援、生活服务咨询和养老顾问服务等；对居家养老线下服务工单调配、分析、汇总；全程监管居家养老线下服务及全市养老服务综合管理；1家市级综合养老服务中心运营；长者驿家运营；南北城区约8家睦邻点运营；建立全市居家养老服务设施管理系统，包括市级综合养老服务中心、长者驿家、睦邻点、助餐点等数据整合和线上监管。</w:t>
            </w:r>
            <w:r/>
          </w:p>
        </w:tc>
        <w:tc>
          <w:tcPr>
            <w:tcW w:w="1912" w:type="dxa"/>
            <w:vAlign w:val="center"/>
            <w:textDirection w:val="lrTb"/>
            <w:noWrap w:val="false"/>
          </w:tcPr>
          <w:p>
            <w:pPr>
              <w:ind w:left="63"/>
              <w:jc w:val="center"/>
              <w:spacing w:line="440" w:lineRule="exact"/>
              <w:rPr>
                <w:rFonts w:ascii="方正仿宋_GBK" w:hAnsi="宋体" w:eastAsia="方正仿宋_GBK"/>
                <w:szCs w:val="21"/>
              </w:rPr>
            </w:pPr>
            <w:r>
              <w:rPr>
                <w:rFonts w:hint="eastAsia" w:ascii="方正仿宋_GBK" w:hAnsi="宋体" w:eastAsia="方正仿宋_GBK"/>
                <w:szCs w:val="21"/>
              </w:rPr>
              <w:t xml:space="preserve">约13470人</w:t>
            </w:r>
            <w:r/>
          </w:p>
        </w:tc>
        <w:tc>
          <w:tcPr>
            <w:tcW w:w="1916"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①线上服务费4元/人/月</w:t>
            </w:r>
            <w:r/>
          </w:p>
          <w:p>
            <w:pPr>
              <w:rPr>
                <w:rFonts w:ascii="方正仿宋_GBK" w:hAnsi="宋体" w:eastAsia="方正仿宋_GBK" w:cs="Courier New"/>
                <w:szCs w:val="21"/>
              </w:rPr>
            </w:pPr>
            <w:r>
              <w:rPr>
                <w:rFonts w:hint="eastAsia" w:ascii="方正仿宋_GBK" w:hAnsi="宋体" w:eastAsia="方正仿宋_GBK" w:cs="Courier New"/>
                <w:szCs w:val="21"/>
              </w:rPr>
              <w:t xml:space="preserve">②线上平台系统40万/年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③长者驿家运营20万元/年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④市综合养老服务6万元/年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⑤睦邻点运营3万元/年/家</w:t>
            </w:r>
            <w:r/>
          </w:p>
          <w:p>
            <w:pPr>
              <w:rPr>
                <w:rFonts w:ascii="方正仿宋_GBK" w:hAnsi="宋体" w:eastAsia="方正仿宋_GBK" w:cs="Courier New"/>
                <w:szCs w:val="21"/>
              </w:rPr>
            </w:pPr>
            <w:r>
              <w:rPr>
                <w:rFonts w:hint="eastAsia" w:ascii="方正仿宋_GBK" w:hAnsi="宋体" w:eastAsia="方正仿宋_GBK" w:cs="Courier New"/>
                <w:szCs w:val="21"/>
              </w:rPr>
              <w:t xml:space="preserve">（其中：③-⑤为固定价格，投标时不作下浮。）</w:t>
            </w:r>
            <w:r/>
          </w:p>
        </w:tc>
        <w:tc>
          <w:tcPr>
            <w:tcW w:w="1243" w:type="dxa"/>
            <w:vAlign w:val="center"/>
            <w:textDirection w:val="lrTb"/>
            <w:noWrap w:val="false"/>
          </w:tcPr>
          <w:p>
            <w:pPr>
              <w:rPr>
                <w:rFonts w:ascii="方正仿宋_GBK" w:hAnsi="宋体" w:eastAsia="方正仿宋_GBK" w:cs="Courier New"/>
                <w:szCs w:val="21"/>
                <w:highlight w:val="yellow"/>
              </w:rPr>
            </w:pPr>
            <w:r>
              <w:rPr>
                <w:rFonts w:hint="eastAsia" w:ascii="方正仿宋_GBK" w:hAnsi="宋体" w:eastAsia="方正仿宋_GBK" w:cs="Courier New"/>
                <w:szCs w:val="21"/>
              </w:rPr>
              <w:t xml:space="preserve">1546560</w:t>
            </w:r>
            <w:r/>
          </w:p>
        </w:tc>
      </w:tr>
      <w:tr>
        <w:trPr>
          <w:trHeight w:val="416"/>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二标包</w:t>
            </w:r>
            <w:r/>
          </w:p>
        </w:tc>
        <w:tc>
          <w:tcPr>
            <w:tcW w:w="3481" w:type="dxa"/>
            <w:vAlign w:val="center"/>
            <w:textDirection w:val="lrTb"/>
            <w:noWrap w:val="false"/>
          </w:tcPr>
          <w:p>
            <w:pPr>
              <w:rPr>
                <w:rFonts w:ascii="方正仿宋_GBK" w:hAnsi="宋体" w:eastAsia="方正仿宋_GBK" w:cs="Courier New"/>
                <w:szCs w:val="21"/>
                <w:lang w:val="zh-CN"/>
              </w:rPr>
            </w:pPr>
            <w:r>
              <w:rPr>
                <w:rFonts w:hint="eastAsia" w:ascii="方正仿宋_GBK" w:hAnsi="宋体" w:eastAsia="方正仿宋_GBK" w:cs="Courier New"/>
                <w:szCs w:val="21"/>
              </w:rPr>
              <w:t xml:space="preserve">南阳镇、汇龙镇、南城区、北城区、开发区、北新镇、启隆镇区域线下服务；1家镇养老服务中心运营；服务区域内约7家睦邻点运营。</w:t>
            </w:r>
            <w:r/>
          </w:p>
        </w:tc>
        <w:tc>
          <w:tcPr>
            <w:tcW w:w="1912" w:type="dxa"/>
            <w:vAlign w:val="center"/>
            <w:textDirection w:val="lrTb"/>
            <w:noWrap w:val="false"/>
          </w:tcPr>
          <w:p>
            <w:pPr>
              <w:jc w:val="center"/>
              <w:rPr>
                <w:rFonts w:ascii="方正仿宋_GBK" w:hAnsi="宋体" w:eastAsia="方正仿宋_GBK" w:cs="Courier New"/>
                <w:szCs w:val="21"/>
              </w:rPr>
            </w:pPr>
            <w:r>
              <w:rPr>
                <w:rFonts w:hint="eastAsia" w:ascii="方正仿宋_GBK" w:hAnsi="宋体" w:eastAsia="方正仿宋_GBK" w:cs="Courier New"/>
                <w:szCs w:val="21"/>
              </w:rPr>
              <w:t xml:space="preserve">第1-2类约116人、第3类约388人（其中A类334人、B类54人）、第4-5类约291人，第6-7类约3511人，合计4306人。</w:t>
            </w:r>
            <w:r/>
          </w:p>
        </w:tc>
        <w:tc>
          <w:tcPr>
            <w:tcW w:w="1916" w:type="dxa"/>
            <w:vAlign w:val="center"/>
            <w:vMerge w:val="restart"/>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①线下服务费30元/小时</w:t>
            </w:r>
            <w:r/>
          </w:p>
          <w:p>
            <w:pPr>
              <w:rPr>
                <w:rFonts w:ascii="方正仿宋_GBK" w:hAnsi="宋体" w:eastAsia="方正仿宋_GBK" w:cs="Courier New"/>
                <w:szCs w:val="21"/>
              </w:rPr>
            </w:pPr>
            <w:r>
              <w:rPr>
                <w:rFonts w:hint="eastAsia" w:ascii="方正仿宋_GBK" w:hAnsi="宋体" w:eastAsia="方正仿宋_GBK" w:cs="Courier New"/>
                <w:szCs w:val="21"/>
              </w:rPr>
              <w:t xml:space="preserve">②镇养老服务中心6万元/年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③睦邻点运营3万元/年/家</w:t>
            </w:r>
            <w:r/>
          </w:p>
          <w:p>
            <w:pPr>
              <w:rPr>
                <w:rFonts w:ascii="方正仿宋_GBK" w:hAnsi="宋体" w:eastAsia="方正仿宋_GBK" w:cs="Courier New"/>
                <w:szCs w:val="21"/>
              </w:rPr>
            </w:pPr>
            <w:r>
              <w:rPr>
                <w:rFonts w:hint="eastAsia" w:ascii="方正仿宋_GBK" w:hAnsi="宋体" w:eastAsia="方正仿宋_GBK" w:cs="Courier New"/>
                <w:szCs w:val="21"/>
              </w:rPr>
              <w:t xml:space="preserve">（其中：②和③为固定价格，投标时不作下浮。） </w:t>
            </w:r>
            <w:r/>
          </w:p>
        </w:tc>
        <w:tc>
          <w:tcPr>
            <w:tcW w:w="1243" w:type="dxa"/>
            <w:vAlign w:val="center"/>
            <w:textDirection w:val="lrTb"/>
            <w:noWrap w:val="false"/>
          </w:tcPr>
          <w:p>
            <w:pPr>
              <w:rPr>
                <w:rFonts w:ascii="方正仿宋_GBK" w:hAnsi="宋体" w:eastAsia="方正仿宋_GBK" w:cs="Courier New"/>
                <w:szCs w:val="21"/>
                <w:highlight w:val="yellow"/>
              </w:rPr>
            </w:pPr>
            <w:r>
              <w:rPr>
                <w:rFonts w:hint="eastAsia" w:ascii="方正仿宋_GBK" w:hAnsi="宋体" w:eastAsia="方正仿宋_GBK" w:cs="Courier New"/>
                <w:szCs w:val="21"/>
              </w:rPr>
              <w:t xml:space="preserve">2651544</w:t>
            </w:r>
            <w:r/>
          </w:p>
        </w:tc>
      </w:tr>
      <w:tr>
        <w:trPr>
          <w:trHeight w:val="870"/>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三标包</w:t>
            </w:r>
            <w:r/>
          </w:p>
        </w:tc>
        <w:tc>
          <w:tcPr>
            <w:tcW w:w="3481"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启东市海复镇、合作镇、王鲍、吕四区域线下服务；1家镇养老服务中心运营；服务区域内约7家睦邻点运营。</w:t>
            </w:r>
            <w:r/>
          </w:p>
        </w:tc>
        <w:tc>
          <w:tcPr>
            <w:tcW w:w="1912"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第1-2类约156人、第3类约780人</w:t>
            </w:r>
            <w:r>
              <w:rPr>
                <w:rFonts w:hint="eastAsia" w:ascii="方正仿宋_GBK" w:hAnsi="宋体" w:eastAsia="方正仿宋_GBK" w:cs="Courier New"/>
                <w:szCs w:val="21"/>
                <w:lang w:val="zh-CN"/>
              </w:rPr>
              <w:t xml:space="preserve">（其中A类685人、B类94人、C类 1人）</w:t>
            </w:r>
            <w:r>
              <w:rPr>
                <w:rFonts w:hint="eastAsia" w:ascii="方正仿宋_GBK" w:hAnsi="宋体" w:eastAsia="方正仿宋_GBK" w:cs="Courier New"/>
                <w:szCs w:val="21"/>
              </w:rPr>
              <w:t xml:space="preserve">、第4-5类约384人，第6-7类约3720人，合计5040人。</w:t>
            </w:r>
            <w:r/>
          </w:p>
        </w:tc>
        <w:tc>
          <w:tcPr>
            <w:tcW w:w="1916" w:type="dxa"/>
            <w:vMerge w:val="continue"/>
            <w:textDirection w:val="lrTb"/>
            <w:noWrap w:val="false"/>
          </w:tcPr>
          <w:p>
            <w:pPr>
              <w:jc w:val="center"/>
              <w:rPr>
                <w:rFonts w:ascii="方正仿宋_GBK" w:hAnsi="宋体" w:eastAsia="方正仿宋_GBK" w:cs="Courier New"/>
                <w:szCs w:val="21"/>
                <w:lang w:val="zh-CN"/>
              </w:rPr>
            </w:pPr>
            <w:r>
              <w:rPr>
                <w:rFonts w:ascii="方正仿宋_GBK" w:hAnsi="宋体" w:eastAsia="方正仿宋_GBK" w:cs="Courier New"/>
                <w:szCs w:val="21"/>
                <w:lang w:val="zh-CN"/>
              </w:rPr>
            </w:r>
            <w:r/>
          </w:p>
        </w:tc>
        <w:tc>
          <w:tcPr>
            <w:tcW w:w="1243" w:type="dxa"/>
            <w:vAlign w:val="center"/>
            <w:textDirection w:val="lrTb"/>
            <w:noWrap w:val="false"/>
          </w:tcPr>
          <w:p>
            <w:pPr>
              <w:rPr>
                <w:rFonts w:ascii="方正仿宋_GBK" w:hAnsi="宋体" w:eastAsia="方正仿宋_GBK" w:cs="Courier New"/>
                <w:szCs w:val="21"/>
                <w:highlight w:val="yellow"/>
              </w:rPr>
            </w:pPr>
            <w:r>
              <w:rPr>
                <w:rFonts w:hint="eastAsia" w:ascii="方正仿宋_GBK" w:hAnsi="宋体" w:eastAsia="方正仿宋_GBK" w:cs="Courier New"/>
                <w:szCs w:val="21"/>
              </w:rPr>
              <w:t xml:space="preserve">3563982</w:t>
            </w:r>
            <w:r/>
          </w:p>
        </w:tc>
      </w:tr>
      <w:tr>
        <w:trPr>
          <w:trHeight w:val="627"/>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四标包</w:t>
            </w:r>
            <w:r/>
          </w:p>
        </w:tc>
        <w:tc>
          <w:tcPr>
            <w:tcW w:w="3481"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启东市寅阳镇、东海镇、惠萍镇、圆陀角、近海镇区域线下服务；1家镇养老服务中心运营；服务区域内约9家睦邻点运营。</w:t>
            </w:r>
            <w:r/>
          </w:p>
        </w:tc>
        <w:tc>
          <w:tcPr>
            <w:tcW w:w="1912"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第1-2类约120人、第3类约141人</w:t>
            </w:r>
            <w:r>
              <w:rPr>
                <w:rFonts w:hint="eastAsia" w:ascii="方正仿宋_GBK" w:hAnsi="宋体" w:eastAsia="方正仿宋_GBK" w:cs="Courier New"/>
                <w:szCs w:val="21"/>
                <w:lang w:val="zh-CN"/>
              </w:rPr>
              <w:t xml:space="preserve">（其中A类112人、B类29人）</w:t>
            </w:r>
            <w:r>
              <w:rPr>
                <w:rFonts w:hint="eastAsia" w:ascii="方正仿宋_GBK" w:hAnsi="宋体" w:eastAsia="方正仿宋_GBK" w:cs="Courier New"/>
                <w:szCs w:val="21"/>
              </w:rPr>
              <w:t xml:space="preserve">、第4-5类约325人，第6-7类约3538人，合计4124人。</w:t>
            </w:r>
            <w:r/>
          </w:p>
        </w:tc>
        <w:tc>
          <w:tcPr>
            <w:tcW w:w="1916" w:type="dxa"/>
            <w:vMerge w:val="continue"/>
            <w:textDirection w:val="lrTb"/>
            <w:noWrap w:val="false"/>
          </w:tcPr>
          <w:p>
            <w:pPr>
              <w:jc w:val="center"/>
              <w:rPr>
                <w:rFonts w:ascii="方正仿宋_GBK" w:hAnsi="宋体" w:eastAsia="方正仿宋_GBK" w:cs="Courier New"/>
                <w:szCs w:val="21"/>
                <w:lang w:val="zh-CN"/>
              </w:rPr>
            </w:pPr>
            <w:r>
              <w:rPr>
                <w:rFonts w:ascii="方正仿宋_GBK" w:hAnsi="宋体" w:eastAsia="方正仿宋_GBK" w:cs="Courier New"/>
                <w:szCs w:val="21"/>
                <w:lang w:val="zh-CN"/>
              </w:rPr>
            </w:r>
            <w:r/>
          </w:p>
        </w:tc>
        <w:tc>
          <w:tcPr>
            <w:tcW w:w="1243" w:type="dxa"/>
            <w:vAlign w:val="center"/>
            <w:textDirection w:val="lrTb"/>
            <w:noWrap w:val="false"/>
          </w:tcPr>
          <w:p>
            <w:pPr>
              <w:rPr>
                <w:rFonts w:ascii="方正仿宋_GBK" w:hAnsi="宋体" w:eastAsia="方正仿宋_GBK" w:cs="Courier New"/>
                <w:szCs w:val="21"/>
                <w:highlight w:val="yellow"/>
              </w:rPr>
            </w:pPr>
            <w:r>
              <w:rPr>
                <w:rFonts w:hint="eastAsia" w:ascii="方正仿宋_GBK" w:hAnsi="宋体" w:eastAsia="方正仿宋_GBK" w:cs="Courier New"/>
                <w:szCs w:val="21"/>
              </w:rPr>
              <w:t xml:space="preserve">2307786</w:t>
            </w:r>
            <w:r/>
          </w:p>
        </w:tc>
      </w:tr>
      <w:tr>
        <w:trPr>
          <w:trHeight w:val="781"/>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注</w:t>
            </w:r>
            <w:r/>
          </w:p>
        </w:tc>
        <w:tc>
          <w:tcPr>
            <w:gridSpan w:val="4"/>
            <w:tcW w:w="8552" w:type="dxa"/>
            <w:vAlign w:val="center"/>
            <w:textDirection w:val="lrTb"/>
            <w:noWrap w:val="false"/>
          </w:tcPr>
          <w:p>
            <w:pPr>
              <w:numPr>
                <w:ilvl w:val="0"/>
                <w:numId w:val="2"/>
              </w:numPr>
              <w:rPr>
                <w:rFonts w:ascii="方正仿宋_GBK" w:hAnsi="宋体" w:eastAsia="方正仿宋_GBK" w:cs="Courier New"/>
                <w:szCs w:val="21"/>
              </w:rPr>
            </w:pPr>
            <w:r>
              <w:rPr>
                <w:rFonts w:hint="eastAsia" w:ascii="方正仿宋_GBK" w:hAnsi="宋体" w:eastAsia="方正仿宋_GBK" w:cs="Courier New"/>
                <w:szCs w:val="21"/>
                <w:lang w:val="zh-CN"/>
              </w:rPr>
              <w:t xml:space="preserve">上表中所述“第1-2类每月4小时上门服务；第4-5类每月2小时上门服务；第6-</w:t>
            </w:r>
            <w:r>
              <w:rPr>
                <w:rFonts w:hint="eastAsia" w:ascii="方正仿宋_GBK" w:hAnsi="宋体" w:eastAsia="方正仿宋_GBK" w:cs="Courier New"/>
                <w:szCs w:val="21"/>
              </w:rPr>
              <w:t xml:space="preserve">7</w:t>
            </w:r>
            <w:r>
              <w:rPr>
                <w:rFonts w:hint="eastAsia" w:ascii="方正仿宋_GBK" w:hAnsi="宋体" w:eastAsia="方正仿宋_GBK" w:cs="Courier New"/>
                <w:szCs w:val="21"/>
                <w:lang w:val="zh-CN"/>
              </w:rPr>
              <w:t xml:space="preserve">类每月1小时上门服务；第3类</w:t>
            </w:r>
            <w:r>
              <w:rPr>
                <w:rFonts w:hint="eastAsia" w:ascii="方正仿宋_GBK" w:hAnsi="宋体" w:eastAsia="方正仿宋_GBK" w:cs="Courier New"/>
                <w:szCs w:val="21"/>
              </w:rPr>
              <w:t xml:space="preserve">根据启东市民政局文件《关于明确调整城乡居民最低生活保障、特困供养和相关民政对象救助标准的通知》，2025年7月1日起，分散特困人员照料护理标准按照完全丧失生活自理能力、部分丧失生活自理能力、具备生活自理能力三档，分别为747元、373.5元、124.5元。服务金额根据文件按时调整，服务时长按中标价折算。</w:t>
            </w:r>
            <w:r/>
          </w:p>
          <w:p>
            <w:pPr>
              <w:numPr>
                <w:ilvl w:val="0"/>
                <w:numId w:val="2"/>
              </w:numPr>
              <w:rPr>
                <w:rFonts w:ascii="方正仿宋_GBK" w:hAnsi="宋体" w:eastAsia="方正仿宋_GBK" w:cs="Courier New"/>
                <w:szCs w:val="21"/>
              </w:rPr>
            </w:pPr>
            <w:r>
              <w:rPr>
                <w:rFonts w:hint="eastAsia" w:ascii="方正仿宋_GBK" w:hAnsi="宋体" w:eastAsia="方正仿宋_GBK" w:cs="Courier New"/>
                <w:szCs w:val="21"/>
              </w:rPr>
              <w:t xml:space="preserve">投标单价及总价均不得高于最高限价单价及总价；报价时，所有单价下浮率须一致；否则，以上情况均作无效标处理。</w:t>
            </w:r>
            <w:r/>
          </w:p>
          <w:p>
            <w:pPr>
              <w:numPr>
                <w:ilvl w:val="0"/>
                <w:numId w:val="2"/>
              </w:numPr>
              <w:rPr>
                <w:rFonts w:ascii="方正仿宋_GBK" w:hAnsi="宋体" w:eastAsia="方正仿宋_GBK" w:cs="Courier New"/>
                <w:szCs w:val="21"/>
              </w:rPr>
            </w:pPr>
            <w:r>
              <w:rPr>
                <w:rFonts w:hint="eastAsia" w:ascii="方正仿宋_GBK" w:hAnsi="宋体" w:eastAsia="方正仿宋_GBK" w:cs="Courier New"/>
                <w:szCs w:val="21"/>
              </w:rPr>
              <w:t xml:space="preserve">本项目人数及运营家数均为暂定数量，结算时按实际发生数量；中标单价不变，但合同约定按考核结果结算的除外。</w:t>
            </w:r>
            <w:r/>
          </w:p>
          <w:p>
            <w:pPr>
              <w:rPr>
                <w:rFonts w:ascii="方正仿宋_GBK" w:hAnsi="宋体" w:eastAsia="方正仿宋_GBK" w:cs="Courier New"/>
                <w:szCs w:val="21"/>
              </w:rPr>
            </w:pPr>
            <w:r>
              <w:rPr>
                <w:rFonts w:hint="eastAsia" w:ascii="方正仿宋_GBK" w:hAnsi="宋体" w:eastAsia="方正仿宋_GBK" w:cs="Courier New"/>
                <w:szCs w:val="21"/>
              </w:rPr>
              <w:t xml:space="preserve">④上表中规定为固定价格的项目，投标时不得下浮，否则，作无效标处理。</w:t>
            </w:r>
            <w:r/>
          </w:p>
        </w:tc>
      </w:tr>
    </w:tbl>
    <w:p>
      <w:pPr>
        <w:ind w:firstLine="560"/>
        <w:spacing w:line="500" w:lineRule="exact"/>
        <w:rPr>
          <w:rFonts w:eastAsia="方正仿宋_GBK"/>
          <w:sz w:val="28"/>
          <w:szCs w:val="28"/>
        </w:rPr>
      </w:pPr>
      <w:r>
        <w:rPr>
          <w:rFonts w:eastAsia="方正仿宋_GBK"/>
          <w:sz w:val="28"/>
          <w:szCs w:val="28"/>
        </w:rPr>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w:t>
      </w:r>
      <w:r>
        <w:rPr>
          <w:rFonts w:hint="eastAsia" w:eastAsia="方正仿宋_GBK"/>
          <w:sz w:val="28"/>
          <w:szCs w:val="28"/>
        </w:rPr>
        <w:t xml:space="preserve">一标包接受联合体；二标包至四标包不接受联合体</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本项目是否接受分包：否。</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1.满足《中华人民共和国政府采购法》第二十二条规定。</w:t>
      </w:r>
      <w:r/>
    </w:p>
    <w:p>
      <w:pPr>
        <w:ind w:firstLine="560"/>
        <w:spacing w:line="500" w:lineRule="exact"/>
        <w:rPr>
          <w:rFonts w:eastAsia="方正仿宋_GBK"/>
          <w:sz w:val="28"/>
          <w:szCs w:val="28"/>
        </w:rPr>
      </w:pPr>
      <w:r>
        <w:rPr>
          <w:rFonts w:eastAsia="方正仿宋_GBK"/>
          <w:sz w:val="28"/>
          <w:szCs w:val="28"/>
        </w:rPr>
        <w:t xml:space="preserve">2.落实政府采购政策需满足的资格要求：（本项目属于专门面向中小企业采购的项目（货物类项目投标供应商提供的货物应全部由符合政策要求的中小微企业制造或者服务类项目的服务全部由符合政策要求的中小微企业承接），残疾人福利性单位、监狱和戒毒企业（简称监狱企业）视同小型、微型企业，投标供应商应按采购文件要求填写并提供《中小企业声明函》或《残疾人福利性单位声明函》，或提供由省级以上监狱管理局、戒毒管理局（含新疆生产建设兵团）出具的属于监狱企业的证明文件。</w:t>
      </w:r>
      <w:r/>
    </w:p>
    <w:p>
      <w:pPr>
        <w:ind w:firstLine="560"/>
        <w:spacing w:line="500" w:lineRule="exact"/>
        <w:rPr>
          <w:rFonts w:eastAsia="方正仿宋_GBK"/>
          <w:sz w:val="28"/>
          <w:szCs w:val="28"/>
        </w:rPr>
      </w:pPr>
      <w:r>
        <w:rPr>
          <w:rFonts w:eastAsia="方正仿宋_GBK"/>
          <w:sz w:val="28"/>
          <w:szCs w:val="28"/>
        </w:rPr>
        <w:t xml:space="preserve">3.本项目的特定资格要求：</w:t>
      </w:r>
      <w:bookmarkStart w:id="5" w:name="_Hlk212714035"/>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5"/>
      <w:r/>
      <w:r/>
    </w:p>
    <w:p>
      <w:pPr>
        <w:ind w:firstLine="560"/>
        <w:spacing w:line="500" w:lineRule="exact"/>
        <w:rPr>
          <w:rFonts w:eastAsia="方正仿宋_GBK"/>
          <w:sz w:val="28"/>
          <w:szCs w:val="28"/>
        </w:rPr>
      </w:pPr>
      <w:r>
        <w:rPr>
          <w:rFonts w:hint="eastAsia" w:eastAsia="方正仿宋_GBK"/>
          <w:sz w:val="28"/>
          <w:szCs w:val="28"/>
        </w:rPr>
        <w:t xml:space="preserve">（2）若本项目一标包组联合体投标的，则联合体双方均须满足申请人的资格要求部分1-3项要求，并在投标时附联合体投标协议（格式自拟，协议中需明确双方分工等）及联合体成员的法人或者其他组织的营业执照等证明文件</w:t>
      </w:r>
      <w:r>
        <w:rPr>
          <w:rFonts w:eastAsia="方正仿宋_GBK"/>
          <w:sz w:val="28"/>
          <w:szCs w:val="28"/>
        </w:rPr>
        <w:t xml:space="preserve">。</w:t>
      </w:r>
      <w:r/>
    </w:p>
    <w:p>
      <w:pP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时间：自本公告发布之日起至</w:t>
      </w:r>
      <w:r>
        <w:rPr>
          <w:rFonts w:hint="eastAsia" w:eastAsia="方正仿宋_GBK"/>
          <w:sz w:val="28"/>
          <w:szCs w:val="28"/>
        </w:rPr>
        <w:t xml:space="preserve">2026</w:t>
      </w:r>
      <w:r>
        <w:rPr>
          <w:rFonts w:eastAsia="方正仿宋_GBK"/>
          <w:sz w:val="28"/>
          <w:szCs w:val="28"/>
        </w:rPr>
        <w:t xml:space="preserve">年5月20日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2.潜在供应商访问“苏采云”系统的网络地址和方法：“苏采云”系统的网址：http://jszfcg.jsczt.cn/。</w:t>
      </w:r>
      <w:r/>
    </w:p>
    <w:p>
      <w:pPr>
        <w:ind w:firstLine="560"/>
        <w:spacing w:line="500" w:lineRule="exact"/>
        <w:rPr>
          <w:rFonts w:eastAsia="方正仿宋_GBK"/>
          <w:sz w:val="28"/>
          <w:szCs w:val="28"/>
        </w:rPr>
      </w:pPr>
      <w:r>
        <w:rPr>
          <w:rFonts w:eastAsia="方正仿宋_GBK"/>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eastAsia="方正仿宋_GBK"/>
          <w:sz w:val="28"/>
          <w:szCs w:val="28"/>
        </w:rPr>
      </w:pPr>
      <w:r>
        <w:rPr>
          <w:rFonts w:eastAsia="方正仿宋_GBK"/>
          <w:sz w:val="28"/>
          <w:szCs w:val="28"/>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5.招标代理机构（采购代理机构）将数据电文形式的采购文件加载至“苏采云”系统，供潜在供应商下载或者查阅。</w:t>
      </w:r>
      <w:r/>
    </w:p>
    <w:p>
      <w:pPr>
        <w:ind w:firstLine="560"/>
        <w:spacing w:line="500" w:lineRule="exact"/>
        <w:rPr>
          <w:rFonts w:eastAsia="方正仿宋_GBK"/>
          <w:sz w:val="28"/>
          <w:szCs w:val="28"/>
        </w:rPr>
      </w:pPr>
      <w:r>
        <w:rPr>
          <w:rFonts w:eastAsia="方正仿宋_GBK"/>
          <w:sz w:val="28"/>
          <w:szCs w:val="28"/>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年6月</w:t>
      </w:r>
      <w:r>
        <w:rPr>
          <w:rFonts w:hint="default" w:eastAsia="方正仿宋_GBK"/>
          <w:sz w:val="28"/>
          <w:szCs w:val="28"/>
          <w:lang w:val="en-US"/>
        </w:rPr>
        <w:t xml:space="preserve">3</w:t>
      </w:r>
      <w:bookmarkStart w:id="134" w:name="_GoBack"/>
      <w:r/>
      <w:bookmarkEnd w:id="134"/>
      <w:r>
        <w:rPr>
          <w:rFonts w:eastAsia="方正仿宋_GBK"/>
          <w:sz w:val="28"/>
          <w:szCs w:val="28"/>
        </w:rPr>
        <w:t xml:space="preserve">日9点00分（北京时间）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2.线上开标地点：“苏采云”系统（网址：http://jszfcg.jsczt.cn/）“开标大厅”。</w:t>
      </w:r>
      <w:r/>
    </w:p>
    <w:p>
      <w:pPr>
        <w:ind w:firstLine="560"/>
        <w:spacing w:line="500" w:lineRule="exact"/>
        <w:rPr>
          <w:rFonts w:eastAsia="方正仿宋_GBK"/>
          <w:i/>
          <w:sz w:val="28"/>
          <w:szCs w:val="28"/>
        </w:rPr>
      </w:pPr>
      <w:r>
        <w:rPr>
          <w:rFonts w:eastAsia="方正仿宋_GBK"/>
          <w:sz w:val="28"/>
          <w:szCs w:val="28"/>
        </w:rPr>
        <w:t xml:space="preserve">3.响应文件的解密：开标当天各供应商及时登录不见面开标大厅，响应文件递交截止时间后，采购人将在系统内公布投标</w:t>
      </w:r>
      <w:r>
        <w:rPr>
          <w:rFonts w:eastAsia="方正仿宋_GBK"/>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自本公告发布之日起5个工作日。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1.投标保证金：免收</w:t>
      </w:r>
      <w:r/>
    </w:p>
    <w:p>
      <w:pPr>
        <w:ind w:firstLine="560"/>
        <w:spacing w:line="500" w:lineRule="exact"/>
        <w:rPr>
          <w:rFonts w:eastAsia="方正仿宋_GBK"/>
          <w:sz w:val="28"/>
          <w:szCs w:val="28"/>
        </w:rPr>
      </w:pPr>
      <w:r>
        <w:rPr>
          <w:rFonts w:eastAsia="方正仿宋_GBK"/>
          <w:sz w:val="28"/>
          <w:szCs w:val="28"/>
        </w:rPr>
        <w:t xml:space="preserve">2.项目开标活动模式：不见面远程开标模式，投标人在各自地点通过“苏采云”系统参加开标会。</w:t>
      </w:r>
      <w:r/>
    </w:p>
    <w:p>
      <w:pPr>
        <w:ind w:firstLine="560"/>
        <w:spacing w:line="500" w:lineRule="exact"/>
        <w:rPr>
          <w:rFonts w:eastAsia="方正仿宋_GBK"/>
          <w:sz w:val="28"/>
          <w:szCs w:val="28"/>
        </w:rPr>
      </w:pPr>
      <w:r>
        <w:rPr>
          <w:rFonts w:eastAsia="方正仿宋_GBK"/>
          <w:sz w:val="28"/>
          <w:szCs w:val="28"/>
        </w:rPr>
        <w:t xml:space="preserve">3.项目演示、样品、答辩等：（</w:t>
      </w:r>
      <w:r>
        <w:rPr>
          <w:rFonts w:hint="eastAsia" w:eastAsia="方正仿宋_GBK"/>
          <w:sz w:val="28"/>
          <w:szCs w:val="28"/>
        </w:rPr>
        <w:t xml:space="preserve">参加本项目一标包的投标供应商需按照招标文件规定的演示内容制作演示视频文件，视频文件的格式为</w:t>
      </w:r>
      <w:r>
        <w:rPr>
          <w:rFonts w:eastAsia="方正仿宋_GBK"/>
          <w:sz w:val="28"/>
          <w:szCs w:val="28"/>
        </w:rPr>
        <w:t xml:space="preserve">*</w:t>
      </w:r>
      <w:r>
        <w:rPr>
          <w:rFonts w:hint="eastAsia" w:eastAsia="方正仿宋_GBK"/>
          <w:sz w:val="28"/>
          <w:szCs w:val="28"/>
        </w:rPr>
        <w:t xml:space="preserve">.mp4或*.avi，供应商须将视频文件分段压缩为*.zip文件上传（单个文件不得大于50M，所有文件总共不得大于300M），上传的演示视频将作为投标文件的组成部分。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1.采购人</w:t>
      </w:r>
      <w:r/>
    </w:p>
    <w:p>
      <w:pPr>
        <w:ind w:firstLine="560"/>
        <w:spacing w:line="500" w:lineRule="exact"/>
        <w:rPr>
          <w:rFonts w:eastAsia="方正仿宋_GBK"/>
          <w:sz w:val="28"/>
          <w:szCs w:val="28"/>
        </w:rPr>
      </w:pPr>
      <w:r>
        <w:rPr>
          <w:rFonts w:eastAsia="方正仿宋_GBK"/>
          <w:sz w:val="28"/>
          <w:szCs w:val="28"/>
        </w:rPr>
        <w:t xml:space="preserve">名  称：</w:t>
      </w:r>
      <w:r>
        <w:rPr>
          <w:rFonts w:hint="eastAsia" w:eastAsia="方正仿宋_GBK"/>
          <w:sz w:val="28"/>
          <w:szCs w:val="28"/>
        </w:rPr>
        <w:t xml:space="preserve">启东市民政局</w:t>
      </w:r>
      <w:r/>
    </w:p>
    <w:p>
      <w:pPr>
        <w:ind w:firstLine="560"/>
        <w:spacing w:line="500" w:lineRule="exact"/>
        <w:rPr>
          <w:rFonts w:eastAsia="方正仿宋_GBK"/>
          <w:sz w:val="28"/>
          <w:szCs w:val="28"/>
        </w:rPr>
      </w:pPr>
      <w:r>
        <w:rPr>
          <w:rFonts w:eastAsia="方正仿宋_GBK"/>
          <w:sz w:val="28"/>
          <w:szCs w:val="28"/>
        </w:rPr>
        <w:t xml:space="preserve">地  址：</w:t>
      </w:r>
      <w:r>
        <w:rPr>
          <w:rFonts w:hint="eastAsia" w:eastAsia="方正仿宋_GBK"/>
          <w:sz w:val="28"/>
          <w:szCs w:val="28"/>
        </w:rPr>
        <w:t xml:space="preserve">启东市公园中路802号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陈莉</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0513-83219091</w:t>
      </w:r>
      <w:r/>
    </w:p>
    <w:p>
      <w:pPr>
        <w:ind w:firstLine="560"/>
        <w:spacing w:line="500" w:lineRule="exact"/>
        <w:rPr>
          <w:rFonts w:eastAsia="方正仿宋_GBK"/>
          <w:sz w:val="28"/>
          <w:szCs w:val="28"/>
        </w:rPr>
      </w:pPr>
      <w:r>
        <w:rPr>
          <w:rFonts w:eastAsia="方正仿宋_GBK"/>
          <w:sz w:val="28"/>
          <w:szCs w:val="28"/>
        </w:rPr>
        <w:t xml:space="preserve">2.采购代理机构</w:t>
      </w:r>
      <w:r/>
    </w:p>
    <w:p>
      <w:pPr>
        <w:ind w:firstLine="560"/>
        <w:spacing w:line="500" w:lineRule="exact"/>
        <w:rPr>
          <w:rFonts w:eastAsia="方正仿宋_GBK"/>
          <w:sz w:val="28"/>
          <w:szCs w:val="28"/>
        </w:rPr>
      </w:pPr>
      <w:r>
        <w:rPr>
          <w:rFonts w:eastAsia="方正仿宋_GBK"/>
          <w:sz w:val="28"/>
          <w:szCs w:val="28"/>
        </w:rPr>
        <w:t xml:space="preserve">名  称：启东市公共资源交易中心</w:t>
      </w:r>
      <w:r/>
    </w:p>
    <w:p>
      <w:pPr>
        <w:ind w:firstLine="560"/>
        <w:spacing w:line="500" w:lineRule="exact"/>
        <w:rPr>
          <w:rFonts w:eastAsia="方正仿宋_GBK"/>
          <w:sz w:val="28"/>
          <w:szCs w:val="28"/>
        </w:rPr>
      </w:pPr>
      <w:r>
        <w:rPr>
          <w:rFonts w:eastAsia="方正仿宋_GBK"/>
          <w:sz w:val="28"/>
          <w:szCs w:val="28"/>
        </w:rPr>
        <w:t xml:space="preserve">地  址：启东市金桥路199号</w:t>
      </w:r>
      <w:r/>
    </w:p>
    <w:p>
      <w:pPr>
        <w:ind w:firstLine="560"/>
        <w:spacing w:line="500" w:lineRule="exact"/>
        <w:rPr>
          <w:rFonts w:eastAsia="方正仿宋_GBK"/>
          <w:sz w:val="28"/>
          <w:szCs w:val="28"/>
        </w:rPr>
      </w:pPr>
      <w:r>
        <w:rPr>
          <w:rFonts w:eastAsia="方正仿宋_GBK"/>
          <w:sz w:val="28"/>
          <w:szCs w:val="28"/>
        </w:rPr>
        <w:t xml:space="preserve">联系方式：0513-83340291</w:t>
      </w:r>
      <w:r/>
    </w:p>
    <w:p>
      <w:pPr>
        <w:ind w:firstLine="560"/>
        <w:spacing w:line="500" w:lineRule="exact"/>
        <w:rPr>
          <w:rFonts w:eastAsia="方正仿宋_GBK"/>
          <w:sz w:val="28"/>
          <w:szCs w:val="28"/>
        </w:rPr>
      </w:pPr>
      <w:r>
        <w:rPr>
          <w:rFonts w:eastAsia="方正仿宋_GBK"/>
          <w:sz w:val="28"/>
          <w:szCs w:val="28"/>
        </w:rPr>
        <w:t xml:space="preserve">3.软件技术支持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交易系统软件维护人员：0519-86722801、0519-86722806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  投标须知</w:t>
      </w:r>
      <w:r/>
    </w:p>
    <w:p>
      <w:pPr>
        <w:ind w:firstLine="560"/>
        <w:spacing w:line="500" w:lineRule="exact"/>
        <w:rPr>
          <w:rFonts w:ascii="方正黑体_GBK" w:hAnsi="方正黑体_GBK" w:eastAsia="方正黑体_GBK" w:cs="方正黑体_GBK"/>
          <w:bCs/>
          <w:sz w:val="28"/>
          <w:szCs w:val="28"/>
        </w:rPr>
      </w:pPr>
      <w:r/>
      <w:bookmarkStart w:id="6" w:name="_Toc16938519"/>
      <w:r/>
      <w:bookmarkStart w:id="7" w:name="_Toc120614214"/>
      <w:r/>
      <w:bookmarkStart w:id="8" w:name="_Toc513029203"/>
      <w:r/>
      <w:bookmarkStart w:id="9" w:name="_Toc20823275"/>
      <w:r>
        <w:rPr>
          <w:rFonts w:ascii="方正黑体_GBK" w:hAnsi="方正黑体_GBK" w:eastAsia="方正黑体_GBK" w:cs="方正黑体_GBK"/>
          <w:bCs/>
          <w:sz w:val="28"/>
          <w:szCs w:val="28"/>
        </w:rPr>
        <w:t xml:space="preserve">一、总则</w:t>
      </w:r>
      <w:bookmarkEnd w:id="6"/>
      <w:r/>
      <w:bookmarkEnd w:id="7"/>
      <w:r/>
      <w:bookmarkEnd w:id="8"/>
      <w:r/>
      <w:bookmarkEnd w:id="9"/>
      <w:r/>
      <w:r/>
    </w:p>
    <w:p>
      <w:pPr>
        <w:pStyle w:val="863"/>
        <w:ind w:firstLine="560"/>
        <w:jc w:val="both"/>
        <w:spacing w:line="500" w:lineRule="exact"/>
        <w:rPr>
          <w:rFonts w:eastAsia="方正仿宋_GBK"/>
          <w:b/>
          <w:bCs/>
          <w:sz w:val="28"/>
          <w:szCs w:val="28"/>
        </w:rPr>
      </w:pPr>
      <w:r/>
      <w:bookmarkStart w:id="10" w:name="_Hlt16619475"/>
      <w:r/>
      <w:bookmarkEnd w:id="10"/>
      <w:r/>
      <w:bookmarkStart w:id="11" w:name="_Toc458694821"/>
      <w:r/>
      <w:bookmarkStart w:id="12" w:name="_Toc20823276"/>
      <w:r/>
      <w:bookmarkStart w:id="13" w:name="_Toc513029204"/>
      <w:r/>
      <w:bookmarkStart w:id="14" w:name="_Toc16938520"/>
      <w:r>
        <w:rPr>
          <w:rFonts w:eastAsia="方正仿宋_GBK"/>
          <w:sz w:val="28"/>
          <w:szCs w:val="28"/>
        </w:rPr>
        <w:t xml:space="preserve">1</w:t>
      </w:r>
      <w:bookmarkEnd w:id="11"/>
      <w:r>
        <w:rPr>
          <w:rFonts w:eastAsia="方正仿宋_GBK"/>
          <w:sz w:val="28"/>
          <w:szCs w:val="28"/>
        </w:rPr>
        <w:t xml:space="preserve">.招标方式</w:t>
      </w:r>
      <w:bookmarkEnd w:id="12"/>
      <w:r/>
      <w:bookmarkEnd w:id="13"/>
      <w:r/>
      <w:bookmarkEnd w:id="14"/>
      <w:r/>
      <w:r/>
    </w:p>
    <w:p>
      <w:pPr>
        <w:ind w:firstLine="560"/>
        <w:spacing w:line="500" w:lineRule="exact"/>
        <w:rPr>
          <w:rFonts w:eastAsia="方正仿宋_GBK"/>
          <w:sz w:val="28"/>
          <w:szCs w:val="28"/>
        </w:rPr>
      </w:pPr>
      <w:r>
        <w:rPr>
          <w:rFonts w:eastAsia="方正仿宋_GBK"/>
          <w:sz w:val="28"/>
          <w:szCs w:val="28"/>
        </w:rPr>
        <w:t xml:space="preserve">1.1本次招标采取公开招标方式，本招标文件仅适用于招标公告中所述项目。</w:t>
      </w:r>
      <w:r/>
    </w:p>
    <w:p>
      <w:pPr>
        <w:pStyle w:val="863"/>
        <w:ind w:firstLine="560"/>
        <w:jc w:val="both"/>
        <w:spacing w:line="500" w:lineRule="exact"/>
        <w:rPr>
          <w:rFonts w:eastAsia="方正仿宋_GBK"/>
          <w:sz w:val="28"/>
          <w:szCs w:val="28"/>
        </w:rPr>
      </w:pPr>
      <w:r/>
      <w:bookmarkStart w:id="15" w:name="_Toc16938521"/>
      <w:r/>
      <w:bookmarkStart w:id="16" w:name="_Toc513029205"/>
      <w:r/>
      <w:bookmarkStart w:id="17" w:name="_Toc20823277"/>
      <w:r>
        <w:rPr>
          <w:rFonts w:eastAsia="方正仿宋_GBK"/>
          <w:sz w:val="28"/>
          <w:szCs w:val="28"/>
        </w:rPr>
        <w:t xml:space="preserve">2.合格的投标人</w:t>
      </w:r>
      <w:bookmarkEnd w:id="15"/>
      <w:r/>
      <w:bookmarkEnd w:id="16"/>
      <w:r/>
      <w:bookmarkEnd w:id="17"/>
      <w:r/>
      <w:r/>
    </w:p>
    <w:p>
      <w:pPr>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2.2满足本文件实质性条款的规定。</w:t>
      </w:r>
      <w:r/>
    </w:p>
    <w:p>
      <w:pPr>
        <w:pStyle w:val="863"/>
        <w:ind w:firstLine="560"/>
        <w:jc w:val="both"/>
        <w:spacing w:line="500" w:lineRule="exact"/>
        <w:rPr>
          <w:rFonts w:eastAsia="方正仿宋_GBK"/>
          <w:sz w:val="28"/>
          <w:szCs w:val="28"/>
        </w:rPr>
      </w:pPr>
      <w:r/>
      <w:bookmarkStart w:id="18" w:name="_Toc16938522"/>
      <w:r/>
      <w:bookmarkStart w:id="19" w:name="_Toc513029206"/>
      <w:r/>
      <w:bookmarkStart w:id="20" w:name="_Toc20823278"/>
      <w:r>
        <w:rPr>
          <w:rFonts w:eastAsia="方正仿宋_GBK"/>
          <w:sz w:val="28"/>
          <w:szCs w:val="28"/>
        </w:rPr>
        <w:t xml:space="preserve">3.适用法律</w:t>
      </w:r>
      <w:bookmarkEnd w:id="18"/>
      <w:r/>
      <w:bookmarkEnd w:id="19"/>
      <w:r/>
      <w:bookmarkEnd w:id="20"/>
      <w:r/>
      <w:r/>
    </w:p>
    <w:p>
      <w:pPr>
        <w:ind w:firstLine="490"/>
        <w:spacing w:line="500" w:lineRule="exact"/>
        <w:rPr>
          <w:rFonts w:eastAsia="方正仿宋_GBK"/>
          <w:sz w:val="28"/>
          <w:szCs w:val="28"/>
        </w:rPr>
      </w:pPr>
      <w:r>
        <w:rPr>
          <w:rFonts w:eastAsia="方正仿宋_GBK"/>
          <w:sz w:val="28"/>
          <w:szCs w:val="28"/>
        </w:rPr>
        <w:t xml:space="preserve">3.1本次招标及由此产生的合同受中华人民共和国有关的法律法规制约和保护。</w:t>
      </w:r>
      <w:r/>
    </w:p>
    <w:p>
      <w:pPr>
        <w:pStyle w:val="863"/>
        <w:ind w:firstLine="560"/>
        <w:jc w:val="both"/>
        <w:spacing w:line="500" w:lineRule="exact"/>
        <w:rPr>
          <w:rFonts w:eastAsia="方正仿宋_GBK"/>
          <w:sz w:val="28"/>
          <w:szCs w:val="28"/>
        </w:rPr>
      </w:pPr>
      <w:r/>
      <w:bookmarkStart w:id="21" w:name="_Toc16938523"/>
      <w:r/>
      <w:bookmarkStart w:id="22" w:name="_Toc20823279"/>
      <w:r/>
      <w:bookmarkStart w:id="23" w:name="_Toc462564067"/>
      <w:r/>
      <w:bookmarkStart w:id="24" w:name="_Toc513029207"/>
      <w:r>
        <w:rPr>
          <w:rFonts w:eastAsia="方正仿宋_GBK"/>
          <w:sz w:val="28"/>
          <w:szCs w:val="28"/>
        </w:rPr>
        <w:t xml:space="preserve">4.投标费用</w:t>
      </w:r>
      <w:bookmarkEnd w:id="21"/>
      <w:r/>
      <w:bookmarkEnd w:id="22"/>
      <w:r/>
      <w:bookmarkEnd w:id="23"/>
      <w:r/>
      <w:bookmarkEnd w:id="24"/>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4.2本次招标交易中心和采购人不收取标书工本费与中标服务费。</w:t>
      </w:r>
      <w:r/>
    </w:p>
    <w:p>
      <w:pPr>
        <w:pStyle w:val="863"/>
        <w:ind w:firstLine="560"/>
        <w:jc w:val="both"/>
        <w:spacing w:line="500" w:lineRule="exact"/>
        <w:rPr>
          <w:rFonts w:eastAsia="方正仿宋_GBK"/>
          <w:sz w:val="28"/>
          <w:szCs w:val="28"/>
        </w:rPr>
      </w:pPr>
      <w:r>
        <w:rPr>
          <w:rFonts w:eastAsia="方正仿宋_GBK"/>
          <w:sz w:val="28"/>
          <w:szCs w:val="28"/>
        </w:rPr>
        <w:t xml:space="preserve">5.招标文件的约束力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63"/>
        <w:ind w:firstLine="560"/>
        <w:jc w:val="both"/>
        <w:spacing w:line="500" w:lineRule="exact"/>
        <w:rPr>
          <w:rFonts w:eastAsia="方正仿宋_GBK"/>
          <w:sz w:val="28"/>
          <w:szCs w:val="28"/>
        </w:rPr>
      </w:pPr>
      <w:r>
        <w:rPr>
          <w:rFonts w:eastAsia="方正仿宋_GBK"/>
          <w:sz w:val="28"/>
          <w:szCs w:val="28"/>
        </w:rPr>
        <w:t xml:space="preserve">6.招标文件的解释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5" w:name="_Toc513029209"/>
      <w:r/>
      <w:bookmarkStart w:id="26" w:name="_Toc16938525"/>
      <w:r/>
      <w:bookmarkStart w:id="27" w:name="_Toc120614215"/>
      <w:r/>
      <w:bookmarkStart w:id="28" w:name="_Toc20823281"/>
      <w:r>
        <w:rPr>
          <w:rFonts w:ascii="方正黑体_GBK" w:hAnsi="方正黑体_GBK" w:eastAsia="方正黑体_GBK" w:cs="方正黑体_GBK"/>
          <w:bCs/>
          <w:sz w:val="28"/>
          <w:szCs w:val="28"/>
        </w:rPr>
        <w:t xml:space="preserve">二、招标文件</w:t>
      </w:r>
      <w:bookmarkEnd w:id="25"/>
      <w:r/>
      <w:bookmarkEnd w:id="26"/>
      <w:r/>
      <w:bookmarkEnd w:id="27"/>
      <w:r/>
      <w:bookmarkEnd w:id="28"/>
      <w:r/>
      <w:r/>
    </w:p>
    <w:p>
      <w:pPr>
        <w:pStyle w:val="863"/>
        <w:ind w:firstLine="560"/>
        <w:jc w:val="both"/>
        <w:spacing w:line="500" w:lineRule="exact"/>
        <w:rPr>
          <w:rFonts w:eastAsia="方正仿宋_GBK"/>
          <w:sz w:val="28"/>
          <w:szCs w:val="28"/>
        </w:rPr>
      </w:pPr>
      <w:r/>
      <w:bookmarkStart w:id="29" w:name="_Toc16938526"/>
      <w:r/>
      <w:bookmarkStart w:id="30" w:name="_Toc20823282"/>
      <w:r/>
      <w:bookmarkStart w:id="31" w:name="_Toc513029210"/>
      <w:r>
        <w:rPr>
          <w:rFonts w:eastAsia="方正仿宋_GBK"/>
          <w:sz w:val="28"/>
          <w:szCs w:val="28"/>
        </w:rPr>
        <w:t xml:space="preserve">1.招标文件构成</w:t>
      </w:r>
      <w:bookmarkEnd w:id="29"/>
      <w:r/>
      <w:bookmarkEnd w:id="30"/>
      <w:r/>
      <w:bookmarkEnd w:id="31"/>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（1）投标邀请</w:t>
      </w:r>
      <w:r/>
    </w:p>
    <w:p>
      <w:pPr>
        <w:ind w:firstLine="420"/>
        <w:spacing w:line="500" w:lineRule="exact"/>
        <w:rPr>
          <w:rFonts w:eastAsia="方正仿宋_GBK"/>
          <w:sz w:val="28"/>
          <w:szCs w:val="28"/>
        </w:rPr>
      </w:pPr>
      <w:r>
        <w:rPr>
          <w:rFonts w:eastAsia="方正仿宋_GBK"/>
          <w:sz w:val="28"/>
          <w:szCs w:val="28"/>
        </w:rPr>
        <w:t xml:space="preserve">（2）投标须知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（4）开标和评标</w:t>
      </w:r>
      <w:r/>
    </w:p>
    <w:p>
      <w:pPr>
        <w:ind w:firstLine="420"/>
        <w:spacing w:line="500" w:lineRule="exact"/>
        <w:rPr>
          <w:rFonts w:eastAsia="方正仿宋_GBK"/>
          <w:sz w:val="28"/>
          <w:szCs w:val="28"/>
        </w:rPr>
      </w:pPr>
      <w:r>
        <w:rPr>
          <w:rFonts w:eastAsia="方正仿宋_GBK"/>
          <w:sz w:val="28"/>
          <w:szCs w:val="28"/>
        </w:rPr>
        <w:t xml:space="preserve">（5）投标文件格式</w:t>
      </w:r>
      <w:r/>
    </w:p>
    <w:p>
      <w:pPr>
        <w:ind w:firstLine="420"/>
        <w:spacing w:line="500" w:lineRule="exact"/>
        <w:rPr>
          <w:rFonts w:eastAsia="方正仿宋_GBK"/>
          <w:sz w:val="28"/>
          <w:szCs w:val="28"/>
        </w:rPr>
      </w:pPr>
      <w:r>
        <w:rPr>
          <w:rFonts w:eastAsia="方正仿宋_GBK"/>
          <w:sz w:val="28"/>
          <w:szCs w:val="28"/>
        </w:rPr>
        <w:t xml:space="preserve">（6）附件（如有）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3"/>
        <w:ind w:firstLine="560"/>
        <w:jc w:val="both"/>
        <w:spacing w:line="500" w:lineRule="exact"/>
        <w:rPr>
          <w:rFonts w:eastAsia="方正仿宋_GBK"/>
          <w:sz w:val="28"/>
          <w:szCs w:val="28"/>
        </w:rPr>
      </w:pPr>
      <w:r/>
      <w:bookmarkStart w:id="32" w:name="_Toc20823283"/>
      <w:r/>
      <w:bookmarkStart w:id="33" w:name="_Toc462564070"/>
      <w:r/>
      <w:bookmarkStart w:id="34" w:name="_Toc16938527"/>
      <w:r/>
      <w:bookmarkStart w:id="35" w:name="_Toc513029211"/>
      <w:r>
        <w:rPr>
          <w:rFonts w:eastAsia="方正仿宋_GBK"/>
          <w:sz w:val="28"/>
          <w:szCs w:val="28"/>
        </w:rPr>
        <w:t xml:space="preserve">2.招标文件的澄清</w:t>
      </w:r>
      <w:bookmarkEnd w:id="32"/>
      <w:r/>
      <w:bookmarkEnd w:id="33"/>
      <w:r/>
      <w:bookmarkEnd w:id="34"/>
      <w:r/>
      <w:bookmarkEnd w:id="35"/>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pStyle w:val="863"/>
        <w:ind w:firstLine="560"/>
        <w:jc w:val="both"/>
        <w:spacing w:line="500" w:lineRule="exact"/>
        <w:rPr>
          <w:rFonts w:eastAsia="方正仿宋_GBK"/>
          <w:sz w:val="28"/>
          <w:szCs w:val="28"/>
        </w:rPr>
      </w:pPr>
      <w:r/>
      <w:bookmarkStart w:id="36" w:name="_Toc462564071"/>
      <w:r/>
      <w:bookmarkStart w:id="37" w:name="_Toc20823284"/>
      <w:r/>
      <w:bookmarkStart w:id="38" w:name="_Toc513029212"/>
      <w:r/>
      <w:bookmarkStart w:id="39" w:name="_Toc16938528"/>
      <w:r>
        <w:rPr>
          <w:rFonts w:eastAsia="方正仿宋_GBK"/>
          <w:sz w:val="28"/>
          <w:szCs w:val="28"/>
        </w:rPr>
        <w:t xml:space="preserve">3.招标文件的修改</w:t>
      </w:r>
      <w:bookmarkEnd w:id="36"/>
      <w:r/>
      <w:bookmarkEnd w:id="37"/>
      <w:r/>
      <w:bookmarkEnd w:id="38"/>
      <w:r/>
      <w:bookmarkEnd w:id="39"/>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40" w:name="_Toc462564072"/>
      <w:r/>
      <w:bookmarkStart w:id="41" w:name="_Toc20823285"/>
      <w:r/>
      <w:bookmarkStart w:id="42" w:name="_Toc16938529"/>
      <w:r/>
      <w:bookmarkStart w:id="43" w:name="_Toc513029213"/>
      <w:r/>
      <w:bookmarkStart w:id="44" w:name="_Toc120614216"/>
      <w:r>
        <w:rPr>
          <w:rFonts w:ascii="方正黑体_GBK" w:hAnsi="方正黑体_GBK" w:eastAsia="方正黑体_GBK" w:cs="方正黑体_GBK"/>
          <w:bCs/>
          <w:sz w:val="28"/>
          <w:szCs w:val="28"/>
        </w:rPr>
        <w:t xml:space="preserve">三、投标文件的编制</w:t>
      </w:r>
      <w:bookmarkEnd w:id="40"/>
      <w:r/>
      <w:bookmarkEnd w:id="41"/>
      <w:r/>
      <w:bookmarkEnd w:id="42"/>
      <w:r/>
      <w:bookmarkEnd w:id="43"/>
      <w:r/>
      <w:bookmarkEnd w:id="44"/>
      <w:r/>
      <w:r/>
    </w:p>
    <w:p>
      <w:pPr>
        <w:pStyle w:val="863"/>
        <w:ind w:firstLine="560"/>
        <w:jc w:val="both"/>
        <w:spacing w:line="500" w:lineRule="exact"/>
        <w:rPr>
          <w:rFonts w:eastAsia="方正仿宋_GBK"/>
          <w:sz w:val="28"/>
          <w:szCs w:val="28"/>
        </w:rPr>
      </w:pPr>
      <w:r/>
      <w:bookmarkStart w:id="45" w:name="_Toc16938530"/>
      <w:r/>
      <w:bookmarkStart w:id="46" w:name="_Toc513029214"/>
      <w:r/>
      <w:bookmarkStart w:id="47" w:name="_Toc20823286"/>
      <w:r/>
      <w:bookmarkStart w:id="48" w:name="_Toc462564073"/>
      <w:r>
        <w:rPr>
          <w:rFonts w:eastAsia="方正仿宋_GBK"/>
          <w:sz w:val="28"/>
          <w:szCs w:val="28"/>
        </w:rPr>
        <w:t xml:space="preserve">1.投标文件的语言及度量衡单位</w:t>
      </w:r>
      <w:bookmarkEnd w:id="45"/>
      <w:r/>
      <w:bookmarkEnd w:id="46"/>
      <w:r/>
      <w:bookmarkEnd w:id="47"/>
      <w:r/>
      <w:bookmarkEnd w:id="48"/>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63"/>
        <w:ind w:firstLine="560"/>
        <w:jc w:val="both"/>
        <w:spacing w:line="500" w:lineRule="exact"/>
        <w:rPr>
          <w:rFonts w:eastAsia="方正仿宋_GBK"/>
          <w:sz w:val="28"/>
          <w:szCs w:val="28"/>
        </w:rPr>
      </w:pPr>
      <w:r/>
      <w:bookmarkStart w:id="49" w:name="_Toc16938531"/>
      <w:r/>
      <w:bookmarkStart w:id="50" w:name="_Toc513029215"/>
      <w:r/>
      <w:bookmarkStart w:id="51" w:name="_Toc462564074"/>
      <w:r/>
      <w:bookmarkStart w:id="52" w:name="_Toc20823287"/>
      <w:r>
        <w:rPr>
          <w:rFonts w:eastAsia="方正仿宋_GBK"/>
          <w:sz w:val="28"/>
          <w:szCs w:val="28"/>
        </w:rPr>
        <w:t xml:space="preserve">2.投标文件构成</w:t>
      </w:r>
      <w:bookmarkEnd w:id="49"/>
      <w:r/>
      <w:bookmarkEnd w:id="50"/>
      <w:r/>
      <w:bookmarkEnd w:id="51"/>
      <w:r/>
      <w:bookmarkEnd w:id="52"/>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表、其他证明文件等部分。投标人按“第五部分 投标文件格式” 及“苏采云系统”中电子投标（响应）文件格式目录要求的内容编写投标文件。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2.2如标书制作工具中格式和内容与“江苏政府采购网”发布的招标文件不一致，请以“江苏政府采购网”发布的招标文件为准。</w:t>
      </w:r>
      <w:bookmarkStart w:id="53" w:name="_Toc14577357"/>
      <w:r/>
      <w:bookmarkStart w:id="54" w:name="_Toc49090509"/>
      <w:r/>
      <w:bookmarkStart w:id="55" w:name="_Toc513029219"/>
      <w:r/>
      <w:bookmarkStart w:id="56" w:name="_Toc513029216"/>
      <w:r/>
      <w:bookmarkStart w:id="57" w:name="_Toc14577354"/>
      <w:r/>
      <w:bookmarkStart w:id="58" w:name="_Toc49090507"/>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3"/>
      <w:r/>
      <w:bookmarkEnd w:id="54"/>
      <w:r/>
      <w:bookmarkEnd w:id="55"/>
      <w:r/>
      <w:bookmarkEnd w:id="56"/>
      <w:r/>
      <w:bookmarkEnd w:id="57"/>
      <w:r/>
      <w:bookmarkEnd w:id="58"/>
      <w:r/>
      <w:r/>
    </w:p>
    <w:p>
      <w:pPr>
        <w:ind w:firstLine="560"/>
        <w:spacing w:line="500" w:lineRule="exact"/>
        <w:rPr>
          <w:rFonts w:eastAsia="方正仿宋_GBK"/>
          <w:sz w:val="28"/>
          <w:szCs w:val="28"/>
        </w:rPr>
      </w:pPr>
      <w:r/>
      <w:bookmarkStart w:id="59" w:name="_Toc14577355"/>
      <w:r/>
      <w:bookmarkStart w:id="60" w:name="_Toc49090508"/>
      <w:r>
        <w:rPr>
          <w:rFonts w:eastAsia="方正仿宋_GBK"/>
          <w:sz w:val="28"/>
          <w:szCs w:val="28"/>
        </w:rPr>
        <w:t xml:space="preserve">3.1投标人应按照法律、法规、规章和规范性文件以及招标文件要求提交证明文件，证明其及投标标的符合招标文件规定。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9"/>
      <w:r/>
      <w:bookmarkEnd w:id="60"/>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4.1投</w:t>
      </w:r>
      <w:bookmarkStart w:id="61" w:name="_Hlt26954840"/>
      <w:r/>
      <w:bookmarkEnd w:id="61"/>
      <w:r>
        <w:rPr>
          <w:rFonts w:eastAsia="方正仿宋_GBK"/>
          <w:sz w:val="28"/>
          <w:szCs w:val="28"/>
        </w:rPr>
        <w:t xml:space="preserve">标人应按照招标文件规定格式填报</w:t>
      </w:r>
      <w:bookmarkStart w:id="62" w:name="_Hlt26670399"/>
      <w:r/>
      <w:bookmarkEnd w:id="62"/>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3" w:name="_Hlt26670482"/>
      <w:r/>
      <w:bookmarkEnd w:id="63"/>
      <w:r/>
      <w:bookmarkStart w:id="64" w:name="_Hlt26954731"/>
      <w:r/>
      <w:bookmarkEnd w:id="64"/>
      <w:r/>
      <w:bookmarkStart w:id="65" w:name="_Hlt26670403"/>
      <w:r/>
      <w:bookmarkEnd w:id="65"/>
      <w:r/>
      <w:bookmarkStart w:id="66" w:name="_Hlt26954846"/>
      <w:r/>
      <w:bookmarkEnd w:id="66"/>
      <w:r/>
      <w:bookmarkStart w:id="67" w:name="_Hlt26668983"/>
      <w:r/>
      <w:bookmarkEnd w:id="67"/>
      <w:r/>
      <w:bookmarkStart w:id="68" w:name="_Hlt26670425"/>
      <w:r/>
      <w:bookmarkEnd w:id="68"/>
      <w:r/>
      <w:bookmarkStart w:id="69" w:name="_Hlt26670486"/>
      <w:r/>
      <w:bookmarkEnd w:id="69"/>
      <w:r/>
      <w:bookmarkStart w:id="70" w:name="_Hlt26954848"/>
      <w:r/>
      <w:bookmarkEnd w:id="70"/>
      <w:r/>
      <w:bookmarkStart w:id="71" w:name="_Hlt26954844"/>
      <w:r/>
      <w:bookmarkEnd w:id="71"/>
      <w:r/>
      <w:bookmarkStart w:id="72" w:name="_Hlt26954842"/>
      <w:r/>
      <w:bookmarkEnd w:id="72"/>
      <w:r>
        <w:rPr>
          <w:rFonts w:eastAsia="方正仿宋_GBK"/>
          <w:sz w:val="28"/>
          <w:szCs w:val="28"/>
        </w:rPr>
        <w:t xml:space="preserve">5.技术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5.2投标人可在投标文件中提供认为需要的其他技术文件或说明。</w:t>
      </w:r>
      <w:r/>
    </w:p>
    <w:p>
      <w:pPr>
        <w:ind w:firstLine="560"/>
        <w:spacing w:line="500" w:lineRule="exact"/>
        <w:rPr>
          <w:rFonts w:eastAsia="方正仿宋_GBK"/>
          <w:sz w:val="28"/>
          <w:szCs w:val="28"/>
        </w:rPr>
      </w:pPr>
      <w:r/>
      <w:bookmarkStart w:id="73" w:name="_Toc49090510"/>
      <w:r/>
      <w:bookmarkStart w:id="74" w:name="_Toc14577359"/>
      <w:r>
        <w:rPr>
          <w:rFonts w:eastAsia="方正仿宋_GBK"/>
          <w:sz w:val="28"/>
          <w:szCs w:val="28"/>
        </w:rPr>
        <w:t xml:space="preserve">6.投标函和开标一览表</w:t>
      </w:r>
      <w:r/>
    </w:p>
    <w:p>
      <w:pPr>
        <w:ind w:firstLine="560"/>
        <w:spacing w:line="500" w:lineRule="exact"/>
        <w:rPr>
          <w:rFonts w:eastAsia="方正仿宋_GBK"/>
          <w:sz w:val="28"/>
          <w:szCs w:val="28"/>
        </w:rPr>
      </w:pPr>
      <w:r>
        <w:rPr>
          <w:rFonts w:eastAsia="方正仿宋_GBK"/>
          <w:sz w:val="28"/>
          <w:szCs w:val="28"/>
        </w:rPr>
        <w:t xml:space="preserve">6.1投标人应按照招标文件中提供的格式完整、正确填写投标函、开标一览表。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bookmarkEnd w:id="73"/>
      <w:r/>
      <w:bookmarkEnd w:id="74"/>
      <w:r/>
      <w:r/>
    </w:p>
    <w:p>
      <w:pPr>
        <w:pStyle w:val="863"/>
        <w:ind w:firstLine="560"/>
        <w:jc w:val="both"/>
        <w:spacing w:line="500" w:lineRule="exact"/>
        <w:rPr>
          <w:rFonts w:eastAsia="方正仿宋_GBK"/>
          <w:sz w:val="28"/>
          <w:szCs w:val="28"/>
        </w:rPr>
      </w:pPr>
      <w:r/>
      <w:bookmarkStart w:id="75" w:name="_Hlt26954838"/>
      <w:r/>
      <w:bookmarkEnd w:id="75"/>
      <w:r/>
      <w:bookmarkStart w:id="76" w:name="_Hlt26670360"/>
      <w:r/>
      <w:bookmarkEnd w:id="76"/>
      <w:r/>
      <w:bookmarkStart w:id="77" w:name="_Hlt26668975"/>
      <w:r/>
      <w:bookmarkEnd w:id="77"/>
      <w:r/>
      <w:bookmarkStart w:id="78" w:name="_Toc14577360"/>
      <w:r/>
      <w:bookmarkStart w:id="79" w:name="_Toc49090511"/>
      <w:r>
        <w:rPr>
          <w:rFonts w:eastAsia="方正仿宋_GBK"/>
          <w:sz w:val="28"/>
          <w:szCs w:val="28"/>
        </w:rPr>
        <w:t xml:space="preserve">7.投标有效期</w:t>
      </w:r>
      <w:bookmarkEnd w:id="78"/>
      <w:r/>
      <w:bookmarkEnd w:id="79"/>
      <w:r/>
      <w:r/>
    </w:p>
    <w:p>
      <w:pPr>
        <w:ind w:firstLine="560"/>
        <w:spacing w:line="500" w:lineRule="exact"/>
        <w:rPr>
          <w:rFonts w:eastAsia="方正仿宋_GBK"/>
          <w:bCs/>
          <w:sz w:val="28"/>
          <w:szCs w:val="28"/>
        </w:rPr>
      </w:pPr>
      <w:r>
        <w:rPr>
          <w:rFonts w:eastAsia="方正仿宋_GBK"/>
          <w:bCs/>
          <w:sz w:val="28"/>
          <w:szCs w:val="28"/>
        </w:rPr>
        <w:t xml:space="preserve">7.1投标有效期为交易中心规定的开标之日后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8.投标有效期的延长</w:t>
      </w:r>
      <w:r/>
    </w:p>
    <w:p>
      <w:pPr>
        <w:ind w:firstLine="560"/>
        <w:spacing w:line="500" w:lineRule="exact"/>
        <w:rPr>
          <w:rFonts w:eastAsia="方正仿宋_GBK"/>
          <w:bCs/>
          <w:sz w:val="28"/>
          <w:szCs w:val="28"/>
        </w:rPr>
      </w:pPr>
      <w:r>
        <w:rPr>
          <w:rFonts w:eastAsia="方正仿宋_GBK"/>
          <w:bCs/>
          <w:sz w:val="28"/>
          <w:szCs w:val="28"/>
        </w:rPr>
        <w:t xml:space="preserve">8.1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80" w:name="_Hlt26954852"/>
      <w:r/>
      <w:bookmarkEnd w:id="80"/>
      <w:r/>
      <w:bookmarkStart w:id="81" w:name="_Hlt26954739"/>
      <w:r/>
      <w:bookmarkEnd w:id="81"/>
      <w:r/>
      <w:bookmarkStart w:id="82" w:name="_Toc16938540"/>
      <w:r/>
      <w:bookmarkStart w:id="83" w:name="_Toc20823296"/>
      <w:r/>
      <w:bookmarkStart w:id="84" w:name="_Toc513029224"/>
      <w:r/>
      <w:bookmarkStart w:id="85" w:name="_Toc120614217"/>
      <w:r>
        <w:rPr>
          <w:rFonts w:ascii="方正黑体_GBK" w:hAnsi="方正黑体_GBK" w:eastAsia="方正黑体_GBK" w:cs="方正黑体_GBK"/>
          <w:bCs/>
          <w:sz w:val="28"/>
          <w:szCs w:val="28"/>
        </w:rPr>
        <w:t xml:space="preserve">四、投标文件的递交</w:t>
      </w:r>
      <w:bookmarkEnd w:id="82"/>
      <w:r/>
      <w:bookmarkEnd w:id="83"/>
      <w:r/>
      <w:bookmarkEnd w:id="84"/>
      <w:r/>
      <w:bookmarkEnd w:id="85"/>
      <w:r/>
      <w:r/>
    </w:p>
    <w:p>
      <w:pPr>
        <w:pStyle w:val="863"/>
        <w:ind w:firstLine="560"/>
        <w:jc w:val="both"/>
        <w:spacing w:line="500" w:lineRule="exact"/>
        <w:rPr>
          <w:rFonts w:eastAsia="方正仿宋_GBK"/>
          <w:sz w:val="28"/>
          <w:szCs w:val="28"/>
        </w:rPr>
      </w:pPr>
      <w:r/>
      <w:bookmarkStart w:id="86" w:name="_Toc462564084"/>
      <w:r/>
      <w:bookmarkStart w:id="87" w:name="_Toc513029225"/>
      <w:r/>
      <w:bookmarkStart w:id="88" w:name="_Toc16938541"/>
      <w:r/>
      <w:bookmarkStart w:id="89" w:name="_Toc20823297"/>
      <w:r>
        <w:rPr>
          <w:rFonts w:eastAsia="方正仿宋_GBK"/>
          <w:sz w:val="28"/>
          <w:szCs w:val="28"/>
        </w:rPr>
        <w:t xml:space="preserve">1.投标文件</w:t>
      </w:r>
      <w:bookmarkEnd w:id="86"/>
      <w:r/>
      <w:bookmarkEnd w:id="87"/>
      <w:r/>
      <w:bookmarkEnd w:id="88"/>
      <w:r/>
      <w:bookmarkEnd w:id="89"/>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90" w:name="_Toc20823298"/>
      <w:r/>
      <w:bookmarkStart w:id="91" w:name="_Toc513029226"/>
      <w:r/>
      <w:bookmarkStart w:id="92" w:name="_Toc16938542"/>
      <w:r>
        <w:rPr>
          <w:rFonts w:eastAsia="方正仿宋_GBK"/>
          <w:bCs/>
          <w:sz w:val="28"/>
          <w:szCs w:val="28"/>
        </w:rPr>
        <w:t xml:space="preserve">投标人应当按照江苏政府采购网—资料下载中《江苏省政府采购管理交易系统（苏采云）供应商操作指南》规定，在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63"/>
        <w:ind w:firstLine="560"/>
        <w:jc w:val="both"/>
        <w:spacing w:line="500" w:lineRule="exact"/>
        <w:rPr>
          <w:rFonts w:eastAsia="方正仿宋_GBK"/>
          <w:sz w:val="28"/>
          <w:szCs w:val="28"/>
        </w:rPr>
      </w:pPr>
      <w:r>
        <w:rPr>
          <w:rFonts w:eastAsia="方正仿宋_GBK"/>
          <w:sz w:val="28"/>
          <w:szCs w:val="28"/>
        </w:rPr>
        <w:t xml:space="preserve">2.投标截止日期</w:t>
      </w:r>
      <w:bookmarkEnd w:id="90"/>
      <w:r/>
      <w:bookmarkEnd w:id="91"/>
      <w:r/>
      <w:bookmarkEnd w:id="92"/>
      <w:r/>
      <w:r/>
    </w:p>
    <w:p>
      <w:pPr>
        <w:ind w:firstLine="560"/>
        <w:spacing w:line="500" w:lineRule="exact"/>
        <w:rPr>
          <w:rFonts w:eastAsia="方正仿宋_GBK"/>
          <w:bCs/>
          <w:sz w:val="28"/>
          <w:szCs w:val="28"/>
        </w:rPr>
      </w:pPr>
      <w:r>
        <w:rPr>
          <w:rFonts w:eastAsia="方正仿宋_GBK"/>
          <w:bCs/>
          <w:sz w:val="28"/>
          <w:szCs w:val="28"/>
        </w:rPr>
        <w:t xml:space="preserve">2.1投标人上传电子投标文件的时间不得迟于招标公告中规定的投标截止时间。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交易中心可以按照规定，通过修改招标文件酌情延长投标截止日期，在此情况下，投标人的所有权利和义务以及投标人受制的截止日期均应以延长后新的截止日期为准。</w:t>
      </w:r>
      <w:r/>
    </w:p>
    <w:p>
      <w:pPr>
        <w:pStyle w:val="863"/>
        <w:ind w:firstLine="560"/>
        <w:jc w:val="both"/>
        <w:spacing w:line="500" w:lineRule="exact"/>
        <w:rPr>
          <w:rFonts w:eastAsia="方正仿宋_GBK"/>
          <w:sz w:val="28"/>
          <w:szCs w:val="28"/>
        </w:rPr>
      </w:pPr>
      <w:r/>
      <w:bookmarkStart w:id="93" w:name="_Toc16938543"/>
      <w:r/>
      <w:bookmarkStart w:id="94" w:name="_Toc513029227"/>
      <w:r/>
      <w:bookmarkStart w:id="95" w:name="_Toc20823299"/>
      <w:r>
        <w:rPr>
          <w:rFonts w:eastAsia="方正仿宋_GBK"/>
          <w:sz w:val="28"/>
          <w:szCs w:val="28"/>
        </w:rPr>
        <w:t xml:space="preserve">3.投标文件</w:t>
      </w:r>
      <w:bookmarkEnd w:id="93"/>
      <w:r/>
      <w:bookmarkEnd w:id="94"/>
      <w:r/>
      <w:bookmarkEnd w:id="95"/>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3.1交易中心拒绝接收在其规定的投标截止时间后上传的任何投标文件。</w:t>
      </w:r>
      <w:r/>
    </w:p>
    <w:p>
      <w:pPr>
        <w:pStyle w:val="863"/>
        <w:ind w:firstLine="560"/>
        <w:jc w:val="both"/>
        <w:spacing w:line="500" w:lineRule="exact"/>
        <w:rPr>
          <w:rFonts w:eastAsia="方正仿宋_GBK"/>
          <w:sz w:val="28"/>
          <w:szCs w:val="28"/>
        </w:rPr>
      </w:pPr>
      <w:r/>
      <w:bookmarkStart w:id="96" w:name="_Toc513029228"/>
      <w:r/>
      <w:bookmarkStart w:id="97" w:name="_Toc16938544"/>
      <w:r/>
      <w:bookmarkStart w:id="98" w:name="_Toc20823300"/>
      <w:r>
        <w:rPr>
          <w:rFonts w:eastAsia="方正仿宋_GBK"/>
          <w:sz w:val="28"/>
          <w:szCs w:val="28"/>
        </w:rPr>
        <w:t xml:space="preserve">4.投标文件的撤回和修改</w:t>
      </w:r>
      <w:bookmarkEnd w:id="96"/>
      <w:r/>
      <w:bookmarkEnd w:id="97"/>
      <w:r/>
      <w:bookmarkEnd w:id="98"/>
      <w:r/>
      <w:r/>
    </w:p>
    <w:p>
      <w:pPr>
        <w:ind w:firstLine="560"/>
        <w:spacing w:line="500" w:lineRule="exact"/>
        <w:rPr>
          <w:rFonts w:eastAsia="方正仿宋_GBK"/>
          <w:sz w:val="28"/>
          <w:szCs w:val="28"/>
        </w:rPr>
      </w:pPr>
      <w:r>
        <w:rPr>
          <w:rFonts w:eastAsia="方正仿宋_GBK"/>
          <w:sz w:val="28"/>
          <w:szCs w:val="28"/>
        </w:rPr>
        <w:t xml:space="preserve">4.1投标文件的撤回</w:t>
      </w:r>
      <w:r/>
    </w:p>
    <w:p>
      <w:pPr>
        <w:ind w:firstLine="560"/>
        <w:spacing w:line="500" w:lineRule="exact"/>
        <w:rPr>
          <w:rFonts w:eastAsia="方正仿宋_GBK"/>
          <w:sz w:val="28"/>
          <w:szCs w:val="28"/>
        </w:rPr>
      </w:pPr>
      <w:r>
        <w:rPr>
          <w:rFonts w:eastAsia="方正仿宋_GBK"/>
          <w:sz w:val="28"/>
          <w:szCs w:val="28"/>
        </w:rPr>
        <w:t xml:space="preserve">4.1.1电子投标文件的撤回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9" w:name="_Toc120614218"/>
      <w:r/>
      <w:bookmarkStart w:id="100" w:name="_Toc20823301"/>
      <w:r/>
      <w:bookmarkStart w:id="101" w:name="_Toc513029229"/>
      <w:r/>
      <w:bookmarkStart w:id="102" w:name="_Toc16938545"/>
      <w:r>
        <w:rPr>
          <w:rFonts w:ascii="方正黑体_GBK" w:hAnsi="方正黑体_GBK" w:eastAsia="方正黑体_GBK" w:cs="方正黑体_GBK"/>
          <w:bCs/>
          <w:sz w:val="28"/>
          <w:szCs w:val="28"/>
        </w:rPr>
        <w:t xml:space="preserve">五、开标与评标</w:t>
      </w:r>
      <w:bookmarkEnd w:id="99"/>
      <w:r/>
      <w:bookmarkEnd w:id="100"/>
      <w:r/>
      <w:bookmarkEnd w:id="101"/>
      <w:r/>
      <w:bookmarkEnd w:id="102"/>
      <w:r/>
      <w:r/>
    </w:p>
    <w:p>
      <w:pPr>
        <w:pStyle w:val="863"/>
        <w:ind w:firstLine="560"/>
        <w:jc w:val="both"/>
        <w:spacing w:line="500" w:lineRule="exact"/>
        <w:rPr>
          <w:rFonts w:eastAsia="方正仿宋_GBK"/>
          <w:sz w:val="28"/>
          <w:szCs w:val="28"/>
        </w:rPr>
      </w:pPr>
      <w:r/>
      <w:bookmarkStart w:id="103" w:name="_Toc513029230"/>
      <w:r/>
      <w:bookmarkStart w:id="104" w:name="_Toc16938546"/>
      <w:r/>
      <w:bookmarkStart w:id="105" w:name="_Toc20823302"/>
      <w:r>
        <w:rPr>
          <w:rFonts w:eastAsia="方正仿宋_GBK"/>
          <w:sz w:val="28"/>
          <w:szCs w:val="28"/>
        </w:rPr>
        <w:t xml:space="preserve">1开标</w:t>
      </w:r>
      <w:bookmarkEnd w:id="103"/>
      <w:r/>
      <w:bookmarkEnd w:id="104"/>
      <w:r/>
      <w:bookmarkEnd w:id="105"/>
      <w:r/>
      <w:r/>
    </w:p>
    <w:p>
      <w:pPr>
        <w:ind w:firstLine="556"/>
        <w:spacing w:line="500" w:lineRule="exact"/>
        <w:rPr>
          <w:rFonts w:eastAsia="方正仿宋_GBK"/>
          <w:bCs/>
          <w:sz w:val="28"/>
          <w:szCs w:val="28"/>
        </w:rPr>
      </w:pPr>
      <w:r>
        <w:rPr>
          <w:rFonts w:eastAsia="方正仿宋_GBK"/>
          <w:bCs/>
          <w:sz w:val="28"/>
          <w:szCs w:val="28"/>
        </w:rPr>
        <w:t xml:space="preserve">1.1交易中心将在招标公告中规定的时间和地点组织公开开标。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式由交易中心组织，在“苏采云”系统中进行开标，并公布各投标人的报价。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63"/>
        <w:ind w:firstLine="560"/>
        <w:jc w:val="both"/>
        <w:spacing w:line="500" w:lineRule="exact"/>
        <w:rPr>
          <w:rFonts w:eastAsia="方正仿宋_GBK"/>
          <w:sz w:val="28"/>
          <w:szCs w:val="28"/>
        </w:rPr>
      </w:pPr>
      <w:r/>
      <w:bookmarkStart w:id="106" w:name="_Toc20823303"/>
      <w:r/>
      <w:bookmarkStart w:id="107" w:name="_Toc513029231"/>
      <w:r/>
      <w:bookmarkStart w:id="108" w:name="_Toc16938547"/>
      <w:r>
        <w:rPr>
          <w:rFonts w:eastAsia="方正仿宋_GBK"/>
          <w:sz w:val="28"/>
          <w:szCs w:val="28"/>
        </w:rPr>
        <w:t xml:space="preserve">2评标委员会</w:t>
      </w:r>
      <w:r/>
    </w:p>
    <w:p>
      <w:pPr>
        <w:ind w:firstLine="560"/>
        <w:spacing w:line="500" w:lineRule="exact"/>
        <w:rPr>
          <w:rFonts w:eastAsia="方正仿宋_GBK"/>
          <w:b/>
          <w:sz w:val="28"/>
          <w:szCs w:val="28"/>
        </w:rPr>
      </w:pPr>
      <w:r>
        <w:rPr>
          <w:rFonts w:eastAsia="方正仿宋_GBK"/>
          <w:sz w:val="28"/>
          <w:szCs w:val="28"/>
        </w:rPr>
        <w:t xml:space="preserve">2.1开标后，交易中心将组织评标委员会（以下简称评委会）进行</w:t>
      </w:r>
      <w:r>
        <w:rPr>
          <w:rFonts w:eastAsia="方正仿宋_GBK"/>
          <w:sz w:val="28"/>
          <w:szCs w:val="28"/>
        </w:rPr>
        <w:t xml:space="preserve">评标。</w:t>
      </w:r>
      <w:r/>
    </w:p>
    <w:p>
      <w:pPr>
        <w:ind w:firstLine="560"/>
        <w:spacing w:line="500" w:lineRule="exact"/>
        <w:rPr>
          <w:rFonts w:eastAsia="方正仿宋_GBK"/>
          <w:sz w:val="28"/>
          <w:szCs w:val="28"/>
        </w:rPr>
      </w:pPr>
      <w:r>
        <w:rPr>
          <w:rFonts w:eastAsia="方正仿宋_GBK"/>
          <w:sz w:val="28"/>
          <w:szCs w:val="28"/>
        </w:rPr>
        <w:t xml:space="preserve">2.2评委会由采购人代表和有关技术、经济等方面的专家组成，且人员构成符合政府采购有关规定。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2.3评委会独立工作，负责评审所有投标文件并确定中标候选人。</w:t>
      </w:r>
      <w:r/>
    </w:p>
    <w:p>
      <w:pPr>
        <w:pStyle w:val="863"/>
        <w:ind w:firstLine="560"/>
        <w:jc w:val="both"/>
        <w:spacing w:line="500" w:lineRule="exact"/>
        <w:rPr>
          <w:rFonts w:eastAsia="方正仿宋_GBK"/>
          <w:sz w:val="28"/>
          <w:szCs w:val="28"/>
        </w:rPr>
      </w:pPr>
      <w:r>
        <w:rPr>
          <w:rFonts w:eastAsia="方正仿宋_GBK"/>
          <w:sz w:val="28"/>
          <w:szCs w:val="28"/>
        </w:rPr>
        <w:t xml:space="preserve">3.评标过程的保密与公正</w:t>
      </w:r>
      <w:bookmarkEnd w:id="106"/>
      <w:r/>
      <w:bookmarkEnd w:id="107"/>
      <w:r/>
      <w:bookmarkEnd w:id="108"/>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3.5采用综合评分法的项目，未中标的投标人可于中标结果公告期限届满之日起通过“苏采云”系统查看自己的评审得分及排序情况。</w:t>
      </w:r>
      <w:r/>
    </w:p>
    <w:p>
      <w:pPr>
        <w:pStyle w:val="863"/>
        <w:ind w:firstLine="560"/>
        <w:jc w:val="both"/>
        <w:spacing w:line="500" w:lineRule="exact"/>
        <w:rPr>
          <w:rFonts w:eastAsia="方正仿宋_GBK"/>
          <w:sz w:val="28"/>
          <w:szCs w:val="28"/>
        </w:rPr>
      </w:pPr>
      <w:r/>
      <w:bookmarkStart w:id="109" w:name="_Toc16938548"/>
      <w:r/>
      <w:bookmarkStart w:id="110" w:name="_Toc20823304"/>
      <w:r/>
      <w:bookmarkStart w:id="111" w:name="_Toc513029232"/>
      <w:r>
        <w:rPr>
          <w:rFonts w:eastAsia="方正仿宋_GBK"/>
          <w:sz w:val="28"/>
          <w:szCs w:val="28"/>
        </w:rPr>
        <w:t xml:space="preserve">4.投标的澄清</w:t>
      </w:r>
      <w:bookmarkEnd w:id="109"/>
      <w:r/>
      <w:bookmarkEnd w:id="110"/>
      <w:r/>
      <w:bookmarkEnd w:id="111"/>
      <w:r/>
      <w:r/>
    </w:p>
    <w:p>
      <w:pPr>
        <w:ind w:firstLine="560"/>
        <w:spacing w:line="500" w:lineRule="exact"/>
        <w:rPr>
          <w:rFonts w:eastAsia="方正仿宋_GBK"/>
          <w:sz w:val="28"/>
          <w:szCs w:val="28"/>
        </w:rPr>
      </w:pPr>
      <w:r>
        <w:rPr>
          <w:rFonts w:eastAsia="方正仿宋_GBK"/>
          <w:sz w:val="28"/>
          <w:szCs w:val="28"/>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4.3接到评委会澄清要求的投标人如未按规定作出澄清，其风险由投标人自行承担。</w:t>
      </w:r>
      <w:r/>
    </w:p>
    <w:p>
      <w:pPr>
        <w:pStyle w:val="863"/>
        <w:ind w:firstLine="560"/>
        <w:jc w:val="both"/>
        <w:spacing w:line="500" w:lineRule="exact"/>
        <w:rPr>
          <w:rFonts w:eastAsia="方正仿宋_GBK"/>
          <w:sz w:val="28"/>
          <w:szCs w:val="28"/>
        </w:rPr>
      </w:pPr>
      <w:r/>
      <w:bookmarkStart w:id="112" w:name="_Toc16938549"/>
      <w:r/>
      <w:bookmarkStart w:id="113" w:name="_Toc20823305"/>
      <w:r/>
      <w:bookmarkStart w:id="114" w:name="_Toc513029233"/>
      <w:r>
        <w:rPr>
          <w:rFonts w:eastAsia="方正仿宋_GBK"/>
          <w:sz w:val="28"/>
          <w:szCs w:val="28"/>
        </w:rPr>
        <w:t xml:space="preserve">5对投标文件的初审</w:t>
      </w:r>
      <w:bookmarkEnd w:id="112"/>
      <w:r/>
      <w:bookmarkEnd w:id="113"/>
      <w:r/>
      <w:bookmarkEnd w:id="114"/>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“苏采云”</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5" w:name="_Toc20823306"/>
      <w:r/>
      <w:bookmarkStart w:id="116" w:name="_Toc16938550"/>
      <w:r/>
      <w:bookmarkStart w:id="117" w:name="_Toc513029234"/>
      <w:r>
        <w:rPr>
          <w:rFonts w:eastAsia="方正仿宋_GBK"/>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5.8投标人在开、评标全过程中应保持通信畅通，并安排专人与交</w:t>
      </w:r>
      <w:r>
        <w:rPr>
          <w:rFonts w:eastAsia="方正仿宋_GBK"/>
          <w:sz w:val="28"/>
          <w:szCs w:val="28"/>
        </w:rPr>
        <w:t xml:space="preserve">易中心及评标委员会联系。</w:t>
      </w:r>
      <w:bookmarkEnd w:id="115"/>
      <w:r/>
      <w:bookmarkEnd w:id="116"/>
      <w:r/>
      <w:bookmarkEnd w:id="117"/>
      <w:r/>
      <w:r/>
    </w:p>
    <w:p>
      <w:pPr>
        <w:pStyle w:val="863"/>
        <w:ind w:firstLine="560"/>
        <w:jc w:val="both"/>
        <w:spacing w:line="500" w:lineRule="exact"/>
        <w:rPr>
          <w:rFonts w:eastAsia="方正仿宋_GBK"/>
          <w:sz w:val="28"/>
          <w:szCs w:val="28"/>
        </w:rPr>
      </w:pPr>
      <w:r>
        <w:rPr>
          <w:rFonts w:eastAsia="方正仿宋_GBK"/>
          <w:sz w:val="28"/>
          <w:szCs w:val="28"/>
        </w:rPr>
        <w:t xml:space="preserve">6.无效投标条款和废标条款</w:t>
      </w:r>
      <w:r/>
    </w:p>
    <w:p>
      <w:pPr>
        <w:ind w:firstLine="560"/>
        <w:spacing w:line="500" w:lineRule="exact"/>
        <w:rPr>
          <w:rFonts w:eastAsia="方正仿宋_GBK"/>
          <w:bCs/>
          <w:sz w:val="28"/>
          <w:szCs w:val="28"/>
        </w:rPr>
      </w:pPr>
      <w:r/>
      <w:bookmarkStart w:id="118" w:name="_Toc513029235"/>
      <w:r/>
      <w:bookmarkStart w:id="119" w:name="_Toc16938551"/>
      <w:r/>
      <w:bookmarkStart w:id="120" w:name="_Toc20823307"/>
      <w:r>
        <w:rPr>
          <w:rFonts w:eastAsia="方正仿宋_GBK"/>
          <w:bCs/>
          <w:sz w:val="28"/>
          <w:szCs w:val="28"/>
        </w:rPr>
        <w:t xml:space="preserve">6.1无效投标条款</w:t>
      </w:r>
      <w:r/>
    </w:p>
    <w:p>
      <w:pPr>
        <w:ind w:firstLine="560"/>
        <w:spacing w:line="500" w:lineRule="exact"/>
        <w:rPr>
          <w:rFonts w:eastAsia="方正仿宋_GBK"/>
          <w:bCs/>
          <w:sz w:val="28"/>
          <w:szCs w:val="28"/>
        </w:rPr>
      </w:pPr>
      <w:r>
        <w:rPr>
          <w:rFonts w:eastAsia="方正仿宋_GBK"/>
          <w:bCs/>
          <w:sz w:val="28"/>
          <w:szCs w:val="28"/>
        </w:rPr>
        <w:t xml:space="preserve">6.1.1投标人在</w:t>
      </w:r>
      <w:r>
        <w:rPr>
          <w:rFonts w:eastAsia="方正仿宋_GBK"/>
          <w:sz w:val="28"/>
          <w:szCs w:val="28"/>
        </w:rPr>
        <w:t xml:space="preserve">“苏采云”</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p>
    <w:p>
      <w:pPr>
        <w:ind w:firstLine="560"/>
        <w:spacing w:line="500" w:lineRule="exact"/>
        <w:rPr>
          <w:rFonts w:eastAsia="方正仿宋_GBK"/>
          <w:bCs/>
          <w:sz w:val="28"/>
          <w:szCs w:val="28"/>
        </w:rPr>
      </w:pPr>
      <w:r>
        <w:rPr>
          <w:rFonts w:eastAsia="方正仿宋_GBK"/>
          <w:bCs/>
          <w:sz w:val="28"/>
          <w:szCs w:val="28"/>
        </w:rPr>
        <w:t xml:space="preserve">6.1.7不符合招标文件中规定的其他实质性要求和条件的。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eastAsia="方正仿宋_GBK"/>
          <w:bCs/>
          <w:sz w:val="28"/>
          <w:szCs w:val="28"/>
        </w:rPr>
      </w:pPr>
      <w:r>
        <w:rPr>
          <w:rFonts w:eastAsia="方正仿宋_GBK"/>
          <w:bCs/>
          <w:sz w:val="28"/>
          <w:szCs w:val="28"/>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eastAsia="方正仿宋_GBK"/>
          <w:bCs/>
          <w:sz w:val="28"/>
          <w:szCs w:val="28"/>
        </w:rPr>
      </w:pPr>
      <w:r>
        <w:rPr>
          <w:rFonts w:eastAsia="方正仿宋_GBK"/>
          <w:bCs/>
          <w:sz w:val="28"/>
          <w:szCs w:val="28"/>
        </w:rPr>
        <w:t xml:space="preserve">③投标（响应）报价低于采购项目最高限价45%的，即投标（响应）报价&lt;采购项目最高限价×45%；</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启动异常低价投标（响应）审查后，属于前述第① 项至第</w:t>
      </w:r>
      <w:r>
        <w:rPr>
          <w:rFonts w:hint="eastAsia" w:eastAsia="方正仿宋_GBK"/>
          <w:bCs/>
          <w:sz w:val="28"/>
          <w:szCs w:val="28"/>
        </w:rPr>
        <w:t xml:space="preserve">④</w:t>
      </w:r>
      <w:r>
        <w:rPr>
          <w:rFonts w:eastAsia="方正仿宋_GBK"/>
          <w:bCs/>
          <w:sz w:val="28"/>
          <w:szCs w:val="28"/>
        </w:rPr>
        <w:t xml:space="preserve">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6.2废标条款：</w:t>
      </w:r>
      <w:r/>
    </w:p>
    <w:p>
      <w:pPr>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6.2.5因</w:t>
      </w:r>
      <w:r>
        <w:rPr>
          <w:rFonts w:eastAsia="方正仿宋_GBK"/>
          <w:sz w:val="28"/>
          <w:szCs w:val="28"/>
        </w:rPr>
        <w:t xml:space="preserve">“苏采云”系统故障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bookmarkEnd w:id="118"/>
      <w:r/>
      <w:bookmarkEnd w:id="119"/>
      <w:r/>
      <w:bookmarkEnd w:id="120"/>
      <w:r/>
      <w:r/>
    </w:p>
    <w:p>
      <w:pPr>
        <w:ind w:firstLine="560"/>
        <w:spacing w:line="500" w:lineRule="exact"/>
        <w:rPr>
          <w:rFonts w:ascii="方正黑体_GBK" w:hAnsi="方正黑体_GBK" w:eastAsia="方正黑体_GBK" w:cs="方正黑体_GBK"/>
          <w:bCs/>
          <w:sz w:val="28"/>
          <w:szCs w:val="28"/>
        </w:rPr>
      </w:pPr>
      <w:r/>
      <w:bookmarkStart w:id="121" w:name="_Toc120614219"/>
      <w:r>
        <w:rPr>
          <w:rFonts w:ascii="方正黑体_GBK" w:hAnsi="方正黑体_GBK" w:eastAsia="方正黑体_GBK" w:cs="方正黑体_GBK"/>
          <w:bCs/>
          <w:sz w:val="28"/>
          <w:szCs w:val="28"/>
        </w:rPr>
        <w:t xml:space="preserve">六、定标</w:t>
      </w:r>
      <w:bookmarkEnd w:id="121"/>
      <w:r/>
      <w:r/>
    </w:p>
    <w:p>
      <w:pPr>
        <w:ind w:firstLine="560"/>
        <w:spacing w:line="500" w:lineRule="exact"/>
        <w:rPr>
          <w:rFonts w:eastAsia="方正仿宋_GBK"/>
          <w:bCs/>
          <w:sz w:val="28"/>
          <w:szCs w:val="28"/>
        </w:rPr>
      </w:pPr>
      <w:r/>
      <w:bookmarkStart w:id="122" w:name="_Toc16938554"/>
      <w:r/>
      <w:bookmarkStart w:id="123" w:name="_Toc20823310"/>
      <w:r>
        <w:rPr>
          <w:rFonts w:eastAsia="方正仿宋_GBK"/>
          <w:bCs/>
          <w:sz w:val="28"/>
          <w:szCs w:val="28"/>
        </w:rPr>
        <w:t xml:space="preserve">1.确定</w:t>
      </w:r>
      <w:bookmarkEnd w:id="122"/>
      <w:r/>
      <w:bookmarkEnd w:id="123"/>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交易中心将在江苏政府采购网发布中标公告，公告期限为1个工作日。</w:t>
      </w:r>
      <w:r/>
    </w:p>
    <w:p>
      <w:pPr>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1.4.1提供虚假材料谋取中标的。</w:t>
      </w:r>
      <w:r/>
    </w:p>
    <w:p>
      <w:pPr>
        <w:ind w:firstLine="560"/>
        <w:spacing w:line="500" w:lineRule="exact"/>
        <w:rPr>
          <w:rFonts w:eastAsia="方正仿宋_GBK"/>
          <w:sz w:val="28"/>
          <w:szCs w:val="28"/>
        </w:rPr>
      </w:pPr>
      <w:r>
        <w:rPr>
          <w:rFonts w:eastAsia="方正仿宋_GBK"/>
          <w:sz w:val="28"/>
          <w:szCs w:val="28"/>
        </w:rPr>
        <w:t xml:space="preserve">1.4.2向采购人、交易中心行贿或者提供其他不正当利益的。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124"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2.质疑处理</w:t>
      </w:r>
      <w:bookmarkEnd w:id="124"/>
      <w:r/>
      <w:r/>
    </w:p>
    <w:p>
      <w:pPr>
        <w:ind w:firstLine="560"/>
        <w:spacing w:line="500" w:lineRule="exact"/>
        <w:rPr>
          <w:rFonts w:eastAsia="方正仿宋_GBK"/>
          <w:sz w:val="28"/>
          <w:szCs w:val="28"/>
        </w:rPr>
      </w:pPr>
      <w:r>
        <w:rPr>
          <w:rFonts w:eastAsia="方正仿宋_GBK"/>
          <w:sz w:val="28"/>
          <w:szCs w:val="28"/>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2.2供应商认为采购文件、采购过程和采购结果使自己的权益受到损害的，可以在知道或应知其权益受到损害之日起7个工作日内，以书面形式向交易中心或采购人提出质疑。上述应知其权益受到损害之日，是指：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中心政府采购项目质疑受理部门为政府采购科，联系地址：启东市金桥路199号，联系电话：0513-83340291。</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2.5以下情形的质疑不予受理</w:t>
      </w:r>
      <w:r/>
    </w:p>
    <w:p>
      <w:pPr>
        <w:ind w:firstLine="560"/>
        <w:spacing w:line="500" w:lineRule="exact"/>
        <w:rPr>
          <w:rFonts w:eastAsia="方正仿宋_GBK"/>
          <w:sz w:val="28"/>
          <w:szCs w:val="28"/>
        </w:rPr>
      </w:pPr>
      <w:r>
        <w:rPr>
          <w:rFonts w:eastAsia="方正仿宋_GBK"/>
          <w:sz w:val="28"/>
          <w:szCs w:val="28"/>
        </w:rPr>
        <w:t xml:space="preserve">2.5.1内容不符合《政府采购质疑和投诉办法》第十二条规定的质疑。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2.5.2超出政府采购法定期限的质疑。</w:t>
      </w:r>
      <w:r/>
    </w:p>
    <w:p>
      <w:pPr>
        <w:ind w:firstLine="560"/>
        <w:spacing w:line="500" w:lineRule="exact"/>
        <w:rPr>
          <w:rFonts w:eastAsia="方正仿宋_GBK"/>
          <w:sz w:val="28"/>
          <w:szCs w:val="28"/>
        </w:rPr>
      </w:pPr>
      <w:r>
        <w:rPr>
          <w:rFonts w:eastAsia="方正仿宋_GBK"/>
          <w:sz w:val="28"/>
          <w:szCs w:val="28"/>
        </w:rPr>
        <w:t xml:space="preserve">2.5.3未参加投标活动的供应商或在投标活动中自身权益未受到损害的供应商所提出的质疑。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3中标通知书</w:t>
      </w:r>
      <w:r/>
    </w:p>
    <w:p>
      <w:pPr>
        <w:ind w:firstLine="560"/>
        <w:spacing w:line="500" w:lineRule="exact"/>
        <w:rPr>
          <w:rFonts w:eastAsia="方正仿宋_GBK"/>
          <w:sz w:val="28"/>
          <w:szCs w:val="28"/>
        </w:rPr>
      </w:pPr>
      <w:r>
        <w:rPr>
          <w:rFonts w:eastAsia="方正仿宋_GBK"/>
          <w:sz w:val="28"/>
          <w:szCs w:val="28"/>
        </w:rPr>
        <w:t xml:space="preserve">3.l中标结果确定后，交易中心将向中标供应商发出中标通知书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5" w:name="_Toc120614220"/>
      <w:r/>
      <w:bookmarkStart w:id="126" w:name="_Toc20823308"/>
      <w:r/>
      <w:bookmarkStart w:id="127" w:name="_Toc16938552"/>
      <w:r/>
      <w:bookmarkStart w:id="128" w:name="_Toc513029236"/>
      <w:r>
        <w:rPr>
          <w:rFonts w:ascii="方正黑体_GBK" w:hAnsi="方正黑体_GBK" w:eastAsia="方正黑体_GBK" w:cs="方正黑体_GBK"/>
          <w:bCs/>
          <w:sz w:val="28"/>
          <w:szCs w:val="28"/>
        </w:rPr>
        <w:t xml:space="preserve">七、授予合同</w:t>
      </w:r>
      <w:bookmarkEnd w:id="125"/>
      <w:r/>
      <w:bookmarkEnd w:id="126"/>
      <w:r/>
      <w:bookmarkEnd w:id="127"/>
      <w:r/>
      <w:bookmarkEnd w:id="128"/>
      <w:r/>
      <w:r/>
    </w:p>
    <w:p>
      <w:pPr>
        <w:ind w:firstLine="560"/>
        <w:spacing w:line="500" w:lineRule="exact"/>
        <w:rPr>
          <w:rFonts w:eastAsia="方正仿宋_GBK"/>
          <w:sz w:val="28"/>
          <w:szCs w:val="28"/>
        </w:rPr>
      </w:pPr>
      <w:r/>
      <w:bookmarkStart w:id="129" w:name="_Toc513029237"/>
      <w:r/>
      <w:bookmarkStart w:id="130" w:name="_Toc16938553"/>
      <w:r/>
      <w:bookmarkStart w:id="131" w:name="_Toc20823309"/>
      <w:r>
        <w:rPr>
          <w:rFonts w:eastAsia="方正仿宋_GBK"/>
          <w:sz w:val="28"/>
          <w:szCs w:val="28"/>
        </w:rPr>
        <w:t xml:space="preserve">1.签订合同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9"/>
      <w:r/>
      <w:bookmarkEnd w:id="130"/>
      <w:r/>
      <w:bookmarkEnd w:id="131"/>
      <w:r/>
      <w:r/>
    </w:p>
    <w:p>
      <w:pPr>
        <w:ind w:firstLine="560"/>
        <w:spacing w:line="500" w:lineRule="exact"/>
        <w:rPr>
          <w:rFonts w:eastAsia="方正仿宋_GBK"/>
          <w:sz w:val="28"/>
          <w:szCs w:val="28"/>
        </w:rPr>
      </w:pPr>
      <w:r>
        <w:rPr>
          <w:rFonts w:eastAsia="方正仿宋_GBK"/>
          <w:sz w:val="28"/>
          <w:szCs w:val="28"/>
        </w:rPr>
        <w:t xml:space="preserve">3.合同信用融资扶持政策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  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一、采购内容及服务对象</w:t>
      </w:r>
      <w:r/>
    </w:p>
    <w:p>
      <w:pPr>
        <w:pStyle w:val="971"/>
        <w:numPr>
          <w:ilvl w:val="0"/>
          <w:numId w:val="3"/>
        </w:numPr>
        <w:spacing w:line="500" w:lineRule="exact"/>
        <w:rPr>
          <w:rFonts w:eastAsia="方正仿宋_GBK"/>
          <w:b/>
          <w:bCs/>
          <w:sz w:val="28"/>
          <w:szCs w:val="28"/>
        </w:rPr>
      </w:pPr>
      <w:r>
        <w:rPr>
          <w:rFonts w:hint="eastAsia" w:eastAsia="方正仿宋_GBK"/>
          <w:b/>
          <w:bCs/>
          <w:sz w:val="28"/>
          <w:szCs w:val="28"/>
        </w:rPr>
        <w:t xml:space="preserve">采购内容</w:t>
      </w:r>
      <w:r/>
    </w:p>
    <w:tbl>
      <w:tblPr>
        <w:tblStyle w:val="972"/>
        <w:tblW w:w="98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353"/>
        <w:gridCol w:w="2255"/>
        <w:gridCol w:w="1870"/>
        <w:gridCol w:w="1320"/>
      </w:tblGrid>
      <w:tr>
        <w:trPr>
          <w:trHeight w:val="660"/>
        </w:trPr>
        <w:tc>
          <w:tcPr>
            <w:tcW w:w="1050"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标包号</w:t>
            </w:r>
            <w:r/>
          </w:p>
        </w:tc>
        <w:tc>
          <w:tcPr>
            <w:tcW w:w="3353"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采购内容简述</w:t>
            </w:r>
            <w:r/>
          </w:p>
        </w:tc>
        <w:tc>
          <w:tcPr>
            <w:tcW w:w="2255"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人数</w:t>
            </w:r>
            <w:r/>
          </w:p>
        </w:tc>
        <w:tc>
          <w:tcPr>
            <w:tcW w:w="1870"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最高限价</w:t>
            </w:r>
            <w:r/>
          </w:p>
          <w:p>
            <w:pPr>
              <w:jc w:val="center"/>
              <w:rPr>
                <w:rFonts w:ascii="方正仿宋_GBK" w:hAnsi="宋体" w:eastAsia="方正仿宋_GBK"/>
                <w:b/>
                <w:bCs/>
                <w:szCs w:val="21"/>
              </w:rPr>
            </w:pPr>
            <w:r>
              <w:rPr>
                <w:rFonts w:hint="eastAsia" w:ascii="方正仿宋_GBK" w:hAnsi="宋体" w:eastAsia="方正仿宋_GBK"/>
                <w:b/>
                <w:bCs/>
                <w:szCs w:val="21"/>
              </w:rPr>
              <w:t xml:space="preserve">单价</w:t>
            </w:r>
            <w:r/>
          </w:p>
        </w:tc>
        <w:tc>
          <w:tcPr>
            <w:tcW w:w="1320" w:type="dxa"/>
            <w:vAlign w:val="center"/>
            <w:textDirection w:val="lrTb"/>
            <w:noWrap w:val="false"/>
          </w:tcPr>
          <w:p>
            <w:pPr>
              <w:jc w:val="center"/>
              <w:rPr>
                <w:rFonts w:ascii="方正仿宋_GBK" w:hAnsi="宋体" w:eastAsia="方正仿宋_GBK"/>
                <w:b/>
                <w:bCs/>
                <w:szCs w:val="21"/>
              </w:rPr>
            </w:pPr>
            <w:r>
              <w:rPr>
                <w:rFonts w:hint="eastAsia" w:ascii="方正仿宋_GBK" w:hAnsi="宋体" w:eastAsia="方正仿宋_GBK"/>
                <w:b/>
                <w:bCs/>
                <w:szCs w:val="21"/>
              </w:rPr>
              <w:t xml:space="preserve">各标包最高限价总价（元/年）</w:t>
            </w:r>
            <w:r/>
          </w:p>
        </w:tc>
      </w:tr>
      <w:tr>
        <w:trPr>
          <w:trHeight w:val="975"/>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一标包</w:t>
            </w:r>
            <w:r/>
          </w:p>
        </w:tc>
        <w:tc>
          <w:tcPr>
            <w:tcW w:w="335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居家养老线上服务,建立启东市智慧养老综合平台；建立呼叫中心提供24小时全天候服务，包括紧急救援、生活服务咨询和养老顾问服务等；对居家养老线下服务工单调配、分析、汇总；全程监管居家养老线下服务及全市养老服务综合管理；1家市级综合养老服务中心运营；长者驿家运营；南北城区约8家睦邻点运营；建立全市居家养老服务设施管理系统，包括市级综合养老服务中心、长者驿家、睦邻点、助餐点等数据整合和线上监管。</w:t>
            </w:r>
            <w:r/>
          </w:p>
        </w:tc>
        <w:tc>
          <w:tcPr>
            <w:tcW w:w="2255" w:type="dxa"/>
            <w:vAlign w:val="center"/>
            <w:textDirection w:val="lrTb"/>
            <w:noWrap w:val="false"/>
          </w:tcPr>
          <w:p>
            <w:pPr>
              <w:ind w:left="63"/>
              <w:jc w:val="center"/>
              <w:spacing w:line="440" w:lineRule="exact"/>
              <w:rPr>
                <w:rFonts w:ascii="方正仿宋_GBK" w:hAnsi="宋体" w:eastAsia="方正仿宋_GBK"/>
                <w:szCs w:val="21"/>
              </w:rPr>
            </w:pPr>
            <w:r>
              <w:rPr>
                <w:rFonts w:hint="eastAsia" w:ascii="方正仿宋_GBK" w:hAnsi="宋体" w:eastAsia="方正仿宋_GBK"/>
                <w:szCs w:val="21"/>
              </w:rPr>
              <w:t xml:space="preserve">约13470人</w:t>
            </w:r>
            <w:r/>
          </w:p>
        </w:tc>
        <w:tc>
          <w:tcPr>
            <w:tcW w:w="1870"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①线上服务费4元/人/月</w:t>
            </w:r>
            <w:r/>
          </w:p>
          <w:p>
            <w:pPr>
              <w:rPr>
                <w:rFonts w:ascii="方正仿宋_GBK" w:hAnsi="宋体" w:eastAsia="方正仿宋_GBK" w:cs="Courier New"/>
                <w:szCs w:val="21"/>
              </w:rPr>
            </w:pPr>
            <w:r>
              <w:rPr>
                <w:rFonts w:hint="eastAsia" w:ascii="方正仿宋_GBK" w:hAnsi="宋体" w:eastAsia="方正仿宋_GBK" w:cs="Courier New"/>
                <w:szCs w:val="21"/>
              </w:rPr>
              <w:t xml:space="preserve">②线上平台系统40万/年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③长者驿家运营20万元/年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④市综合养老服务6万元/年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⑤睦邻点运营3万元/年/家</w:t>
            </w:r>
            <w:r/>
          </w:p>
          <w:p>
            <w:pPr>
              <w:rPr>
                <w:rFonts w:ascii="方正仿宋_GBK" w:hAnsi="宋体" w:eastAsia="方正仿宋_GBK" w:cs="Courier New"/>
                <w:szCs w:val="21"/>
              </w:rPr>
            </w:pPr>
            <w:r>
              <w:rPr>
                <w:rFonts w:hint="eastAsia" w:ascii="方正仿宋_GBK" w:hAnsi="宋体" w:eastAsia="方正仿宋_GBK" w:cs="Courier New"/>
                <w:szCs w:val="21"/>
              </w:rPr>
              <w:t xml:space="preserve">（其中：③-⑤为固定价格，投标时不作下浮。）</w:t>
            </w:r>
            <w:r/>
          </w:p>
        </w:tc>
        <w:tc>
          <w:tcPr>
            <w:tcW w:w="1320" w:type="dxa"/>
            <w:vAlign w:val="center"/>
            <w:textDirection w:val="lrTb"/>
            <w:noWrap w:val="false"/>
          </w:tcPr>
          <w:p>
            <w:pPr>
              <w:rPr>
                <w:rFonts w:ascii="方正仿宋_GBK" w:hAnsi="宋体" w:eastAsia="方正仿宋_GBK" w:cs="Courier New"/>
                <w:szCs w:val="21"/>
                <w:highlight w:val="yellow"/>
              </w:rPr>
            </w:pPr>
            <w:r>
              <w:rPr>
                <w:rFonts w:hint="eastAsia" w:ascii="方正仿宋_GBK" w:hAnsi="宋体" w:eastAsia="方正仿宋_GBK" w:cs="Courier New"/>
                <w:szCs w:val="21"/>
              </w:rPr>
              <w:t xml:space="preserve">1546560</w:t>
            </w:r>
            <w:r/>
          </w:p>
        </w:tc>
      </w:tr>
      <w:tr>
        <w:trPr>
          <w:trHeight w:val="416"/>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二标包</w:t>
            </w:r>
            <w:r/>
          </w:p>
        </w:tc>
        <w:tc>
          <w:tcPr>
            <w:tcW w:w="3353" w:type="dxa"/>
            <w:vAlign w:val="center"/>
            <w:textDirection w:val="lrTb"/>
            <w:noWrap w:val="false"/>
          </w:tcPr>
          <w:p>
            <w:pPr>
              <w:rPr>
                <w:rFonts w:ascii="方正仿宋_GBK" w:hAnsi="宋体" w:eastAsia="方正仿宋_GBK" w:cs="Courier New"/>
                <w:szCs w:val="21"/>
                <w:lang w:val="zh-CN"/>
              </w:rPr>
            </w:pPr>
            <w:r>
              <w:rPr>
                <w:rFonts w:hint="eastAsia" w:ascii="方正仿宋_GBK" w:hAnsi="宋体" w:eastAsia="方正仿宋_GBK" w:cs="Courier New"/>
                <w:szCs w:val="21"/>
              </w:rPr>
              <w:t xml:space="preserve">南阳镇、汇龙镇、南城区、北城区、开发区、北新镇、启隆镇区域线下服务；1家镇养老服务中心运营；服务区域内约7家睦邻点运营。</w:t>
            </w:r>
            <w:r/>
          </w:p>
        </w:tc>
        <w:tc>
          <w:tcPr>
            <w:tcW w:w="2255" w:type="dxa"/>
            <w:vAlign w:val="center"/>
            <w:textDirection w:val="lrTb"/>
            <w:noWrap w:val="false"/>
          </w:tcPr>
          <w:p>
            <w:pPr>
              <w:jc w:val="center"/>
              <w:rPr>
                <w:rFonts w:ascii="方正仿宋_GBK" w:hAnsi="宋体" w:eastAsia="方正仿宋_GBK" w:cs="Courier New"/>
                <w:szCs w:val="21"/>
              </w:rPr>
            </w:pPr>
            <w:r>
              <w:rPr>
                <w:rFonts w:hint="eastAsia" w:ascii="方正仿宋_GBK" w:hAnsi="宋体" w:eastAsia="方正仿宋_GBK" w:cs="Courier New"/>
                <w:szCs w:val="21"/>
              </w:rPr>
              <w:t xml:space="preserve">第1-2类约116人、第3类约388人（其中A类334人、B类54人）、第4-5类约291人，第6-7类约3511人，合计4306人。</w:t>
            </w:r>
            <w:r/>
          </w:p>
        </w:tc>
        <w:tc>
          <w:tcPr>
            <w:tcW w:w="1870" w:type="dxa"/>
            <w:vAlign w:val="center"/>
            <w:vMerge w:val="restart"/>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①线下服务费30元/小时</w:t>
            </w:r>
            <w:r/>
          </w:p>
          <w:p>
            <w:pPr>
              <w:rPr>
                <w:rFonts w:ascii="方正仿宋_GBK" w:hAnsi="宋体" w:eastAsia="方正仿宋_GBK" w:cs="Courier New"/>
                <w:szCs w:val="21"/>
              </w:rPr>
            </w:pPr>
            <w:r>
              <w:rPr>
                <w:rFonts w:hint="eastAsia" w:ascii="方正仿宋_GBK" w:hAnsi="宋体" w:eastAsia="方正仿宋_GBK" w:cs="Courier New"/>
                <w:szCs w:val="21"/>
              </w:rPr>
              <w:t xml:space="preserve">②镇养老服务中心6万元/年</w:t>
            </w:r>
            <w:r/>
          </w:p>
          <w:p>
            <w:pPr>
              <w:rPr>
                <w:rFonts w:ascii="方正仿宋_GBK" w:hAnsi="宋体" w:eastAsia="方正仿宋_GBK" w:cs="Courier New"/>
                <w:szCs w:val="21"/>
              </w:rPr>
            </w:pPr>
            <w:r>
              <w:rPr>
                <w:rFonts w:hint="eastAsia" w:ascii="方正仿宋_GBK" w:hAnsi="宋体" w:eastAsia="方正仿宋_GBK" w:cs="Courier New"/>
                <w:szCs w:val="21"/>
              </w:rPr>
              <w:t xml:space="preserve">③睦邻点运营3万元/年/家</w:t>
            </w:r>
            <w:r/>
          </w:p>
          <w:p>
            <w:pPr>
              <w:rPr>
                <w:rFonts w:ascii="方正仿宋_GBK" w:hAnsi="宋体" w:eastAsia="方正仿宋_GBK" w:cs="Courier New"/>
                <w:szCs w:val="21"/>
              </w:rPr>
            </w:pPr>
            <w:r>
              <w:rPr>
                <w:rFonts w:hint="eastAsia" w:ascii="方正仿宋_GBK" w:hAnsi="宋体" w:eastAsia="方正仿宋_GBK" w:cs="Courier New"/>
                <w:szCs w:val="21"/>
              </w:rPr>
              <w:t xml:space="preserve">（其中：②和③为固定价格，投标时不作下浮。） </w:t>
            </w:r>
            <w:r/>
          </w:p>
        </w:tc>
        <w:tc>
          <w:tcPr>
            <w:tcW w:w="1320" w:type="dxa"/>
            <w:vAlign w:val="center"/>
            <w:textDirection w:val="lrTb"/>
            <w:noWrap w:val="false"/>
          </w:tcPr>
          <w:p>
            <w:pPr>
              <w:rPr>
                <w:rFonts w:ascii="方正仿宋_GBK" w:hAnsi="宋体" w:eastAsia="方正仿宋_GBK" w:cs="Courier New"/>
                <w:szCs w:val="21"/>
                <w:highlight w:val="yellow"/>
              </w:rPr>
            </w:pPr>
            <w:r>
              <w:rPr>
                <w:rFonts w:hint="eastAsia" w:ascii="方正仿宋_GBK" w:hAnsi="宋体" w:eastAsia="方正仿宋_GBK" w:cs="Courier New"/>
                <w:szCs w:val="21"/>
              </w:rPr>
              <w:t xml:space="preserve">2651544</w:t>
            </w:r>
            <w:r/>
          </w:p>
        </w:tc>
      </w:tr>
      <w:tr>
        <w:trPr>
          <w:trHeight w:val="870"/>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三标包</w:t>
            </w:r>
            <w:r/>
          </w:p>
        </w:tc>
        <w:tc>
          <w:tcPr>
            <w:tcW w:w="335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启东市海复镇、合作镇、王鲍、吕四区域线下服务；1家镇养老服务中心运营；服务区域内约7家睦邻点运营。</w:t>
            </w:r>
            <w:r/>
          </w:p>
        </w:tc>
        <w:tc>
          <w:tcPr>
            <w:tcW w:w="2255"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第1-2类约156人、第3类约780人</w:t>
            </w:r>
            <w:r>
              <w:rPr>
                <w:rFonts w:hint="eastAsia" w:ascii="方正仿宋_GBK" w:hAnsi="宋体" w:eastAsia="方正仿宋_GBK" w:cs="Courier New"/>
                <w:szCs w:val="21"/>
                <w:lang w:val="zh-CN"/>
              </w:rPr>
              <w:t xml:space="preserve">（其中A类685人、B类94人、C类 1人）</w:t>
            </w:r>
            <w:r>
              <w:rPr>
                <w:rFonts w:hint="eastAsia" w:ascii="方正仿宋_GBK" w:hAnsi="宋体" w:eastAsia="方正仿宋_GBK" w:cs="Courier New"/>
                <w:szCs w:val="21"/>
              </w:rPr>
              <w:t xml:space="preserve">、第4-5类约384人，第6-7类约3720人，合计5040人。</w:t>
            </w:r>
            <w:r/>
          </w:p>
        </w:tc>
        <w:tc>
          <w:tcPr>
            <w:tcW w:w="1870" w:type="dxa"/>
            <w:vMerge w:val="continue"/>
            <w:textDirection w:val="lrTb"/>
            <w:noWrap w:val="false"/>
          </w:tcPr>
          <w:p>
            <w:pPr>
              <w:jc w:val="center"/>
              <w:rPr>
                <w:rFonts w:ascii="方正仿宋_GBK" w:hAnsi="宋体" w:eastAsia="方正仿宋_GBK" w:cs="Courier New"/>
                <w:szCs w:val="21"/>
                <w:lang w:val="zh-CN"/>
              </w:rPr>
            </w:pPr>
            <w:r>
              <w:rPr>
                <w:rFonts w:ascii="方正仿宋_GBK" w:hAnsi="宋体" w:eastAsia="方正仿宋_GBK" w:cs="Courier New"/>
                <w:szCs w:val="21"/>
                <w:lang w:val="zh-CN"/>
              </w:rPr>
            </w:r>
            <w:r/>
          </w:p>
        </w:tc>
        <w:tc>
          <w:tcPr>
            <w:tcW w:w="1320" w:type="dxa"/>
            <w:vAlign w:val="center"/>
            <w:textDirection w:val="lrTb"/>
            <w:noWrap w:val="false"/>
          </w:tcPr>
          <w:p>
            <w:pPr>
              <w:rPr>
                <w:rFonts w:ascii="方正仿宋_GBK" w:hAnsi="宋体" w:eastAsia="方正仿宋_GBK" w:cs="Courier New"/>
                <w:szCs w:val="21"/>
                <w:highlight w:val="yellow"/>
              </w:rPr>
            </w:pPr>
            <w:r>
              <w:rPr>
                <w:rFonts w:hint="eastAsia" w:ascii="方正仿宋_GBK" w:hAnsi="宋体" w:eastAsia="方正仿宋_GBK" w:cs="Courier New"/>
                <w:szCs w:val="21"/>
              </w:rPr>
              <w:t xml:space="preserve">3563982</w:t>
            </w:r>
            <w:r/>
          </w:p>
        </w:tc>
      </w:tr>
      <w:tr>
        <w:trPr>
          <w:trHeight w:val="627"/>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四标包</w:t>
            </w:r>
            <w:r/>
          </w:p>
        </w:tc>
        <w:tc>
          <w:tcPr>
            <w:tcW w:w="3353"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启东市寅阳镇、东海镇、惠萍镇、圆陀角、近海镇区域线下服务；1家镇养老服务中心运营；服务区域内约9家睦邻点运营。</w:t>
            </w:r>
            <w:r/>
          </w:p>
        </w:tc>
        <w:tc>
          <w:tcPr>
            <w:tcW w:w="2255" w:type="dxa"/>
            <w:vAlign w:val="center"/>
            <w:textDirection w:val="lrTb"/>
            <w:noWrap w:val="false"/>
          </w:tcPr>
          <w:p>
            <w:pPr>
              <w:rPr>
                <w:rFonts w:ascii="方正仿宋_GBK" w:hAnsi="宋体" w:eastAsia="方正仿宋_GBK" w:cs="Courier New"/>
                <w:szCs w:val="21"/>
              </w:rPr>
            </w:pPr>
            <w:r>
              <w:rPr>
                <w:rFonts w:hint="eastAsia" w:ascii="方正仿宋_GBK" w:hAnsi="宋体" w:eastAsia="方正仿宋_GBK" w:cs="Courier New"/>
                <w:szCs w:val="21"/>
              </w:rPr>
              <w:t xml:space="preserve">第1-2类约120人、第3类约141人</w:t>
            </w:r>
            <w:r>
              <w:rPr>
                <w:rFonts w:hint="eastAsia" w:ascii="方正仿宋_GBK" w:hAnsi="宋体" w:eastAsia="方正仿宋_GBK" w:cs="Courier New"/>
                <w:szCs w:val="21"/>
                <w:lang w:val="zh-CN"/>
              </w:rPr>
              <w:t xml:space="preserve">（其中A类112人、B类29人）</w:t>
            </w:r>
            <w:r>
              <w:rPr>
                <w:rFonts w:hint="eastAsia" w:ascii="方正仿宋_GBK" w:hAnsi="宋体" w:eastAsia="方正仿宋_GBK" w:cs="Courier New"/>
                <w:szCs w:val="21"/>
              </w:rPr>
              <w:t xml:space="preserve">、第4-5类约325人，第6-7类约3538人，合计4124人。</w:t>
            </w:r>
            <w:r/>
          </w:p>
        </w:tc>
        <w:tc>
          <w:tcPr>
            <w:tcW w:w="1870" w:type="dxa"/>
            <w:vMerge w:val="continue"/>
            <w:textDirection w:val="lrTb"/>
            <w:noWrap w:val="false"/>
          </w:tcPr>
          <w:p>
            <w:pPr>
              <w:jc w:val="center"/>
              <w:rPr>
                <w:rFonts w:ascii="方正仿宋_GBK" w:hAnsi="宋体" w:eastAsia="方正仿宋_GBK" w:cs="Courier New"/>
                <w:szCs w:val="21"/>
                <w:lang w:val="zh-CN"/>
              </w:rPr>
            </w:pPr>
            <w:r>
              <w:rPr>
                <w:rFonts w:ascii="方正仿宋_GBK" w:hAnsi="宋体" w:eastAsia="方正仿宋_GBK" w:cs="Courier New"/>
                <w:szCs w:val="21"/>
                <w:lang w:val="zh-CN"/>
              </w:rPr>
            </w:r>
            <w:r/>
          </w:p>
        </w:tc>
        <w:tc>
          <w:tcPr>
            <w:tcW w:w="1320" w:type="dxa"/>
            <w:vAlign w:val="center"/>
            <w:textDirection w:val="lrTb"/>
            <w:noWrap w:val="false"/>
          </w:tcPr>
          <w:p>
            <w:pPr>
              <w:rPr>
                <w:rFonts w:ascii="方正仿宋_GBK" w:hAnsi="宋体" w:eastAsia="方正仿宋_GBK" w:cs="Courier New"/>
                <w:szCs w:val="21"/>
                <w:highlight w:val="yellow"/>
              </w:rPr>
            </w:pPr>
            <w:r>
              <w:rPr>
                <w:rFonts w:hint="eastAsia" w:ascii="方正仿宋_GBK" w:hAnsi="宋体" w:eastAsia="方正仿宋_GBK" w:cs="Courier New"/>
                <w:szCs w:val="21"/>
              </w:rPr>
              <w:t xml:space="preserve">2307786</w:t>
            </w:r>
            <w:r/>
          </w:p>
        </w:tc>
      </w:tr>
      <w:tr>
        <w:trPr>
          <w:trHeight w:val="781"/>
        </w:trPr>
        <w:tc>
          <w:tcPr>
            <w:tcW w:w="1050" w:type="dxa"/>
            <w:vAlign w:val="center"/>
            <w:textDirection w:val="lrTb"/>
            <w:noWrap w:val="false"/>
          </w:tcPr>
          <w:p>
            <w:pPr>
              <w:ind w:left="63"/>
              <w:jc w:val="center"/>
              <w:spacing w:line="440" w:lineRule="exact"/>
              <w:rPr>
                <w:rFonts w:ascii="方正仿宋_GBK" w:hAnsi="宋体" w:eastAsia="方正仿宋_GBK" w:cs="Courier New"/>
                <w:szCs w:val="21"/>
              </w:rPr>
            </w:pPr>
            <w:r>
              <w:rPr>
                <w:rFonts w:hint="eastAsia" w:ascii="方正仿宋_GBK" w:hAnsi="宋体" w:eastAsia="方正仿宋_GBK" w:cs="Courier New"/>
                <w:szCs w:val="21"/>
              </w:rPr>
              <w:t xml:space="preserve">注</w:t>
            </w:r>
            <w:r/>
          </w:p>
        </w:tc>
        <w:tc>
          <w:tcPr>
            <w:gridSpan w:val="4"/>
            <w:tcW w:w="8798" w:type="dxa"/>
            <w:vAlign w:val="center"/>
            <w:textDirection w:val="lrTb"/>
            <w:noWrap w:val="false"/>
          </w:tcPr>
          <w:p>
            <w:pPr>
              <w:numPr>
                <w:ilvl w:val="0"/>
                <w:numId w:val="2"/>
              </w:numPr>
              <w:rPr>
                <w:rFonts w:ascii="方正仿宋_GBK" w:hAnsi="宋体" w:eastAsia="方正仿宋_GBK" w:cs="Courier New"/>
                <w:szCs w:val="21"/>
              </w:rPr>
            </w:pPr>
            <w:r>
              <w:rPr>
                <w:rFonts w:hint="eastAsia" w:ascii="方正仿宋_GBK" w:hAnsi="宋体" w:eastAsia="方正仿宋_GBK" w:cs="Courier New"/>
                <w:szCs w:val="21"/>
                <w:lang w:val="zh-CN"/>
              </w:rPr>
              <w:t xml:space="preserve">上表中所述“第1-2类每月4小时上门服务；第4-5类每月2小时上门服务；第6-</w:t>
            </w:r>
            <w:r>
              <w:rPr>
                <w:rFonts w:hint="eastAsia" w:ascii="方正仿宋_GBK" w:hAnsi="宋体" w:eastAsia="方正仿宋_GBK" w:cs="Courier New"/>
                <w:szCs w:val="21"/>
              </w:rPr>
              <w:t xml:space="preserve">7</w:t>
            </w:r>
            <w:r>
              <w:rPr>
                <w:rFonts w:hint="eastAsia" w:ascii="方正仿宋_GBK" w:hAnsi="宋体" w:eastAsia="方正仿宋_GBK" w:cs="Courier New"/>
                <w:szCs w:val="21"/>
                <w:lang w:val="zh-CN"/>
              </w:rPr>
              <w:t xml:space="preserve">类每月1小时上门服务；第3类</w:t>
            </w:r>
            <w:r>
              <w:rPr>
                <w:rFonts w:hint="eastAsia" w:ascii="方正仿宋_GBK" w:hAnsi="宋体" w:eastAsia="方正仿宋_GBK" w:cs="Courier New"/>
                <w:szCs w:val="21"/>
              </w:rPr>
              <w:t xml:space="preserve">根据启东市民政局文件《关于明确调整城乡居民最低生活保障、特困供养和相关民政对象救助标准的通知》，2025年7月1日起，分散特困人员照料护理标准按照完全丧失生活自理能力、部分丧失生活自理能力、具备生活自理能力三档，分别为747元、373.5元、124.5元。服务金额根据文件按时调整，服务时长按中标价折算。</w:t>
            </w:r>
            <w:r/>
          </w:p>
          <w:p>
            <w:pPr>
              <w:numPr>
                <w:ilvl w:val="0"/>
                <w:numId w:val="2"/>
              </w:numPr>
              <w:rPr>
                <w:rFonts w:ascii="方正仿宋_GBK" w:hAnsi="宋体" w:eastAsia="方正仿宋_GBK" w:cs="Courier New"/>
                <w:szCs w:val="21"/>
              </w:rPr>
            </w:pPr>
            <w:r>
              <w:rPr>
                <w:rFonts w:hint="eastAsia" w:ascii="方正仿宋_GBK" w:hAnsi="宋体" w:eastAsia="方正仿宋_GBK" w:cs="Courier New"/>
                <w:szCs w:val="21"/>
              </w:rPr>
              <w:t xml:space="preserve">投标单价及总价均不得高于最高限价单价及总价；报价时，所有单价下浮率须一致；否则，以上情况均作无效标处理。</w:t>
            </w:r>
            <w:r/>
          </w:p>
          <w:p>
            <w:pPr>
              <w:numPr>
                <w:ilvl w:val="0"/>
                <w:numId w:val="2"/>
              </w:numPr>
              <w:rPr>
                <w:rFonts w:ascii="方正仿宋_GBK" w:hAnsi="宋体" w:eastAsia="方正仿宋_GBK" w:cs="Courier New"/>
                <w:szCs w:val="21"/>
              </w:rPr>
            </w:pPr>
            <w:r>
              <w:rPr>
                <w:rFonts w:hint="eastAsia" w:ascii="方正仿宋_GBK" w:hAnsi="宋体" w:eastAsia="方正仿宋_GBK" w:cs="Courier New"/>
                <w:szCs w:val="21"/>
              </w:rPr>
              <w:t xml:space="preserve">本项目人数及运营家数均为暂定数量，结算时按实际发生数量；中标单价不变，但合同约定按考核结果结算的除外。</w:t>
            </w:r>
            <w:r/>
          </w:p>
          <w:p>
            <w:pPr>
              <w:rPr>
                <w:rFonts w:ascii="方正仿宋_GBK" w:hAnsi="宋体" w:eastAsia="方正仿宋_GBK" w:cs="Courier New"/>
                <w:szCs w:val="21"/>
              </w:rPr>
            </w:pPr>
            <w:r>
              <w:rPr>
                <w:rFonts w:hint="eastAsia" w:ascii="方正仿宋_GBK" w:hAnsi="宋体" w:eastAsia="方正仿宋_GBK" w:cs="Courier New"/>
                <w:szCs w:val="21"/>
              </w:rPr>
              <w:t xml:space="preserve">④上表中规定为固定价格的项目，投标时不得下浮，否则，作无效标处理。</w:t>
            </w:r>
            <w:r/>
          </w:p>
        </w:tc>
      </w:tr>
    </w:tbl>
    <w:p>
      <w:pPr>
        <w:pStyle w:val="971"/>
        <w:ind w:left="560" w:firstLine="0"/>
        <w:spacing w:line="500" w:lineRule="exact"/>
        <w:rPr>
          <w:rFonts w:ascii="宋体" w:hAnsi="宋体" w:cs="宋体"/>
          <w:b/>
          <w:bCs/>
          <w:sz w:val="24"/>
          <w:szCs w:val="22"/>
        </w:rPr>
      </w:pPr>
      <w:r>
        <w:rPr>
          <w:rFonts w:hint="eastAsia" w:eastAsia="方正仿宋_GBK"/>
          <w:b/>
          <w:bCs/>
          <w:sz w:val="28"/>
          <w:szCs w:val="28"/>
        </w:rPr>
        <w:t xml:space="preserve">（二）服务对象及分类</w:t>
      </w:r>
      <w:r/>
    </w:p>
    <w:tbl>
      <w:tblPr>
        <w:tblStyle w:val="870"/>
        <w:tblW w:w="9400"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851"/>
        <w:gridCol w:w="7825"/>
      </w:tblGrid>
      <w:tr>
        <w:trPr>
          <w:trHeight w:val="558"/>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方正仿宋_GBK" w:hAnsi="宋体" w:eastAsia="方正仿宋_GBK" w:cs="宋体"/>
                <w:b/>
                <w:bCs/>
                <w:sz w:val="24"/>
              </w:rPr>
            </w:pPr>
            <w:r>
              <w:rPr>
                <w:rFonts w:hint="eastAsia" w:ascii="方正仿宋_GBK" w:hAnsi="宋体" w:eastAsia="方正仿宋_GBK" w:cs="宋体"/>
                <w:b/>
                <w:bCs/>
                <w:sz w:val="24"/>
                <w:lang w:bidi="ar"/>
              </w:rPr>
              <w:t xml:space="preserve">服务分类</w:t>
            </w:r>
            <w:r/>
          </w:p>
        </w:tc>
        <w:tc>
          <w:tcPr>
            <w:tcBorders>
              <w:top w:val="single" w:color="000000" w:sz="4" w:space="0"/>
              <w:left w:val="single" w:color="000000" w:sz="4" w:space="0"/>
              <w:bottom w:val="single" w:color="000000" w:sz="4" w:space="0"/>
              <w:right w:val="single" w:color="000000" w:sz="4" w:space="0"/>
            </w:tcBorders>
            <w:tcW w:w="7825" w:type="dxa"/>
            <w:vAlign w:val="center"/>
            <w:textDirection w:val="lrTb"/>
            <w:noWrap/>
          </w:tcPr>
          <w:p>
            <w:pPr>
              <w:jc w:val="center"/>
              <w:widowControl/>
              <w:rPr>
                <w:rFonts w:ascii="方正仿宋_GBK" w:hAnsi="宋体" w:eastAsia="方正仿宋_GBK" w:cs="宋体"/>
                <w:b/>
                <w:bCs/>
                <w:sz w:val="24"/>
              </w:rPr>
            </w:pPr>
            <w:r>
              <w:rPr>
                <w:rFonts w:hint="eastAsia" w:ascii="方正仿宋_GBK" w:hAnsi="宋体" w:eastAsia="方正仿宋_GBK" w:cs="宋体"/>
                <w:b/>
                <w:bCs/>
                <w:sz w:val="24"/>
              </w:rPr>
              <w:t xml:space="preserve">具体服务对象</w:t>
            </w:r>
            <w:r/>
          </w:p>
        </w:tc>
      </w:tr>
      <w:tr>
        <w:trPr>
          <w:trHeight w:val="424"/>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1类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低保、低收入对象中60周岁及以上中度重度失能老人</w:t>
            </w:r>
            <w:r/>
          </w:p>
        </w:tc>
      </w:tr>
      <w:tr>
        <w:trPr>
          <w:trHeight w:val="620"/>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2类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低保、低收入对象中80周岁及以上的老人</w:t>
            </w:r>
            <w:r/>
          </w:p>
        </w:tc>
      </w:tr>
      <w:tr>
        <w:trPr>
          <w:trHeight w:val="511"/>
        </w:trPr>
        <w:tc>
          <w:tcPr>
            <w:tcBorders>
              <w:top w:val="single" w:color="000000" w:sz="4" w:space="0"/>
              <w:left w:val="single" w:color="000000" w:sz="4" w:space="0"/>
              <w:bottom w:val="single" w:color="000000" w:sz="4" w:space="0"/>
              <w:right w:val="single" w:color="auto" w:sz="4" w:space="0"/>
            </w:tcBorders>
            <w:tcW w:w="724" w:type="dxa"/>
            <w:vAlign w:val="center"/>
            <w:vMerge w:val="restart"/>
            <w:textDirection w:val="lrTb"/>
            <w:noWrap/>
          </w:tcPr>
          <w:p>
            <w:pPr>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3类</w:t>
            </w:r>
            <w:r/>
          </w:p>
        </w:tc>
        <w:tc>
          <w:tcPr>
            <w:tcBorders>
              <w:top w:val="single" w:color="000000" w:sz="4" w:space="0"/>
              <w:left w:val="single" w:color="auto" w:sz="4" w:space="0"/>
              <w:bottom w:val="single" w:color="auto" w:sz="4" w:space="0"/>
              <w:right w:val="single" w:color="000000" w:sz="4" w:space="0"/>
            </w:tcBorders>
            <w:tcW w:w="851" w:type="dxa"/>
            <w:vAlign w:val="center"/>
            <w:textDirection w:val="lrTb"/>
            <w:noWrap w:val="false"/>
          </w:tcPr>
          <w:p>
            <w:pPr>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A类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具备生活自理能力的分散供养特困人员</w:t>
            </w:r>
            <w:r/>
          </w:p>
        </w:tc>
      </w:tr>
      <w:tr>
        <w:trPr>
          <w:trHeight w:val="391"/>
        </w:trPr>
        <w:tc>
          <w:tcPr>
            <w:tcBorders>
              <w:top w:val="single" w:color="000000" w:sz="4" w:space="0"/>
              <w:left w:val="single" w:color="000000" w:sz="4" w:space="0"/>
              <w:bottom w:val="single" w:color="000000" w:sz="4" w:space="0"/>
              <w:right w:val="single" w:color="auto" w:sz="4" w:space="0"/>
            </w:tcBorders>
            <w:tcW w:w="724" w:type="dxa"/>
            <w:vAlign w:val="center"/>
            <w:vMerge w:val="continue"/>
            <w:textDirection w:val="lrTb"/>
            <w:noWrap/>
          </w:tcPr>
          <w:p>
            <w:pPr>
              <w:ind w:firstLine="489"/>
              <w:jc w:val="left"/>
              <w:spacing w:line="540" w:lineRule="exact"/>
              <w:widowControl/>
              <w:rPr>
                <w:rFonts w:ascii="方正仿宋_GBK" w:hAnsi="宋体" w:eastAsia="方正仿宋_GBK"/>
                <w:sz w:val="24"/>
              </w:rPr>
            </w:pPr>
            <w:r>
              <w:rPr>
                <w:rFonts w:ascii="方正仿宋_GBK" w:hAnsi="宋体" w:eastAsia="方正仿宋_GBK"/>
                <w:sz w:val="24"/>
              </w:rPr>
            </w:r>
            <w:r/>
          </w:p>
        </w:tc>
        <w:tc>
          <w:tcPr>
            <w:tcBorders>
              <w:top w:val="single" w:color="auto" w:sz="4" w:space="0"/>
              <w:left w:val="single" w:color="auto" w:sz="4" w:space="0"/>
              <w:bottom w:val="single" w:color="auto" w:sz="4" w:space="0"/>
              <w:right w:val="single" w:color="000000" w:sz="4" w:space="0"/>
            </w:tcBorders>
            <w:tcW w:w="851" w:type="dxa"/>
            <w:vAlign w:val="center"/>
            <w:textDirection w:val="lrTb"/>
            <w:noWrap w:val="false"/>
          </w:tcPr>
          <w:p>
            <w:pPr>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B类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部分丧失生活自理能力的分散供养特困人员</w:t>
            </w:r>
            <w:r/>
          </w:p>
        </w:tc>
      </w:tr>
      <w:tr>
        <w:trPr>
          <w:trHeight w:val="399"/>
        </w:trPr>
        <w:tc>
          <w:tcPr>
            <w:tcBorders>
              <w:top w:val="single" w:color="000000" w:sz="4" w:space="0"/>
              <w:left w:val="single" w:color="000000" w:sz="4" w:space="0"/>
              <w:bottom w:val="single" w:color="000000" w:sz="4" w:space="0"/>
              <w:right w:val="single" w:color="auto" w:sz="4" w:space="0"/>
            </w:tcBorders>
            <w:tcW w:w="724" w:type="dxa"/>
            <w:vAlign w:val="center"/>
            <w:vMerge w:val="continue"/>
            <w:textDirection w:val="lrTb"/>
            <w:noWrap/>
          </w:tcPr>
          <w:p>
            <w:pPr>
              <w:ind w:firstLine="489"/>
              <w:jc w:val="left"/>
              <w:spacing w:line="540" w:lineRule="exact"/>
              <w:widowControl/>
              <w:rPr>
                <w:rFonts w:ascii="方正仿宋_GBK" w:hAnsi="宋体" w:eastAsia="方正仿宋_GBK"/>
                <w:sz w:val="24"/>
              </w:rPr>
            </w:pPr>
            <w:r>
              <w:rPr>
                <w:rFonts w:ascii="方正仿宋_GBK" w:hAnsi="宋体" w:eastAsia="方正仿宋_GBK"/>
                <w:sz w:val="24"/>
              </w:rPr>
            </w:r>
            <w:r/>
          </w:p>
        </w:tc>
        <w:tc>
          <w:tcPr>
            <w:tcBorders>
              <w:top w:val="single" w:color="auto" w:sz="4" w:space="0"/>
              <w:left w:val="single" w:color="auto" w:sz="4" w:space="0"/>
              <w:bottom w:val="single" w:color="000000" w:sz="4" w:space="0"/>
              <w:right w:val="single" w:color="000000" w:sz="4" w:space="0"/>
            </w:tcBorders>
            <w:tcW w:w="851" w:type="dxa"/>
            <w:vAlign w:val="center"/>
            <w:textDirection w:val="lrTb"/>
            <w:noWrap w:val="false"/>
          </w:tcPr>
          <w:p>
            <w:pPr>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C类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完全丧失生活自理能力的分散供养特困人员</w:t>
            </w:r>
            <w:r/>
          </w:p>
        </w:tc>
      </w:tr>
      <w:tr>
        <w:trPr>
          <w:trHeight w:val="421"/>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4类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低保、低收入对象中60周岁及以上的失独老人</w:t>
            </w:r>
            <w:r/>
          </w:p>
        </w:tc>
      </w:tr>
      <w:tr>
        <w:trPr>
          <w:trHeight w:val="429"/>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5类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val="false"/>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在乡重点优抚对象中70周岁及以上老人</w:t>
            </w:r>
            <w:r/>
          </w:p>
        </w:tc>
      </w:tr>
      <w:tr>
        <w:trPr>
          <w:trHeight w:val="620"/>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6类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80周岁及以上的残疾老人</w:t>
            </w:r>
            <w:r/>
          </w:p>
        </w:tc>
      </w:tr>
      <w:tr>
        <w:trPr>
          <w:trHeight w:val="620"/>
        </w:trPr>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7类</w:t>
            </w:r>
            <w:r/>
          </w:p>
        </w:tc>
        <w:tc>
          <w:tcPr>
            <w:shd w:val="clear" w:color="auto" w:fill="ffffff"/>
            <w:tcBorders>
              <w:top w:val="single" w:color="000000" w:sz="4" w:space="0"/>
              <w:left w:val="single" w:color="000000" w:sz="4" w:space="0"/>
              <w:bottom w:val="single" w:color="000000" w:sz="4" w:space="0"/>
              <w:right w:val="single" w:color="000000" w:sz="4" w:space="0"/>
            </w:tcBorders>
            <w:tcW w:w="7825" w:type="dxa"/>
            <w:vAlign w:val="center"/>
            <w:textDirection w:val="lrTb"/>
            <w:noWrap/>
          </w:tcPr>
          <w:p>
            <w:pPr>
              <w:ind w:firstLine="489"/>
              <w:jc w:val="left"/>
              <w:spacing w:line="540" w:lineRule="exact"/>
              <w:widowControl/>
              <w:rPr>
                <w:rFonts w:ascii="方正仿宋_GBK" w:hAnsi="宋体" w:eastAsia="方正仿宋_GBK"/>
                <w:sz w:val="24"/>
              </w:rPr>
            </w:pPr>
            <w:r>
              <w:rPr>
                <w:rFonts w:hint="eastAsia" w:ascii="方正仿宋_GBK" w:hAnsi="宋体" w:eastAsia="方正仿宋_GBK"/>
                <w:sz w:val="24"/>
              </w:rPr>
              <w:t xml:space="preserve">90周岁及以上高龄老人</w:t>
            </w:r>
            <w:r/>
          </w:p>
        </w:tc>
      </w:tr>
    </w:tbl>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二、各标包服务要求</w:t>
      </w:r>
      <w:r/>
    </w:p>
    <w:p>
      <w:pPr>
        <w:ind w:firstLine="562"/>
        <w:spacing w:line="500" w:lineRule="exact"/>
        <w:rPr>
          <w:rFonts w:eastAsia="方正仿宋_GBK"/>
          <w:b/>
          <w:bCs/>
          <w:sz w:val="28"/>
          <w:szCs w:val="28"/>
        </w:rPr>
      </w:pPr>
      <w:r>
        <w:rPr>
          <w:rFonts w:hint="eastAsia" w:eastAsia="方正仿宋_GBK"/>
          <w:b/>
          <w:bCs/>
          <w:sz w:val="28"/>
          <w:szCs w:val="28"/>
        </w:rPr>
        <w:t xml:space="preserve">（一）一标包线上服务要求</w:t>
      </w:r>
      <w:r/>
    </w:p>
    <w:p>
      <w:pPr>
        <w:ind w:firstLine="560"/>
        <w:spacing w:line="500" w:lineRule="exact"/>
        <w:rPr>
          <w:rFonts w:eastAsia="方正仿宋_GBK"/>
          <w:sz w:val="28"/>
          <w:szCs w:val="28"/>
        </w:rPr>
      </w:pPr>
      <w:r>
        <w:rPr>
          <w:rFonts w:hint="eastAsia" w:eastAsia="方正仿宋_GBK"/>
          <w:sz w:val="28"/>
          <w:szCs w:val="28"/>
        </w:rPr>
        <w:t xml:space="preserve">1、平台建设</w:t>
      </w:r>
      <w:r/>
    </w:p>
    <w:p>
      <w:pPr>
        <w:ind w:firstLine="560"/>
        <w:spacing w:line="500" w:lineRule="exact"/>
        <w:rPr>
          <w:rFonts w:eastAsia="方正仿宋_GBK"/>
          <w:sz w:val="28"/>
          <w:szCs w:val="28"/>
        </w:rPr>
      </w:pPr>
      <w:r>
        <w:rPr>
          <w:rFonts w:hint="eastAsia" w:eastAsia="方正仿宋_GBK"/>
          <w:sz w:val="28"/>
          <w:szCs w:val="28"/>
        </w:rPr>
        <w:t xml:space="preserve">（1）新建启东市智慧养老综合平台系统，包含老年人能力评估、居家养老服务管理、社区养老服务管理、机构养老服务管理等模块，且能根据采购人的要求开发其他养老业务功能模块。</w:t>
      </w:r>
      <w:r/>
    </w:p>
    <w:p>
      <w:pPr>
        <w:ind w:firstLine="560"/>
        <w:spacing w:line="500" w:lineRule="exact"/>
        <w:rPr>
          <w:rFonts w:eastAsia="方正仿宋_GBK"/>
          <w:sz w:val="28"/>
          <w:szCs w:val="28"/>
        </w:rPr>
      </w:pPr>
      <w:r>
        <w:rPr>
          <w:rFonts w:hint="eastAsia" w:eastAsia="方正仿宋_GBK"/>
          <w:sz w:val="28"/>
          <w:szCs w:val="28"/>
        </w:rPr>
        <w:t xml:space="preserve">（2）负责启东市智慧养老综合平台的开发、运转及日常维护。</w:t>
      </w:r>
      <w:r/>
    </w:p>
    <w:p>
      <w:pPr>
        <w:ind w:firstLine="560"/>
        <w:spacing w:line="500" w:lineRule="exact"/>
        <w:rPr>
          <w:rFonts w:eastAsia="方正仿宋_GBK"/>
          <w:sz w:val="28"/>
          <w:szCs w:val="28"/>
        </w:rPr>
      </w:pPr>
      <w:r>
        <w:rPr>
          <w:rFonts w:hint="eastAsia" w:eastAsia="方正仿宋_GBK"/>
          <w:sz w:val="28"/>
          <w:szCs w:val="28"/>
        </w:rPr>
        <w:t xml:space="preserve">（3）系统分级及功能如下：</w:t>
      </w:r>
      <w:r/>
    </w:p>
    <w:tbl>
      <w:tblPr>
        <w:tblStyle w:val="870"/>
        <w:tblW w:w="88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6"/>
        <w:gridCol w:w="1808"/>
        <w:gridCol w:w="5788"/>
      </w:tblGrid>
      <w:tr>
        <w:trPr>
          <w:trHeight w:val="419"/>
        </w:trPr>
        <w:tc>
          <w:tcPr>
            <w:tcW w:w="1296" w:type="dxa"/>
            <w:textDirection w:val="lrTb"/>
            <w:noWrap/>
          </w:tcPr>
          <w:p>
            <w:pPr>
              <w:jc w:val="center"/>
              <w:spacing w:line="440" w:lineRule="exact"/>
              <w:widowControl/>
              <w:rPr>
                <w:rFonts w:ascii="方正仿宋_GBK" w:hAnsi="宋体" w:eastAsia="方正仿宋_GBK" w:cs="宋体"/>
                <w:b/>
                <w:bCs/>
                <w:sz w:val="24"/>
                <w:lang w:val="zh-CN"/>
              </w:rPr>
            </w:pPr>
            <w:r>
              <w:rPr>
                <w:rFonts w:hint="eastAsia" w:ascii="方正仿宋_GBK" w:hAnsi="宋体" w:eastAsia="方正仿宋_GBK" w:cs="宋体"/>
                <w:b/>
                <w:bCs/>
                <w:sz w:val="24"/>
                <w:lang w:val="zh-CN"/>
              </w:rPr>
              <w:t xml:space="preserve">项目</w:t>
            </w:r>
            <w:r/>
          </w:p>
        </w:tc>
        <w:tc>
          <w:tcPr>
            <w:tcW w:w="1808" w:type="dxa"/>
            <w:textDirection w:val="lrTb"/>
            <w:noWrap/>
          </w:tcPr>
          <w:p>
            <w:pPr>
              <w:jc w:val="center"/>
              <w:spacing w:line="440" w:lineRule="exact"/>
              <w:widowControl/>
              <w:rPr>
                <w:rFonts w:ascii="方正仿宋_GBK" w:hAnsi="宋体" w:eastAsia="方正仿宋_GBK" w:cs="宋体"/>
                <w:b/>
                <w:bCs/>
                <w:sz w:val="24"/>
                <w:lang w:val="zh-CN"/>
              </w:rPr>
            </w:pPr>
            <w:r>
              <w:rPr>
                <w:rFonts w:hint="eastAsia" w:ascii="方正仿宋_GBK" w:hAnsi="宋体" w:eastAsia="方正仿宋_GBK" w:cs="宋体"/>
                <w:b/>
                <w:bCs/>
                <w:sz w:val="24"/>
                <w:lang w:val="zh-CN"/>
              </w:rPr>
              <w:t xml:space="preserve">功能名称</w:t>
            </w:r>
            <w:r/>
          </w:p>
        </w:tc>
        <w:tc>
          <w:tcPr>
            <w:tcW w:w="5788" w:type="dxa"/>
            <w:textDirection w:val="lrTb"/>
            <w:noWrap/>
          </w:tcPr>
          <w:p>
            <w:pPr>
              <w:jc w:val="center"/>
              <w:spacing w:line="440" w:lineRule="exact"/>
              <w:widowControl/>
              <w:rPr>
                <w:rFonts w:ascii="方正仿宋_GBK" w:hAnsi="宋体" w:eastAsia="方正仿宋_GBK" w:cs="宋体"/>
                <w:b/>
                <w:bCs/>
                <w:sz w:val="24"/>
                <w:lang w:val="zh-CN"/>
              </w:rPr>
            </w:pPr>
            <w:r>
              <w:rPr>
                <w:rFonts w:hint="eastAsia" w:ascii="方正仿宋_GBK" w:hAnsi="宋体" w:eastAsia="方正仿宋_GBK" w:cs="宋体"/>
                <w:b/>
                <w:bCs/>
                <w:sz w:val="24"/>
                <w:lang w:val="zh-CN"/>
              </w:rPr>
              <w:t xml:space="preserve">功能描述</w:t>
            </w:r>
            <w:r/>
          </w:p>
        </w:tc>
      </w:tr>
      <w:tr>
        <w:trPr>
          <w:trHeight w:val="817"/>
        </w:trPr>
        <w:tc>
          <w:tcPr>
            <w:tcW w:w="129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系统功能</w:t>
            </w:r>
            <w:r/>
          </w:p>
        </w:tc>
        <w:tc>
          <w:tcPr>
            <w:tcW w:w="1808" w:type="dxa"/>
            <w:vAlign w:val="center"/>
            <w:textDirection w:val="lrTb"/>
            <w:noWrap/>
          </w:tcPr>
          <w:p>
            <w:pPr>
              <w:ind w:right="69"/>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启东市智慧养老综合平台</w:t>
            </w:r>
            <w:r/>
          </w:p>
        </w:tc>
        <w:tc>
          <w:tcPr>
            <w:tcW w:w="5788"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本系统将启东市养老工作分为居家养老服务、社区养老服务、机构养老服务三个板块，实现服务调度、品质监管、数据留痕、数据分析及数据应用等更科学高效的管理。</w:t>
            </w:r>
            <w:r/>
          </w:p>
        </w:tc>
      </w:tr>
      <w:tr>
        <w:trPr>
          <w:trHeight w:val="1361"/>
        </w:trPr>
        <w:tc>
          <w:tcPr>
            <w:tcW w:w="1296" w:type="dxa"/>
            <w:vAlign w:val="center"/>
            <w:vMerge w:val="restart"/>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居家养老服务</w:t>
            </w:r>
            <w:r>
              <w:rPr>
                <w:rFonts w:hint="eastAsia" w:ascii="方正仿宋_GBK" w:hAnsi="宋体" w:eastAsia="方正仿宋_GBK" w:cs="宋体"/>
                <w:szCs w:val="21"/>
                <w:lang w:val="zh-CN" w:bidi="zh-CN"/>
              </w:rPr>
              <w:t xml:space="preserve">模块</w:t>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val="zh-CN" w:bidi="zh-CN"/>
              </w:rPr>
              <w:t xml:space="preserve">呼</w:t>
            </w:r>
            <w:r>
              <w:rPr>
                <w:rFonts w:hint="eastAsia" w:ascii="方正仿宋_GBK" w:hAnsi="宋体" w:eastAsia="方正仿宋_GBK" w:cs="宋体"/>
                <w:szCs w:val="21"/>
                <w:lang w:bidi="zh-CN"/>
              </w:rPr>
              <w:t xml:space="preserve">叫系统</w:t>
            </w:r>
            <w:r/>
          </w:p>
        </w:tc>
        <w:tc>
          <w:tcPr>
            <w:tcW w:w="5788" w:type="dxa"/>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支持</w:t>
            </w:r>
            <w:r>
              <w:rPr>
                <w:rFonts w:hint="eastAsia" w:ascii="方正仿宋_GBK" w:hAnsi="宋体" w:eastAsia="方正仿宋_GBK" w:cs="宋体"/>
                <w:szCs w:val="21"/>
                <w:lang w:bidi="zh-CN"/>
              </w:rPr>
              <w:t xml:space="preserve">呼入、呼出</w:t>
            </w:r>
            <w:r>
              <w:rPr>
                <w:rFonts w:hint="eastAsia" w:ascii="方正仿宋_GBK" w:hAnsi="宋体" w:eastAsia="方正仿宋_GBK" w:cs="宋体"/>
                <w:szCs w:val="21"/>
                <w:lang w:val="zh-CN" w:bidi="zh-CN"/>
              </w:rPr>
              <w:t xml:space="preserve">电话，电话记录电子化保存</w:t>
            </w:r>
            <w:r>
              <w:rPr>
                <w:rFonts w:hint="eastAsia" w:ascii="方正仿宋_GBK" w:hAnsi="宋体" w:eastAsia="方正仿宋_GBK" w:cs="宋体"/>
                <w:szCs w:val="21"/>
                <w:lang w:bidi="zh-CN"/>
              </w:rPr>
              <w:t xml:space="preserve">通话</w:t>
            </w:r>
            <w:r>
              <w:rPr>
                <w:rFonts w:hint="eastAsia" w:ascii="方正仿宋_GBK" w:hAnsi="宋体" w:eastAsia="方正仿宋_GBK" w:cs="宋体"/>
                <w:szCs w:val="21"/>
                <w:lang w:val="zh-CN" w:bidi="zh-CN"/>
              </w:rPr>
              <w:t xml:space="preserve">人、</w:t>
            </w:r>
            <w:r>
              <w:rPr>
                <w:rFonts w:hint="eastAsia" w:ascii="方正仿宋_GBK" w:hAnsi="宋体" w:eastAsia="方正仿宋_GBK" w:cs="宋体"/>
                <w:szCs w:val="21"/>
                <w:lang w:bidi="zh-CN"/>
              </w:rPr>
              <w:t xml:space="preserve">通话</w:t>
            </w:r>
            <w:r>
              <w:rPr>
                <w:rFonts w:hint="eastAsia" w:ascii="方正仿宋_GBK" w:hAnsi="宋体" w:eastAsia="方正仿宋_GBK" w:cs="宋体"/>
                <w:szCs w:val="21"/>
                <w:lang w:val="zh-CN" w:bidi="zh-CN"/>
              </w:rPr>
              <w:t xml:space="preserve">时间、</w:t>
            </w:r>
            <w:r>
              <w:rPr>
                <w:rFonts w:hint="eastAsia" w:ascii="方正仿宋_GBK" w:hAnsi="宋体" w:eastAsia="方正仿宋_GBK" w:cs="宋体"/>
                <w:szCs w:val="21"/>
                <w:lang w:bidi="zh-CN"/>
              </w:rPr>
              <w:t xml:space="preserve">通话</w:t>
            </w:r>
            <w:r>
              <w:rPr>
                <w:rFonts w:hint="eastAsia" w:ascii="方正仿宋_GBK" w:hAnsi="宋体" w:eastAsia="方正仿宋_GBK" w:cs="宋体"/>
                <w:szCs w:val="21"/>
                <w:lang w:val="zh-CN" w:bidi="zh-CN"/>
              </w:rPr>
              <w:t xml:space="preserve">时长。支持来电弹出呼入人姓名、电话号码信息。支持查看用户的详细信息，包含家庭地址、来电事由快速处理，并支持同步将该通呼入转由线下服务单位上门作为紧急工单处理。所有</w:t>
            </w:r>
            <w:r>
              <w:rPr>
                <w:rFonts w:hint="eastAsia" w:ascii="方正仿宋_GBK" w:hAnsi="宋体" w:eastAsia="方正仿宋_GBK" w:cs="宋体"/>
                <w:szCs w:val="21"/>
                <w:lang w:bidi="zh-CN"/>
              </w:rPr>
              <w:t xml:space="preserve">通话</w:t>
            </w:r>
            <w:r>
              <w:rPr>
                <w:rFonts w:hint="eastAsia" w:ascii="方正仿宋_GBK" w:hAnsi="宋体" w:eastAsia="方正仿宋_GBK" w:cs="宋体"/>
                <w:szCs w:val="21"/>
                <w:lang w:val="zh-CN" w:bidi="zh-CN"/>
              </w:rPr>
              <w:t xml:space="preserve">支持自动录音，录音长久保存，</w:t>
            </w:r>
            <w:r>
              <w:rPr>
                <w:rFonts w:hint="eastAsia" w:ascii="方正仿宋_GBK" w:hAnsi="宋体" w:eastAsia="方正仿宋_GBK" w:cs="宋体"/>
                <w:szCs w:val="21"/>
                <w:lang w:bidi="zh-CN"/>
              </w:rPr>
              <w:t xml:space="preserve">并可查询及在线回听</w:t>
            </w:r>
            <w:r>
              <w:rPr>
                <w:rFonts w:hint="eastAsia" w:ascii="方正仿宋_GBK" w:hAnsi="宋体" w:eastAsia="方正仿宋_GBK" w:cs="宋体"/>
                <w:szCs w:val="21"/>
                <w:lang w:val="zh-CN" w:bidi="zh-CN"/>
              </w:rPr>
              <w:t xml:space="preserve">。</w:t>
            </w:r>
            <w:r/>
          </w:p>
        </w:tc>
      </w:tr>
      <w:tr>
        <w:trPr>
          <w:trHeight w:val="1361"/>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居家</w:t>
            </w:r>
            <w:r>
              <w:rPr>
                <w:rFonts w:hint="eastAsia" w:ascii="方正仿宋_GBK" w:hAnsi="宋体" w:eastAsia="方正仿宋_GBK" w:cs="宋体"/>
                <w:szCs w:val="21"/>
                <w:lang w:val="zh-CN" w:bidi="zh-CN"/>
              </w:rPr>
              <w:t xml:space="preserve">服务机构管理</w:t>
            </w:r>
            <w:r/>
          </w:p>
        </w:tc>
        <w:tc>
          <w:tcPr>
            <w:tcW w:w="5788"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管理</w:t>
            </w:r>
            <w:r>
              <w:rPr>
                <w:rFonts w:hint="eastAsia" w:ascii="方正仿宋_GBK" w:hAnsi="宋体" w:eastAsia="方正仿宋_GBK" w:cs="宋体"/>
                <w:szCs w:val="21"/>
                <w:lang w:val="zh-CN" w:bidi="zh-CN"/>
              </w:rPr>
              <w:t xml:space="preserve">服务机构，分配服务机构工作人员账号。添加、</w:t>
            </w:r>
            <w:r>
              <w:rPr>
                <w:rFonts w:hint="eastAsia" w:ascii="方正仿宋_GBK" w:hAnsi="宋体" w:eastAsia="方正仿宋_GBK" w:cs="宋体"/>
                <w:szCs w:val="21"/>
                <w:lang w:bidi="zh-CN"/>
              </w:rPr>
              <w:t xml:space="preserve">删减</w:t>
            </w:r>
            <w:r>
              <w:rPr>
                <w:rFonts w:hint="eastAsia" w:ascii="方正仿宋_GBK" w:hAnsi="宋体" w:eastAsia="方正仿宋_GBK" w:cs="宋体"/>
                <w:szCs w:val="21"/>
                <w:lang w:val="zh-CN" w:bidi="zh-CN"/>
              </w:rPr>
              <w:t xml:space="preserve">服务工作人员的姓名、手机、住址、劳动合同等资料。</w:t>
            </w:r>
            <w:r>
              <w:rPr>
                <w:rFonts w:hint="eastAsia" w:ascii="方正仿宋_GBK" w:hAnsi="宋体" w:eastAsia="方正仿宋_GBK" w:cs="宋体"/>
                <w:szCs w:val="21"/>
                <w:lang w:bidi="zh-CN"/>
              </w:rPr>
              <w:t xml:space="preserve">管理服务组织签约的服务商，例如助餐点等，签约后添加在系统中做记录；</w:t>
            </w:r>
            <w:r/>
          </w:p>
        </w:tc>
      </w:tr>
      <w:tr>
        <w:trPr>
          <w:trHeight w:val="159"/>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用户管理</w:t>
            </w:r>
            <w:r/>
          </w:p>
        </w:tc>
        <w:tc>
          <w:tcPr>
            <w:tcW w:w="5788"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将民政部门提供的居家养老服务数据导入，实现对</w:t>
            </w:r>
            <w:r>
              <w:rPr>
                <w:rFonts w:hint="eastAsia" w:ascii="方正仿宋_GBK" w:hAnsi="宋体" w:eastAsia="方正仿宋_GBK" w:cs="宋体"/>
                <w:szCs w:val="21"/>
                <w:lang w:bidi="zh-CN"/>
              </w:rPr>
              <w:t xml:space="preserve">服务对象</w:t>
            </w:r>
            <w:r>
              <w:rPr>
                <w:rFonts w:hint="eastAsia" w:ascii="方正仿宋_GBK" w:hAnsi="宋体" w:eastAsia="方正仿宋_GBK" w:cs="宋体"/>
                <w:szCs w:val="21"/>
                <w:lang w:val="zh-CN" w:bidi="zh-CN"/>
              </w:rPr>
              <w:t xml:space="preserve">档案电子化管理，区分服务对象类别，建立</w:t>
            </w:r>
            <w:r>
              <w:rPr>
                <w:rFonts w:hint="eastAsia" w:ascii="方正仿宋_GBK" w:hAnsi="宋体" w:eastAsia="方正仿宋_GBK" w:cs="宋体"/>
                <w:szCs w:val="21"/>
                <w:lang w:bidi="zh-CN"/>
              </w:rPr>
              <w:t xml:space="preserve">服务对象</w:t>
            </w:r>
            <w:r>
              <w:rPr>
                <w:rFonts w:hint="eastAsia" w:ascii="方正仿宋_GBK" w:hAnsi="宋体" w:eastAsia="方正仿宋_GBK" w:cs="宋体"/>
                <w:szCs w:val="21"/>
                <w:lang w:val="zh-CN" w:bidi="zh-CN"/>
              </w:rPr>
              <w:t xml:space="preserve">档案动态数据库，</w:t>
            </w:r>
            <w:r>
              <w:rPr>
                <w:rFonts w:hint="eastAsia" w:ascii="方正仿宋_GBK" w:hAnsi="宋体" w:eastAsia="方正仿宋_GBK" w:cs="宋体"/>
                <w:szCs w:val="21"/>
                <w:lang w:bidi="zh-CN"/>
              </w:rPr>
              <w:t xml:space="preserve">支持分权限</w:t>
            </w:r>
            <w:r>
              <w:rPr>
                <w:rFonts w:hint="eastAsia" w:ascii="方正仿宋_GBK" w:hAnsi="宋体" w:eastAsia="方正仿宋_GBK" w:cs="宋体"/>
                <w:szCs w:val="21"/>
                <w:lang w:val="zh-CN" w:bidi="zh-CN"/>
              </w:rPr>
              <w:t xml:space="preserve">获得服务对象姓名、身份证号码、家庭住址、联系方式、联系人等信息</w:t>
            </w:r>
            <w:r>
              <w:rPr>
                <w:rFonts w:hint="eastAsia" w:ascii="方正仿宋_GBK" w:hAnsi="宋体" w:eastAsia="方正仿宋_GBK" w:cs="宋体"/>
                <w:szCs w:val="21"/>
                <w:lang w:bidi="zh-CN"/>
              </w:rPr>
              <w:t xml:space="preserve">。</w:t>
            </w:r>
            <w:r>
              <w:rPr>
                <w:rFonts w:hint="eastAsia" w:ascii="方正仿宋_GBK" w:hAnsi="宋体" w:eastAsia="方正仿宋_GBK" w:cs="宋体"/>
                <w:szCs w:val="21"/>
                <w:lang w:val="zh-CN" w:bidi="zh-CN"/>
              </w:rPr>
              <w:t xml:space="preserve">根据</w:t>
            </w:r>
            <w:r>
              <w:rPr>
                <w:rFonts w:hint="eastAsia" w:ascii="方正仿宋_GBK" w:hAnsi="宋体" w:eastAsia="方正仿宋_GBK" w:cs="宋体"/>
                <w:szCs w:val="21"/>
                <w:lang w:bidi="zh-CN"/>
              </w:rPr>
              <w:t xml:space="preserve">服务对象</w:t>
            </w:r>
            <w:r>
              <w:rPr>
                <w:rFonts w:hint="eastAsia" w:ascii="方正仿宋_GBK" w:hAnsi="宋体" w:eastAsia="方正仿宋_GBK" w:cs="宋体"/>
                <w:szCs w:val="21"/>
                <w:lang w:val="zh-CN" w:bidi="zh-CN"/>
              </w:rPr>
              <w:t xml:space="preserve">居住地所属区域，分配给相应线下服务商，分权限管理，支持信息</w:t>
            </w:r>
            <w:r>
              <w:rPr>
                <w:rFonts w:hint="eastAsia" w:ascii="方正仿宋_GBK" w:hAnsi="宋体" w:eastAsia="方正仿宋_GBK" w:cs="宋体"/>
                <w:szCs w:val="21"/>
                <w:lang w:bidi="zh-CN"/>
              </w:rPr>
              <w:t xml:space="preserve">导入、</w:t>
            </w:r>
            <w:r>
              <w:rPr>
                <w:rFonts w:hint="eastAsia" w:ascii="方正仿宋_GBK" w:hAnsi="宋体" w:eastAsia="方正仿宋_GBK" w:cs="宋体"/>
                <w:szCs w:val="21"/>
                <w:lang w:val="zh-CN" w:bidi="zh-CN"/>
              </w:rPr>
              <w:t xml:space="preserve">导出、</w:t>
            </w:r>
            <w:r>
              <w:rPr>
                <w:rFonts w:hint="eastAsia" w:ascii="方正仿宋_GBK" w:hAnsi="宋体" w:eastAsia="方正仿宋_GBK" w:cs="宋体"/>
                <w:szCs w:val="21"/>
                <w:lang w:bidi="zh-CN"/>
              </w:rPr>
              <w:t xml:space="preserve">编辑等</w:t>
            </w:r>
            <w:r>
              <w:rPr>
                <w:rFonts w:hint="eastAsia" w:ascii="方正仿宋_GBK" w:hAnsi="宋体" w:eastAsia="方正仿宋_GBK" w:cs="宋体"/>
                <w:szCs w:val="21"/>
                <w:lang w:val="zh-CN" w:bidi="zh-CN"/>
              </w:rPr>
              <w:t xml:space="preserve">功能。</w:t>
            </w:r>
            <w:r/>
          </w:p>
        </w:tc>
      </w:tr>
      <w:tr>
        <w:trPr>
          <w:trHeight w:val="563"/>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用户电子钱包</w:t>
            </w:r>
            <w:r/>
          </w:p>
        </w:tc>
        <w:tc>
          <w:tcPr>
            <w:tcW w:w="5788" w:type="dxa"/>
            <w:vAlign w:val="center"/>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用户设立个人“电子钱包”账户，可根据用户实际需求，按照不同的服务时间、服务时长、个性化服务内容，主动预约上门服务。服务工单及时在本系统内实现响应对接，及时派发服务工单，安排服务人员进行上门服务。</w:t>
            </w:r>
            <w:r/>
          </w:p>
        </w:tc>
      </w:tr>
      <w:tr>
        <w:trPr>
          <w:trHeight w:val="563"/>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系统登录</w:t>
            </w:r>
            <w:r/>
          </w:p>
        </w:tc>
        <w:tc>
          <w:tcPr>
            <w:tcW w:w="5788"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电脑端支持通过用户名密码的方式完成登录。</w:t>
            </w:r>
            <w:r/>
          </w:p>
        </w:tc>
      </w:tr>
      <w:tr>
        <w:trPr>
          <w:trHeight w:val="1242"/>
        </w:trPr>
        <w:tc>
          <w:tcPr>
            <w:tcW w:w="1296" w:type="dxa"/>
            <w:vAlign w:val="center"/>
            <w:vMerge w:val="continue"/>
            <w:textDirection w:val="lrTb"/>
            <w:noWrap/>
          </w:tcPr>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数据导入</w:t>
            </w:r>
            <w:r/>
          </w:p>
        </w:tc>
        <w:tc>
          <w:tcPr>
            <w:tcW w:w="5788" w:type="dxa"/>
            <w:vAlign w:val="center"/>
            <w:textDirection w:val="lrTb"/>
            <w:noWrap/>
          </w:tcPr>
          <w:p>
            <w:pPr>
              <w:ind w:right="178"/>
              <w:jc w:val="left"/>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支持线下服务机构</w:t>
            </w:r>
            <w:r>
              <w:rPr>
                <w:rFonts w:hint="eastAsia" w:ascii="方正仿宋_GBK" w:hAnsi="宋体" w:eastAsia="方正仿宋_GBK" w:cs="宋体"/>
                <w:szCs w:val="21"/>
                <w:lang w:val="zh-CN" w:bidi="zh-CN"/>
              </w:rPr>
              <w:t xml:space="preserve">将民政部门提供的居家养老服务数据导入，</w:t>
            </w:r>
            <w:r>
              <w:rPr>
                <w:rFonts w:hint="eastAsia" w:ascii="方正仿宋_GBK" w:hAnsi="宋体" w:eastAsia="方正仿宋_GBK" w:cs="宋体"/>
                <w:szCs w:val="21"/>
                <w:lang w:bidi="zh-CN"/>
              </w:rPr>
              <w:t xml:space="preserve">分权限</w:t>
            </w:r>
            <w:r>
              <w:rPr>
                <w:rFonts w:hint="eastAsia" w:ascii="方正仿宋_GBK" w:hAnsi="宋体" w:eastAsia="方正仿宋_GBK" w:cs="宋体"/>
                <w:szCs w:val="21"/>
                <w:lang w:val="zh-CN" w:bidi="zh-CN"/>
              </w:rPr>
              <w:t xml:space="preserve">获得服务对象姓名、身份证号码、家庭住址、联系方式、联系人等</w:t>
            </w:r>
            <w:r>
              <w:rPr>
                <w:rFonts w:hint="eastAsia" w:ascii="方正仿宋_GBK" w:hAnsi="宋体" w:eastAsia="方正仿宋_GBK" w:cs="宋体"/>
                <w:szCs w:val="21"/>
                <w:lang w:bidi="zh-CN"/>
              </w:rPr>
              <w:t xml:space="preserve">服务所需</w:t>
            </w:r>
            <w:r>
              <w:rPr>
                <w:rFonts w:hint="eastAsia" w:ascii="方正仿宋_GBK" w:hAnsi="宋体" w:eastAsia="方正仿宋_GBK" w:cs="宋体"/>
                <w:szCs w:val="21"/>
                <w:lang w:val="zh-CN" w:bidi="zh-CN"/>
              </w:rPr>
              <w:t xml:space="preserve">信息</w:t>
            </w:r>
            <w:r>
              <w:rPr>
                <w:rFonts w:hint="eastAsia" w:ascii="方正仿宋_GBK" w:hAnsi="宋体" w:eastAsia="方正仿宋_GBK" w:cs="宋体"/>
                <w:szCs w:val="21"/>
                <w:lang w:bidi="zh-CN"/>
              </w:rPr>
              <w:t xml:space="preserve">。</w:t>
            </w:r>
            <w:r/>
          </w:p>
        </w:tc>
      </w:tr>
      <w:tr>
        <w:trPr>
          <w:trHeight w:val="1413"/>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签约功能</w:t>
            </w:r>
            <w:r/>
          </w:p>
        </w:tc>
        <w:tc>
          <w:tcPr>
            <w:tcW w:w="5788"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pacing w:val="-5"/>
                <w:szCs w:val="21"/>
                <w:lang w:val="zh-CN" w:bidi="zh-CN"/>
              </w:rPr>
              <w:t xml:space="preserve">上</w:t>
            </w:r>
            <w:r>
              <w:rPr>
                <w:rFonts w:hint="eastAsia" w:ascii="方正仿宋_GBK" w:hAnsi="宋体" w:eastAsia="方正仿宋_GBK" w:cs="宋体"/>
                <w:szCs w:val="21"/>
                <w:lang w:bidi="zh-CN"/>
              </w:rPr>
              <w:t xml:space="preserve">门服务单位工作人员通过手机端页面，在完成登录后，用手机拍摄服务对象签订的协议照片并上传至服务器，拍摄的照片应自动在图片上标记服务器时间和大致的地理位置。系统应自动记录签约时工作人员的手机定位的位置。</w:t>
            </w:r>
            <w:r/>
          </w:p>
        </w:tc>
      </w:tr>
      <w:tr>
        <w:trPr>
          <w:trHeight w:val="1361"/>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服务终端管理</w:t>
            </w:r>
            <w:r/>
          </w:p>
        </w:tc>
        <w:tc>
          <w:tcPr>
            <w:tcW w:w="5788"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线下服务机构工作人员通过手机端页面，在完成登录后，开始服务前用手机拍摄服务对象照片或视频并上传至服务器，拍摄的照片或视频应自动在图片上标记服务器时间和地理位置，服务结束后，用手机拍摄服务对象照片或视频并上传至服务器，生成电子工单，拍摄的照片或视频应自动在图片上标记服务器时间和地理位置。记录服务项目（支持多选）。系统应自动记录服务时工作人员的手机定位的位置。上门服务应支持记录和提示服务工作时长。支持工作人员手机页面的一键 SOS 报警。</w:t>
            </w:r>
            <w:r/>
          </w:p>
        </w:tc>
      </w:tr>
      <w:tr>
        <w:trPr>
          <w:trHeight w:val="661"/>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服务派单</w:t>
            </w:r>
            <w:r/>
          </w:p>
        </w:tc>
        <w:tc>
          <w:tcPr>
            <w:tcW w:w="5788"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系统支持按服务区域对线下服务人员进行派单，支持线下服务商使用区域管理员账号调整工单。支持处理呼叫中心派发的紧急工单。实施处理时，要支持用手机拍摄服务对象照片或视频并上传至服务器，拍摄的照片或视频应自动在图片上标记服务器时间和地理位置。</w:t>
            </w:r>
            <w:r/>
          </w:p>
        </w:tc>
      </w:tr>
      <w:tr>
        <w:trPr>
          <w:trHeight w:val="508"/>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系统登录</w:t>
            </w:r>
            <w:r/>
          </w:p>
        </w:tc>
        <w:tc>
          <w:tcPr>
            <w:tcW w:w="5788"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电脑端、手机端均支持通过用户名密码的方式完成登录。</w:t>
            </w:r>
            <w:r/>
          </w:p>
        </w:tc>
      </w:tr>
      <w:tr>
        <w:trPr>
          <w:trHeight w:val="455"/>
        </w:trPr>
        <w:tc>
          <w:tcPr>
            <w:tcW w:w="1296" w:type="dxa"/>
            <w:vAlign w:val="center"/>
            <w:vMerge w:val="continue"/>
            <w:textDirection w:val="lrTb"/>
            <w:noWrap/>
          </w:tcPr>
          <w:p>
            <w:pPr>
              <w:ind w:right="-5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工单审核</w:t>
            </w:r>
            <w:r/>
          </w:p>
        </w:tc>
        <w:tc>
          <w:tcPr>
            <w:tcW w:w="5788" w:type="dxa"/>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支持线下服务机构管理人员通过专用账户对每日产生的工单进行审核，对每张工单进行“合格”“不合格”“存疑”的判定。审核结果在工单列表中以“待审核”“合格”“不合格”“不明确”的状态标记。</w:t>
            </w:r>
            <w:r/>
          </w:p>
        </w:tc>
      </w:tr>
      <w:tr>
        <w:trPr>
          <w:trHeight w:val="1361"/>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服务回访</w:t>
            </w:r>
            <w:r/>
          </w:p>
        </w:tc>
        <w:tc>
          <w:tcPr>
            <w:tcW w:w="5788" w:type="dxa"/>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支持线上基层管理人员对线下已完成或正在进行的工单进行回访，回访可选择线上回访及上门回访。线上回访可在工单页面点击电话回访按键，直接回访，回访完成后在工单页面显示回访结果。线下回访，在管理人员手机端有操作界面，对正在服务或已完成服务的工单进行抽查，点击线下回访按钮开始回访。回访人员到达回访对象地址时，回访人员须点击签到，进行位置信息上传，并拍摄老人照片上传，页面还要可以标注回访对象姓名等简单信息，回访结束后在工单页面显示回访结果，并生成电子工单。</w:t>
            </w:r>
            <w:r/>
          </w:p>
        </w:tc>
      </w:tr>
      <w:tr>
        <w:trPr>
          <w:trHeight w:val="1095"/>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异常工单</w:t>
            </w:r>
            <w:r/>
          </w:p>
        </w:tc>
        <w:tc>
          <w:tcPr>
            <w:tcW w:w="5788" w:type="dxa"/>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对时间不足 1 小时，开始服务地址、结束服务地址、服务对象的居住地址三个地址偏差超过 50 米的，系统支持自动判定为异常工单，异常工单支持自动化发给线下服务单位申诉。</w:t>
            </w:r>
            <w:r/>
          </w:p>
        </w:tc>
      </w:tr>
      <w:tr>
        <w:trPr>
          <w:trHeight w:val="474"/>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服务质量申诉</w:t>
            </w:r>
            <w:r/>
          </w:p>
        </w:tc>
        <w:tc>
          <w:tcPr>
            <w:tcW w:w="5788" w:type="dxa"/>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线下服务单位查看异常工单、投诉工单，通过系统直接申诉，由线上服务商判定申诉结果，申诉结果支持采购人查看。</w:t>
            </w:r>
            <w:r/>
          </w:p>
        </w:tc>
      </w:tr>
      <w:tr>
        <w:trPr>
          <w:trHeight w:val="672"/>
        </w:trPr>
        <w:tc>
          <w:tcPr>
            <w:tcW w:w="1296" w:type="dxa"/>
            <w:vMerge w:val="continue"/>
            <w:textDirection w:val="lrTb"/>
            <w:noWrap/>
          </w:tcPr>
          <w:p>
            <w:pPr>
              <w:ind w:right="-50" w:firstLine="420"/>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第三方监管</w:t>
            </w:r>
            <w:r/>
          </w:p>
        </w:tc>
        <w:tc>
          <w:tcPr>
            <w:tcW w:w="5788"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支持民政部门指定的对象在手机端对线下服务单位服务质量、工单真实性等作出评价，并运用在监管结果中。</w:t>
            </w:r>
            <w:r/>
          </w:p>
        </w:tc>
      </w:tr>
      <w:tr>
        <w:trPr>
          <w:trHeight w:val="524"/>
        </w:trPr>
        <w:tc>
          <w:tcPr>
            <w:tcW w:w="1296" w:type="dxa"/>
            <w:vAlign w:val="center"/>
            <w:vMerge w:val="continue"/>
            <w:textDirection w:val="lrTb"/>
            <w:noWrap/>
          </w:tcPr>
          <w:p>
            <w:pPr>
              <w:ind w:right="-50" w:firstLine="42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民政监管</w:t>
            </w:r>
            <w:r/>
          </w:p>
        </w:tc>
        <w:tc>
          <w:tcPr>
            <w:tcW w:w="5788"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民政部门可以实时查看线下服务情况、线上回访情况及线下监管情况等。</w:t>
            </w:r>
            <w:r/>
          </w:p>
        </w:tc>
      </w:tr>
      <w:tr>
        <w:trPr>
          <w:trHeight w:val="985"/>
        </w:trPr>
        <w:tc>
          <w:tcPr>
            <w:tcW w:w="1296" w:type="dxa"/>
            <w:vAlign w:val="center"/>
            <w:vMerge w:val="continue"/>
            <w:textDirection w:val="lrTb"/>
            <w:noWrap/>
          </w:tcPr>
          <w:p>
            <w:pPr>
              <w:ind w:right="-50" w:firstLine="42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数据汇总</w:t>
            </w:r>
            <w:r/>
          </w:p>
        </w:tc>
        <w:tc>
          <w:tcPr>
            <w:tcW w:w="5788"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支持按服务对象、按服务单位、按服务时间查询工单记录，查看工单详细资料（服务时间、地点、服务照片或视频）。支持按区域、按服务单位、按工时价格生成报表、导出报表。</w:t>
            </w:r>
            <w:r/>
          </w:p>
        </w:tc>
      </w:tr>
      <w:tr>
        <w:trPr>
          <w:trHeight w:val="659"/>
        </w:trPr>
        <w:tc>
          <w:tcPr>
            <w:tcW w:w="1296" w:type="dxa"/>
            <w:vAlign w:val="center"/>
            <w:vMerge w:val="continue"/>
            <w:textDirection w:val="lrTb"/>
            <w:noWrap/>
          </w:tcPr>
          <w:p>
            <w:pPr>
              <w:ind w:right="-50" w:firstLine="42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考核汇总</w:t>
            </w:r>
            <w:r/>
          </w:p>
        </w:tc>
        <w:tc>
          <w:tcPr>
            <w:tcW w:w="5788" w:type="dxa"/>
            <w:vAlign w:val="center"/>
            <w:textDirection w:val="lrTb"/>
            <w:noWrap/>
          </w:tcPr>
          <w:p>
            <w:pPr>
              <w:widowControl/>
              <w:tabs>
                <w:tab w:val="left" w:pos="745" w:leader="none"/>
              </w:tabs>
              <w:rPr>
                <w:rFonts w:ascii="方正仿宋_GBK" w:eastAsia="方正仿宋_GBK"/>
                <w:szCs w:val="21"/>
              </w:rPr>
            </w:pPr>
            <w:r>
              <w:rPr>
                <w:rFonts w:hint="eastAsia" w:ascii="方正仿宋_GBK" w:eastAsia="方正仿宋_GBK"/>
                <w:szCs w:val="21"/>
              </w:rPr>
              <w:t xml:space="preserve">收集汇总线上公司、民政部门指定对象及民政相关业务部门打分，并根据考核文件进行得分汇总，生成报告。</w:t>
            </w:r>
            <w:r/>
          </w:p>
        </w:tc>
      </w:tr>
      <w:tr>
        <w:trPr>
          <w:trHeight w:val="5255"/>
        </w:trPr>
        <w:tc>
          <w:tcPr>
            <w:tcW w:w="1296" w:type="dxa"/>
            <w:vAlign w:val="center"/>
            <w:vMerge w:val="restart"/>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社区服务管理模块</w:t>
            </w:r>
            <w:r/>
          </w:p>
        </w:tc>
        <w:tc>
          <w:tcPr>
            <w:tcW w:w="1808"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社区站点运营</w:t>
            </w:r>
            <w:r/>
          </w:p>
        </w:tc>
        <w:tc>
          <w:tcPr>
            <w:tcW w:w="5788"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终端设备支持人脸识别功能，实时准确记录站点老人的活跃度，做好多维度数据统计和分析。</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建立活动台账，开通活动的线上记录功能，包括活动计划、活动方案、活动详情、活动效果、用户满意度等线上填报功能。活动计划可在用户小程序上展示，并开放用户报名功能。</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所有社区站点的公共区域内监控实时共享给相关管理部门。</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为安全运营，小程序收集完善老人的一人一档，记录健康状况、家属联系方式、特殊禁忌（饮食、疾病）等，实现三个月一次的动态更新。小程序收集老人及家属反馈，及时优化服务，每月进行线上用户满意度测评。</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系统支持终端设备完成社区站点服务质量考评、线上数据收集、录入、留痕工作，并开放系统实名认证功能，确保每一份数据的真实有效。</w:t>
            </w:r>
            <w:r/>
          </w:p>
          <w:p>
            <w:pPr>
              <w:ind w:right="178"/>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tc>
      </w:tr>
      <w:tr>
        <w:trPr>
          <w:trHeight w:val="1361"/>
        </w:trPr>
        <w:tc>
          <w:tcPr>
            <w:tcW w:w="1296" w:type="dxa"/>
            <w:vAlign w:val="center"/>
            <w:vMerge w:val="continue"/>
            <w:textDirection w:val="lrTb"/>
            <w:noWrap/>
          </w:tcPr>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适老化改造</w:t>
            </w:r>
            <w:r/>
          </w:p>
        </w:tc>
        <w:tc>
          <w:tcPr>
            <w:tcW w:w="5788"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所有改造类项目与市级省部级系统的数据对接，实现一户一档的数据留痕。系统对于用户的姓名、身份证号、性别、年龄、监护人信息、身体状况、补贴类型、改造时间、改造地点、改造项目、验收结果、资金拨付等做详细记录，并实现实时查询和调取功能。</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系统支持启东市适老生活体验馆的所有适老产品在用户终端上展示，并向用户开放辅具购买和租赁功能。</w:t>
            </w:r>
            <w:r/>
          </w:p>
        </w:tc>
      </w:tr>
      <w:tr>
        <w:trPr>
          <w:trHeight w:val="1361"/>
        </w:trPr>
        <w:tc>
          <w:tcPr>
            <w:tcW w:w="1296" w:type="dxa"/>
            <w:vAlign w:val="center"/>
            <w:vMerge w:val="continue"/>
            <w:textDirection w:val="lrTb"/>
            <w:noWrap/>
          </w:tcPr>
          <w:p>
            <w:pPr>
              <w:ind w:right="-5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社区助餐点</w:t>
            </w:r>
            <w:r/>
          </w:p>
        </w:tc>
        <w:tc>
          <w:tcPr>
            <w:tcW w:w="5788"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系统展示各助餐点的地理信息和现场实景，根据要求，实时展现各助餐点的运营状态和就餐情况。</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根据现使用的结算系统，完成系统对接，及时记录更新享受助餐服务的人数和金额，实现系统自动统计功能。</w:t>
            </w:r>
            <w:r/>
          </w:p>
        </w:tc>
      </w:tr>
      <w:tr>
        <w:trPr>
          <w:trHeight w:val="1361"/>
        </w:trPr>
        <w:tc>
          <w:tcPr>
            <w:tcW w:w="1296" w:type="dxa"/>
            <w:vAlign w:val="center"/>
            <w:vMerge w:val="restart"/>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机构养老服务模块</w:t>
            </w:r>
            <w:r/>
          </w:p>
        </w:tc>
        <w:tc>
          <w:tcPr>
            <w:tcW w:w="1808"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公办养老机构</w:t>
            </w:r>
            <w:r/>
          </w:p>
        </w:tc>
        <w:tc>
          <w:tcPr>
            <w:tcW w:w="5788"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该系统收录启东市所有公办养老机构的基础数据，包括机构名称、机构类型、登记性质、地址、成立时间、法人信息、负责人联系方式、服务范围、总床位数、护理型床位数、房间类型及数量、收费信息、职工人员信息、人员持证情况等。</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系统支持终端设备完成养老机构服务质量考评、消防安全检查、特困人员考评、用户满意度调查问卷的线上数据收集、录入、留痕工作，并开放系统实名认证功能，确保每一份数据的真实有效。</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支持养老机构床位数据读取，实时监管各类型床位的入住情况，确保数据实时传输，及时完成数据汇总，并具有导出功能。</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支持民政局授权开放的养老机构视频监控的实时播放，系统对监控的异常及时报警，及时响应，确保监控设备24小时常亮。</w:t>
            </w:r>
            <w:r/>
          </w:p>
          <w:p>
            <w:pPr>
              <w:ind w:right="178"/>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tc>
      </w:tr>
      <w:tr>
        <w:trPr>
          <w:trHeight w:val="1361"/>
        </w:trPr>
        <w:tc>
          <w:tcPr>
            <w:tcW w:w="1296" w:type="dxa"/>
            <w:vAlign w:val="center"/>
            <w:vMerge w:val="continue"/>
            <w:textDirection w:val="lrTb"/>
            <w:noWrap/>
          </w:tcPr>
          <w:p>
            <w:pPr>
              <w:ind w:right="-50"/>
              <w:jc w:val="center"/>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民营养老机构</w:t>
            </w:r>
            <w:r/>
          </w:p>
        </w:tc>
        <w:tc>
          <w:tcPr>
            <w:tcW w:w="5788"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该系统收录启东市所有民营养老机构的基础数据，包括机构名称、机构类型、登记性质、地址、成立时间、法人信息、负责人联系方式、服务范围、总床位数、护理型床位数、房间类型及数量、收费信息、职工人员信息、人员持证情况等。</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系统支持终端设备完成养老机构服务质量考评、消防安全检查、用户满意度调查问卷的线上数据收集、录入、留痕工作，并开放实名系统认证功能，确保每一份数据的真实有效。</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支持养老机构床位数据读取，实时监管各类型床位的入住情况，确保数据实时传输，及时完成数据汇总，并具有导出功能。</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支持民政局授权开放的养老机构视频监控的实时播放，系统对监控的异常及时报警，及时响应，确保监控设备24小时常亮。</w:t>
            </w:r>
            <w:r/>
          </w:p>
          <w:p>
            <w:pPr>
              <w:ind w:right="178"/>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tc>
      </w:tr>
      <w:tr>
        <w:trPr>
          <w:trHeight w:val="1361"/>
        </w:trPr>
        <w:tc>
          <w:tcPr>
            <w:tcW w:w="129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老年人能力</w:t>
            </w:r>
            <w:r/>
          </w:p>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评估模</w:t>
            </w:r>
            <w:r>
              <w:rPr>
                <w:rFonts w:hint="eastAsia" w:ascii="方正仿宋_GBK" w:hAnsi="宋体" w:eastAsia="方正仿宋_GBK" w:cs="宋体"/>
                <w:szCs w:val="21"/>
                <w:lang w:val="zh-CN" w:bidi="zh-CN"/>
              </w:rPr>
              <w:t xml:space="preserve">块</w:t>
            </w:r>
            <w:r/>
          </w:p>
        </w:tc>
        <w:tc>
          <w:tcPr>
            <w:tcW w:w="1808"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老年人能力</w:t>
            </w:r>
            <w:r/>
          </w:p>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评估系统</w:t>
            </w:r>
            <w:r/>
          </w:p>
        </w:tc>
        <w:tc>
          <w:tcPr>
            <w:tcW w:w="5788" w:type="dxa"/>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支持民政局指定的评估服务机构使用手机终端为老人进行老年人能力评估。</w:t>
            </w:r>
            <w:r/>
          </w:p>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评估结果自动录入该系统，并做好数据留存，评估结果更新。系统具备统计、调取、导出功能。</w:t>
            </w:r>
            <w:r/>
          </w:p>
        </w:tc>
      </w:tr>
      <w:tr>
        <w:trPr>
          <w:trHeight w:val="90"/>
        </w:trPr>
        <w:tc>
          <w:tcPr>
            <w:tcW w:w="1296" w:type="dxa"/>
            <w:vAlign w:val="center"/>
            <w:vMerge w:val="restart"/>
            <w:textDirection w:val="lrTb"/>
            <w:noWrap/>
          </w:tcPr>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大屏展示模块</w:t>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center"/>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线上呼叫服务数据</w:t>
            </w:r>
            <w:r/>
          </w:p>
        </w:tc>
        <w:tc>
          <w:tcPr>
            <w:tcW w:w="5788"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eastAsia="方正仿宋_GBK"/>
                <w:szCs w:val="21"/>
              </w:rPr>
              <w:t xml:space="preserve">展示居家养老服务的总体服务数据，包括总人数，当月已服务人数、当天已服务人数；</w:t>
            </w:r>
            <w:r>
              <w:rPr>
                <w:rFonts w:hint="eastAsia" w:ascii="方正仿宋_GBK" w:hAnsi="宋体" w:eastAsia="方正仿宋_GBK" w:cs="宋体"/>
                <w:szCs w:val="21"/>
                <w:lang w:bidi="zh-CN"/>
              </w:rPr>
              <w:t xml:space="preserve">动态展示呼叫中心当天的呼入、呼出电话曲线，显示呼叫中心座席状态，区分正在接听、空闲。按日期显示线上关爱服务完成情况。</w:t>
            </w:r>
            <w:r/>
          </w:p>
        </w:tc>
      </w:tr>
      <w:tr>
        <w:trPr>
          <w:trHeight w:val="1361"/>
        </w:trPr>
        <w:tc>
          <w:tcPr>
            <w:tcW w:w="1296" w:type="dxa"/>
            <w:vMerge w:val="continue"/>
            <w:textDirection w:val="lrTb"/>
            <w:noWrap/>
          </w:tcPr>
          <w:p>
            <w:pPr>
              <w:ind w:right="-50"/>
              <w:jc w:val="left"/>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线下服务工单数据</w:t>
            </w:r>
            <w:r/>
          </w:p>
        </w:tc>
        <w:tc>
          <w:tcPr>
            <w:tcW w:w="5788"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基于地图，分区域（镇）汇总所有工单数据，按日期显示工单数，并建曲线图。</w:t>
            </w:r>
            <w:r/>
          </w:p>
        </w:tc>
      </w:tr>
      <w:tr>
        <w:trPr>
          <w:trHeight w:val="1361"/>
        </w:trPr>
        <w:tc>
          <w:tcPr>
            <w:tcW w:w="1296" w:type="dxa"/>
            <w:vMerge w:val="continue"/>
            <w:textDirection w:val="lrTb"/>
            <w:noWrap/>
          </w:tcPr>
          <w:p>
            <w:pPr>
              <w:ind w:right="-50"/>
              <w:jc w:val="left"/>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社区养老数据展示</w:t>
            </w:r>
            <w:r/>
          </w:p>
        </w:tc>
        <w:tc>
          <w:tcPr>
            <w:tcW w:w="5788" w:type="dxa"/>
            <w:vAlign w:val="center"/>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展示全市居家养老服务站点的数量、当天的服务人数、当天的助餐人数，行形成柱状图，展示各社区站点及助餐点的运营情况。</w:t>
            </w:r>
            <w:r/>
          </w:p>
        </w:tc>
      </w:tr>
      <w:tr>
        <w:trPr>
          <w:trHeight w:val="1361"/>
        </w:trPr>
        <w:tc>
          <w:tcPr>
            <w:tcW w:w="1296" w:type="dxa"/>
            <w:vMerge w:val="continue"/>
            <w:textDirection w:val="lrTb"/>
            <w:noWrap/>
          </w:tcPr>
          <w:p>
            <w:pPr>
              <w:ind w:right="-50"/>
              <w:jc w:val="left"/>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机构</w:t>
            </w:r>
            <w:r>
              <w:rPr>
                <w:rFonts w:hint="eastAsia" w:ascii="方正仿宋_GBK" w:hAnsi="宋体" w:eastAsia="方正仿宋_GBK" w:cs="宋体"/>
                <w:szCs w:val="21"/>
                <w:lang w:val="zh-CN" w:bidi="zh-CN"/>
              </w:rPr>
              <w:t xml:space="preserve">养老服务资源分布</w:t>
            </w:r>
            <w:r/>
          </w:p>
        </w:tc>
        <w:tc>
          <w:tcPr>
            <w:tcW w:w="5788" w:type="dxa"/>
            <w:vAlign w:val="center"/>
            <w:textDirection w:val="lrTb"/>
            <w:noWrap/>
          </w:tcPr>
          <w:p>
            <w:pPr>
              <w:ind w:right="178"/>
              <w:spacing w:line="400" w:lineRule="exact"/>
              <w:rPr>
                <w:rFonts w:ascii="方正仿宋_GBK" w:hAnsi="宋体" w:eastAsia="方正仿宋_GBK" w:cs="宋体"/>
                <w:szCs w:val="21"/>
                <w:lang w:bidi="zh-CN"/>
              </w:rPr>
            </w:pPr>
            <w:r>
              <w:rPr>
                <w:rFonts w:hint="eastAsia" w:ascii="方正仿宋_GBK" w:hAnsi="宋体" w:eastAsia="方正仿宋_GBK" w:cs="宋体"/>
                <w:szCs w:val="21"/>
                <w:lang w:bidi="zh-CN"/>
              </w:rPr>
              <w:t xml:space="preserve">基于地图，显示全市所有养老机构的点状分布图，显示机构数量、床位数、入住人数、床位使用率等信息。弹窗轮播显示机构名称、地址、联系人等信息。</w:t>
            </w:r>
            <w:r/>
          </w:p>
        </w:tc>
      </w:tr>
      <w:tr>
        <w:trPr>
          <w:trHeight w:val="1361"/>
        </w:trPr>
        <w:tc>
          <w:tcPr>
            <w:tcW w:w="1296" w:type="dxa"/>
            <w:vMerge w:val="restart"/>
            <w:textDirection w:val="lrTb"/>
            <w:noWrap/>
          </w:tcPr>
          <w:p>
            <w:pPr>
              <w:ind w:right="-50"/>
              <w:jc w:val="left"/>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left"/>
              <w:spacing w:line="400" w:lineRule="exact"/>
              <w:rPr>
                <w:rFonts w:ascii="方正仿宋_GBK" w:hAnsi="宋体" w:eastAsia="方正仿宋_GBK" w:cs="宋体"/>
                <w:szCs w:val="21"/>
                <w:lang w:bidi="zh-CN"/>
              </w:rPr>
            </w:pPr>
            <w:r>
              <w:rPr>
                <w:rFonts w:ascii="方正仿宋_GBK" w:hAnsi="宋体" w:eastAsia="方正仿宋_GBK" w:cs="宋体"/>
                <w:szCs w:val="21"/>
                <w:lang w:bidi="zh-CN"/>
              </w:rPr>
            </w:r>
            <w:r/>
          </w:p>
          <w:p>
            <w:pPr>
              <w:ind w:right="-50"/>
              <w:jc w:val="left"/>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拓展功能模块</w:t>
            </w:r>
            <w:r/>
          </w:p>
        </w:tc>
        <w:tc>
          <w:tcPr>
            <w:tcW w:w="1808"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数据对接</w:t>
            </w:r>
            <w:r/>
          </w:p>
        </w:tc>
        <w:tc>
          <w:tcPr>
            <w:tcW w:w="5788"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为后续相关民政数据接入预留端口。</w:t>
            </w:r>
            <w:r/>
          </w:p>
        </w:tc>
      </w:tr>
      <w:tr>
        <w:trPr>
          <w:trHeight w:val="592"/>
        </w:trPr>
        <w:tc>
          <w:tcPr>
            <w:tcW w:w="1296" w:type="dxa"/>
            <w:vMerge w:val="continue"/>
            <w:textDirection w:val="lrTb"/>
            <w:noWrap/>
          </w:tcPr>
          <w:p>
            <w:pPr>
              <w:ind w:right="-50"/>
              <w:jc w:val="left"/>
              <w:spacing w:line="400" w:lineRule="exact"/>
              <w:rPr>
                <w:rFonts w:ascii="方正仿宋_GBK" w:hAnsi="宋体" w:eastAsia="方正仿宋_GBK" w:cs="宋体"/>
                <w:szCs w:val="21"/>
                <w:lang w:val="zh-CN" w:bidi="zh-CN"/>
              </w:rPr>
            </w:pPr>
            <w:r>
              <w:rPr>
                <w:rFonts w:ascii="方正仿宋_GBK" w:hAnsi="宋体" w:eastAsia="方正仿宋_GBK" w:cs="宋体"/>
                <w:szCs w:val="21"/>
                <w:lang w:val="zh-CN" w:bidi="zh-CN"/>
              </w:rPr>
            </w:r>
            <w:r/>
          </w:p>
        </w:tc>
        <w:tc>
          <w:tcPr>
            <w:tcW w:w="1808"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配合相关工作</w:t>
            </w:r>
            <w:r/>
          </w:p>
        </w:tc>
        <w:tc>
          <w:tcPr>
            <w:tcW w:w="5788" w:type="dxa"/>
            <w:vAlign w:val="center"/>
            <w:textDirection w:val="lrTb"/>
            <w:noWrap/>
          </w:tcPr>
          <w:p>
            <w:pPr>
              <w:ind w:right="178"/>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bidi="zh-CN"/>
              </w:rPr>
              <w:t xml:space="preserve">配合采购人完成相关工作，包括对接民政系统数据等。</w:t>
            </w:r>
            <w:r/>
          </w:p>
        </w:tc>
      </w:tr>
    </w:tbl>
    <w:p>
      <w:pPr>
        <w:ind w:firstLine="560"/>
        <w:spacing w:line="500" w:lineRule="exact"/>
        <w:rPr>
          <w:rFonts w:eastAsia="方正仿宋_GBK"/>
          <w:sz w:val="28"/>
          <w:szCs w:val="28"/>
        </w:rPr>
      </w:pPr>
      <w:r>
        <w:rPr>
          <w:rFonts w:hint="eastAsia" w:eastAsia="方正仿宋_GBK"/>
          <w:sz w:val="28"/>
          <w:szCs w:val="28"/>
        </w:rPr>
        <w:t xml:space="preserve">2、平台运营</w:t>
      </w:r>
      <w:r/>
    </w:p>
    <w:p>
      <w:pPr>
        <w:ind w:firstLine="560"/>
        <w:spacing w:line="500" w:lineRule="exact"/>
        <w:rPr>
          <w:rFonts w:eastAsia="方正仿宋_GBK"/>
          <w:sz w:val="28"/>
          <w:szCs w:val="28"/>
        </w:rPr>
      </w:pPr>
      <w:r>
        <w:rPr>
          <w:rFonts w:hint="eastAsia" w:eastAsia="方正仿宋_GBK"/>
          <w:sz w:val="28"/>
          <w:szCs w:val="28"/>
        </w:rPr>
        <w:t xml:space="preserve">（1）合理设置呼叫中心，根据服务人数合理配置座席数，能为启东市约13500名服务对象及有需要的老人提供 24 小时全天候服务，包括紧急救援、生活服务咨询、养老顾问服务、第三方转介等，呼入接通率达到 100%。具体服务项目如下：</w:t>
      </w:r>
      <w:r/>
    </w:p>
    <w:p>
      <w:pPr>
        <w:ind w:firstLine="482"/>
        <w:jc w:val="center"/>
        <w:spacing w:line="440" w:lineRule="exact"/>
        <w:widowControl/>
        <w:tabs>
          <w:tab w:val="left" w:pos="2170" w:leader="none"/>
        </w:tabs>
        <w:rPr>
          <w:rFonts w:ascii="方正仿宋_GBK" w:hAnsi="宋体" w:eastAsia="方正仿宋_GBK" w:cs="宋体"/>
          <w:b/>
          <w:bCs/>
          <w:sz w:val="24"/>
          <w:lang w:bidi="zh-CN"/>
        </w:rPr>
      </w:pPr>
      <w:r>
        <w:rPr>
          <w:rFonts w:hint="eastAsia" w:ascii="方正仿宋_GBK" w:hAnsi="宋体" w:eastAsia="方正仿宋_GBK" w:cs="宋体"/>
          <w:b/>
          <w:bCs/>
          <w:sz w:val="24"/>
        </w:rPr>
        <w:t xml:space="preserve">线上服务项目及服务标准</w:t>
      </w:r>
      <w:r/>
    </w:p>
    <w:tbl>
      <w:tblPr>
        <w:tblStyle w:val="870"/>
        <w:tblW w:w="8520"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24"/>
        <w:gridCol w:w="1306"/>
        <w:gridCol w:w="5790"/>
      </w:tblGrid>
      <w:tr>
        <w:trPr>
          <w:trHeight w:val="305"/>
        </w:trPr>
        <w:tc>
          <w:tcPr>
            <w:tcW w:w="1424" w:type="dxa"/>
            <w:textDirection w:val="lrTb"/>
            <w:noWrap/>
          </w:tcPr>
          <w:p>
            <w:pPr>
              <w:ind w:right="-50"/>
              <w:jc w:val="center"/>
              <w:spacing w:line="400" w:lineRule="exact"/>
              <w:rPr>
                <w:rFonts w:ascii="方正仿宋_GBK" w:hAnsi="宋体" w:eastAsia="方正仿宋_GBK" w:cs="宋体"/>
                <w:b/>
                <w:szCs w:val="21"/>
                <w:lang w:val="zh-CN" w:bidi="zh-CN"/>
              </w:rPr>
            </w:pPr>
            <w:r>
              <w:rPr>
                <w:rFonts w:hint="eastAsia" w:ascii="方正仿宋_GBK" w:hAnsi="宋体" w:eastAsia="方正仿宋_GBK" w:cs="宋体"/>
                <w:b/>
                <w:szCs w:val="21"/>
                <w:lang w:val="zh-CN" w:bidi="zh-CN"/>
              </w:rPr>
              <w:t xml:space="preserve">服务类别</w:t>
            </w:r>
            <w:r/>
          </w:p>
        </w:tc>
        <w:tc>
          <w:tcPr>
            <w:tcW w:w="1306" w:type="dxa"/>
            <w:textDirection w:val="lrTb"/>
            <w:noWrap/>
          </w:tcPr>
          <w:p>
            <w:pPr>
              <w:ind w:right="-50"/>
              <w:jc w:val="center"/>
              <w:spacing w:line="400" w:lineRule="exact"/>
              <w:rPr>
                <w:rFonts w:ascii="方正仿宋_GBK" w:hAnsi="宋体" w:eastAsia="方正仿宋_GBK" w:cs="宋体"/>
                <w:b/>
                <w:szCs w:val="21"/>
                <w:lang w:val="zh-CN" w:bidi="zh-CN"/>
              </w:rPr>
            </w:pPr>
            <w:r>
              <w:rPr>
                <w:rFonts w:hint="eastAsia" w:ascii="方正仿宋_GBK" w:hAnsi="宋体" w:eastAsia="方正仿宋_GBK" w:cs="宋体"/>
                <w:b/>
                <w:szCs w:val="21"/>
                <w:lang w:val="zh-CN" w:bidi="zh-CN"/>
              </w:rPr>
              <w:t xml:space="preserve">服务项目</w:t>
            </w:r>
            <w:r/>
          </w:p>
        </w:tc>
        <w:tc>
          <w:tcPr>
            <w:tcW w:w="5790" w:type="dxa"/>
            <w:textDirection w:val="lrTb"/>
            <w:noWrap/>
          </w:tcPr>
          <w:p>
            <w:pPr>
              <w:ind w:right="-50" w:firstLine="422"/>
              <w:jc w:val="center"/>
              <w:spacing w:line="400" w:lineRule="exact"/>
              <w:rPr>
                <w:rFonts w:ascii="方正仿宋_GBK" w:hAnsi="宋体" w:eastAsia="方正仿宋_GBK" w:cs="宋体"/>
                <w:b/>
                <w:szCs w:val="21"/>
                <w:lang w:val="zh-CN" w:bidi="zh-CN"/>
              </w:rPr>
            </w:pPr>
            <w:r>
              <w:rPr>
                <w:rFonts w:hint="eastAsia" w:ascii="方正仿宋_GBK" w:hAnsi="宋体" w:eastAsia="方正仿宋_GBK" w:cs="宋体"/>
                <w:b/>
                <w:szCs w:val="21"/>
                <w:lang w:val="zh-CN" w:bidi="zh-CN"/>
              </w:rPr>
              <w:t xml:space="preserve">服务内容及标准</w:t>
            </w:r>
            <w:r/>
          </w:p>
        </w:tc>
      </w:tr>
      <w:tr>
        <w:trPr>
          <w:trHeight w:val="600"/>
        </w:trPr>
        <w:tc>
          <w:tcPr>
            <w:tcW w:w="1424" w:type="dxa"/>
            <w:vAlign w:val="center"/>
            <w:vMerge w:val="restart"/>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紧急救助</w:t>
            </w:r>
            <w:r/>
          </w:p>
        </w:tc>
        <w:tc>
          <w:tcPr>
            <w:tcW w:w="1306" w:type="dxa"/>
            <w:vAlign w:val="center"/>
            <w:textDirection w:val="lrTb"/>
            <w:noWrap/>
          </w:tcPr>
          <w:p>
            <w:pPr>
              <w:ind w:right="-42"/>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应急建议</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在服务对象遭遇意外或紧急情况时，能够迅速提供白金十分钟的“自救”或“互救”应急建议。</w:t>
            </w:r>
            <w:r/>
          </w:p>
        </w:tc>
      </w:tr>
      <w:tr>
        <w:trPr>
          <w:trHeight w:val="6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协助呼叫</w:t>
            </w:r>
            <w:r/>
          </w:p>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救护车辆</w:t>
            </w:r>
            <w:r/>
          </w:p>
        </w:tc>
        <w:tc>
          <w:tcPr>
            <w:tcW w:w="5790" w:type="dxa"/>
            <w:vAlign w:val="center"/>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在服务对象遭遇意外或紧急情况时，协助其呼叫急救中心电话。</w:t>
            </w:r>
            <w:r/>
          </w:p>
        </w:tc>
      </w:tr>
      <w:tr>
        <w:trPr>
          <w:trHeight w:val="6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急救医院推介</w:t>
            </w:r>
            <w:r/>
          </w:p>
        </w:tc>
        <w:tc>
          <w:tcPr>
            <w:tcW w:w="5790" w:type="dxa"/>
            <w:vAlign w:val="center"/>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向服务对象推介实施急救的医疗医院。</w:t>
            </w:r>
            <w:r/>
          </w:p>
        </w:tc>
      </w:tr>
      <w:tr>
        <w:trPr>
          <w:trHeight w:val="3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住院指导</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指导办理住院手续并提供住院注意事项咨询。</w:t>
            </w:r>
            <w:r/>
          </w:p>
        </w:tc>
      </w:tr>
      <w:tr>
        <w:trPr>
          <w:trHeight w:val="6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110报警</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在服务对象遭遇意外情况时，</w:t>
            </w:r>
            <w:r>
              <w:rPr>
                <w:rFonts w:hint="eastAsia" w:ascii="方正仿宋_GBK" w:hAnsi="宋体" w:eastAsia="方正仿宋_GBK" w:cs="宋体"/>
                <w:szCs w:val="21"/>
                <w:lang w:bidi="zh-CN"/>
              </w:rPr>
              <w:t xml:space="preserve">协助</w:t>
            </w:r>
            <w:r>
              <w:rPr>
                <w:rFonts w:hint="eastAsia" w:ascii="方正仿宋_GBK" w:hAnsi="宋体" w:eastAsia="方正仿宋_GBK" w:cs="宋体"/>
                <w:szCs w:val="21"/>
                <w:lang w:val="zh-CN" w:bidi="zh-CN"/>
              </w:rPr>
              <w:t xml:space="preserve">代为呼叫110，引导急救人员车辆到达客户地点。</w:t>
            </w:r>
            <w:r/>
          </w:p>
        </w:tc>
      </w:tr>
      <w:tr>
        <w:trPr>
          <w:trHeight w:val="6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火警呼救</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在服务对象遭遇意外情况时，</w:t>
            </w:r>
            <w:r>
              <w:rPr>
                <w:rFonts w:hint="eastAsia" w:ascii="方正仿宋_GBK" w:hAnsi="宋体" w:eastAsia="方正仿宋_GBK" w:cs="宋体"/>
                <w:szCs w:val="21"/>
                <w:lang w:bidi="zh-CN"/>
              </w:rPr>
              <w:t xml:space="preserve">协助</w:t>
            </w:r>
            <w:r>
              <w:rPr>
                <w:rFonts w:hint="eastAsia" w:ascii="方正仿宋_GBK" w:hAnsi="宋体" w:eastAsia="方正仿宋_GBK" w:cs="宋体"/>
                <w:szCs w:val="21"/>
                <w:lang w:val="zh-CN" w:bidi="zh-CN"/>
              </w:rPr>
              <w:t xml:space="preserve">代为呼叫119，引导急救人员车辆到达客户地点。</w:t>
            </w:r>
            <w:r/>
          </w:p>
        </w:tc>
      </w:tr>
      <w:tr>
        <w:trPr>
          <w:trHeight w:val="600"/>
        </w:trPr>
        <w:tc>
          <w:tcPr>
            <w:tcBorders>
              <w:top w:val="none" w:color="000000" w:sz="4" w:space="0"/>
            </w:tcBorders>
            <w:tcW w:w="1424" w:type="dxa"/>
            <w:vAlign w:val="center"/>
            <w:vMerge w:val="continue"/>
            <w:textDirection w:val="lrTb"/>
            <w:noWrap/>
          </w:tcPr>
          <w:p>
            <w:pPr>
              <w:ind w:right="-50" w:firstLine="420"/>
              <w:jc w:val="center"/>
              <w:spacing w:line="400" w:lineRule="exact"/>
              <w:rPr>
                <w:rFonts w:ascii="方正仿宋_GBK" w:hAnsi="宋体" w:eastAsia="方正仿宋_GBK" w:cs="宋体"/>
                <w:szCs w:val="21"/>
              </w:rPr>
            </w:pPr>
            <w:r>
              <w:rPr>
                <w:rFonts w:ascii="方正仿宋_GBK" w:hAnsi="宋体" w:eastAsia="方正仿宋_GBK" w:cs="宋体"/>
                <w:szCs w:val="21"/>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联络家属</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在服务对象遭遇意外或紧急情况时，协助其联系家属或紧急联系人。</w:t>
            </w:r>
            <w:r/>
          </w:p>
        </w:tc>
      </w:tr>
      <w:tr>
        <w:trPr>
          <w:trHeight w:val="757"/>
        </w:trPr>
        <w:tc>
          <w:tcPr>
            <w:tcW w:w="1424"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养老咨询</w:t>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养老顾问服务</w:t>
            </w:r>
            <w:r/>
          </w:p>
        </w:tc>
        <w:tc>
          <w:tcPr>
            <w:tcW w:w="5790" w:type="dxa"/>
            <w:textDirection w:val="lrTb"/>
            <w:noWrap/>
          </w:tcPr>
          <w:p>
            <w:pPr>
              <w:ind w:right="57"/>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根据省市《基本养老服务指导性目录》提供咨询顾问服务</w:t>
            </w:r>
            <w:r>
              <w:rPr>
                <w:rFonts w:hint="eastAsia" w:ascii="方正仿宋_GBK" w:hAnsi="宋体" w:eastAsia="方正仿宋_GBK" w:cs="宋体"/>
                <w:szCs w:val="21"/>
                <w:lang w:bidi="zh-CN"/>
              </w:rPr>
              <w:t xml:space="preserve">和政策解读</w:t>
            </w:r>
            <w:r>
              <w:rPr>
                <w:rFonts w:hint="eastAsia" w:ascii="方正仿宋_GBK" w:hAnsi="宋体" w:eastAsia="方正仿宋_GBK" w:cs="宋体"/>
                <w:szCs w:val="21"/>
                <w:lang w:val="zh-CN" w:bidi="zh-CN"/>
              </w:rPr>
              <w:t xml:space="preserve">。</w:t>
            </w:r>
            <w:r/>
          </w:p>
        </w:tc>
      </w:tr>
      <w:tr>
        <w:trPr>
          <w:trHeight w:val="300"/>
        </w:trPr>
        <w:tc>
          <w:tcPr>
            <w:tcW w:w="1424" w:type="dxa"/>
            <w:vAlign w:val="center"/>
            <w:vMerge w:val="restart"/>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第三方</w:t>
            </w:r>
            <w:r/>
          </w:p>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转介服务</w:t>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水电维修</w:t>
            </w:r>
            <w:r/>
          </w:p>
        </w:tc>
        <w:tc>
          <w:tcPr>
            <w:tcW w:w="5790" w:type="dxa"/>
            <w:vAlign w:val="center"/>
            <w:vMerge w:val="restart"/>
            <w:textDirection w:val="lrTb"/>
            <w:noWrap/>
          </w:tcPr>
          <w:p>
            <w:pPr>
              <w:ind w:right="57"/>
              <w:jc w:val="center"/>
              <w:spacing w:line="400" w:lineRule="exact"/>
              <w:rPr>
                <w:rFonts w:ascii="方正仿宋_GBK" w:hAnsi="宋体" w:eastAsia="方正仿宋_GBK" w:cs="宋体"/>
                <w:b/>
                <w:szCs w:val="21"/>
                <w:lang w:val="zh-CN" w:bidi="zh-CN"/>
              </w:rPr>
            </w:pPr>
            <w:r>
              <w:rPr>
                <w:rFonts w:hint="eastAsia" w:ascii="方正仿宋_GBK" w:hAnsi="宋体" w:eastAsia="方正仿宋_GBK" w:cs="宋体"/>
                <w:szCs w:val="21"/>
                <w:lang w:val="zh-CN" w:bidi="zh-CN"/>
              </w:rPr>
              <w:t xml:space="preserve">在服务对象有水电维修、房屋维修、管道疏通等需求时，线上服务人员联系服务对象所属片区服务商，由线下服务商及第三方服务商协同实施，具体维修的服务费用由服务对象自行承担。</w:t>
            </w:r>
            <w:r/>
          </w:p>
        </w:tc>
      </w:tr>
      <w:tr>
        <w:trPr>
          <w:trHeight w:val="300"/>
        </w:trPr>
        <w:tc>
          <w:tcPr>
            <w:tcBorders>
              <w:top w:val="none" w:color="000000" w:sz="4" w:space="0"/>
            </w:tcBorders>
            <w:tcW w:w="1424"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房屋维修</w:t>
            </w:r>
            <w:r/>
          </w:p>
        </w:tc>
        <w:tc>
          <w:tcPr>
            <w:tcBorders>
              <w:top w:val="none" w:color="000000" w:sz="4" w:space="0"/>
            </w:tcBorders>
            <w:tcW w:w="5790"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r>
      <w:tr>
        <w:trPr>
          <w:trHeight w:val="300"/>
        </w:trPr>
        <w:tc>
          <w:tcPr>
            <w:tcBorders>
              <w:top w:val="none" w:color="000000" w:sz="4" w:space="0"/>
            </w:tcBorders>
            <w:tcW w:w="1424"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管道疏通</w:t>
            </w:r>
            <w:r/>
          </w:p>
        </w:tc>
        <w:tc>
          <w:tcPr>
            <w:tcBorders>
              <w:top w:val="none" w:color="000000" w:sz="4" w:space="0"/>
            </w:tcBorders>
            <w:tcW w:w="5790"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r>
      <w:tr>
        <w:trPr>
          <w:trHeight w:val="300"/>
        </w:trPr>
        <w:tc>
          <w:tcPr>
            <w:tcBorders>
              <w:top w:val="none" w:color="000000" w:sz="4" w:space="0"/>
            </w:tcBorders>
            <w:tcW w:w="1424"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c>
          <w:tcPr>
            <w:tcW w:w="1306" w:type="dxa"/>
            <w:vAlign w:val="center"/>
            <w:textDirection w:val="lrTb"/>
            <w:noWrap/>
          </w:tcPr>
          <w:p>
            <w:pPr>
              <w:ind w:right="-50"/>
              <w:jc w:val="center"/>
              <w:spacing w:line="400" w:lineRule="exact"/>
              <w:rPr>
                <w:rFonts w:ascii="方正仿宋_GBK" w:hAnsi="宋体" w:eastAsia="方正仿宋_GBK" w:cs="宋体"/>
                <w:szCs w:val="21"/>
                <w:lang w:val="zh-CN" w:bidi="zh-CN"/>
              </w:rPr>
            </w:pPr>
            <w:r>
              <w:rPr>
                <w:rFonts w:hint="eastAsia" w:ascii="方正仿宋_GBK" w:hAnsi="宋体" w:eastAsia="方正仿宋_GBK" w:cs="宋体"/>
                <w:szCs w:val="21"/>
                <w:lang w:val="zh-CN" w:bidi="zh-CN"/>
              </w:rPr>
              <w:t xml:space="preserve">其他服务</w:t>
            </w:r>
            <w:r/>
          </w:p>
        </w:tc>
        <w:tc>
          <w:tcPr>
            <w:tcBorders>
              <w:top w:val="none" w:color="000000" w:sz="4" w:space="0"/>
            </w:tcBorders>
            <w:tcW w:w="5790" w:type="dxa"/>
            <w:vMerge w:val="continue"/>
            <w:textDirection w:val="lrTb"/>
            <w:noWrap/>
          </w:tcPr>
          <w:p>
            <w:pPr>
              <w:ind w:right="-50" w:firstLine="480"/>
              <w:spacing w:line="400" w:lineRule="exact"/>
              <w:rPr>
                <w:rFonts w:ascii="仿宋" w:hAnsi="仿宋" w:eastAsia="仿宋"/>
                <w:sz w:val="24"/>
              </w:rPr>
            </w:pPr>
            <w:r>
              <w:rPr>
                <w:rFonts w:ascii="仿宋" w:hAnsi="仿宋" w:eastAsia="仿宋"/>
                <w:sz w:val="24"/>
              </w:rPr>
            </w:r>
            <w:r/>
          </w:p>
        </w:tc>
      </w:tr>
    </w:tbl>
    <w:p>
      <w:pPr>
        <w:ind w:firstLine="560"/>
        <w:spacing w:line="500" w:lineRule="exact"/>
        <w:rPr>
          <w:rFonts w:eastAsia="方正仿宋_GBK"/>
          <w:sz w:val="28"/>
          <w:szCs w:val="28"/>
        </w:rPr>
      </w:pPr>
      <w:r>
        <w:rPr>
          <w:rFonts w:hint="eastAsia" w:eastAsia="方正仿宋_GBK"/>
          <w:sz w:val="28"/>
          <w:szCs w:val="28"/>
        </w:rPr>
        <w:t xml:space="preserve">（2）中标供应商负责全部线下服务的派单和管理，做到管理正规化、服务规范化、考核标准化。系统采用互联网和终端设备</w:t>
      </w:r>
      <w:r>
        <w:rPr>
          <w:rFonts w:hint="eastAsia" w:eastAsia="方正仿宋_GBK"/>
          <w:sz w:val="28"/>
          <w:szCs w:val="28"/>
        </w:rPr>
        <w:t xml:space="preserve">结合，具有人脸识别技术，具有完整的上门养老服务流程，对服务人员、服务商分区域（区镇）进行管理，能实时对服务人员进行定位和轨迹追踪并记录，在老人家中停留时间及任务完成状态，可通过任务状态和时间查询所有已经和正在处理的订单，能实时定位服务员从开始接单到完成订单的轨迹，能查询已完成订单的完整记录包括但不限于按区域（区镇）查询，按村居查询，按服务开始和完成时间查询，可通过姓名或身份证号进行精准查询，可整体查询某一名老人名下的所有订单发生时间，服务时间，服务满意度，服务内容，服务员工号、姓名、联系电话等基本要素信息。</w:t>
      </w:r>
      <w:r/>
    </w:p>
    <w:p>
      <w:pPr>
        <w:ind w:firstLine="560"/>
        <w:spacing w:line="500" w:lineRule="exact"/>
        <w:rPr>
          <w:rFonts w:eastAsia="方正仿宋_GBK"/>
          <w:sz w:val="28"/>
          <w:szCs w:val="28"/>
        </w:rPr>
      </w:pPr>
      <w:r>
        <w:rPr>
          <w:rFonts w:hint="eastAsia" w:eastAsia="方正仿宋_GBK"/>
          <w:sz w:val="28"/>
          <w:szCs w:val="28"/>
        </w:rPr>
        <w:t xml:space="preserve">（3）对于主动呼入的服务对象，线上平台根据服务对象居住地所属的区域，针对性派单。对户籍地与居住地分离但仍居住在启东市范围内的服务对象，线下服务由服务对象实际居住所在地区域的中标供应商上门服务。线上供应商对服务对象信息的新增、变更等须及时反馈给线下服务商，对接线下服务商上门服务</w:t>
      </w:r>
      <w:r/>
    </w:p>
    <w:p>
      <w:pPr>
        <w:ind w:firstLine="560"/>
        <w:spacing w:line="500" w:lineRule="exact"/>
        <w:rPr>
          <w:rFonts w:eastAsia="方正仿宋_GBK"/>
          <w:sz w:val="28"/>
          <w:szCs w:val="28"/>
        </w:rPr>
      </w:pPr>
      <w:r>
        <w:rPr>
          <w:rFonts w:hint="eastAsia" w:eastAsia="方正仿宋_GBK"/>
          <w:sz w:val="28"/>
          <w:szCs w:val="28"/>
        </w:rPr>
        <w:t xml:space="preserve">（4）针对线下居家养老服务制定完善的服务监管流程，并进行全程监管，按每季度线下服务平均工单数进行线下上门随访抽查，比例不得低于2%；每月服务对象电话回访达到100%。针对线下居家养老服务异常工单处理率达100%，每季度出具一份线下居家养老服务监管评估报告。</w:t>
      </w:r>
      <w:r/>
    </w:p>
    <w:p>
      <w:pPr>
        <w:ind w:firstLine="560"/>
        <w:spacing w:line="500" w:lineRule="exact"/>
        <w:rPr>
          <w:rFonts w:eastAsia="方正仿宋_GBK"/>
          <w:sz w:val="28"/>
          <w:szCs w:val="28"/>
        </w:rPr>
      </w:pPr>
      <w:r>
        <w:rPr>
          <w:rFonts w:hint="eastAsia" w:eastAsia="方正仿宋_GBK"/>
          <w:sz w:val="28"/>
          <w:szCs w:val="28"/>
        </w:rPr>
        <w:t xml:space="preserve">（5）根据采购人需要做好社区养老服务、机构养老服务的系统对接工作，包括但不限于社区助餐点、站点运营数据。</w:t>
      </w:r>
      <w:r/>
    </w:p>
    <w:p>
      <w:pPr>
        <w:ind w:firstLine="560"/>
        <w:spacing w:line="500" w:lineRule="exact"/>
        <w:rPr>
          <w:rFonts w:eastAsia="方正仿宋_GBK"/>
          <w:sz w:val="28"/>
          <w:szCs w:val="28"/>
        </w:rPr>
      </w:pPr>
      <w:r>
        <w:rPr>
          <w:rFonts w:hint="eastAsia" w:eastAsia="方正仿宋_GBK"/>
          <w:sz w:val="28"/>
          <w:szCs w:val="28"/>
        </w:rPr>
        <w:t xml:space="preserve">3、其他要求</w:t>
      </w:r>
      <w:r/>
    </w:p>
    <w:p>
      <w:pPr>
        <w:ind w:firstLine="560"/>
        <w:spacing w:line="500" w:lineRule="exact"/>
        <w:rPr>
          <w:rFonts w:eastAsia="方正仿宋_GBK"/>
          <w:sz w:val="28"/>
          <w:szCs w:val="28"/>
        </w:rPr>
      </w:pPr>
      <w:r>
        <w:rPr>
          <w:rFonts w:hint="eastAsia" w:eastAsia="方正仿宋_GBK"/>
          <w:sz w:val="28"/>
          <w:szCs w:val="28"/>
        </w:rPr>
        <w:t xml:space="preserve">（1）中标供应商需负责将各标包社区养老服务站点和养老机构监控摄像头、客流量摄像机接入管理平台，且不得向各标包的中标供应商以此收取任何费用。</w:t>
      </w:r>
      <w:r/>
    </w:p>
    <w:p>
      <w:pPr>
        <w:ind w:firstLine="560"/>
        <w:spacing w:line="500" w:lineRule="exact"/>
        <w:rPr>
          <w:rFonts w:eastAsia="方正仿宋_GBK"/>
          <w:sz w:val="28"/>
          <w:szCs w:val="28"/>
        </w:rPr>
      </w:pPr>
      <w:r>
        <w:rPr>
          <w:rFonts w:hint="eastAsia" w:eastAsia="方正仿宋_GBK"/>
          <w:sz w:val="28"/>
          <w:szCs w:val="28"/>
        </w:rPr>
        <w:t xml:space="preserve">（2）系统必须全景展示话务数据、服务数据以及全市养老服务资源；可与市综合养老服务中心展示大屏无缝对接，系统输出分辨率与大屏分辨率完全匹配。</w:t>
      </w:r>
      <w:r/>
    </w:p>
    <w:p>
      <w:pPr>
        <w:ind w:firstLine="560"/>
        <w:spacing w:line="500" w:lineRule="exact"/>
        <w:rPr>
          <w:rFonts w:eastAsia="方正仿宋_GBK"/>
          <w:sz w:val="28"/>
          <w:szCs w:val="28"/>
        </w:rPr>
      </w:pPr>
      <w:r>
        <w:rPr>
          <w:rFonts w:hint="eastAsia" w:eastAsia="方正仿宋_GBK"/>
          <w:sz w:val="28"/>
          <w:szCs w:val="28"/>
        </w:rPr>
        <w:t xml:space="preserve">（3）中标供应商能根据采购人的要求，负责与采购人指定的系统（包括金民系统但不限于）实时对接，实现信息共享。</w:t>
      </w:r>
      <w:r/>
    </w:p>
    <w:p>
      <w:pPr>
        <w:ind w:firstLine="560"/>
        <w:spacing w:line="500" w:lineRule="exact"/>
        <w:rPr>
          <w:rFonts w:eastAsia="方正仿宋_GBK"/>
          <w:sz w:val="28"/>
          <w:szCs w:val="28"/>
        </w:rPr>
      </w:pPr>
      <w:r>
        <w:rPr>
          <w:rFonts w:hint="eastAsia" w:eastAsia="方正仿宋_GBK"/>
          <w:sz w:val="28"/>
          <w:szCs w:val="28"/>
        </w:rPr>
        <w:t xml:space="preserve">（4）中标供应商保证其为履行本合同交付的工作成果，使用的技术手段或提供的服务内容涉及的各方面均享有完全的法律权利或获得充分的授权。中标供应商因自身的权利瑕疵或侵权行为使得本合同履行侵犯第三方合法权益的均自行承担法律责任。</w:t>
      </w:r>
      <w:r/>
    </w:p>
    <w:p>
      <w:pPr>
        <w:ind w:firstLine="560"/>
        <w:spacing w:line="500" w:lineRule="exact"/>
        <w:rPr>
          <w:rFonts w:eastAsia="方正仿宋_GBK"/>
          <w:sz w:val="28"/>
          <w:szCs w:val="28"/>
        </w:rPr>
      </w:pPr>
      <w:r>
        <w:rPr>
          <w:rFonts w:hint="eastAsia" w:eastAsia="方正仿宋_GBK"/>
          <w:sz w:val="28"/>
          <w:szCs w:val="28"/>
        </w:rPr>
        <w:t xml:space="preserve">（5）中标供应商须在签订合同后30天内完成上述各项系统设计，并与原有供应商完成交接并进驻服务，确保线下服务正常开展。</w:t>
      </w:r>
      <w:r/>
    </w:p>
    <w:p>
      <w:pPr>
        <w:ind w:firstLine="562"/>
        <w:spacing w:line="500" w:lineRule="exact"/>
        <w:rPr>
          <w:rFonts w:eastAsia="方正仿宋_GBK"/>
          <w:b/>
          <w:bCs/>
          <w:sz w:val="28"/>
          <w:szCs w:val="28"/>
        </w:rPr>
      </w:pPr>
      <w:r>
        <w:rPr>
          <w:rFonts w:hint="eastAsia" w:eastAsia="方正仿宋_GBK"/>
          <w:b/>
          <w:bCs/>
          <w:sz w:val="28"/>
          <w:szCs w:val="28"/>
        </w:rPr>
        <w:t xml:space="preserve">（二）二、三、四标包居家养老上门服务要求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ab/>
      </w:r>
      <w:r>
        <w:rPr>
          <w:rFonts w:hint="eastAsia" w:eastAsia="方正仿宋_GBK"/>
          <w:sz w:val="28"/>
          <w:szCs w:val="28"/>
        </w:rPr>
        <w:t xml:space="preserve">每个标包的中标供应商必须按照采购人提供的场所，建立镇级居家养老服务中心，根据采购人的相关要求负责具体日常运营，如需另外装修由中标供应商自行承担。（可自行踏勘现场，联系人及电话详见采购公告）。</w:t>
      </w:r>
      <w:r/>
    </w:p>
    <w:p>
      <w:pPr>
        <w:ind w:firstLine="560"/>
        <w:spacing w:line="500" w:lineRule="exact"/>
        <w:rPr>
          <w:rFonts w:eastAsia="方正仿宋_GBK"/>
          <w:color w:val="ff0000"/>
          <w:sz w:val="28"/>
          <w:szCs w:val="28"/>
        </w:rPr>
      </w:pPr>
      <w:r>
        <w:rPr>
          <w:rFonts w:hint="eastAsia" w:eastAsia="方正仿宋_GBK"/>
          <w:sz w:val="28"/>
          <w:szCs w:val="28"/>
        </w:rPr>
        <w:t xml:space="preserve">2.中标供应商负责在中标服务区域内组建居家养老管理团队和养老服务人员服务团队，并在中标服务片区为居家养老服务对象提供居家养老上门服务。首次上门需通过启东智慧养老综合平台进行老年人能力评估。中标供应商需配备不少于</w:t>
      </w:r>
      <w:r>
        <w:rPr>
          <w:rFonts w:eastAsia="方正仿宋_GBK"/>
          <w:sz w:val="28"/>
          <w:szCs w:val="28"/>
        </w:rPr>
        <w:t xml:space="preserve">2</w:t>
      </w:r>
      <w:r>
        <w:rPr>
          <w:rFonts w:hint="eastAsia" w:eastAsia="方正仿宋_GBK"/>
          <w:sz w:val="28"/>
          <w:szCs w:val="28"/>
        </w:rPr>
        <w:t xml:space="preserve">名专/兼职评估人员，评估人员需有老年人能力评估师职业技能等级证书。老年人能力评估应为动态评估，在首次评估后，若无特殊变化，至少每12个月评估一次，出现特殊情况导致能力发生变化时，宜即时评估。</w:t>
      </w:r>
      <w:r/>
    </w:p>
    <w:p>
      <w:pPr>
        <w:ind w:firstLine="560"/>
        <w:spacing w:line="500" w:lineRule="exact"/>
        <w:rPr>
          <w:rFonts w:eastAsia="方正仿宋_GBK"/>
          <w:sz w:val="28"/>
          <w:szCs w:val="28"/>
        </w:rPr>
      </w:pPr>
      <w:r>
        <w:rPr>
          <w:rFonts w:hint="eastAsia" w:eastAsia="方正仿宋_GBK"/>
          <w:sz w:val="28"/>
          <w:szCs w:val="28"/>
        </w:rPr>
        <w:t xml:space="preserve">3、中标供应商在我市开展“1+N+X”特色居家养老服务，1是指每月固定服务内容，N是指在完成每月一次固定服务的基础上，根据老人服务类型和需求在剩余的服务清单中自主选择,X是指根据老人需求，提供社会化服务。</w:t>
      </w:r>
      <w:r/>
    </w:p>
    <w:p>
      <w:pPr>
        <w:ind w:firstLine="560"/>
        <w:spacing w:line="500" w:lineRule="exact"/>
        <w:rPr>
          <w:rFonts w:eastAsia="方正仿宋_GBK"/>
          <w:sz w:val="28"/>
          <w:szCs w:val="28"/>
        </w:rPr>
      </w:pPr>
      <w:r>
        <w:rPr>
          <w:rFonts w:hint="eastAsia" w:eastAsia="方正仿宋_GBK"/>
          <w:sz w:val="28"/>
          <w:szCs w:val="28"/>
        </w:rPr>
        <w:t xml:space="preserve">具体服务项目由投标人根据以上“1+N+X”服务进行组合、优化（可延伸），从服务项目、时长、费用等方面进行考虑。可选项目根据服务对象实际需求。以上内容体现在投标方案中，在评标时综合考虑。具体服务项目在实施前必须得到采购人确认。</w:t>
      </w:r>
      <w:r/>
    </w:p>
    <w:p>
      <w:pPr>
        <w:ind w:firstLine="560"/>
        <w:spacing w:line="500" w:lineRule="exact"/>
        <w:rPr>
          <w:rFonts w:eastAsia="方正仿宋_GBK"/>
          <w:sz w:val="28"/>
          <w:szCs w:val="28"/>
        </w:rPr>
      </w:pPr>
      <w:r>
        <w:rPr>
          <w:rFonts w:hint="eastAsia" w:eastAsia="方正仿宋_GBK"/>
          <w:sz w:val="28"/>
          <w:szCs w:val="28"/>
        </w:rPr>
        <w:t xml:space="preserve">1指：每月提供一次理发服务+测量血压</w:t>
      </w:r>
      <w:r/>
    </w:p>
    <w:p>
      <w:pPr>
        <w:ind w:firstLine="560"/>
        <w:spacing w:line="500" w:lineRule="exact"/>
        <w:rPr>
          <w:rFonts w:eastAsia="方正仿宋_GBK"/>
          <w:sz w:val="28"/>
          <w:szCs w:val="28"/>
        </w:rPr>
      </w:pPr>
      <w:r>
        <w:rPr>
          <w:rFonts w:hint="eastAsia" w:eastAsia="方正仿宋_GBK"/>
          <w:sz w:val="28"/>
          <w:szCs w:val="28"/>
        </w:rPr>
        <w:t xml:space="preserve">N指：</w:t>
      </w:r>
      <w:r/>
    </w:p>
    <w:p>
      <w:pPr>
        <w:ind w:firstLine="560"/>
        <w:spacing w:line="500" w:lineRule="exact"/>
        <w:rPr>
          <w:rFonts w:eastAsia="方正仿宋_GBK"/>
          <w:sz w:val="28"/>
          <w:szCs w:val="28"/>
        </w:rPr>
      </w:pPr>
      <w:r>
        <w:rPr>
          <w:rFonts w:hint="eastAsia" w:eastAsia="方正仿宋_GBK"/>
          <w:sz w:val="28"/>
          <w:szCs w:val="28"/>
        </w:rPr>
        <w:t xml:space="preserve">助餐服务：煮饭、洗菜、帮厨、协助订餐等；</w:t>
      </w:r>
      <w:r/>
    </w:p>
    <w:p>
      <w:pPr>
        <w:ind w:firstLine="560"/>
        <w:spacing w:line="500" w:lineRule="exact"/>
        <w:rPr>
          <w:rFonts w:eastAsia="方正仿宋_GBK"/>
          <w:sz w:val="28"/>
          <w:szCs w:val="28"/>
        </w:rPr>
      </w:pPr>
      <w:r>
        <w:rPr>
          <w:rFonts w:hint="eastAsia" w:eastAsia="方正仿宋_GBK"/>
          <w:sz w:val="28"/>
          <w:szCs w:val="28"/>
        </w:rPr>
        <w:t xml:space="preserve">助浴服务：指甲修剪、辅助洗浴等；</w:t>
      </w:r>
      <w:r/>
    </w:p>
    <w:p>
      <w:pPr>
        <w:ind w:firstLine="560"/>
        <w:spacing w:line="500" w:lineRule="exact"/>
        <w:rPr>
          <w:rFonts w:eastAsia="方正仿宋_GBK"/>
          <w:sz w:val="28"/>
          <w:szCs w:val="28"/>
        </w:rPr>
      </w:pPr>
      <w:r>
        <w:rPr>
          <w:rFonts w:hint="eastAsia" w:eastAsia="方正仿宋_GBK"/>
          <w:sz w:val="28"/>
          <w:szCs w:val="28"/>
        </w:rPr>
        <w:t xml:space="preserve">助洁服务：居室清洁、衣物洗涤、浴具清洁、厨卫清洁、储物整理等；</w:t>
      </w:r>
      <w:r/>
    </w:p>
    <w:p>
      <w:pPr>
        <w:ind w:firstLine="560"/>
        <w:spacing w:line="500" w:lineRule="exact"/>
        <w:rPr>
          <w:rFonts w:eastAsia="方正仿宋_GBK"/>
          <w:sz w:val="28"/>
          <w:szCs w:val="28"/>
        </w:rPr>
      </w:pPr>
      <w:r>
        <w:rPr>
          <w:rFonts w:hint="eastAsia" w:eastAsia="方正仿宋_GBK"/>
          <w:sz w:val="28"/>
          <w:szCs w:val="28"/>
        </w:rPr>
        <w:t xml:space="preserve">其它服务：煤气检测、水电安检、消防安全、紧急转介、按摩保健等；</w:t>
      </w:r>
      <w:r/>
    </w:p>
    <w:p>
      <w:pPr>
        <w:ind w:firstLine="560"/>
        <w:spacing w:line="500" w:lineRule="exact"/>
        <w:rPr>
          <w:rFonts w:eastAsia="方正仿宋_GBK"/>
          <w:sz w:val="28"/>
          <w:szCs w:val="28"/>
        </w:rPr>
      </w:pPr>
      <w:r>
        <w:rPr>
          <w:rFonts w:hint="eastAsia" w:eastAsia="方正仿宋_GBK"/>
          <w:sz w:val="28"/>
          <w:szCs w:val="28"/>
        </w:rPr>
        <w:t xml:space="preserve">X指：</w:t>
      </w:r>
      <w:r/>
    </w:p>
    <w:p>
      <w:pPr>
        <w:ind w:firstLine="560"/>
        <w:spacing w:line="500" w:lineRule="exact"/>
        <w:rPr>
          <w:rFonts w:eastAsia="方正仿宋_GBK"/>
          <w:sz w:val="28"/>
          <w:szCs w:val="28"/>
        </w:rPr>
      </w:pPr>
      <w:r>
        <w:rPr>
          <w:rFonts w:hint="eastAsia" w:eastAsia="方正仿宋_GBK"/>
          <w:sz w:val="28"/>
          <w:szCs w:val="28"/>
        </w:rPr>
        <w:t xml:space="preserve">水电维修、代买代办、陪诊就医等社会化服务，服务价格需根据启东市经济、物价发展水平，服务项目、服务内容、服务价格及服务要求报采购人同意后方可实施。</w:t>
      </w:r>
      <w:r/>
    </w:p>
    <w:p>
      <w:pPr>
        <w:ind w:firstLine="560"/>
        <w:spacing w:line="500" w:lineRule="exact"/>
        <w:rPr>
          <w:rFonts w:eastAsia="方正仿宋_GBK"/>
          <w:sz w:val="28"/>
          <w:szCs w:val="28"/>
        </w:rPr>
      </w:pPr>
      <w:r>
        <w:rPr>
          <w:rFonts w:hint="eastAsia" w:eastAsia="方正仿宋_GBK"/>
          <w:sz w:val="28"/>
          <w:szCs w:val="28"/>
        </w:rPr>
        <w:t xml:space="preserve"> 4.中标供应商在向居家养老服务对象提供居家养老上门服务时要符合服务需求、科学安排，不得影响服务对象的生活及休息。除老人主动要求，中标人组织助老员进行对接和服务时间在早7点至晚7点之间进行。</w:t>
      </w:r>
      <w:r/>
    </w:p>
    <w:p>
      <w:pPr>
        <w:ind w:firstLine="560"/>
        <w:spacing w:line="500" w:lineRule="exact"/>
        <w:rPr>
          <w:rFonts w:eastAsia="方正仿宋_GBK"/>
          <w:sz w:val="28"/>
          <w:szCs w:val="28"/>
        </w:rPr>
      </w:pPr>
      <w:r>
        <w:rPr>
          <w:rFonts w:hint="eastAsia" w:eastAsia="方正仿宋_GBK"/>
          <w:sz w:val="28"/>
          <w:szCs w:val="28"/>
        </w:rPr>
        <w:t xml:space="preserve">5.线下居家养老服务每小时单价根据各标包中标供应商的中标单价确定。中标供应商须及时将服务费结算给具体负责实施助老服务的工作人员。</w:t>
      </w:r>
      <w:r/>
    </w:p>
    <w:p>
      <w:pPr>
        <w:ind w:firstLine="560"/>
        <w:spacing w:line="500" w:lineRule="exact"/>
        <w:rPr>
          <w:rFonts w:eastAsia="方正仿宋_GBK"/>
          <w:sz w:val="28"/>
          <w:szCs w:val="28"/>
        </w:rPr>
      </w:pPr>
      <w:r>
        <w:rPr>
          <w:rFonts w:hint="eastAsia" w:eastAsia="方正仿宋_GBK"/>
          <w:sz w:val="28"/>
          <w:szCs w:val="28"/>
        </w:rPr>
        <w:t xml:space="preserve">6.对于每个居家养老服务对象，要根据其实际情况制定个性化的服务方案。服务必须依据老人意愿开展，不得强制服务，不得合并服务次数,也不得减少服务时间、简化服务内容。</w:t>
      </w:r>
      <w:r/>
    </w:p>
    <w:p>
      <w:pPr>
        <w:ind w:firstLine="560"/>
        <w:spacing w:line="500" w:lineRule="exact"/>
        <w:rPr>
          <w:rFonts w:eastAsia="方正仿宋_GBK"/>
          <w:sz w:val="28"/>
          <w:szCs w:val="28"/>
        </w:rPr>
      </w:pPr>
      <w:r>
        <w:rPr>
          <w:rFonts w:hint="eastAsia" w:eastAsia="方正仿宋_GBK"/>
          <w:sz w:val="28"/>
          <w:szCs w:val="28"/>
        </w:rPr>
        <w:t xml:space="preserve">7.中标供应商须为员工配备统一着装，并定期组织员工技能培训（每季度不少于一次），积极参加相关部门组织的相关培训和职业资格鉴定。中标供应商应该组织所有助老员进行岗前培训，培训合格方可上岗服务。中标服务期第一年取得养老护理员职业资格证书或通过养老护理员职业培训考试合格的助老员人数不少于总服务人数的25%；第二年不少于总服务人数的50%，第三年不少于总服务人数的75%。</w:t>
      </w:r>
      <w:r/>
    </w:p>
    <w:p>
      <w:pPr>
        <w:ind w:firstLine="560"/>
        <w:spacing w:line="500" w:lineRule="exact"/>
        <w:rPr>
          <w:rFonts w:eastAsia="方正仿宋_GBK"/>
          <w:sz w:val="28"/>
          <w:szCs w:val="28"/>
        </w:rPr>
      </w:pPr>
      <w:r>
        <w:rPr>
          <w:rFonts w:hint="eastAsia" w:eastAsia="方正仿宋_GBK"/>
          <w:sz w:val="28"/>
          <w:szCs w:val="28"/>
        </w:rPr>
        <w:t xml:space="preserve">8.中标供应商所配备的服务人员数量(不包含管理人员和专业服务团队人员)与系统中服务被覆盖服务户数比例不得低于1:120，且服务人员年龄不得超过65周岁。</w:t>
      </w:r>
      <w:r/>
    </w:p>
    <w:p>
      <w:pPr>
        <w:ind w:firstLine="560"/>
        <w:spacing w:line="500" w:lineRule="exact"/>
        <w:rPr>
          <w:rFonts w:eastAsia="方正仿宋_GBK"/>
          <w:sz w:val="28"/>
          <w:szCs w:val="28"/>
        </w:rPr>
      </w:pPr>
      <w:r>
        <w:rPr>
          <w:rFonts w:hint="eastAsia" w:eastAsia="方正仿宋_GBK"/>
          <w:sz w:val="28"/>
          <w:szCs w:val="28"/>
        </w:rPr>
        <w:t xml:space="preserve">9.中标供应商不得向居家养老服务对象提供超出服务范围的项目（例如推销所谓的健康保健的产品及金融理财服务等）。</w:t>
      </w:r>
      <w:r/>
    </w:p>
    <w:p>
      <w:pPr>
        <w:ind w:firstLine="560"/>
        <w:spacing w:line="500" w:lineRule="exact"/>
        <w:rPr>
          <w:rFonts w:eastAsia="方正仿宋_GBK"/>
          <w:sz w:val="28"/>
          <w:szCs w:val="28"/>
        </w:rPr>
      </w:pPr>
      <w:r>
        <w:rPr>
          <w:rFonts w:hint="eastAsia" w:eastAsia="方正仿宋_GBK"/>
          <w:sz w:val="28"/>
          <w:szCs w:val="28"/>
        </w:rPr>
        <w:t xml:space="preserve">10.中标供应商须自觉接受采购人及采购人授权的专业第三方监管公司和民政部门的评估与考核，积极配合采购人完成其他相关工作。</w:t>
      </w:r>
      <w:r/>
    </w:p>
    <w:p>
      <w:pPr>
        <w:ind w:firstLine="560"/>
        <w:spacing w:line="500" w:lineRule="exact"/>
        <w:rPr>
          <w:rFonts w:eastAsia="方正仿宋_GBK"/>
          <w:sz w:val="28"/>
          <w:szCs w:val="28"/>
        </w:rPr>
      </w:pPr>
      <w:r>
        <w:rPr>
          <w:rFonts w:hint="eastAsia" w:eastAsia="方正仿宋_GBK"/>
          <w:sz w:val="28"/>
          <w:szCs w:val="28"/>
        </w:rPr>
        <w:t xml:space="preserve">11.根据双方自愿的原则，可以开展居家养老社会化服务，服务价格以市场调节为基础，本着低利润的原则执行。</w:t>
      </w:r>
      <w:r/>
    </w:p>
    <w:p>
      <w:pPr>
        <w:ind w:firstLine="560"/>
        <w:spacing w:line="500" w:lineRule="exact"/>
        <w:rPr>
          <w:rFonts w:eastAsia="方正仿宋_GBK"/>
          <w:sz w:val="28"/>
          <w:szCs w:val="28"/>
        </w:rPr>
      </w:pPr>
      <w:r>
        <w:rPr>
          <w:rFonts w:hint="eastAsia" w:eastAsia="方正仿宋_GBK"/>
          <w:sz w:val="28"/>
          <w:szCs w:val="28"/>
        </w:rPr>
        <w:t xml:space="preserve">本项目社会化服务：要求投标人提供社会化服务第一年服务人次达到服务总人数的2%，第二年服务人次达到服务总人数的3%，第三年服务人次达到服务总人数的4%，社会化服务纳入考核。</w:t>
      </w:r>
      <w:r/>
    </w:p>
    <w:p>
      <w:pPr>
        <w:ind w:firstLine="560"/>
        <w:spacing w:line="500" w:lineRule="exact"/>
        <w:rPr>
          <w:rFonts w:eastAsia="方正仿宋_GBK"/>
          <w:sz w:val="28"/>
          <w:szCs w:val="28"/>
        </w:rPr>
      </w:pPr>
      <w:r>
        <w:rPr>
          <w:rFonts w:hint="eastAsia" w:eastAsia="方正仿宋_GBK"/>
          <w:sz w:val="28"/>
          <w:szCs w:val="28"/>
        </w:rPr>
        <w:t xml:space="preserve">社会化服务的服务价格需根据启东市经济、物价发展水平，服务项目、服务内容、服务价格及服务要求报采购人同意后方可实施。</w:t>
      </w:r>
      <w:r/>
    </w:p>
    <w:p>
      <w:pPr>
        <w:ind w:firstLine="560"/>
        <w:spacing w:line="500" w:lineRule="exact"/>
        <w:rPr>
          <w:rFonts w:eastAsia="方正仿宋_GBK"/>
          <w:sz w:val="28"/>
          <w:szCs w:val="28"/>
        </w:rPr>
      </w:pPr>
      <w:r>
        <w:rPr>
          <w:rFonts w:hint="eastAsia" w:eastAsia="方正仿宋_GBK"/>
          <w:sz w:val="28"/>
          <w:szCs w:val="28"/>
        </w:rPr>
        <w:t xml:space="preserve">12.中标供应商和养老服务人员签订合同，制定合理的薪资标准，含一切福利待遇、社保等，同时不得低于启东市最低工资标准，不得出现拖欠养老服务人员工资的情况，须为相关工作人员在上岗前及时投保意外伤害险。</w:t>
      </w:r>
      <w:r/>
    </w:p>
    <w:p>
      <w:pPr>
        <w:ind w:firstLine="560"/>
        <w:spacing w:line="500" w:lineRule="exact"/>
        <w:rPr>
          <w:rFonts w:eastAsia="方正仿宋_GBK"/>
          <w:sz w:val="28"/>
          <w:szCs w:val="28"/>
        </w:rPr>
      </w:pPr>
      <w:r>
        <w:rPr>
          <w:rFonts w:hint="eastAsia" w:eastAsia="方正仿宋_GBK"/>
          <w:sz w:val="28"/>
          <w:szCs w:val="28"/>
        </w:rPr>
        <w:t xml:space="preserve">13.中标供应商负责服务内容需要设备的购置，费用由中标供应商自理，采购人不再为此另行支付费用。</w:t>
      </w:r>
      <w:r/>
    </w:p>
    <w:p>
      <w:pPr>
        <w:ind w:firstLine="560"/>
        <w:spacing w:line="500" w:lineRule="exact"/>
        <w:rPr>
          <w:rFonts w:eastAsia="方正仿宋_GBK"/>
          <w:sz w:val="28"/>
          <w:szCs w:val="28"/>
        </w:rPr>
      </w:pPr>
      <w:r>
        <w:rPr>
          <w:rFonts w:hint="eastAsia" w:eastAsia="方正仿宋_GBK"/>
          <w:sz w:val="28"/>
          <w:szCs w:val="28"/>
        </w:rPr>
        <w:t xml:space="preserve">14.中标供应商须在居家养老服务开始前投入的相关设备和服务队伍应达到项目实施的相关要求。</w:t>
      </w:r>
      <w:r/>
    </w:p>
    <w:p>
      <w:pPr>
        <w:ind w:firstLine="560"/>
        <w:spacing w:line="500" w:lineRule="exact"/>
        <w:rPr>
          <w:rFonts w:eastAsia="方正仿宋_GBK"/>
          <w:sz w:val="28"/>
          <w:szCs w:val="28"/>
        </w:rPr>
      </w:pPr>
      <w:r>
        <w:rPr>
          <w:rFonts w:hint="eastAsia" w:eastAsia="方正仿宋_GBK"/>
          <w:sz w:val="28"/>
          <w:szCs w:val="28"/>
        </w:rPr>
        <w:t xml:space="preserve">15.中标供应商服务范围为启东市区域内，服务对象户籍地与居住地不一致的服务和费用结算方式：户籍地与居住地分离，但仍居住在启东市区域内的服务对象，由该对象实际居住所在地的中标供应商提供上门服务，费用按实际服务供应商的中标单价结算。服务对象原户籍所在地服务商须负责做好区域内服务对象居住信息变更等对接工作，确保服务对象住所变更后仍能及时享受居家服务。</w:t>
      </w:r>
      <w:r/>
    </w:p>
    <w:p>
      <w:pPr>
        <w:ind w:firstLine="562"/>
        <w:spacing w:line="500" w:lineRule="exact"/>
        <w:rPr>
          <w:rFonts w:eastAsia="方正仿宋_GBK"/>
          <w:b/>
          <w:bCs/>
          <w:sz w:val="28"/>
          <w:szCs w:val="28"/>
        </w:rPr>
      </w:pPr>
      <w:r>
        <w:rPr>
          <w:rFonts w:hint="eastAsia" w:eastAsia="方正仿宋_GBK"/>
          <w:b/>
          <w:bCs/>
          <w:sz w:val="28"/>
          <w:szCs w:val="28"/>
        </w:rPr>
        <w:t xml:space="preserve">（三）一标包</w:t>
      </w:r>
      <w:r>
        <w:rPr>
          <w:rFonts w:eastAsia="方正仿宋_GBK"/>
          <w:b/>
          <w:bCs/>
          <w:sz w:val="28"/>
          <w:szCs w:val="28"/>
        </w:rPr>
        <w:t xml:space="preserve">~</w:t>
      </w:r>
      <w:r>
        <w:rPr>
          <w:rFonts w:hint="eastAsia" w:eastAsia="方正仿宋_GBK"/>
          <w:b/>
          <w:bCs/>
          <w:sz w:val="28"/>
          <w:szCs w:val="28"/>
        </w:rPr>
        <w:t xml:space="preserve">四标包社区养老服务设施运营要求</w:t>
      </w:r>
      <w:r/>
    </w:p>
    <w:p>
      <w:pPr>
        <w:ind w:firstLine="560"/>
        <w:spacing w:line="500" w:lineRule="exact"/>
        <w:rPr>
          <w:rFonts w:eastAsia="方正仿宋_GBK"/>
          <w:sz w:val="28"/>
          <w:szCs w:val="28"/>
        </w:rPr>
      </w:pPr>
      <w:r>
        <w:rPr>
          <w:rFonts w:hint="eastAsia" w:eastAsia="方正仿宋_GBK"/>
          <w:sz w:val="28"/>
          <w:szCs w:val="28"/>
        </w:rPr>
        <w:t xml:space="preserve">1、中标供应商负责承接采购人社会化运营的长者驿家、市镇养老服务中心、睦邻点（以下统称为社区养老服务设施），全市共约36 家社区养老服务设施（以各标包合同范围内站点为准）。在服务期内运营社区养老服务设施数量可能会有变动，在合同价内按实际运营社区养老服务设施数量和运营服务人次情况结算。</w:t>
      </w:r>
      <w:r/>
    </w:p>
    <w:p>
      <w:pPr>
        <w:ind w:firstLine="560"/>
        <w:spacing w:line="500" w:lineRule="exact"/>
        <w:rPr>
          <w:rFonts w:eastAsia="方正仿宋_GBK"/>
          <w:sz w:val="28"/>
          <w:szCs w:val="28"/>
        </w:rPr>
      </w:pPr>
      <w:r>
        <w:rPr>
          <w:rFonts w:hint="eastAsia" w:eastAsia="方正仿宋_GBK"/>
          <w:sz w:val="28"/>
          <w:szCs w:val="28"/>
        </w:rPr>
        <w:t xml:space="preserve">2、人员配备要求：</w:t>
      </w:r>
      <w:r/>
    </w:p>
    <w:p>
      <w:pPr>
        <w:ind w:firstLine="560"/>
        <w:spacing w:line="500" w:lineRule="exact"/>
        <w:rPr>
          <w:rFonts w:eastAsia="方正仿宋_GBK"/>
          <w:sz w:val="28"/>
          <w:szCs w:val="28"/>
        </w:rPr>
      </w:pPr>
      <w:r>
        <w:rPr>
          <w:rFonts w:hint="eastAsia" w:eastAsia="方正仿宋_GBK"/>
          <w:sz w:val="28"/>
          <w:szCs w:val="28"/>
        </w:rPr>
        <w:t xml:space="preserve">（1）长者驿家：至少配备3名专职人员，至少1名具有社工证。</w:t>
      </w:r>
      <w:r/>
    </w:p>
    <w:p>
      <w:pPr>
        <w:ind w:firstLine="560"/>
        <w:spacing w:line="500" w:lineRule="exact"/>
        <w:rPr>
          <w:rFonts w:eastAsia="方正仿宋_GBK"/>
          <w:sz w:val="28"/>
          <w:szCs w:val="28"/>
        </w:rPr>
      </w:pPr>
      <w:r>
        <w:rPr>
          <w:rFonts w:hint="eastAsia" w:eastAsia="方正仿宋_GBK"/>
          <w:sz w:val="28"/>
          <w:szCs w:val="28"/>
        </w:rPr>
        <w:t xml:space="preserve">（2）镇养老服务中心（包括综合养老服务中心）：至少配备2名专职人员，至少1名具有社工证。</w:t>
      </w:r>
      <w:r/>
    </w:p>
    <w:p>
      <w:pPr>
        <w:ind w:firstLine="560"/>
        <w:spacing w:line="500" w:lineRule="exact"/>
        <w:rPr>
          <w:rFonts w:eastAsia="方正仿宋_GBK"/>
          <w:sz w:val="28"/>
          <w:szCs w:val="28"/>
        </w:rPr>
      </w:pPr>
      <w:r>
        <w:rPr>
          <w:rFonts w:hint="eastAsia" w:eastAsia="方正仿宋_GBK"/>
          <w:sz w:val="28"/>
          <w:szCs w:val="28"/>
        </w:rPr>
        <w:t xml:space="preserve">（3）各标包至少配备1名专职人员统一管理各标包范围内的所有睦邻点。</w:t>
      </w:r>
      <w:r/>
    </w:p>
    <w:p>
      <w:pPr>
        <w:ind w:firstLine="560"/>
        <w:spacing w:line="500" w:lineRule="exact"/>
        <w:rPr>
          <w:rFonts w:eastAsia="方正仿宋_GBK"/>
          <w:sz w:val="28"/>
          <w:szCs w:val="28"/>
        </w:rPr>
      </w:pPr>
      <w:r>
        <w:rPr>
          <w:rFonts w:hint="eastAsia" w:eastAsia="方正仿宋_GBK"/>
          <w:sz w:val="28"/>
          <w:szCs w:val="28"/>
        </w:rPr>
        <w:t xml:space="preserve">3、社区养老服务设施点位运营实际服务费的60%挂钩绩效考核结果，剩余40%按照到各点位活动人次计算。根据每天老人来各点位活动的实际情况，上午来或下午来可各计算1个人次，人次记录累加到100个人次计为1个“百人次固定额”，1个百人次固定额为100元。人次按季度累计，根据“百人次固定额”支付，累计“百人次固定额”不超过各社区养老服务设施点位运营费固定价格的40%。采购人有权根据实际情况对考核和人次计算方法进行变更。</w:t>
      </w:r>
      <w:r/>
    </w:p>
    <w:p>
      <w:pPr>
        <w:ind w:firstLine="560"/>
        <w:spacing w:line="500" w:lineRule="exact"/>
        <w:rPr>
          <w:rFonts w:eastAsia="方正仿宋_GBK"/>
          <w:sz w:val="28"/>
          <w:szCs w:val="28"/>
        </w:rPr>
      </w:pPr>
      <w:r>
        <w:rPr>
          <w:rFonts w:hint="eastAsia" w:eastAsia="方正仿宋_GBK"/>
          <w:sz w:val="28"/>
          <w:szCs w:val="28"/>
        </w:rPr>
        <w:t xml:space="preserve">4、中标供应商需要确保已接管的社区养老服务设施除法定节假日每日8小时的正常开放【具体以协议为准；在保证总服务时间的前提下，可根据镇街道办事处或村（社区）实际要求进行开关门时间的调整】。</w:t>
      </w:r>
      <w:r/>
    </w:p>
    <w:p>
      <w:pPr>
        <w:ind w:firstLine="560"/>
        <w:spacing w:line="500" w:lineRule="exact"/>
        <w:rPr>
          <w:rFonts w:eastAsia="方正仿宋_GBK"/>
          <w:sz w:val="28"/>
          <w:szCs w:val="28"/>
        </w:rPr>
      </w:pPr>
      <w:r>
        <w:rPr>
          <w:rFonts w:hint="eastAsia" w:eastAsia="方正仿宋_GBK"/>
          <w:sz w:val="28"/>
          <w:szCs w:val="28"/>
        </w:rPr>
        <w:t xml:space="preserve">5、中标供应商应根据采购人要求，适时开展助餐服务；有食堂运营条件的，可运营并按助餐文件享受运营补贴。</w:t>
      </w:r>
      <w:r/>
    </w:p>
    <w:p>
      <w:pPr>
        <w:ind w:firstLine="560"/>
        <w:spacing w:line="500" w:lineRule="exact"/>
        <w:rPr>
          <w:rFonts w:eastAsia="方正仿宋_GBK"/>
          <w:sz w:val="28"/>
          <w:szCs w:val="28"/>
        </w:rPr>
      </w:pPr>
      <w:r>
        <w:rPr>
          <w:rFonts w:hint="eastAsia" w:eastAsia="方正仿宋_GBK"/>
          <w:sz w:val="28"/>
          <w:szCs w:val="28"/>
        </w:rPr>
        <w:t xml:space="preserve">6、中标供应商负责社区养老服务设施日常的环境卫生、内务整理、整体保洁；负责社区养老服务设施固定资产、公用物资的管理；（社会化运营期间的物资丢失，由中标供应商赔偿。）负责社区养老服务设施文化氛围和环境装饰的营造。</w:t>
      </w:r>
      <w:r/>
    </w:p>
    <w:p>
      <w:pPr>
        <w:ind w:firstLine="560"/>
        <w:spacing w:line="500" w:lineRule="exact"/>
        <w:rPr>
          <w:rFonts w:eastAsia="方正仿宋_GBK"/>
          <w:sz w:val="28"/>
          <w:szCs w:val="28"/>
        </w:rPr>
      </w:pPr>
      <w:r>
        <w:rPr>
          <w:rFonts w:hint="eastAsia" w:eastAsia="方正仿宋_GBK"/>
          <w:sz w:val="28"/>
          <w:szCs w:val="28"/>
        </w:rPr>
        <w:t xml:space="preserve">7、中标供应商需要根据所在区镇街道办事处民政部门的要求，做好老人到社区养老服务设施站点的活动服务、秩序管理；配合所在区镇街道办事处和村（社区）要求，在重要节日组织活动，活跃辖区内老年人的娱乐生活；配合所在区镇街道办事处、村（社区）的其他公共服务活动。</w:t>
      </w:r>
      <w:r/>
    </w:p>
    <w:p>
      <w:pPr>
        <w:ind w:firstLine="560"/>
        <w:spacing w:line="500" w:lineRule="exact"/>
        <w:rPr>
          <w:rFonts w:eastAsia="方正仿宋_GBK"/>
          <w:sz w:val="28"/>
          <w:szCs w:val="28"/>
        </w:rPr>
      </w:pPr>
      <w:r>
        <w:rPr>
          <w:rFonts w:hint="eastAsia" w:eastAsia="方正仿宋_GBK"/>
          <w:sz w:val="28"/>
          <w:szCs w:val="28"/>
        </w:rPr>
        <w:t xml:space="preserve">8、社区养老服务设施内监控摄像头、客流量摄像机由各标包的中标供应商自行负责采购、安装、调试，费用由各标包的中标供应商承担，并自行与一标包的中标供应商进行对接，将监控摄像头、客流量摄像机数据连接到智慧养老综合平台并接受监管。</w:t>
      </w:r>
      <w:r/>
    </w:p>
    <w:p>
      <w:pPr>
        <w:ind w:firstLine="560"/>
        <w:spacing w:line="500" w:lineRule="exact"/>
        <w:rPr>
          <w:rFonts w:eastAsia="方正仿宋_GBK"/>
          <w:sz w:val="28"/>
          <w:szCs w:val="28"/>
        </w:rPr>
      </w:pPr>
      <w:r>
        <w:rPr>
          <w:rFonts w:hint="eastAsia" w:eastAsia="方正仿宋_GBK"/>
          <w:sz w:val="28"/>
          <w:szCs w:val="28"/>
        </w:rPr>
        <w:t xml:space="preserve">9、运营的社区养老服务设施的房屋租金、物业费等基础性费用由民政局所在地区镇街道办事处或村（社区）承担。运营服务期间，社区养老服务设施的水、电、网络等运营服务费用由中标供应商承担，鼓励睦邻点所在区镇街道办事处和村（社区）主动承担水、电、网络费用。</w:t>
      </w:r>
      <w:r/>
    </w:p>
    <w:p>
      <w:pPr>
        <w:ind w:firstLine="560"/>
        <w:spacing w:line="500" w:lineRule="exact"/>
        <w:rPr>
          <w:rFonts w:eastAsia="方正仿宋_GBK"/>
          <w:sz w:val="28"/>
          <w:szCs w:val="28"/>
        </w:rPr>
      </w:pPr>
      <w:r>
        <w:rPr>
          <w:rFonts w:hint="eastAsia" w:eastAsia="方正仿宋_GBK"/>
          <w:sz w:val="28"/>
          <w:szCs w:val="28"/>
        </w:rPr>
        <w:t xml:space="preserve">10、接受所在区域镇街道办事处民政部门、市民政局的业务指导、日常监督、业绩考核，监督和考核结果与运营服务经费结算挂钩。</w:t>
      </w:r>
      <w:r/>
    </w:p>
    <w:p>
      <w:pPr>
        <w:ind w:firstLine="560"/>
        <w:spacing w:line="500" w:lineRule="exact"/>
        <w:rPr>
          <w:rFonts w:eastAsia="方正仿宋_GBK"/>
          <w:sz w:val="28"/>
          <w:szCs w:val="28"/>
        </w:rPr>
      </w:pPr>
      <w:r>
        <w:rPr>
          <w:rFonts w:hint="eastAsia" w:eastAsia="方正仿宋_GBK"/>
          <w:sz w:val="28"/>
          <w:szCs w:val="28"/>
        </w:rPr>
        <w:t xml:space="preserve">11、中标供应商负责居家养老服务设施开放运营期间的安全管理工作，对突发事件进行及时处置。</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w:t>
      </w:r>
      <w:r>
        <w:rPr>
          <w:rFonts w:ascii="方正黑体_GBK" w:hAnsi="方正黑体_GBK" w:eastAsia="方正黑体_GBK" w:cs="方正黑体_GBK"/>
          <w:sz w:val="28"/>
          <w:szCs w:val="28"/>
        </w:rPr>
        <w:t xml:space="preserve">采购标的的验收标准</w:t>
      </w:r>
      <w:r/>
    </w:p>
    <w:p>
      <w:pPr>
        <w:ind w:firstLine="560"/>
        <w:spacing w:line="500" w:lineRule="exact"/>
        <w:rPr>
          <w:rFonts w:eastAsia="方正仿宋_GBK"/>
          <w:sz w:val="28"/>
          <w:szCs w:val="28"/>
        </w:rPr>
      </w:pPr>
      <w:r>
        <w:rPr>
          <w:rFonts w:hint="eastAsia" w:eastAsia="方正仿宋_GBK"/>
          <w:sz w:val="28"/>
          <w:szCs w:val="28"/>
        </w:rPr>
        <w:t xml:space="preserve">1、采购人对中标供应商的线上及线下服务工作情况进行百分制考核。考核得分将与中标供应商的服务费直接挂钩。具体考核办法由采购人另行制定，中标供应商须无条件执行,项目实施过程中采购人有权对考核办法进行调整。</w:t>
      </w:r>
      <w:r/>
    </w:p>
    <w:p>
      <w:pPr>
        <w:ind w:firstLine="560"/>
        <w:spacing w:line="500" w:lineRule="exact"/>
        <w:rPr>
          <w:rFonts w:eastAsia="方正仿宋_GBK"/>
          <w:sz w:val="28"/>
          <w:szCs w:val="28"/>
        </w:rPr>
      </w:pPr>
      <w:r>
        <w:rPr>
          <w:rFonts w:hint="eastAsia" w:eastAsia="方正仿宋_GBK"/>
          <w:sz w:val="28"/>
          <w:szCs w:val="28"/>
        </w:rPr>
        <w:t xml:space="preserve">2、若中标供应商的线下服务开展不正常、服务满意率低、服务投诉率高或经采购人查实存在弄虚作假等违规行为的，中标供应商须暂停所有线下服务并按采购人要求进行整改，待整改完成经采购人验收通过后，方可恢复正常服务。若一年服务期内中标供应商再次发生服务开展不正常、服务满意率低，投诉率高或经采购人查实存在弄虚作假行为的，采购人有权终止合同，且没收全额履约保证金。</w:t>
      </w:r>
      <w:r/>
    </w:p>
    <w:p>
      <w:pPr>
        <w:ind w:firstLine="560"/>
        <w:spacing w:line="500" w:lineRule="exact"/>
        <w:rPr>
          <w:rFonts w:eastAsia="方正仿宋_GBK"/>
          <w:sz w:val="28"/>
          <w:szCs w:val="28"/>
        </w:rPr>
      </w:pPr>
      <w:r>
        <w:rPr>
          <w:rFonts w:hint="eastAsia" w:eastAsia="方正仿宋_GBK"/>
          <w:sz w:val="28"/>
          <w:szCs w:val="28"/>
        </w:rPr>
        <w:t xml:space="preserve">3、处罚机制：若合同履行期内，发生有效信访、安全事故等情况，采购人有权对中标供应商予以处罚，并发出整改通知；若同一标包区域内连续发生上述事件的，则采购人有权将发生上述事件的镇（区、街道）从中标供应商的合同范围中剔除，并按就近原则划拨给其他标包的中标供应商服务，费用按其他标包中标供应商的中标单价结算。</w:t>
      </w:r>
      <w:r/>
    </w:p>
    <w:p>
      <w:pPr>
        <w:ind w:firstLine="560"/>
        <w:spacing w:line="500" w:lineRule="exact"/>
        <w:rPr>
          <w:rFonts w:eastAsia="方正仿宋_GBK"/>
          <w:sz w:val="28"/>
          <w:szCs w:val="28"/>
        </w:rPr>
      </w:pPr>
      <w:r>
        <w:rPr>
          <w:rFonts w:hint="eastAsia" w:eastAsia="方正仿宋_GBK"/>
          <w:sz w:val="28"/>
          <w:szCs w:val="28"/>
        </w:rPr>
        <w:t xml:space="preserve">4、退出机制：合同履行期内，因中标供应商自身原因发生重大安全事故或者连续两个季度考核达不到考核标准（低于80分），采购人有权单方面终止合同。终止合同区域由上季度考核得分最高的中标供应商提供后续服务，采购人在六个月内组织对该区域重新招标。  </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w:t>
      </w:r>
      <w:r>
        <w:rPr>
          <w:rFonts w:ascii="方正黑体_GBK" w:hAnsi="方正黑体_GBK" w:eastAsia="方正黑体_GBK" w:cs="方正黑体_GBK"/>
          <w:sz w:val="28"/>
          <w:szCs w:val="28"/>
        </w:rPr>
        <w:t xml:space="preserve">服务期限：</w:t>
      </w:r>
      <w:r/>
    </w:p>
    <w:p>
      <w:pPr>
        <w:ind w:firstLine="420"/>
        <w:spacing w:line="500" w:lineRule="exact"/>
        <w:rPr>
          <w:rFonts w:eastAsia="方正仿宋_GBK"/>
          <w:sz w:val="28"/>
          <w:szCs w:val="28"/>
        </w:rPr>
      </w:pPr>
      <w:r>
        <w:rPr>
          <w:rFonts w:eastAsia="方正仿宋_GBK"/>
          <w:sz w:val="28"/>
          <w:szCs w:val="28"/>
        </w:rPr>
        <w:t xml:space="preserve">本项目预算费用为每年1006.9872万元（本项目预算为一年度的预算，根据《政府购买服务管理办法》第二十四条规定，本项目根据采购结果，采取一次招标三年沿用。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五、投标报价要求：</w:t>
      </w:r>
      <w:r/>
    </w:p>
    <w:p>
      <w:pPr>
        <w:ind w:firstLine="420"/>
        <w:spacing w:line="500" w:lineRule="exact"/>
        <w:rPr>
          <w:rFonts w:eastAsia="方正仿宋_GBK"/>
          <w:sz w:val="28"/>
          <w:szCs w:val="28"/>
        </w:rPr>
      </w:pPr>
      <w:r>
        <w:rPr>
          <w:rFonts w:eastAsia="方正仿宋_GBK"/>
          <w:sz w:val="28"/>
          <w:szCs w:val="28"/>
        </w:rPr>
        <w:t xml:space="preserve">一标包：投标报价应包括完成本项目并经相关主管部门审查、审批通过所需的一切费用，包括但不限于对采购人提供的现有设备设施的升级改造、设备投入、 社区养老服务设施设备投入及运营费、信息服务费，办公用品费、办公服务费、水电通讯网络费用、软件系统维护、系统技术支持、人工费、交通工具及交通费、服务项目其它费用、风险、税金、规费、人员保险、咨询、政策性文件规定及合同包含的所有风险、责任等各项所有费用。在合同实施期间，中标单价不随国家政策或法规、标准及任何市场因素的变化而进行调整（合同约定按考核结算的除外）。</w:t>
      </w:r>
      <w:r/>
    </w:p>
    <w:p>
      <w:pPr>
        <w:ind w:firstLine="560"/>
        <w:spacing w:line="500" w:lineRule="exact"/>
        <w:rPr>
          <w:rFonts w:eastAsia="方正仿宋_GBK"/>
          <w:sz w:val="28"/>
          <w:szCs w:val="28"/>
        </w:rPr>
      </w:pPr>
      <w:r>
        <w:rPr>
          <w:rFonts w:eastAsia="方正仿宋_GBK"/>
          <w:sz w:val="28"/>
          <w:szCs w:val="28"/>
        </w:rPr>
        <w:t xml:space="preserve">二标包-四标包：投标报价应包括完成本项目并经相关主管部门审查、审批通过所需的一切费用，包括但不限于对采购人提供的现有设备设施的升级改造、设备投入、社区养老服务设施设备投入及运营费，线下服务所涉及到的信息服务费，办公用品费、办公服务费、水电通讯网络费用、人工费、交通工具及交通费、服务项目其它费用、风险、税金、规费、人员保险、咨询、政策性文件规定及合同包含的所有风险、责任等各项所有费用。在合同实施期间，中标单价不随国家政策或法规、标准及任何市场因素的变化而进行调整（合同约定按考核结算的除外）</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六、其它约定：</w:t>
      </w:r>
      <w:r/>
    </w:p>
    <w:p>
      <w:pPr>
        <w:ind w:firstLine="560"/>
        <w:spacing w:line="500" w:lineRule="exact"/>
        <w:rPr>
          <w:rFonts w:eastAsia="方正仿宋_GBK"/>
          <w:sz w:val="28"/>
          <w:szCs w:val="28"/>
        </w:rPr>
      </w:pPr>
      <w:r>
        <w:rPr>
          <w:rFonts w:eastAsia="方正仿宋_GBK"/>
          <w:sz w:val="28"/>
          <w:szCs w:val="28"/>
        </w:rPr>
        <w:t xml:space="preserve">1、合同履行过程中，因</w:t>
      </w:r>
      <w:r>
        <w:rPr>
          <w:rFonts w:hint="eastAsia" w:eastAsia="方正仿宋_GBK"/>
          <w:sz w:val="28"/>
          <w:szCs w:val="28"/>
        </w:rPr>
        <w:t xml:space="preserve">中标供应商</w:t>
      </w:r>
      <w:r>
        <w:rPr>
          <w:rFonts w:eastAsia="方正仿宋_GBK"/>
          <w:sz w:val="28"/>
          <w:szCs w:val="28"/>
        </w:rPr>
        <w:t xml:space="preserve">责任造成人身伤害、经济损失或其他损害的，均由</w:t>
      </w:r>
      <w:r>
        <w:rPr>
          <w:rFonts w:hint="eastAsia" w:eastAsia="方正仿宋_GBK"/>
          <w:sz w:val="28"/>
          <w:szCs w:val="28"/>
        </w:rPr>
        <w:t xml:space="preserve">中标供应商</w:t>
      </w:r>
      <w:r>
        <w:rPr>
          <w:rFonts w:eastAsia="方正仿宋_GBK"/>
          <w:sz w:val="28"/>
          <w:szCs w:val="28"/>
        </w:rPr>
        <w:t xml:space="preserve">自行承担（包括但不限于经济赔偿、法律责任等）。</w:t>
      </w:r>
      <w:r/>
    </w:p>
    <w:p>
      <w:pPr>
        <w:ind w:firstLine="560"/>
        <w:spacing w:line="500" w:lineRule="exact"/>
        <w:rPr>
          <w:rFonts w:eastAsia="方正仿宋_GBK"/>
          <w:sz w:val="28"/>
          <w:szCs w:val="28"/>
        </w:rPr>
      </w:pPr>
      <w:r>
        <w:rPr>
          <w:rFonts w:eastAsia="方正仿宋_GBK"/>
          <w:sz w:val="28"/>
          <w:szCs w:val="28"/>
        </w:rPr>
        <w:t xml:space="preserve">2、居家养老政府购买服务对象根据采购人确定的正式名单为准。在采购人确定的正式名单之外的老人，若需向</w:t>
      </w:r>
      <w:r>
        <w:rPr>
          <w:rFonts w:hint="eastAsia" w:eastAsia="方正仿宋_GBK"/>
          <w:sz w:val="28"/>
          <w:szCs w:val="28"/>
        </w:rPr>
        <w:t xml:space="preserve">中标供应商</w:t>
      </w:r>
      <w:r>
        <w:rPr>
          <w:rFonts w:eastAsia="方正仿宋_GBK"/>
          <w:sz w:val="28"/>
          <w:szCs w:val="28"/>
        </w:rPr>
        <w:t xml:space="preserve">自费采购服务的，则由</w:t>
      </w:r>
      <w:r>
        <w:rPr>
          <w:rFonts w:hint="eastAsia" w:eastAsia="方正仿宋_GBK"/>
          <w:sz w:val="28"/>
          <w:szCs w:val="28"/>
        </w:rPr>
        <w:t xml:space="preserve">中标供应商</w:t>
      </w:r>
      <w:r>
        <w:rPr>
          <w:rFonts w:eastAsia="方正仿宋_GBK"/>
          <w:sz w:val="28"/>
          <w:szCs w:val="28"/>
        </w:rPr>
        <w:t xml:space="preserve">自行与老人签订服务协议，并由</w:t>
      </w:r>
      <w:r>
        <w:rPr>
          <w:rFonts w:hint="eastAsia" w:eastAsia="方正仿宋_GBK"/>
          <w:sz w:val="28"/>
          <w:szCs w:val="28"/>
        </w:rPr>
        <w:t xml:space="preserve">中标供应商</w:t>
      </w:r>
      <w:r>
        <w:rPr>
          <w:rFonts w:eastAsia="方正仿宋_GBK"/>
          <w:sz w:val="28"/>
          <w:szCs w:val="28"/>
        </w:rPr>
        <w:t xml:space="preserve">自行承担其所有的责任与风险。</w:t>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中标供应商</w:t>
      </w:r>
      <w:r>
        <w:rPr>
          <w:rFonts w:eastAsia="方正仿宋_GBK"/>
          <w:sz w:val="28"/>
          <w:szCs w:val="28"/>
        </w:rPr>
        <w:t xml:space="preserve">须按采购人要求对所有设备设施等进行日常维护和管理，保证系统的正常运行。除使用启东市民政局移交的原有设备外，还需自行配备符合系统运行所需的硬件、软件设备及对线下服务监管所需的设施设备，其投入设备的采购、安装、调试、维保等费用已包括在中标价中。</w:t>
      </w:r>
      <w:r/>
    </w:p>
    <w:p>
      <w:pPr>
        <w:ind w:firstLine="560"/>
        <w:spacing w:line="500" w:lineRule="exact"/>
        <w:rPr>
          <w:rFonts w:eastAsia="方正仿宋_GBK"/>
          <w:sz w:val="28"/>
          <w:szCs w:val="28"/>
        </w:rPr>
      </w:pPr>
      <w:r>
        <w:rPr>
          <w:rFonts w:eastAsia="方正仿宋_GBK"/>
          <w:sz w:val="28"/>
          <w:szCs w:val="28"/>
        </w:rPr>
        <w:t xml:space="preserve">4、</w:t>
      </w:r>
      <w:r>
        <w:rPr>
          <w:rFonts w:hint="eastAsia" w:eastAsia="方正仿宋_GBK"/>
          <w:sz w:val="28"/>
          <w:szCs w:val="28"/>
        </w:rPr>
        <w:t xml:space="preserve">中标供应商</w:t>
      </w:r>
      <w:r>
        <w:rPr>
          <w:rFonts w:eastAsia="方正仿宋_GBK"/>
          <w:sz w:val="28"/>
          <w:szCs w:val="28"/>
        </w:rPr>
        <w:t xml:space="preserve">服务期间产生的数据应传输储存于采购人指定的地方，获取的数据仅限服务使用，如出现数据泄露事件，由</w:t>
      </w:r>
      <w:r>
        <w:rPr>
          <w:rFonts w:hint="eastAsia" w:eastAsia="方正仿宋_GBK"/>
          <w:sz w:val="28"/>
          <w:szCs w:val="28"/>
        </w:rPr>
        <w:t xml:space="preserve">中标供应商</w:t>
      </w:r>
      <w:r>
        <w:rPr>
          <w:rFonts w:eastAsia="方正仿宋_GBK"/>
          <w:sz w:val="28"/>
          <w:szCs w:val="28"/>
        </w:rPr>
        <w:t xml:space="preserve">承担相关责任。</w:t>
      </w:r>
      <w:r>
        <w:rPr>
          <w:rFonts w:hint="eastAsia" w:eastAsia="方正仿宋_GBK"/>
          <w:sz w:val="28"/>
          <w:szCs w:val="28"/>
        </w:rPr>
        <w:t xml:space="preserve">中标供应商</w:t>
      </w:r>
      <w:r>
        <w:rPr>
          <w:rFonts w:eastAsia="方正仿宋_GBK"/>
          <w:sz w:val="28"/>
          <w:szCs w:val="28"/>
        </w:rPr>
        <w:t xml:space="preserve">应保证所传输的数据完整、准确。</w:t>
      </w:r>
      <w:r/>
    </w:p>
    <w:p>
      <w:pPr>
        <w:ind w:firstLine="560"/>
        <w:spacing w:line="500" w:lineRule="exact"/>
        <w:rPr>
          <w:rFonts w:eastAsia="方正仿宋_GBK"/>
          <w:sz w:val="28"/>
          <w:szCs w:val="28"/>
        </w:rPr>
      </w:pPr>
      <w:r>
        <w:rPr>
          <w:rFonts w:eastAsia="方正仿宋_GBK"/>
          <w:sz w:val="28"/>
          <w:szCs w:val="28"/>
        </w:rPr>
        <w:t xml:space="preserve">5、服务期满时，</w:t>
      </w:r>
      <w:r>
        <w:rPr>
          <w:rFonts w:hint="eastAsia" w:eastAsia="方正仿宋_GBK"/>
          <w:sz w:val="28"/>
          <w:szCs w:val="28"/>
        </w:rPr>
        <w:t xml:space="preserve">中标供应商</w:t>
      </w:r>
      <w:r>
        <w:rPr>
          <w:rFonts w:eastAsia="方正仿宋_GBK"/>
          <w:sz w:val="28"/>
          <w:szCs w:val="28"/>
        </w:rPr>
        <w:t xml:space="preserve">所投入的设施设备的产权归采购人所有；若中途因</w:t>
      </w:r>
      <w:r>
        <w:rPr>
          <w:rFonts w:hint="eastAsia" w:eastAsia="方正仿宋_GBK"/>
          <w:sz w:val="28"/>
          <w:szCs w:val="28"/>
        </w:rPr>
        <w:t xml:space="preserve">中标供应商</w:t>
      </w:r>
      <w:r>
        <w:rPr>
          <w:rFonts w:eastAsia="方正仿宋_GBK"/>
          <w:sz w:val="28"/>
          <w:szCs w:val="28"/>
        </w:rPr>
        <w:t xml:space="preserve">原因终止合同或不再续签的，则</w:t>
      </w:r>
      <w:r>
        <w:rPr>
          <w:rFonts w:hint="eastAsia" w:eastAsia="方正仿宋_GBK"/>
          <w:sz w:val="28"/>
          <w:szCs w:val="28"/>
        </w:rPr>
        <w:t xml:space="preserve">中标供应商</w:t>
      </w:r>
      <w:r>
        <w:rPr>
          <w:rFonts w:eastAsia="方正仿宋_GBK"/>
          <w:sz w:val="28"/>
          <w:szCs w:val="28"/>
        </w:rPr>
        <w:t xml:space="preserve">投入的设施设备产权归采购人所有。</w:t>
      </w:r>
      <w:r/>
    </w:p>
    <w:p>
      <w:pPr>
        <w:ind w:firstLine="560"/>
        <w:spacing w:line="500" w:lineRule="exact"/>
        <w:rPr>
          <w:rFonts w:eastAsia="方正仿宋_GBK"/>
          <w:sz w:val="28"/>
          <w:szCs w:val="28"/>
        </w:rPr>
      </w:pPr>
      <w:r>
        <w:rPr>
          <w:rFonts w:eastAsia="方正仿宋_GBK"/>
          <w:sz w:val="28"/>
          <w:szCs w:val="28"/>
        </w:rPr>
        <w:t xml:space="preserve">6、服务期满时，</w:t>
      </w:r>
      <w:r>
        <w:rPr>
          <w:rFonts w:hint="eastAsia" w:eastAsia="方正仿宋_GBK"/>
          <w:sz w:val="28"/>
          <w:szCs w:val="28"/>
        </w:rPr>
        <w:t xml:space="preserve">中标供应商</w:t>
      </w:r>
      <w:r>
        <w:rPr>
          <w:rFonts w:eastAsia="方正仿宋_GBK"/>
          <w:sz w:val="28"/>
          <w:szCs w:val="28"/>
        </w:rPr>
        <w:t xml:space="preserve">所有投入设备及所有服务记录、档案等电子数据必须全部移交采购人，同时确保数据安全。凡发生遗失、人为损坏等情况，由</w:t>
      </w:r>
      <w:r>
        <w:rPr>
          <w:rFonts w:hint="eastAsia" w:eastAsia="方正仿宋_GBK"/>
          <w:sz w:val="28"/>
          <w:szCs w:val="28"/>
        </w:rPr>
        <w:t xml:space="preserve">中标供应商</w:t>
      </w:r>
      <w:r>
        <w:rPr>
          <w:rFonts w:eastAsia="方正仿宋_GBK"/>
          <w:sz w:val="28"/>
          <w:szCs w:val="28"/>
        </w:rPr>
        <w:t xml:space="preserve">负责赔偿，赔偿款从履约保证金中扣除。</w:t>
      </w:r>
      <w:r/>
    </w:p>
    <w:p>
      <w:pPr>
        <w:ind w:firstLine="560"/>
        <w:spacing w:line="500" w:lineRule="exact"/>
        <w:rPr>
          <w:rFonts w:eastAsia="方正仿宋_GBK"/>
          <w:sz w:val="28"/>
          <w:szCs w:val="28"/>
        </w:rPr>
      </w:pPr>
      <w:r>
        <w:rPr>
          <w:rFonts w:eastAsia="方正仿宋_GBK"/>
          <w:sz w:val="28"/>
          <w:szCs w:val="28"/>
        </w:rPr>
        <w:t xml:space="preserve">7、</w:t>
      </w:r>
      <w:r>
        <w:rPr>
          <w:rFonts w:hint="eastAsia" w:eastAsia="方正仿宋_GBK"/>
          <w:sz w:val="28"/>
          <w:szCs w:val="28"/>
        </w:rPr>
        <w:t xml:space="preserve">中标供应商</w:t>
      </w:r>
      <w:r>
        <w:rPr>
          <w:rFonts w:eastAsia="方正仿宋_GBK"/>
          <w:sz w:val="28"/>
          <w:szCs w:val="28"/>
        </w:rPr>
        <w:t xml:space="preserve">须自觉接受采购人及采购人授权的其他单位或组织的评估与考核，积极配合采购人完成其他相关工作。</w:t>
      </w:r>
      <w:r/>
    </w:p>
    <w:p>
      <w:pPr>
        <w:ind w:firstLine="560"/>
        <w:spacing w:line="500" w:lineRule="exact"/>
        <w:rPr>
          <w:rFonts w:ascii="方正黑体_GBK" w:hAnsi="方正黑体_GBK" w:eastAsia="方正黑体_GBK" w:cs="方正黑体_GBK"/>
          <w:sz w:val="28"/>
          <w:szCs w:val="28"/>
          <w:highlight w:val="yellow"/>
        </w:rPr>
      </w:pPr>
      <w:r>
        <w:rPr>
          <w:rFonts w:eastAsia="方正仿宋_GBK"/>
          <w:sz w:val="28"/>
          <w:szCs w:val="28"/>
        </w:rPr>
        <w:t xml:space="preserve">8、若招标人认为因政策原因或项目需求变化导致项目未满一年服务期须终止合同的，</w:t>
      </w:r>
      <w:r>
        <w:rPr>
          <w:rFonts w:hint="eastAsia" w:eastAsia="方正仿宋_GBK"/>
          <w:sz w:val="28"/>
          <w:szCs w:val="28"/>
        </w:rPr>
        <w:t xml:space="preserve">中标供应商</w:t>
      </w:r>
      <w:r>
        <w:rPr>
          <w:rFonts w:eastAsia="方正仿宋_GBK"/>
          <w:sz w:val="28"/>
          <w:szCs w:val="28"/>
        </w:rPr>
        <w:t xml:space="preserve">须无条件配合并办理相关移交手续，其风险由供应商自行考虑，并列入报价，且不得为此向采购人提出任何索赔。</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七、采购标的的其他技术、服务等要求</w:t>
      </w:r>
      <w:r/>
    </w:p>
    <w:p>
      <w:pPr>
        <w:ind w:firstLine="560"/>
        <w:spacing w:line="500" w:lineRule="exact"/>
        <w:rPr>
          <w:rFonts w:eastAsia="方正仿宋_GBK"/>
          <w:sz w:val="28"/>
          <w:szCs w:val="28"/>
        </w:rPr>
      </w:pPr>
      <w:r>
        <w:rPr>
          <w:rFonts w:eastAsia="方正仿宋_GBK"/>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品目清单见《关于印发环境标志产品政府采购品目清单的通知》（财库〔2019〕18号）、《关于印发节能产品政府采购品目清单的通知》（财库〔2019〕19号）。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需求标准见《商品包装政府采购需求标准（试行）》《快递包装政府采购需求标准（试行）》（财办库〔2020〕123号）、《绿色数据中心政府采购需求标准（试行）》（财库〔2023〕7号）。</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八、付款方式</w:t>
      </w:r>
      <w:r/>
    </w:p>
    <w:p>
      <w:pPr>
        <w:ind w:firstLine="560"/>
        <w:spacing w:line="500" w:lineRule="exact"/>
        <w:rPr>
          <w:rFonts w:eastAsia="方正仿宋_GBK"/>
          <w:sz w:val="28"/>
          <w:szCs w:val="28"/>
        </w:rPr>
      </w:pPr>
      <w:r>
        <w:rPr>
          <w:rFonts w:eastAsia="方正仿宋_GBK"/>
          <w:sz w:val="28"/>
          <w:szCs w:val="28"/>
        </w:rPr>
        <w:t xml:space="preserve">本项目付款按二部分结算支付：</w:t>
      </w:r>
      <w:r/>
    </w:p>
    <w:p>
      <w:pPr>
        <w:ind w:firstLine="560"/>
        <w:spacing w:line="500" w:lineRule="exact"/>
        <w:rPr>
          <w:rFonts w:eastAsia="方正仿宋_GBK"/>
          <w:sz w:val="28"/>
          <w:szCs w:val="28"/>
        </w:rPr>
      </w:pPr>
      <w:r>
        <w:rPr>
          <w:rFonts w:eastAsia="方正仿宋_GBK"/>
          <w:sz w:val="28"/>
          <w:szCs w:val="28"/>
        </w:rPr>
        <w:t xml:space="preserve">（一）社区养老服务设施服务站点运营费</w:t>
      </w:r>
      <w:r/>
    </w:p>
    <w:p>
      <w:pPr>
        <w:ind w:firstLine="560"/>
        <w:spacing w:line="500" w:lineRule="exact"/>
        <w:rPr>
          <w:rFonts w:eastAsia="方正仿宋_GBK"/>
          <w:sz w:val="28"/>
          <w:szCs w:val="28"/>
        </w:rPr>
      </w:pPr>
      <w:r>
        <w:rPr>
          <w:rFonts w:eastAsia="方正仿宋_GBK"/>
          <w:sz w:val="28"/>
          <w:szCs w:val="28"/>
        </w:rPr>
        <w:t xml:space="preserve">1、社区养老服务设施运营费为固定价格：长者驿家20万元/年、市综合养老服务6万元/年、睦邻点3万元/年；</w:t>
      </w:r>
      <w:r/>
    </w:p>
    <w:p>
      <w:pPr>
        <w:ind w:firstLine="560"/>
        <w:spacing w:line="500" w:lineRule="exact"/>
        <w:rPr>
          <w:rFonts w:eastAsia="方正仿宋_GBK"/>
          <w:sz w:val="28"/>
          <w:szCs w:val="28"/>
        </w:rPr>
      </w:pPr>
      <w:r>
        <w:rPr>
          <w:rFonts w:eastAsia="方正仿宋_GBK"/>
          <w:sz w:val="28"/>
          <w:szCs w:val="28"/>
        </w:rPr>
        <w:t xml:space="preserve">2、运营费结算支付：运营费挂钩季度绩效考核结果和季度累计活动人次，按季支付。</w:t>
      </w:r>
      <w:r/>
    </w:p>
    <w:p>
      <w:pPr>
        <w:ind w:firstLine="560"/>
        <w:spacing w:line="500" w:lineRule="exact"/>
        <w:rPr>
          <w:rFonts w:eastAsia="方正仿宋_GBK"/>
          <w:sz w:val="28"/>
          <w:szCs w:val="28"/>
        </w:rPr>
      </w:pPr>
      <w:r>
        <w:rPr>
          <w:rFonts w:eastAsia="方正仿宋_GBK"/>
          <w:sz w:val="28"/>
          <w:szCs w:val="28"/>
        </w:rPr>
        <w:t xml:space="preserve">3、各标包运营费支付按合同约定范围内运营站点数量，并按上述结算方式支付。</w:t>
      </w:r>
      <w:r/>
    </w:p>
    <w:p>
      <w:pPr>
        <w:ind w:firstLine="560"/>
        <w:spacing w:line="500" w:lineRule="exact"/>
        <w:rPr>
          <w:rFonts w:eastAsia="方正仿宋_GBK"/>
          <w:sz w:val="28"/>
          <w:szCs w:val="28"/>
        </w:rPr>
      </w:pPr>
      <w:r>
        <w:rPr>
          <w:rFonts w:eastAsia="方正仿宋_GBK"/>
          <w:sz w:val="28"/>
          <w:szCs w:val="28"/>
        </w:rPr>
        <w:t xml:space="preserve">（二）除“（一）各服务站点运营费”外的结算：</w:t>
      </w:r>
      <w:r/>
    </w:p>
    <w:p>
      <w:pPr>
        <w:ind w:firstLine="560"/>
        <w:spacing w:line="500" w:lineRule="exact"/>
        <w:rPr>
          <w:rFonts w:eastAsia="方正仿宋_GBK"/>
          <w:sz w:val="28"/>
          <w:szCs w:val="28"/>
        </w:rPr>
      </w:pPr>
      <w:r>
        <w:rPr>
          <w:rFonts w:eastAsia="方正仿宋_GBK"/>
          <w:sz w:val="28"/>
          <w:szCs w:val="28"/>
        </w:rPr>
        <w:t xml:space="preserve">按季度考核支付，每季度由采购人按考核办法组织考核。考核得分95分以上（含95分）的，当季服务费全额发放；95-90分（含90分）的,给予当季服务费1%的扣款；90-85分（含85分）的，给予当季服务费2%的扣款;85-80分（含80分）的，给予当季服务费3%的扣款。80分以下的，给予当季服务费20%的扣款。</w:t>
      </w:r>
      <w:r/>
    </w:p>
    <w:p>
      <w:pPr>
        <w:ind w:firstLine="560"/>
        <w:spacing w:line="500" w:lineRule="exact"/>
        <w:rPr>
          <w:rFonts w:eastAsia="方正仿宋_GBK"/>
          <w:sz w:val="28"/>
          <w:szCs w:val="28"/>
        </w:rPr>
      </w:pPr>
      <w:r>
        <w:rPr>
          <w:rFonts w:eastAsia="方正仿宋_GBK"/>
          <w:sz w:val="28"/>
          <w:szCs w:val="28"/>
        </w:rPr>
        <w:t xml:space="preserve">※一标包每季度服务费组成：</w:t>
      </w:r>
      <w:r/>
    </w:p>
    <w:p>
      <w:pPr>
        <w:ind w:firstLine="560"/>
        <w:spacing w:line="500" w:lineRule="exact"/>
        <w:rPr>
          <w:rFonts w:eastAsia="方正仿宋_GBK"/>
          <w:sz w:val="28"/>
          <w:szCs w:val="28"/>
        </w:rPr>
      </w:pPr>
      <w:r>
        <w:rPr>
          <w:rFonts w:eastAsia="方正仿宋_GBK"/>
          <w:sz w:val="28"/>
          <w:szCs w:val="28"/>
        </w:rPr>
        <w:t xml:space="preserve">（1）线上服务费=Σ每月实际人数*线上服务中标单价（元/人/月）</w:t>
      </w:r>
      <w:r/>
    </w:p>
    <w:p>
      <w:pPr>
        <w:ind w:firstLine="560"/>
        <w:spacing w:line="500" w:lineRule="exact"/>
        <w:rPr>
          <w:rFonts w:eastAsia="方正仿宋_GBK"/>
          <w:sz w:val="28"/>
          <w:szCs w:val="28"/>
        </w:rPr>
      </w:pPr>
      <w:r>
        <w:rPr>
          <w:rFonts w:eastAsia="方正仿宋_GBK"/>
          <w:sz w:val="28"/>
          <w:szCs w:val="28"/>
        </w:rPr>
        <w:t xml:space="preserve">（2）线上平台系统=中标单价（元/年）/12个月*3个月</w:t>
      </w:r>
      <w:r/>
    </w:p>
    <w:p>
      <w:pPr>
        <w:ind w:firstLine="560"/>
        <w:spacing w:line="500" w:lineRule="exact"/>
        <w:rPr>
          <w:rFonts w:eastAsia="方正仿宋_GBK"/>
          <w:sz w:val="28"/>
          <w:szCs w:val="28"/>
        </w:rPr>
      </w:pPr>
      <w:r>
        <w:rPr>
          <w:rFonts w:eastAsia="方正仿宋_GBK"/>
          <w:sz w:val="28"/>
          <w:szCs w:val="28"/>
        </w:rPr>
        <w:t xml:space="preserve">每季度服务费结算价=（1）+（2）-考核扣款</w:t>
      </w:r>
      <w:r/>
    </w:p>
    <w:p>
      <w:pPr>
        <w:ind w:firstLine="560"/>
        <w:spacing w:line="500" w:lineRule="exact"/>
        <w:rPr>
          <w:rFonts w:eastAsia="方正仿宋_GBK"/>
          <w:sz w:val="28"/>
          <w:szCs w:val="28"/>
        </w:rPr>
      </w:pPr>
      <w:r>
        <w:rPr>
          <w:rFonts w:eastAsia="方正仿宋_GBK"/>
          <w:sz w:val="28"/>
          <w:szCs w:val="28"/>
        </w:rPr>
        <w:t xml:space="preserve">※二标包-四标包每季度服务费组成：</w:t>
      </w:r>
      <w:r/>
    </w:p>
    <w:p>
      <w:pPr>
        <w:ind w:firstLine="560"/>
        <w:spacing w:line="500" w:lineRule="exact"/>
        <w:rPr>
          <w:rFonts w:eastAsia="方正仿宋_GBK"/>
          <w:sz w:val="28"/>
          <w:szCs w:val="28"/>
        </w:rPr>
      </w:pPr>
      <w:r>
        <w:rPr>
          <w:rFonts w:eastAsia="方正仿宋_GBK"/>
          <w:sz w:val="28"/>
          <w:szCs w:val="28"/>
        </w:rPr>
        <w:t xml:space="preserve">（1）线下服务费（除第3类）=Σ【（每月实际人数*服务时间）*线下服务中标单价（元/小时）】</w:t>
      </w:r>
      <w:r/>
    </w:p>
    <w:p>
      <w:pPr>
        <w:ind w:firstLine="560"/>
        <w:spacing w:line="440" w:lineRule="exact"/>
        <w:rPr>
          <w:rFonts w:eastAsia="方正仿宋_GBK"/>
          <w:sz w:val="28"/>
          <w:szCs w:val="28"/>
        </w:rPr>
      </w:pPr>
      <w:r>
        <w:rPr>
          <w:rFonts w:eastAsia="方正仿宋_GBK"/>
          <w:sz w:val="28"/>
          <w:szCs w:val="28"/>
        </w:rPr>
        <w:t xml:space="preserve">（2）线下服务费（第3类）</w:t>
      </w:r>
      <w:r>
        <w:rPr>
          <w:rFonts w:hint="eastAsia" w:eastAsia="方正仿宋_GBK"/>
          <w:sz w:val="28"/>
          <w:szCs w:val="28"/>
        </w:rPr>
        <w:t xml:space="preserve">，</w:t>
      </w:r>
      <w:r>
        <w:rPr>
          <w:rFonts w:eastAsia="方正仿宋_GBK"/>
          <w:sz w:val="28"/>
          <w:szCs w:val="28"/>
        </w:rPr>
        <w:t xml:space="preserve">根据启东市民政局文件《关于明确调整城乡居民最低生活保障、特困供养和相关民政对象救助标准的通知》，2025年7月1日起，分散特困人员照料护理标准按照完全丧失生活自理能力、部分丧失生活自理能力、具备生活自理能力三档，分别为747元、373.5元、124.5元。服务金额根据文件按时调整，服务时长按线下服务中标单价（元/小时）折算。</w:t>
      </w:r>
      <w:r>
        <w:rPr>
          <w:rFonts w:hint="eastAsia" w:eastAsia="方正仿宋_GBK"/>
          <w:sz w:val="28"/>
          <w:szCs w:val="28"/>
        </w:rPr>
        <w:t xml:space="preserve">按季结算。</w:t>
      </w:r>
      <w:r/>
    </w:p>
    <w:p>
      <w:pPr>
        <w:ind w:firstLine="560"/>
        <w:spacing w:line="500" w:lineRule="exact"/>
        <w:rPr>
          <w:rFonts w:eastAsia="方正仿宋_GBK"/>
          <w:sz w:val="28"/>
          <w:szCs w:val="28"/>
        </w:rPr>
      </w:pPr>
      <w:r>
        <w:rPr>
          <w:rFonts w:eastAsia="方正仿宋_GBK"/>
          <w:sz w:val="28"/>
          <w:szCs w:val="28"/>
        </w:rPr>
        <w:t xml:space="preserve">每季度服务费结算价=（1）+（2）-考核扣款</w:t>
      </w:r>
      <w:r/>
    </w:p>
    <w:p>
      <w:pPr>
        <w:ind w:firstLine="560"/>
        <w:spacing w:line="500" w:lineRule="exact"/>
        <w:rPr>
          <w:rFonts w:eastAsia="方正仿宋_GBK"/>
          <w:sz w:val="28"/>
          <w:szCs w:val="28"/>
        </w:rPr>
      </w:pPr>
      <w:r>
        <w:rPr>
          <w:rFonts w:eastAsia="方正仿宋_GBK"/>
          <w:sz w:val="28"/>
          <w:szCs w:val="28"/>
        </w:rPr>
        <w:t xml:space="preserve">服务期的最后一个季度，服务费暂不支付，一年服务期满经采购人考核合格且续签合同的，则在续签合同生效后支付；若一年服务期满经采购人考核不合格不再续签下一年度合同的，则待下一个中标供应商确定并完成数据和服务对接后拨付。</w:t>
      </w:r>
      <w:r/>
    </w:p>
    <w:p>
      <w:pPr>
        <w:ind w:firstLine="560"/>
        <w:spacing w:line="500" w:lineRule="exact"/>
        <w:rPr>
          <w:rFonts w:eastAsia="方正仿宋_GBK"/>
          <w:sz w:val="28"/>
          <w:szCs w:val="28"/>
        </w:rPr>
      </w:pPr>
      <w:r>
        <w:rPr>
          <w:rFonts w:eastAsia="方正仿宋_GBK"/>
          <w:sz w:val="28"/>
          <w:szCs w:val="28"/>
        </w:rPr>
        <w:t xml:space="preserve">注：</w:t>
      </w:r>
      <w:r>
        <w:rPr>
          <w:rFonts w:hint="eastAsia" w:eastAsia="方正仿宋_GBK"/>
          <w:sz w:val="28"/>
          <w:szCs w:val="28"/>
        </w:rPr>
        <w:t xml:space="preserve">中标供应商</w:t>
      </w:r>
      <w:r>
        <w:rPr>
          <w:rFonts w:eastAsia="方正仿宋_GBK"/>
          <w:sz w:val="28"/>
          <w:szCs w:val="28"/>
        </w:rPr>
        <w:t xml:space="preserve">凭采购合同、考核单及正式发票等相关证明材料按规定进行资金结算。（备注：对满足合同支付条件的，采购人应当自收到发票后30日内支付资金）</w:t>
      </w:r>
      <w:r/>
    </w:p>
    <w:p>
      <w:pPr>
        <w:ind w:firstLine="560"/>
        <w:spacing w:line="500" w:lineRule="exact"/>
        <w:rPr>
          <w:rFonts w:eastAsia="方正仿宋_GBK"/>
          <w:sz w:val="28"/>
          <w:szCs w:val="28"/>
        </w:rPr>
      </w:pPr>
      <w:r>
        <w:rPr>
          <w:rFonts w:hint="eastAsia" w:ascii="方正黑体_GBK" w:hAnsi="方正黑体_GBK" w:eastAsia="方正黑体_GBK" w:cs="方正黑体_GBK"/>
          <w:sz w:val="28"/>
          <w:szCs w:val="28"/>
        </w:rPr>
        <w:t xml:space="preserve">九</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十、演示讲解</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．参加本项目一标包的投标</w:t>
      </w:r>
      <w:r>
        <w:rPr>
          <w:rFonts w:eastAsia="方正仿宋_GBK"/>
          <w:sz w:val="28"/>
          <w:szCs w:val="28"/>
        </w:rPr>
        <w:t xml:space="preserve">供应商须进行演示讲解，演示讲解方式为视频录制，</w:t>
      </w:r>
      <w:r>
        <w:rPr>
          <w:rFonts w:hint="eastAsia" w:eastAsia="方正仿宋_GBK"/>
          <w:sz w:val="28"/>
          <w:szCs w:val="28"/>
        </w:rPr>
        <w:t xml:space="preserve">供应商需按照招标文件规定的演示内容制作演示视频文件，视频文件的格式为</w:t>
      </w:r>
      <w:r>
        <w:rPr>
          <w:rFonts w:eastAsia="方正仿宋_GBK"/>
          <w:sz w:val="28"/>
          <w:szCs w:val="28"/>
        </w:rPr>
        <w:t xml:space="preserve">*</w:t>
      </w:r>
      <w:r>
        <w:rPr>
          <w:rFonts w:hint="eastAsia" w:eastAsia="方正仿宋_GBK"/>
          <w:sz w:val="28"/>
          <w:szCs w:val="28"/>
        </w:rPr>
        <w:t xml:space="preserve">.mp4或*.avi，供应商须将视频文件分段压缩为*.zip文件上传（单个文件不得大于50M，所有文件总共不得大于300M）。文件上传方式见《江苏省政府采购管理交易系统（苏采云）供应商操作指南》规定，上传的演示视频将作为投标文件的组成部分</w:t>
      </w:r>
      <w:r>
        <w:rPr>
          <w:rFonts w:eastAsia="方正仿宋_GBK"/>
          <w:sz w:val="28"/>
          <w:szCs w:val="28"/>
        </w:rPr>
        <w:t xml:space="preserve">。</w:t>
      </w:r>
      <w:r>
        <w:rPr>
          <w:rFonts w:hint="eastAsia" w:eastAsia="方正仿宋_GBK"/>
          <w:sz w:val="28"/>
          <w:szCs w:val="28"/>
        </w:rPr>
        <w:t xml:space="preserve">视频时间控制在15分钟内（超过15分钟的，仅根据视频前15分钟所演示讲解内容评分），</w:t>
      </w:r>
      <w:r>
        <w:rPr>
          <w:rFonts w:eastAsia="方正仿宋_GBK"/>
          <w:sz w:val="28"/>
          <w:szCs w:val="28"/>
        </w:rPr>
        <w:t xml:space="preserve">演示视频未提供或者无法打开的</w:t>
      </w:r>
      <w:r>
        <w:rPr>
          <w:rFonts w:hint="eastAsia" w:eastAsia="方正仿宋_GBK"/>
          <w:sz w:val="28"/>
          <w:szCs w:val="28"/>
        </w:rPr>
        <w:t xml:space="preserve">该部分评审内容不得分</w:t>
      </w:r>
      <w:r>
        <w:rPr>
          <w:rFonts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演示内容如下：</w:t>
      </w:r>
      <w:r>
        <w:rPr>
          <w:rFonts w:hint="eastAsia" w:eastAsia="方正仿宋_GBK"/>
          <w:sz w:val="28"/>
          <w:szCs w:val="28"/>
        </w:rPr>
        <w:t xml:space="preserve">详见一标包评标办法“关键技术演示”评分项。</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十一、本项目（不接受）进口产品投标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二</w:t>
      </w:r>
      <w:r>
        <w:rPr>
          <w:rFonts w:ascii="方正黑体_GBK" w:hAnsi="方正黑体_GBK" w:eastAsia="方正黑体_GBK" w:cs="方正黑体_GBK"/>
          <w:bCs/>
          <w:sz w:val="28"/>
          <w:szCs w:val="28"/>
        </w:rPr>
        <w:t xml:space="preserve">、合同条款</w:t>
      </w:r>
      <w:r/>
    </w:p>
    <w:p>
      <w:pPr>
        <w:ind w:firstLine="560"/>
        <w:jc w:val="left"/>
        <w:spacing w:line="500" w:lineRule="exact"/>
        <w:widowControl/>
        <w:rPr>
          <w:rFonts w:ascii="方正仿宋_GBK" w:hAnsi="宋体" w:eastAsia="方正仿宋_GBK" w:cs="宋体"/>
        </w:rPr>
      </w:pPr>
      <w:r>
        <w:rPr>
          <w:rFonts w:hint="eastAsia" w:ascii="方正仿宋_GBK" w:hAnsi="宋体" w:eastAsia="方正仿宋_GBK" w:cs="宋体"/>
          <w:sz w:val="28"/>
          <w:szCs w:val="28"/>
        </w:rPr>
        <w:t xml:space="preserve">采购方（以下称甲方）：</w:t>
      </w:r>
      <w:r>
        <w:rPr>
          <w:rFonts w:hint="eastAsia" w:ascii="方正仿宋_GBK" w:hAnsi="宋体" w:eastAsia="方正仿宋_GBK" w:cs="宋体"/>
          <w:sz w:val="28"/>
          <w:szCs w:val="28"/>
          <w:u w:val="single"/>
        </w:rPr>
        <w:t xml:space="preserve">启东市民政局</w:t>
      </w:r>
      <w:r/>
    </w:p>
    <w:p>
      <w:pPr>
        <w:ind w:firstLine="560"/>
        <w:jc w:val="left"/>
        <w:spacing w:line="500" w:lineRule="exact"/>
        <w:widowControl/>
        <w:rPr>
          <w:rFonts w:ascii="方正仿宋_GBK" w:hAnsi="宋体" w:eastAsia="方正仿宋_GBK" w:cs="宋体"/>
          <w:sz w:val="28"/>
          <w:szCs w:val="28"/>
          <w:u w:val="single"/>
        </w:rPr>
      </w:pPr>
      <w:r>
        <w:rPr>
          <w:rFonts w:hint="eastAsia" w:ascii="方正仿宋_GBK" w:hAnsi="宋体" w:eastAsia="方正仿宋_GBK" w:cs="宋体"/>
          <w:sz w:val="28"/>
          <w:szCs w:val="28"/>
        </w:rPr>
        <w:t xml:space="preserve">供货方（以下称乙方）：</w:t>
      </w:r>
      <w:r>
        <w:rPr>
          <w:rFonts w:hint="eastAsia" w:ascii="方正仿宋_GBK" w:hAnsi="宋体" w:eastAsia="方正仿宋_GBK" w:cs="宋体"/>
          <w:sz w:val="28"/>
          <w:szCs w:val="28"/>
          <w:u w:val="single"/>
        </w:rPr>
        <w:t xml:space="preserve">            </w:t>
      </w:r>
      <w:r/>
    </w:p>
    <w:p>
      <w:pPr>
        <w:ind w:firstLine="560"/>
        <w:spacing w:line="500" w:lineRule="exact"/>
        <w:rPr>
          <w:rFonts w:ascii="方正仿宋_GBK" w:hAnsi="宋体" w:eastAsia="方正仿宋_GBK" w:cs="宋体"/>
          <w:sz w:val="28"/>
          <w:szCs w:val="28"/>
          <w:u w:val="single"/>
        </w:rPr>
      </w:pPr>
      <w:r>
        <w:rPr>
          <w:rFonts w:hint="eastAsia" w:ascii="方正仿宋_GBK" w:hAnsi="宋体" w:eastAsia="方正仿宋_GBK" w:cs="宋体"/>
          <w:sz w:val="28"/>
          <w:szCs w:val="28"/>
        </w:rPr>
        <w:t xml:space="preserve">签订地点:</w:t>
      </w:r>
      <w:r>
        <w:rPr>
          <w:rFonts w:hint="eastAsia" w:ascii="方正仿宋_GBK" w:hAnsi="宋体" w:eastAsia="方正仿宋_GBK" w:cs="宋体"/>
          <w:sz w:val="28"/>
          <w:szCs w:val="28"/>
          <w:u w:val="single"/>
        </w:rPr>
        <w:t xml:space="preserve">启东市民政局</w:t>
      </w:r>
      <w:r/>
    </w:p>
    <w:p>
      <w:pPr>
        <w:ind w:firstLine="560"/>
        <w:spacing w:line="500" w:lineRule="exact"/>
        <w:rPr>
          <w:rFonts w:ascii="方正仿宋_GBK" w:hAnsi="宋体" w:eastAsia="方正仿宋_GBK" w:cs="宋体"/>
          <w:sz w:val="28"/>
          <w:szCs w:val="28"/>
        </w:rPr>
      </w:pPr>
      <w:r>
        <w:rPr>
          <w:rFonts w:hint="eastAsia" w:ascii="方正仿宋_GBK" w:hAnsi="宋体" w:eastAsia="方正仿宋_GBK" w:cs="宋体"/>
          <w:sz w:val="28"/>
          <w:szCs w:val="28"/>
        </w:rPr>
        <w:t xml:space="preserve">签订时间:</w:t>
      </w:r>
      <w:r>
        <w:rPr>
          <w:rFonts w:hint="eastAsia" w:ascii="方正仿宋_GBK" w:hAnsi="宋体" w:eastAsia="方正仿宋_GBK" w:cs="宋体"/>
          <w:sz w:val="28"/>
          <w:szCs w:val="28"/>
          <w:u w:val="single"/>
        </w:rPr>
        <w:t xml:space="preserve">2026</w:t>
      </w:r>
      <w:r>
        <w:rPr>
          <w:rFonts w:hint="eastAsia" w:ascii="方正仿宋_GBK" w:hAnsi="宋体" w:eastAsia="方正仿宋_GBK" w:cs="宋体"/>
          <w:sz w:val="28"/>
          <w:szCs w:val="28"/>
        </w:rPr>
        <w:t xml:space="preserve">年</w:t>
      </w:r>
      <w:r>
        <w:rPr>
          <w:rFonts w:hint="eastAsia" w:ascii="方正仿宋_GBK" w:hAnsi="宋体" w:eastAsia="方正仿宋_GBK" w:cs="宋体"/>
          <w:sz w:val="28"/>
          <w:szCs w:val="28"/>
          <w:u w:val="single"/>
        </w:rPr>
        <w:t xml:space="preserve">   </w:t>
      </w:r>
      <w:r>
        <w:rPr>
          <w:rFonts w:hint="eastAsia" w:ascii="方正仿宋_GBK" w:hAnsi="宋体" w:eastAsia="方正仿宋_GBK" w:cs="宋体"/>
          <w:sz w:val="28"/>
          <w:szCs w:val="28"/>
        </w:rPr>
        <w:t xml:space="preserve">月</w:t>
      </w:r>
      <w:r>
        <w:rPr>
          <w:rFonts w:hint="eastAsia" w:ascii="方正仿宋_GBK" w:hAnsi="宋体" w:eastAsia="方正仿宋_GBK" w:cs="宋体"/>
          <w:sz w:val="28"/>
          <w:szCs w:val="28"/>
          <w:u w:val="single"/>
        </w:rPr>
        <w:t xml:space="preserve">   </w:t>
      </w:r>
      <w:r>
        <w:rPr>
          <w:rFonts w:hint="eastAsia" w:ascii="方正仿宋_GBK" w:hAnsi="宋体" w:eastAsia="方正仿宋_GBK" w:cs="宋体"/>
          <w:sz w:val="28"/>
          <w:szCs w:val="28"/>
        </w:rPr>
        <w:t xml:space="preserve">日</w:t>
      </w:r>
      <w:r/>
    </w:p>
    <w:p>
      <w:pPr>
        <w:ind w:firstLine="560"/>
        <w:jc w:val="left"/>
        <w:spacing w:line="440" w:lineRule="exact"/>
        <w:rPr>
          <w:rFonts w:ascii="方正仿宋_GBK" w:hAnsi="宋体" w:eastAsia="方正仿宋_GBK" w:cs="宋体"/>
          <w:sz w:val="28"/>
          <w:szCs w:val="28"/>
        </w:rPr>
      </w:pPr>
      <w:r>
        <w:rPr>
          <w:rFonts w:hint="eastAsia" w:ascii="方正仿宋_GBK" w:hAnsi="宋体" w:eastAsia="方正仿宋_GBK" w:cs="宋体"/>
          <w:sz w:val="28"/>
          <w:szCs w:val="28"/>
        </w:rPr>
        <w:t xml:space="preserve">启东市民政局根据启东市政府采购管理的有关规定，就</w:t>
      </w:r>
      <w:r>
        <w:rPr>
          <w:rFonts w:hint="eastAsia" w:ascii="方正仿宋_GBK" w:hAnsi="宋体" w:eastAsia="方正仿宋_GBK" w:cs="宋体"/>
          <w:b/>
          <w:bCs/>
          <w:sz w:val="28"/>
          <w:szCs w:val="28"/>
        </w:rPr>
        <w:t xml:space="preserve">启东市民政局2026-2029年政府购买居家养老上门服务项目</w:t>
      </w:r>
      <w:r>
        <w:rPr>
          <w:rFonts w:hint="eastAsia" w:ascii="方正仿宋_GBK" w:hAnsi="宋体" w:eastAsia="方正仿宋_GBK" w:cs="宋体"/>
          <w:sz w:val="28"/>
          <w:szCs w:val="28"/>
        </w:rPr>
        <w:t xml:space="preserve">（   标包）进行公开招标采购，经过评委的严格审核评定，确定</w:t>
      </w:r>
      <w:r>
        <w:rPr>
          <w:rFonts w:hint="eastAsia" w:ascii="方正仿宋_GBK" w:hAnsi="宋体" w:eastAsia="方正仿宋_GBK" w:cs="宋体"/>
          <w:sz w:val="28"/>
          <w:szCs w:val="28"/>
          <w:u w:val="single"/>
        </w:rPr>
        <w:t xml:space="preserve">            </w:t>
      </w:r>
      <w:r>
        <w:rPr>
          <w:rFonts w:hint="eastAsia" w:ascii="方正仿宋_GBK" w:hAnsi="宋体" w:eastAsia="方正仿宋_GBK" w:cs="宋体"/>
          <w:sz w:val="28"/>
          <w:szCs w:val="28"/>
        </w:rPr>
        <w:t xml:space="preserve">为本次成交乙方。现就本次采购事宜订立如下合同：</w:t>
      </w:r>
      <w:r/>
    </w:p>
    <w:p>
      <w:pPr>
        <w:ind w:firstLine="562"/>
        <w:jc w:val="left"/>
        <w:spacing w:line="440" w:lineRule="exact"/>
        <w:widowControl/>
        <w:rPr>
          <w:rFonts w:ascii="方正仿宋_GBK" w:hAnsi="宋体" w:eastAsia="方正仿宋_GBK" w:cs="宋体"/>
          <w:b/>
          <w:bCs/>
          <w:color w:val="333333"/>
          <w:sz w:val="28"/>
          <w:szCs w:val="28"/>
          <w:shd w:val="clear" w:color="auto" w:fill="ffffff"/>
        </w:rPr>
      </w:pPr>
      <w:r>
        <w:rPr>
          <w:rFonts w:hint="eastAsia" w:ascii="方正仿宋_GBK" w:hAnsi="宋体" w:eastAsia="方正仿宋_GBK" w:cs="宋体"/>
          <w:b/>
          <w:bCs/>
          <w:color w:val="333333"/>
          <w:sz w:val="28"/>
          <w:szCs w:val="28"/>
          <w:shd w:val="clear" w:color="auto" w:fill="ffffff"/>
        </w:rPr>
        <w:t xml:space="preserve">第一条 采购内容</w:t>
      </w:r>
      <w:r/>
    </w:p>
    <w:p>
      <w:pPr>
        <w:ind w:firstLine="562"/>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b/>
          <w:color w:val="333333"/>
          <w:sz w:val="28"/>
          <w:szCs w:val="28"/>
          <w:shd w:val="clear" w:color="auto" w:fill="ffffff"/>
        </w:rPr>
        <w:t xml:space="preserve">一、项目名称：</w:t>
      </w:r>
      <w:r>
        <w:rPr>
          <w:rFonts w:hint="eastAsia" w:ascii="方正仿宋_GBK" w:hAnsi="宋体" w:eastAsia="方正仿宋_GBK" w:cs="宋体"/>
          <w:b/>
          <w:bCs/>
          <w:color w:val="333333"/>
          <w:sz w:val="28"/>
          <w:szCs w:val="28"/>
          <w:shd w:val="clear" w:color="auto" w:fill="ffffff"/>
        </w:rPr>
        <w:t xml:space="preserve">启东市民政局2026-2029年政府购买居家养老上门服务项目</w:t>
      </w:r>
      <w:r>
        <w:rPr>
          <w:rFonts w:hint="eastAsia" w:ascii="方正仿宋_GBK" w:hAnsi="宋体" w:eastAsia="方正仿宋_GBK" w:cs="宋体"/>
          <w:color w:val="333333"/>
          <w:sz w:val="28"/>
          <w:szCs w:val="28"/>
          <w:shd w:val="clear" w:color="auto" w:fill="ffffff"/>
        </w:rPr>
        <w:t xml:space="preserve">（   标包）</w:t>
      </w:r>
      <w:r/>
    </w:p>
    <w:p>
      <w:pPr>
        <w:ind w:firstLine="562"/>
        <w:jc w:val="left"/>
        <w:spacing w:line="440" w:lineRule="exact"/>
        <w:widowControl/>
        <w:rPr>
          <w:rFonts w:ascii="方正仿宋_GBK" w:hAnsi="宋体" w:eastAsia="方正仿宋_GBK" w:cs="宋体"/>
          <w:b/>
          <w:color w:val="333333"/>
          <w:sz w:val="28"/>
          <w:szCs w:val="28"/>
          <w:shd w:val="clear" w:color="auto" w:fill="ffffff"/>
        </w:rPr>
      </w:pPr>
      <w:r>
        <w:rPr>
          <w:rFonts w:hint="eastAsia" w:ascii="方正仿宋_GBK" w:hAnsi="宋体" w:eastAsia="方正仿宋_GBK" w:cs="宋体"/>
          <w:b/>
          <w:color w:val="333333"/>
          <w:sz w:val="28"/>
          <w:szCs w:val="28"/>
          <w:shd w:val="clear" w:color="auto" w:fill="ffffff"/>
        </w:rPr>
        <w:t xml:space="preserve">二、采购项目内容</w:t>
      </w:r>
      <w:r/>
    </w:p>
    <w:p>
      <w:pPr>
        <w:ind w:firstLine="562"/>
        <w:jc w:val="left"/>
        <w:spacing w:line="440" w:lineRule="exact"/>
        <w:widowControl/>
        <w:rPr>
          <w:rFonts w:ascii="方正仿宋_GBK" w:hAnsi="宋体" w:eastAsia="方正仿宋_GBK" w:cs="宋体"/>
          <w:b/>
          <w:bCs/>
          <w:color w:val="333333"/>
          <w:sz w:val="28"/>
          <w:szCs w:val="28"/>
          <w:shd w:val="clear" w:color="auto" w:fill="ffffff"/>
        </w:rPr>
      </w:pPr>
      <w:r>
        <w:rPr>
          <w:rFonts w:hint="eastAsia" w:ascii="方正仿宋_GBK" w:hAnsi="宋体" w:eastAsia="方正仿宋_GBK" w:cs="宋体"/>
          <w:b/>
          <w:bCs/>
          <w:color w:val="333333"/>
          <w:sz w:val="28"/>
          <w:szCs w:val="28"/>
          <w:shd w:val="clear" w:color="auto" w:fill="ffffff"/>
        </w:rPr>
        <w:t xml:space="preserve">启东市民政局2026-2029年政府购买居家养老上门服务项目</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    标包）</w:t>
      </w:r>
      <w:r>
        <w:rPr>
          <w:rFonts w:hint="eastAsia" w:ascii="方正仿宋_GBK" w:hAnsi="宋体" w:eastAsia="方正仿宋_GBK" w:cs="宋体"/>
          <w:sz w:val="28"/>
          <w:szCs w:val="28"/>
        </w:rPr>
        <w:t xml:space="preserve">为</w:t>
      </w:r>
      <w:r>
        <w:rPr>
          <w:rFonts w:hint="eastAsia" w:ascii="方正仿宋_GBK" w:hAnsi="宋体" w:eastAsia="方正仿宋_GBK" w:cs="宋体"/>
          <w:sz w:val="28"/>
          <w:szCs w:val="28"/>
          <w:u w:val="single"/>
        </w:rPr>
        <w:t xml:space="preserve">                   </w:t>
      </w:r>
      <w:r>
        <w:rPr>
          <w:rFonts w:hint="eastAsia" w:ascii="方正仿宋_GBK" w:hAnsi="宋体" w:eastAsia="方正仿宋_GBK" w:cs="宋体"/>
          <w:sz w:val="28"/>
          <w:szCs w:val="28"/>
        </w:rPr>
        <w:t xml:space="preserve">,主要服务内容为 </w:t>
      </w:r>
      <w:r>
        <w:rPr>
          <w:rFonts w:hint="eastAsia" w:ascii="方正仿宋_GBK" w:hAnsi="宋体" w:eastAsia="方正仿宋_GBK" w:cs="宋体"/>
          <w:sz w:val="28"/>
          <w:szCs w:val="28"/>
          <w:u w:val="single"/>
        </w:rPr>
        <w:t xml:space="preserve">            </w:t>
      </w:r>
      <w:r>
        <w:rPr>
          <w:rFonts w:hint="eastAsia" w:ascii="方正仿宋_GBK" w:hAnsi="宋体" w:eastAsia="方正仿宋_GBK" w:cs="宋体"/>
          <w:sz w:val="28"/>
          <w:szCs w:val="28"/>
        </w:rPr>
        <w:t xml:space="preserve">。</w:t>
      </w:r>
      <w:r/>
    </w:p>
    <w:p>
      <w:pPr>
        <w:ind w:firstLine="562"/>
        <w:jc w:val="left"/>
        <w:spacing w:line="440" w:lineRule="exact"/>
        <w:widowControl/>
        <w:rPr>
          <w:rFonts w:ascii="方正仿宋_GBK" w:hAnsi="宋体" w:eastAsia="方正仿宋_GBK" w:cs="宋体"/>
          <w:b/>
          <w:bCs/>
          <w:color w:val="333333"/>
          <w:sz w:val="28"/>
          <w:szCs w:val="28"/>
          <w:shd w:val="clear" w:color="auto" w:fill="ffffff"/>
        </w:rPr>
      </w:pPr>
      <w:r>
        <w:rPr>
          <w:rFonts w:hint="eastAsia" w:ascii="方正仿宋_GBK" w:hAnsi="宋体" w:eastAsia="方正仿宋_GBK" w:cs="宋体"/>
          <w:b/>
          <w:bCs/>
          <w:color w:val="333333"/>
          <w:sz w:val="28"/>
          <w:szCs w:val="28"/>
          <w:shd w:val="clear" w:color="auto" w:fill="ffffff"/>
        </w:rPr>
        <w:t xml:space="preserve">三、服务要求：</w:t>
      </w:r>
      <w:r/>
    </w:p>
    <w:p>
      <w:pPr>
        <w:ind w:firstLine="560"/>
        <w:jc w:val="left"/>
        <w:spacing w:line="440" w:lineRule="exact"/>
        <w:widowControl/>
        <w:rPr>
          <w:rFonts w:ascii="方正仿宋_GBK" w:hAnsi="宋体" w:eastAsia="方正仿宋_GBK"/>
          <w:sz w:val="28"/>
          <w:szCs w:val="28"/>
        </w:rPr>
      </w:pPr>
      <w:r>
        <w:rPr>
          <w:rFonts w:hint="eastAsia" w:ascii="方正仿宋_GBK" w:hAnsi="宋体" w:eastAsia="方正仿宋_GBK"/>
          <w:sz w:val="28"/>
          <w:szCs w:val="28"/>
        </w:rPr>
        <w:t xml:space="preserve">一标包：居家养老线上服务,建立启东市智慧养老综合平台；建立呼叫中心提供24小时全天候服务，包括紧急救援、生活服务咨询和养老顾问服务等；对居家养老线下服务工单调配、分析、汇总；全程监管居家养老线下服务及全市养老服务综合管理；1家市级综合养老服务中心运营；长者驿家运营；南北城区约8家睦邻点运营；建立全市居家养老服务设施管理系统，包括市级综合养老服务中心、长者驿家、睦邻点、助餐点等数据整合和线上监管。</w:t>
      </w:r>
      <w:r/>
    </w:p>
    <w:p>
      <w:pPr>
        <w:ind w:firstLine="560"/>
        <w:jc w:val="left"/>
        <w:spacing w:line="440" w:lineRule="exact"/>
        <w:widowControl/>
        <w:rPr>
          <w:rFonts w:ascii="方正仿宋_GBK" w:hAnsi="宋体" w:eastAsia="方正仿宋_GBK"/>
          <w:sz w:val="28"/>
          <w:szCs w:val="28"/>
        </w:rPr>
      </w:pPr>
      <w:r>
        <w:rPr>
          <w:rFonts w:hint="eastAsia" w:ascii="方正仿宋_GBK" w:hAnsi="宋体" w:eastAsia="方正仿宋_GBK"/>
          <w:sz w:val="28"/>
          <w:szCs w:val="28"/>
        </w:rPr>
        <w:t xml:space="preserve">二标包：南阳镇、汇龙镇、南城区、北城区、开发区、北新镇、启隆镇区域线下服务；1家镇养老服务中心运营；服务区域内约7家睦邻点运营。</w:t>
      </w:r>
      <w:r/>
    </w:p>
    <w:p>
      <w:pPr>
        <w:ind w:firstLine="560"/>
        <w:jc w:val="left"/>
        <w:spacing w:line="440" w:lineRule="exact"/>
        <w:widowControl/>
        <w:rPr>
          <w:rFonts w:ascii="方正仿宋_GBK" w:hAnsi="宋体" w:eastAsia="方正仿宋_GBK"/>
          <w:sz w:val="28"/>
          <w:szCs w:val="28"/>
        </w:rPr>
      </w:pPr>
      <w:r>
        <w:rPr>
          <w:rFonts w:hint="eastAsia" w:ascii="方正仿宋_GBK" w:hAnsi="宋体" w:eastAsia="方正仿宋_GBK"/>
          <w:sz w:val="28"/>
          <w:szCs w:val="28"/>
        </w:rPr>
        <w:t xml:space="preserve">三标包：启东市海复镇、合作镇、王鲍、吕四区域线下服务；1家镇养老服务中心运营；服务区域内约7家睦邻点运营。</w:t>
      </w:r>
      <w:r/>
    </w:p>
    <w:p>
      <w:pPr>
        <w:ind w:firstLine="560"/>
        <w:jc w:val="left"/>
        <w:spacing w:line="440" w:lineRule="exact"/>
        <w:widowControl/>
        <w:rPr>
          <w:rFonts w:ascii="方正仿宋_GBK" w:hAnsi="宋体" w:eastAsia="方正仿宋_GBK"/>
          <w:sz w:val="28"/>
          <w:szCs w:val="28"/>
        </w:rPr>
      </w:pPr>
      <w:r>
        <w:rPr>
          <w:rFonts w:hint="eastAsia" w:ascii="方正仿宋_GBK" w:hAnsi="宋体" w:eastAsia="方正仿宋_GBK"/>
          <w:sz w:val="28"/>
          <w:szCs w:val="28"/>
        </w:rPr>
        <w:t xml:space="preserve">四标包：启东市寅阳镇、东海镇、惠萍镇、圆陀角、近海镇区域线下服务；1家镇养老服务中心运营；服务区域内约9家睦邻点运营。</w:t>
      </w:r>
      <w:r/>
    </w:p>
    <w:p>
      <w:pPr>
        <w:ind w:firstLine="562"/>
        <w:jc w:val="left"/>
        <w:spacing w:line="440" w:lineRule="exact"/>
        <w:widowControl/>
        <w:rPr>
          <w:rFonts w:ascii="方正仿宋_GBK" w:hAnsi="宋体" w:eastAsia="方正仿宋_GBK" w:cs="宋体"/>
          <w:b/>
          <w:bCs/>
          <w:color w:val="333333"/>
          <w:sz w:val="28"/>
          <w:szCs w:val="28"/>
          <w:shd w:val="clear" w:color="auto" w:fill="ffffff"/>
        </w:rPr>
      </w:pPr>
      <w:r>
        <w:rPr>
          <w:rFonts w:hint="eastAsia" w:ascii="方正仿宋_GBK" w:hAnsi="宋体" w:eastAsia="方正仿宋_GBK" w:cs="宋体"/>
          <w:b/>
          <w:bCs/>
          <w:color w:val="333333"/>
          <w:sz w:val="28"/>
          <w:szCs w:val="28"/>
          <w:shd w:val="clear" w:color="auto" w:fill="ffffff"/>
        </w:rPr>
        <w:t xml:space="preserve">四、服务地点：</w:t>
      </w:r>
      <w:r/>
    </w:p>
    <w:p>
      <w:pPr>
        <w:ind w:firstLine="562"/>
        <w:jc w:val="left"/>
        <w:spacing w:line="440" w:lineRule="exact"/>
        <w:widowControl/>
        <w:rPr>
          <w:rFonts w:ascii="方正仿宋_GBK" w:hAnsi="宋体" w:eastAsia="方正仿宋_GBK"/>
          <w:sz w:val="28"/>
          <w:szCs w:val="28"/>
        </w:rPr>
      </w:pPr>
      <w:r>
        <w:rPr>
          <w:rFonts w:hint="eastAsia" w:ascii="方正仿宋_GBK" w:hAnsi="宋体" w:eastAsia="方正仿宋_GBK" w:cs="宋体"/>
          <w:b/>
          <w:bCs/>
          <w:color w:val="333333"/>
          <w:sz w:val="28"/>
          <w:szCs w:val="28"/>
          <w:shd w:val="clear" w:color="auto" w:fill="ffffff"/>
        </w:rPr>
        <w:t xml:space="preserve">一标包：</w:t>
      </w:r>
      <w:r>
        <w:rPr>
          <w:rFonts w:hint="eastAsia" w:ascii="方正仿宋_GBK" w:hAnsi="宋体" w:eastAsia="方正仿宋_GBK"/>
          <w:sz w:val="28"/>
          <w:szCs w:val="28"/>
        </w:rPr>
        <w:t xml:space="preserve">启东市范围内线上，线下为启东市汇龙镇南北城区</w:t>
      </w:r>
      <w:r/>
    </w:p>
    <w:p>
      <w:pPr>
        <w:ind w:firstLine="562"/>
        <w:jc w:val="left"/>
        <w:spacing w:line="440" w:lineRule="exact"/>
        <w:widowControl/>
        <w:rPr>
          <w:rFonts w:ascii="方正仿宋_GBK" w:hAnsi="宋体" w:eastAsia="方正仿宋_GBK"/>
          <w:sz w:val="28"/>
          <w:szCs w:val="28"/>
        </w:rPr>
      </w:pPr>
      <w:r>
        <w:rPr>
          <w:rFonts w:hint="eastAsia" w:ascii="方正仿宋_GBK" w:hAnsi="宋体" w:eastAsia="方正仿宋_GBK" w:cs="宋体"/>
          <w:b/>
          <w:bCs/>
          <w:color w:val="333333"/>
          <w:sz w:val="28"/>
          <w:szCs w:val="28"/>
          <w:shd w:val="clear" w:color="auto" w:fill="ffffff"/>
        </w:rPr>
        <w:t xml:space="preserve">二标包：</w:t>
      </w:r>
      <w:r>
        <w:rPr>
          <w:rFonts w:hint="eastAsia" w:ascii="方正仿宋_GBK" w:hAnsi="宋体" w:eastAsia="方正仿宋_GBK"/>
          <w:sz w:val="28"/>
          <w:szCs w:val="28"/>
        </w:rPr>
        <w:t xml:space="preserve">南阳镇、汇龙镇、南城区、北城区、开发区、北新镇、启隆镇区域</w:t>
      </w:r>
      <w:r/>
    </w:p>
    <w:p>
      <w:pPr>
        <w:ind w:firstLine="562"/>
        <w:jc w:val="left"/>
        <w:spacing w:line="440" w:lineRule="exact"/>
        <w:widowControl/>
        <w:rPr>
          <w:rFonts w:ascii="方正仿宋_GBK" w:hAnsi="宋体" w:eastAsia="方正仿宋_GBK"/>
          <w:sz w:val="28"/>
          <w:szCs w:val="28"/>
        </w:rPr>
      </w:pPr>
      <w:r>
        <w:rPr>
          <w:rFonts w:hint="eastAsia" w:ascii="方正仿宋_GBK" w:hAnsi="宋体" w:eastAsia="方正仿宋_GBK" w:cs="宋体"/>
          <w:b/>
          <w:bCs/>
          <w:color w:val="333333"/>
          <w:sz w:val="28"/>
          <w:szCs w:val="28"/>
          <w:shd w:val="clear" w:color="auto" w:fill="ffffff"/>
        </w:rPr>
        <w:t xml:space="preserve">三标包：</w:t>
      </w:r>
      <w:r>
        <w:rPr>
          <w:rFonts w:hint="eastAsia" w:ascii="方正仿宋_GBK" w:hAnsi="宋体" w:eastAsia="方正仿宋_GBK"/>
          <w:sz w:val="28"/>
          <w:szCs w:val="28"/>
        </w:rPr>
        <w:t xml:space="preserve">启东市海复镇、合作镇、王鲍、吕四区域。</w:t>
      </w:r>
      <w:r/>
    </w:p>
    <w:p>
      <w:pPr>
        <w:ind w:firstLine="562"/>
        <w:jc w:val="left"/>
        <w:spacing w:line="440" w:lineRule="exact"/>
        <w:widowControl/>
        <w:rPr>
          <w:rFonts w:ascii="方正仿宋_GBK" w:hAnsi="宋体" w:eastAsia="方正仿宋_GBK" w:cs="宋体"/>
          <w:b/>
          <w:bCs/>
          <w:color w:val="333333"/>
          <w:sz w:val="28"/>
          <w:szCs w:val="28"/>
          <w:shd w:val="clear" w:color="auto" w:fill="ffffff"/>
        </w:rPr>
      </w:pPr>
      <w:r>
        <w:rPr>
          <w:rFonts w:hint="eastAsia" w:ascii="方正仿宋_GBK" w:hAnsi="宋体" w:eastAsia="方正仿宋_GBK" w:cs="宋体"/>
          <w:b/>
          <w:bCs/>
          <w:color w:val="333333"/>
          <w:sz w:val="28"/>
          <w:szCs w:val="28"/>
          <w:shd w:val="clear" w:color="auto" w:fill="ffffff"/>
        </w:rPr>
        <w:t xml:space="preserve">四标包：</w:t>
      </w:r>
      <w:r>
        <w:rPr>
          <w:rFonts w:hint="eastAsia" w:ascii="方正仿宋_GBK" w:hAnsi="宋体" w:eastAsia="方正仿宋_GBK"/>
          <w:sz w:val="28"/>
          <w:szCs w:val="28"/>
        </w:rPr>
        <w:t xml:space="preserve">启东市寅阳镇、东海镇、惠萍镇、圆陀角、近海镇区域。</w:t>
      </w:r>
      <w:r/>
    </w:p>
    <w:p>
      <w:pPr>
        <w:ind w:firstLine="562"/>
        <w:jc w:val="left"/>
        <w:spacing w:line="440" w:lineRule="exact"/>
        <w:widowControl/>
        <w:rPr>
          <w:rFonts w:ascii="方正仿宋_GBK" w:hAnsi="宋体" w:eastAsia="方正仿宋_GBK" w:cs="宋体"/>
          <w:b/>
          <w:bCs/>
          <w:sz w:val="28"/>
          <w:szCs w:val="28"/>
        </w:rPr>
      </w:pPr>
      <w:r>
        <w:rPr>
          <w:rFonts w:hint="eastAsia" w:ascii="方正仿宋_GBK" w:hAnsi="宋体" w:eastAsia="方正仿宋_GBK" w:cs="宋体"/>
          <w:b/>
          <w:bCs/>
          <w:sz w:val="28"/>
          <w:szCs w:val="28"/>
        </w:rPr>
        <w:t xml:space="preserve">五、相关说明：（具体根据各标包项目需求，略）</w:t>
      </w:r>
      <w:r/>
    </w:p>
    <w:p>
      <w:pPr>
        <w:ind w:firstLine="562"/>
        <w:jc w:val="left"/>
        <w:spacing w:line="440" w:lineRule="exact"/>
        <w:widowControl/>
        <w:rPr>
          <w:rFonts w:ascii="方正仿宋_GBK" w:hAnsi="宋体" w:eastAsia="方正仿宋_GBK" w:cs="宋体"/>
          <w:b/>
          <w:color w:val="333333"/>
          <w:sz w:val="28"/>
          <w:szCs w:val="28"/>
          <w:shd w:val="clear" w:color="auto" w:fill="ffffff"/>
        </w:rPr>
      </w:pPr>
      <w:r>
        <w:rPr>
          <w:rFonts w:hint="eastAsia" w:ascii="方正仿宋_GBK" w:hAnsi="宋体" w:eastAsia="方正仿宋_GBK" w:cs="宋体"/>
          <w:b/>
          <w:color w:val="333333"/>
          <w:sz w:val="28"/>
          <w:szCs w:val="28"/>
          <w:shd w:val="clear" w:color="auto" w:fill="ffffff"/>
        </w:rPr>
        <w:t xml:space="preserve">六、验收标准及要求:</w:t>
      </w:r>
      <w:r/>
    </w:p>
    <w:p>
      <w:pPr>
        <w:numPr>
          <w:ilvl w:val="0"/>
          <w:numId w:val="4"/>
        </w:numPr>
        <w:ind w:firstLine="560"/>
        <w:jc w:val="left"/>
        <w:spacing w:line="440" w:lineRule="exact"/>
        <w:widowControl/>
        <w:rPr>
          <w:rFonts w:ascii="方正仿宋_GBK" w:hAnsi="宋体" w:eastAsia="方正仿宋_GBK" w:cs="宋体"/>
          <w:bCs/>
          <w:color w:val="333333"/>
          <w:sz w:val="28"/>
          <w:szCs w:val="28"/>
          <w:shd w:val="clear" w:color="auto" w:fill="ffffff"/>
          <w:lang w:val="zh-CN"/>
        </w:rPr>
      </w:pPr>
      <w:r>
        <w:rPr>
          <w:rFonts w:hint="eastAsia" w:ascii="方正仿宋_GBK" w:hAnsi="宋体" w:eastAsia="方正仿宋_GBK" w:cs="宋体"/>
          <w:bCs/>
          <w:color w:val="333333"/>
          <w:sz w:val="28"/>
          <w:szCs w:val="28"/>
          <w:shd w:val="clear" w:color="auto" w:fill="ffffff"/>
          <w:lang w:val="zh-CN"/>
        </w:rPr>
        <w:t xml:space="preserve">甲方对乙方</w:t>
      </w:r>
      <w:r>
        <w:rPr>
          <w:rFonts w:hint="eastAsia" w:ascii="方正仿宋_GBK" w:hAnsi="宋体" w:eastAsia="方正仿宋_GBK" w:cs="宋体"/>
          <w:bCs/>
          <w:color w:val="333333"/>
          <w:sz w:val="28"/>
          <w:szCs w:val="28"/>
          <w:shd w:val="clear" w:color="auto" w:fill="ffffff"/>
        </w:rPr>
        <w:t xml:space="preserve">的</w:t>
      </w:r>
      <w:r>
        <w:rPr>
          <w:rFonts w:hint="eastAsia" w:ascii="方正仿宋_GBK" w:hAnsi="宋体" w:eastAsia="方正仿宋_GBK" w:cs="宋体"/>
          <w:bCs/>
          <w:color w:val="333333"/>
          <w:sz w:val="28"/>
          <w:szCs w:val="28"/>
          <w:shd w:val="clear" w:color="auto" w:fill="ffffff"/>
          <w:lang w:val="zh-CN"/>
        </w:rPr>
        <w:t xml:space="preserve">线上</w:t>
      </w:r>
      <w:r>
        <w:rPr>
          <w:rFonts w:hint="eastAsia" w:ascii="方正仿宋_GBK" w:hAnsi="宋体" w:eastAsia="方正仿宋_GBK" w:cs="宋体"/>
          <w:bCs/>
          <w:color w:val="333333"/>
          <w:sz w:val="28"/>
          <w:szCs w:val="28"/>
          <w:shd w:val="clear" w:color="auto" w:fill="ffffff"/>
        </w:rPr>
        <w:t xml:space="preserve">及</w:t>
      </w:r>
      <w:r>
        <w:rPr>
          <w:rFonts w:hint="eastAsia" w:ascii="方正仿宋_GBK" w:hAnsi="宋体" w:eastAsia="方正仿宋_GBK" w:cs="宋体"/>
          <w:bCs/>
          <w:color w:val="333333"/>
          <w:sz w:val="28"/>
          <w:szCs w:val="28"/>
          <w:shd w:val="clear" w:color="auto" w:fill="ffffff"/>
          <w:lang w:val="zh-CN"/>
        </w:rPr>
        <w:t xml:space="preserve">线下服务工作情况进行百分制考核。考核</w:t>
      </w:r>
      <w:r>
        <w:rPr>
          <w:rFonts w:hint="eastAsia" w:ascii="方正仿宋_GBK" w:hAnsi="宋体" w:eastAsia="方正仿宋_GBK" w:cs="宋体"/>
          <w:bCs/>
          <w:color w:val="333333"/>
          <w:sz w:val="28"/>
          <w:szCs w:val="28"/>
          <w:shd w:val="clear" w:color="auto" w:fill="ffffff"/>
        </w:rPr>
        <w:t xml:space="preserve">得分</w:t>
      </w:r>
      <w:r>
        <w:rPr>
          <w:rFonts w:hint="eastAsia" w:ascii="方正仿宋_GBK" w:hAnsi="宋体" w:eastAsia="方正仿宋_GBK" w:cs="宋体"/>
          <w:bCs/>
          <w:color w:val="333333"/>
          <w:sz w:val="28"/>
          <w:szCs w:val="28"/>
          <w:shd w:val="clear" w:color="auto" w:fill="ffffff"/>
          <w:lang w:val="zh-CN"/>
        </w:rPr>
        <w:t xml:space="preserve">将与乙方的服务费</w:t>
      </w:r>
      <w:r>
        <w:rPr>
          <w:rFonts w:hint="eastAsia" w:ascii="方正仿宋_GBK" w:hAnsi="宋体" w:eastAsia="方正仿宋_GBK" w:cs="宋体"/>
          <w:bCs/>
          <w:color w:val="333333"/>
          <w:sz w:val="28"/>
          <w:szCs w:val="28"/>
          <w:shd w:val="clear" w:color="auto" w:fill="ffffff"/>
        </w:rPr>
        <w:t xml:space="preserve">直接</w:t>
      </w:r>
      <w:r>
        <w:rPr>
          <w:rFonts w:hint="eastAsia" w:ascii="方正仿宋_GBK" w:hAnsi="宋体" w:eastAsia="方正仿宋_GBK" w:cs="宋体"/>
          <w:bCs/>
          <w:color w:val="333333"/>
          <w:sz w:val="28"/>
          <w:szCs w:val="28"/>
          <w:shd w:val="clear" w:color="auto" w:fill="ffffff"/>
          <w:lang w:val="zh-CN"/>
        </w:rPr>
        <w:t xml:space="preserve">挂钩。</w:t>
      </w:r>
      <w:r>
        <w:rPr>
          <w:rFonts w:hint="eastAsia" w:ascii="方正仿宋_GBK" w:hAnsi="宋体" w:eastAsia="方正仿宋_GBK" w:cs="宋体"/>
          <w:bCs/>
          <w:color w:val="333333"/>
          <w:sz w:val="28"/>
          <w:szCs w:val="28"/>
          <w:shd w:val="clear" w:color="auto" w:fill="ffffff"/>
        </w:rPr>
        <w:t xml:space="preserve">具体考核办法由甲方另行制定，</w:t>
      </w:r>
      <w:r>
        <w:rPr>
          <w:rFonts w:hint="eastAsia" w:ascii="方正仿宋_GBK" w:hAnsi="宋体" w:eastAsia="方正仿宋_GBK" w:cs="宋体"/>
          <w:bCs/>
          <w:color w:val="333333"/>
          <w:sz w:val="28"/>
          <w:szCs w:val="28"/>
          <w:shd w:val="clear" w:color="auto" w:fill="ffffff"/>
          <w:lang w:val="zh-CN"/>
        </w:rPr>
        <w:t xml:space="preserve">乙方须无条件执行,项目实施过程中</w:t>
      </w:r>
      <w:r>
        <w:rPr>
          <w:rFonts w:hint="eastAsia" w:ascii="方正仿宋_GBK" w:hAnsi="宋体" w:eastAsia="方正仿宋_GBK" w:cs="宋体"/>
          <w:bCs/>
          <w:color w:val="333333"/>
          <w:sz w:val="28"/>
          <w:szCs w:val="28"/>
          <w:shd w:val="clear" w:color="auto" w:fill="ffffff"/>
        </w:rPr>
        <w:t xml:space="preserve">甲方</w:t>
      </w:r>
      <w:r>
        <w:rPr>
          <w:rFonts w:hint="eastAsia" w:ascii="方正仿宋_GBK" w:hAnsi="宋体" w:eastAsia="方正仿宋_GBK" w:cs="宋体"/>
          <w:bCs/>
          <w:color w:val="333333"/>
          <w:sz w:val="28"/>
          <w:szCs w:val="28"/>
          <w:shd w:val="clear" w:color="auto" w:fill="ffffff"/>
          <w:lang w:val="zh-CN"/>
        </w:rPr>
        <w:t xml:space="preserve">有权对考核办法进行调整。</w:t>
      </w:r>
      <w:r/>
    </w:p>
    <w:p>
      <w:pPr>
        <w:ind w:firstLine="560"/>
        <w:jc w:val="left"/>
        <w:spacing w:line="440" w:lineRule="exact"/>
        <w:widowControl/>
        <w:rPr>
          <w:rFonts w:ascii="方正仿宋_GBK" w:hAnsi="宋体" w:eastAsia="方正仿宋_GBK" w:cs="宋体"/>
          <w:bCs/>
          <w:color w:val="333333"/>
          <w:sz w:val="28"/>
          <w:szCs w:val="28"/>
          <w:shd w:val="clear" w:color="auto" w:fill="ffffff"/>
          <w:lang w:val="zh-CN"/>
        </w:rPr>
      </w:pPr>
      <w:r>
        <w:rPr>
          <w:rFonts w:hint="eastAsia" w:ascii="方正仿宋_GBK" w:hAnsi="宋体" w:eastAsia="方正仿宋_GBK" w:cs="宋体"/>
          <w:bCs/>
          <w:color w:val="333333"/>
          <w:sz w:val="28"/>
          <w:szCs w:val="28"/>
          <w:shd w:val="clear" w:color="auto" w:fill="ffffff"/>
        </w:rPr>
        <w:t xml:space="preserve">2、</w:t>
      </w:r>
      <w:r>
        <w:rPr>
          <w:rFonts w:hint="eastAsia" w:ascii="方正仿宋_GBK" w:hAnsi="宋体" w:eastAsia="方正仿宋_GBK" w:cs="宋体"/>
          <w:bCs/>
          <w:color w:val="333333"/>
          <w:sz w:val="28"/>
          <w:szCs w:val="28"/>
          <w:shd w:val="clear" w:color="auto" w:fill="ffffff"/>
          <w:lang w:val="zh-CN"/>
        </w:rPr>
        <w:t xml:space="preserve">若乙方</w:t>
      </w:r>
      <w:r>
        <w:rPr>
          <w:rFonts w:hint="eastAsia" w:ascii="方正仿宋_GBK" w:hAnsi="宋体" w:eastAsia="方正仿宋_GBK" w:cs="宋体"/>
          <w:bCs/>
          <w:color w:val="333333"/>
          <w:sz w:val="28"/>
          <w:szCs w:val="28"/>
          <w:shd w:val="clear" w:color="auto" w:fill="ffffff"/>
        </w:rPr>
        <w:t xml:space="preserve">的</w:t>
      </w:r>
      <w:r>
        <w:rPr>
          <w:rFonts w:hint="eastAsia" w:ascii="方正仿宋_GBK" w:hAnsi="宋体" w:eastAsia="方正仿宋_GBK" w:cs="宋体"/>
          <w:bCs/>
          <w:color w:val="333333"/>
          <w:sz w:val="28"/>
          <w:szCs w:val="28"/>
          <w:shd w:val="clear" w:color="auto" w:fill="ffffff"/>
          <w:lang w:val="zh-CN"/>
        </w:rPr>
        <w:t xml:space="preserve">线下服务开展不正常、服务满意率低、服务投诉率高或经</w:t>
      </w:r>
      <w:r>
        <w:rPr>
          <w:rFonts w:hint="eastAsia" w:ascii="方正仿宋_GBK" w:hAnsi="宋体" w:eastAsia="方正仿宋_GBK" w:cs="宋体"/>
          <w:bCs/>
          <w:color w:val="333333"/>
          <w:sz w:val="28"/>
          <w:szCs w:val="28"/>
          <w:shd w:val="clear" w:color="auto" w:fill="ffffff"/>
        </w:rPr>
        <w:t xml:space="preserve">甲方</w:t>
      </w:r>
      <w:r>
        <w:rPr>
          <w:rFonts w:hint="eastAsia" w:ascii="方正仿宋_GBK" w:hAnsi="宋体" w:eastAsia="方正仿宋_GBK" w:cs="宋体"/>
          <w:bCs/>
          <w:color w:val="333333"/>
          <w:sz w:val="28"/>
          <w:szCs w:val="28"/>
          <w:shd w:val="clear" w:color="auto" w:fill="ffffff"/>
          <w:lang w:val="zh-CN"/>
        </w:rPr>
        <w:t xml:space="preserve">查实存在弄虚作假等违规行为的，</w:t>
      </w:r>
      <w:r>
        <w:rPr>
          <w:rFonts w:hint="eastAsia" w:ascii="方正仿宋_GBK" w:hAnsi="宋体" w:eastAsia="方正仿宋_GBK" w:cs="宋体"/>
          <w:bCs/>
          <w:color w:val="333333"/>
          <w:sz w:val="28"/>
          <w:szCs w:val="28"/>
          <w:shd w:val="clear" w:color="auto" w:fill="ffffff"/>
        </w:rPr>
        <w:t xml:space="preserve">中标供应商须</w:t>
      </w:r>
      <w:r>
        <w:rPr>
          <w:rFonts w:hint="eastAsia" w:ascii="方正仿宋_GBK" w:hAnsi="宋体" w:eastAsia="方正仿宋_GBK" w:cs="宋体"/>
          <w:bCs/>
          <w:color w:val="333333"/>
          <w:sz w:val="28"/>
          <w:szCs w:val="28"/>
          <w:shd w:val="clear" w:color="auto" w:fill="ffffff"/>
          <w:lang w:val="zh-CN"/>
        </w:rPr>
        <w:t xml:space="preserve">暂停所有线下服务</w:t>
      </w:r>
      <w:r>
        <w:rPr>
          <w:rFonts w:hint="eastAsia" w:ascii="方正仿宋_GBK" w:hAnsi="宋体" w:eastAsia="方正仿宋_GBK" w:cs="宋体"/>
          <w:bCs/>
          <w:color w:val="333333"/>
          <w:sz w:val="28"/>
          <w:szCs w:val="28"/>
          <w:shd w:val="clear" w:color="auto" w:fill="ffffff"/>
        </w:rPr>
        <w:t xml:space="preserve">并按甲方要求进行整改</w:t>
      </w:r>
      <w:r>
        <w:rPr>
          <w:rFonts w:hint="eastAsia" w:ascii="方正仿宋_GBK" w:hAnsi="宋体" w:eastAsia="方正仿宋_GBK" w:cs="宋体"/>
          <w:bCs/>
          <w:color w:val="333333"/>
          <w:sz w:val="28"/>
          <w:szCs w:val="28"/>
          <w:shd w:val="clear" w:color="auto" w:fill="ffffff"/>
          <w:lang w:val="zh-CN"/>
        </w:rPr>
        <w:t xml:space="preserve">，待整改</w:t>
      </w:r>
      <w:r>
        <w:rPr>
          <w:rFonts w:hint="eastAsia" w:ascii="方正仿宋_GBK" w:hAnsi="宋体" w:eastAsia="方正仿宋_GBK" w:cs="宋体"/>
          <w:bCs/>
          <w:color w:val="333333"/>
          <w:sz w:val="28"/>
          <w:szCs w:val="28"/>
          <w:shd w:val="clear" w:color="auto" w:fill="ffffff"/>
        </w:rPr>
        <w:t xml:space="preserve">完成经甲方验收通过</w:t>
      </w:r>
      <w:r>
        <w:rPr>
          <w:rFonts w:hint="eastAsia" w:ascii="方正仿宋_GBK" w:hAnsi="宋体" w:eastAsia="方正仿宋_GBK" w:cs="宋体"/>
          <w:bCs/>
          <w:color w:val="333333"/>
          <w:sz w:val="28"/>
          <w:szCs w:val="28"/>
          <w:shd w:val="clear" w:color="auto" w:fill="ffffff"/>
          <w:lang w:val="zh-CN"/>
        </w:rPr>
        <w:t xml:space="preserve">后，</w:t>
      </w:r>
      <w:r>
        <w:rPr>
          <w:rFonts w:hint="eastAsia" w:ascii="方正仿宋_GBK" w:hAnsi="宋体" w:eastAsia="方正仿宋_GBK" w:cs="宋体"/>
          <w:bCs/>
          <w:color w:val="333333"/>
          <w:sz w:val="28"/>
          <w:szCs w:val="28"/>
          <w:shd w:val="clear" w:color="auto" w:fill="ffffff"/>
        </w:rPr>
        <w:t xml:space="preserve">方可</w:t>
      </w:r>
      <w:r>
        <w:rPr>
          <w:rFonts w:hint="eastAsia" w:ascii="方正仿宋_GBK" w:hAnsi="宋体" w:eastAsia="方正仿宋_GBK" w:cs="宋体"/>
          <w:bCs/>
          <w:color w:val="333333"/>
          <w:sz w:val="28"/>
          <w:szCs w:val="28"/>
          <w:shd w:val="clear" w:color="auto" w:fill="ffffff"/>
          <w:lang w:val="zh-CN"/>
        </w:rPr>
        <w:t xml:space="preserve">恢复正常服务。若</w:t>
      </w:r>
      <w:r>
        <w:rPr>
          <w:rFonts w:hint="eastAsia" w:ascii="方正仿宋_GBK" w:hAnsi="宋体" w:eastAsia="方正仿宋_GBK" w:cs="宋体"/>
          <w:bCs/>
          <w:color w:val="333333"/>
          <w:sz w:val="28"/>
          <w:szCs w:val="28"/>
          <w:shd w:val="clear" w:color="auto" w:fill="ffffff"/>
        </w:rPr>
        <w:t xml:space="preserve">一年服务期内</w:t>
      </w:r>
      <w:r>
        <w:rPr>
          <w:rFonts w:hint="eastAsia" w:ascii="方正仿宋_GBK" w:hAnsi="宋体" w:eastAsia="方正仿宋_GBK" w:cs="宋体"/>
          <w:bCs/>
          <w:color w:val="333333"/>
          <w:sz w:val="28"/>
          <w:szCs w:val="28"/>
          <w:shd w:val="clear" w:color="auto" w:fill="ffffff"/>
          <w:lang w:val="zh-CN"/>
        </w:rPr>
        <w:t xml:space="preserve">乙方</w:t>
      </w:r>
      <w:r>
        <w:rPr>
          <w:rFonts w:hint="eastAsia" w:ascii="方正仿宋_GBK" w:hAnsi="宋体" w:eastAsia="方正仿宋_GBK" w:cs="宋体"/>
          <w:bCs/>
          <w:color w:val="333333"/>
          <w:sz w:val="28"/>
          <w:szCs w:val="28"/>
          <w:shd w:val="clear" w:color="auto" w:fill="ffffff"/>
        </w:rPr>
        <w:t xml:space="preserve">再次发生</w:t>
      </w:r>
      <w:r>
        <w:rPr>
          <w:rFonts w:hint="eastAsia" w:ascii="方正仿宋_GBK" w:hAnsi="宋体" w:eastAsia="方正仿宋_GBK" w:cs="宋体"/>
          <w:bCs/>
          <w:color w:val="333333"/>
          <w:sz w:val="28"/>
          <w:szCs w:val="28"/>
          <w:shd w:val="clear" w:color="auto" w:fill="ffffff"/>
          <w:lang w:val="zh-CN"/>
        </w:rPr>
        <w:t xml:space="preserve">服务开展不正常、服务满意率低，投诉率高或经</w:t>
      </w:r>
      <w:r>
        <w:rPr>
          <w:rFonts w:hint="eastAsia" w:ascii="方正仿宋_GBK" w:hAnsi="宋体" w:eastAsia="方正仿宋_GBK" w:cs="宋体"/>
          <w:bCs/>
          <w:color w:val="333333"/>
          <w:sz w:val="28"/>
          <w:szCs w:val="28"/>
          <w:shd w:val="clear" w:color="auto" w:fill="ffffff"/>
        </w:rPr>
        <w:t xml:space="preserve">甲方</w:t>
      </w:r>
      <w:r>
        <w:rPr>
          <w:rFonts w:hint="eastAsia" w:ascii="方正仿宋_GBK" w:hAnsi="宋体" w:eastAsia="方正仿宋_GBK" w:cs="宋体"/>
          <w:bCs/>
          <w:color w:val="333333"/>
          <w:sz w:val="28"/>
          <w:szCs w:val="28"/>
          <w:shd w:val="clear" w:color="auto" w:fill="ffffff"/>
          <w:lang w:val="zh-CN"/>
        </w:rPr>
        <w:t xml:space="preserve">查实存在弄虚作假行为的，</w:t>
      </w:r>
      <w:r>
        <w:rPr>
          <w:rFonts w:hint="eastAsia" w:ascii="方正仿宋_GBK" w:hAnsi="宋体" w:eastAsia="方正仿宋_GBK" w:cs="宋体"/>
          <w:bCs/>
          <w:color w:val="333333"/>
          <w:sz w:val="28"/>
          <w:szCs w:val="28"/>
          <w:shd w:val="clear" w:color="auto" w:fill="ffffff"/>
        </w:rPr>
        <w:t xml:space="preserve">甲方有权终止合同，且</w:t>
      </w:r>
      <w:r>
        <w:rPr>
          <w:rFonts w:hint="eastAsia" w:ascii="方正仿宋_GBK" w:hAnsi="宋体" w:eastAsia="方正仿宋_GBK" w:cs="宋体"/>
          <w:bCs/>
          <w:color w:val="333333"/>
          <w:sz w:val="28"/>
          <w:szCs w:val="28"/>
          <w:shd w:val="clear" w:color="auto" w:fill="ffffff"/>
          <w:lang w:val="zh-CN"/>
        </w:rPr>
        <w:t xml:space="preserve">没收</w:t>
      </w:r>
      <w:r>
        <w:rPr>
          <w:rFonts w:hint="eastAsia" w:ascii="方正仿宋_GBK" w:hAnsi="宋体" w:eastAsia="方正仿宋_GBK" w:cs="宋体"/>
          <w:bCs/>
          <w:color w:val="333333"/>
          <w:sz w:val="28"/>
          <w:szCs w:val="28"/>
          <w:shd w:val="clear" w:color="auto" w:fill="ffffff"/>
        </w:rPr>
        <w:t xml:space="preserve">全额</w:t>
      </w:r>
      <w:r>
        <w:rPr>
          <w:rFonts w:hint="eastAsia" w:ascii="方正仿宋_GBK" w:hAnsi="宋体" w:eastAsia="方正仿宋_GBK" w:cs="宋体"/>
          <w:bCs/>
          <w:color w:val="333333"/>
          <w:sz w:val="28"/>
          <w:szCs w:val="28"/>
          <w:shd w:val="clear" w:color="auto" w:fill="ffffff"/>
          <w:lang w:val="zh-CN"/>
        </w:rPr>
        <w:t xml:space="preserve">履约保证金。</w:t>
      </w:r>
      <w:r/>
    </w:p>
    <w:p>
      <w:pPr>
        <w:ind w:firstLine="560"/>
        <w:jc w:val="left"/>
        <w:spacing w:line="440" w:lineRule="exact"/>
        <w:widowControl/>
        <w:rPr>
          <w:rFonts w:ascii="方正仿宋_GBK" w:hAnsi="宋体" w:eastAsia="方正仿宋_GBK" w:cs="宋体"/>
          <w:bCs/>
          <w:color w:val="333333"/>
          <w:sz w:val="28"/>
          <w:szCs w:val="28"/>
          <w:shd w:val="clear" w:color="auto" w:fill="ffffff"/>
        </w:rPr>
      </w:pPr>
      <w:r>
        <w:rPr>
          <w:rFonts w:hint="eastAsia" w:ascii="方正仿宋_GBK" w:hAnsi="宋体" w:eastAsia="方正仿宋_GBK" w:cs="宋体"/>
          <w:bCs/>
          <w:color w:val="333333"/>
          <w:sz w:val="28"/>
          <w:szCs w:val="28"/>
          <w:shd w:val="clear" w:color="auto" w:fill="ffffff"/>
          <w:lang w:val="zh-CN"/>
        </w:rPr>
        <w:t xml:space="preserve">3、处罚机制：</w:t>
      </w:r>
      <w:r>
        <w:rPr>
          <w:rFonts w:hint="eastAsia" w:ascii="方正仿宋_GBK" w:hAnsi="宋体" w:eastAsia="方正仿宋_GBK" w:cs="宋体"/>
          <w:bCs/>
          <w:color w:val="333333"/>
          <w:sz w:val="28"/>
          <w:szCs w:val="28"/>
          <w:shd w:val="clear" w:color="auto" w:fill="ffffff"/>
        </w:rPr>
        <w:t xml:space="preserve">若合同履行期内，</w:t>
      </w:r>
      <w:r>
        <w:rPr>
          <w:rFonts w:hint="eastAsia" w:ascii="方正仿宋_GBK" w:hAnsi="宋体" w:eastAsia="方正仿宋_GBK" w:cs="宋体"/>
          <w:bCs/>
          <w:color w:val="333333"/>
          <w:sz w:val="28"/>
          <w:szCs w:val="28"/>
          <w:shd w:val="clear" w:color="auto" w:fill="ffffff"/>
          <w:lang w:val="zh-CN"/>
        </w:rPr>
        <w:t xml:space="preserve">发生有效信访、安全事故等情况，</w:t>
      </w:r>
      <w:r>
        <w:rPr>
          <w:rFonts w:hint="eastAsia" w:ascii="方正仿宋_GBK" w:hAnsi="宋体" w:eastAsia="方正仿宋_GBK" w:cs="宋体"/>
          <w:bCs/>
          <w:color w:val="333333"/>
          <w:sz w:val="28"/>
          <w:szCs w:val="28"/>
          <w:shd w:val="clear" w:color="auto" w:fill="ffffff"/>
        </w:rPr>
        <w:t xml:space="preserve">甲方</w:t>
      </w:r>
      <w:r>
        <w:rPr>
          <w:rFonts w:hint="eastAsia" w:ascii="方正仿宋_GBK" w:hAnsi="宋体" w:eastAsia="方正仿宋_GBK" w:cs="宋体"/>
          <w:bCs/>
          <w:color w:val="333333"/>
          <w:sz w:val="28"/>
          <w:szCs w:val="28"/>
          <w:shd w:val="clear" w:color="auto" w:fill="ffffff"/>
          <w:lang w:val="zh-CN"/>
        </w:rPr>
        <w:t xml:space="preserve">有权对乙方</w:t>
      </w:r>
      <w:r>
        <w:rPr>
          <w:rFonts w:hint="eastAsia" w:ascii="方正仿宋_GBK" w:hAnsi="宋体" w:eastAsia="方正仿宋_GBK" w:cs="宋体"/>
          <w:bCs/>
          <w:color w:val="333333"/>
          <w:sz w:val="28"/>
          <w:szCs w:val="28"/>
          <w:shd w:val="clear" w:color="auto" w:fill="ffffff"/>
        </w:rPr>
        <w:t xml:space="preserve">予以处罚</w:t>
      </w:r>
      <w:r>
        <w:rPr>
          <w:rFonts w:hint="eastAsia" w:ascii="方正仿宋_GBK" w:hAnsi="宋体" w:eastAsia="方正仿宋_GBK" w:cs="宋体"/>
          <w:bCs/>
          <w:color w:val="333333"/>
          <w:sz w:val="28"/>
          <w:szCs w:val="28"/>
          <w:shd w:val="clear" w:color="auto" w:fill="ffffff"/>
          <w:lang w:val="zh-CN"/>
        </w:rPr>
        <w:t xml:space="preserve">，并发出整改通知；</w:t>
      </w:r>
      <w:r>
        <w:rPr>
          <w:rFonts w:hint="eastAsia" w:ascii="方正仿宋_GBK" w:hAnsi="宋体" w:eastAsia="方正仿宋_GBK" w:cs="宋体"/>
          <w:bCs/>
          <w:color w:val="333333"/>
          <w:sz w:val="28"/>
          <w:szCs w:val="28"/>
          <w:shd w:val="clear" w:color="auto" w:fill="ffffff"/>
        </w:rPr>
        <w:t xml:space="preserve">若同一标包区域内</w:t>
      </w:r>
      <w:r>
        <w:rPr>
          <w:rFonts w:hint="eastAsia" w:ascii="方正仿宋_GBK" w:hAnsi="宋体" w:eastAsia="方正仿宋_GBK" w:cs="宋体"/>
          <w:bCs/>
          <w:color w:val="333333"/>
          <w:sz w:val="28"/>
          <w:szCs w:val="28"/>
          <w:shd w:val="clear" w:color="auto" w:fill="ffffff"/>
          <w:lang w:val="zh-CN"/>
        </w:rPr>
        <w:t xml:space="preserve">连续发生上述事件的，</w:t>
      </w:r>
      <w:r>
        <w:rPr>
          <w:rFonts w:hint="eastAsia" w:ascii="方正仿宋_GBK" w:hAnsi="宋体" w:eastAsia="方正仿宋_GBK" w:cs="宋体"/>
          <w:bCs/>
          <w:color w:val="333333"/>
          <w:sz w:val="28"/>
          <w:szCs w:val="28"/>
          <w:shd w:val="clear" w:color="auto" w:fill="ffffff"/>
        </w:rPr>
        <w:t xml:space="preserve">则甲方有权将发生上述事件的</w:t>
      </w:r>
      <w:r>
        <w:rPr>
          <w:rFonts w:hint="eastAsia" w:ascii="方正仿宋_GBK" w:hAnsi="宋体" w:eastAsia="方正仿宋_GBK" w:cs="宋体"/>
          <w:bCs/>
          <w:color w:val="333333"/>
          <w:sz w:val="28"/>
          <w:szCs w:val="28"/>
          <w:shd w:val="clear" w:color="auto" w:fill="ffffff"/>
          <w:lang w:val="zh-CN"/>
        </w:rPr>
        <w:t xml:space="preserve">镇（区、街道）</w:t>
      </w:r>
      <w:r>
        <w:rPr>
          <w:rFonts w:hint="eastAsia" w:ascii="方正仿宋_GBK" w:hAnsi="宋体" w:eastAsia="方正仿宋_GBK" w:cs="宋体"/>
          <w:bCs/>
          <w:color w:val="333333"/>
          <w:sz w:val="28"/>
          <w:szCs w:val="28"/>
          <w:shd w:val="clear" w:color="auto" w:fill="ffffff"/>
        </w:rPr>
        <w:t xml:space="preserve">从</w:t>
      </w:r>
      <w:r>
        <w:rPr>
          <w:rFonts w:hint="eastAsia" w:ascii="方正仿宋_GBK" w:hAnsi="宋体" w:eastAsia="方正仿宋_GBK" w:cs="宋体"/>
          <w:bCs/>
          <w:color w:val="333333"/>
          <w:sz w:val="28"/>
          <w:szCs w:val="28"/>
          <w:shd w:val="clear" w:color="auto" w:fill="ffffff"/>
          <w:lang w:val="zh-CN"/>
        </w:rPr>
        <w:t xml:space="preserve">乙方</w:t>
      </w:r>
      <w:r>
        <w:rPr>
          <w:rFonts w:hint="eastAsia" w:ascii="方正仿宋_GBK" w:hAnsi="宋体" w:eastAsia="方正仿宋_GBK" w:cs="宋体"/>
          <w:bCs/>
          <w:color w:val="333333"/>
          <w:sz w:val="28"/>
          <w:szCs w:val="28"/>
          <w:shd w:val="clear" w:color="auto" w:fill="ffffff"/>
        </w:rPr>
        <w:t xml:space="preserve">的合同范围中剔除，并按就近原则划拨给其他标包的</w:t>
      </w:r>
      <w:r>
        <w:rPr>
          <w:rFonts w:hint="eastAsia" w:ascii="方正仿宋_GBK" w:hAnsi="宋体" w:eastAsia="方正仿宋_GBK" w:cs="宋体"/>
          <w:bCs/>
          <w:color w:val="333333"/>
          <w:sz w:val="28"/>
          <w:szCs w:val="28"/>
          <w:shd w:val="clear" w:color="auto" w:fill="ffffff"/>
          <w:lang w:val="zh-CN"/>
        </w:rPr>
        <w:t xml:space="preserve">乙方</w:t>
      </w:r>
      <w:r>
        <w:rPr>
          <w:rFonts w:hint="eastAsia" w:ascii="方正仿宋_GBK" w:hAnsi="宋体" w:eastAsia="方正仿宋_GBK" w:cs="宋体"/>
          <w:bCs/>
          <w:color w:val="333333"/>
          <w:sz w:val="28"/>
          <w:szCs w:val="28"/>
          <w:shd w:val="clear" w:color="auto" w:fill="ffffff"/>
        </w:rPr>
        <w:t xml:space="preserve">服务，费用按其他标包中标供应商的中标单价结算。</w:t>
      </w:r>
      <w:r/>
    </w:p>
    <w:p>
      <w:pPr>
        <w:ind w:firstLine="560"/>
        <w:jc w:val="left"/>
        <w:spacing w:line="440" w:lineRule="exact"/>
        <w:widowControl/>
        <w:rPr>
          <w:rFonts w:ascii="方正仿宋_GBK" w:hAnsi="宋体" w:eastAsia="方正仿宋_GBK" w:cs="宋体"/>
          <w:bCs/>
          <w:color w:val="333333"/>
          <w:sz w:val="28"/>
          <w:szCs w:val="28"/>
          <w:shd w:val="clear" w:color="auto" w:fill="ffffff"/>
          <w:lang w:val="zh-CN"/>
        </w:rPr>
      </w:pPr>
      <w:r>
        <w:rPr>
          <w:rFonts w:hint="eastAsia" w:ascii="方正仿宋_GBK" w:hAnsi="宋体" w:eastAsia="方正仿宋_GBK" w:cs="宋体"/>
          <w:bCs/>
          <w:color w:val="333333"/>
          <w:sz w:val="28"/>
          <w:szCs w:val="28"/>
          <w:shd w:val="clear" w:color="auto" w:fill="ffffff"/>
          <w:lang w:val="zh-CN"/>
        </w:rPr>
        <w:t xml:space="preserve">4、退出机制：</w:t>
      </w:r>
      <w:r>
        <w:rPr>
          <w:rFonts w:hint="eastAsia" w:ascii="方正仿宋_GBK" w:hAnsi="宋体" w:eastAsia="方正仿宋_GBK" w:cs="宋体"/>
          <w:bCs/>
          <w:color w:val="333333"/>
          <w:sz w:val="28"/>
          <w:szCs w:val="28"/>
          <w:shd w:val="clear" w:color="auto" w:fill="ffffff"/>
        </w:rPr>
        <w:t xml:space="preserve">合同履行期内，因</w:t>
      </w:r>
      <w:r>
        <w:rPr>
          <w:rFonts w:hint="eastAsia" w:ascii="方正仿宋_GBK" w:hAnsi="宋体" w:eastAsia="方正仿宋_GBK" w:cs="宋体"/>
          <w:bCs/>
          <w:color w:val="333333"/>
          <w:sz w:val="28"/>
          <w:szCs w:val="28"/>
          <w:shd w:val="clear" w:color="auto" w:fill="ffffff"/>
          <w:lang w:val="zh-CN"/>
        </w:rPr>
        <w:t xml:space="preserve">乙方</w:t>
      </w:r>
      <w:r>
        <w:rPr>
          <w:rFonts w:hint="eastAsia" w:ascii="方正仿宋_GBK" w:hAnsi="宋体" w:eastAsia="方正仿宋_GBK" w:cs="宋体"/>
          <w:bCs/>
          <w:color w:val="333333"/>
          <w:sz w:val="28"/>
          <w:szCs w:val="28"/>
          <w:shd w:val="clear" w:color="auto" w:fill="ffffff"/>
        </w:rPr>
        <w:t xml:space="preserve">自身原因</w:t>
      </w:r>
      <w:r>
        <w:rPr>
          <w:rFonts w:hint="eastAsia" w:ascii="方正仿宋_GBK" w:hAnsi="宋体" w:eastAsia="方正仿宋_GBK" w:cs="宋体"/>
          <w:bCs/>
          <w:color w:val="333333"/>
          <w:sz w:val="28"/>
          <w:szCs w:val="28"/>
          <w:shd w:val="clear" w:color="auto" w:fill="ffffff"/>
          <w:lang w:val="zh-CN"/>
        </w:rPr>
        <w:t xml:space="preserve">发生重大安全事故</w:t>
      </w:r>
      <w:r>
        <w:rPr>
          <w:rFonts w:hint="eastAsia" w:ascii="方正仿宋_GBK" w:hAnsi="宋体" w:eastAsia="方正仿宋_GBK" w:cs="宋体"/>
          <w:bCs/>
          <w:color w:val="333333"/>
          <w:sz w:val="28"/>
          <w:szCs w:val="28"/>
          <w:shd w:val="clear" w:color="auto" w:fill="ffffff"/>
        </w:rPr>
        <w:t xml:space="preserve">或者</w:t>
      </w:r>
      <w:r>
        <w:rPr>
          <w:rFonts w:hint="eastAsia" w:ascii="方正仿宋_GBK" w:hAnsi="宋体" w:eastAsia="方正仿宋_GBK" w:cs="宋体"/>
          <w:bCs/>
          <w:color w:val="333333"/>
          <w:sz w:val="28"/>
          <w:szCs w:val="28"/>
          <w:shd w:val="clear" w:color="auto" w:fill="ffffff"/>
          <w:lang w:val="zh-CN"/>
        </w:rPr>
        <w:t xml:space="preserve">连续两个季度考核达不到考核标准（</w:t>
      </w:r>
      <w:r>
        <w:rPr>
          <w:rFonts w:hint="eastAsia" w:ascii="方正仿宋_GBK" w:hAnsi="宋体" w:eastAsia="方正仿宋_GBK" w:cs="宋体"/>
          <w:bCs/>
          <w:color w:val="333333"/>
          <w:sz w:val="28"/>
          <w:szCs w:val="28"/>
          <w:shd w:val="clear" w:color="auto" w:fill="ffffff"/>
        </w:rPr>
        <w:t xml:space="preserve">低于80分）</w:t>
      </w:r>
      <w:r>
        <w:rPr>
          <w:rFonts w:hint="eastAsia" w:ascii="方正仿宋_GBK" w:hAnsi="宋体" w:eastAsia="方正仿宋_GBK" w:cs="宋体"/>
          <w:bCs/>
          <w:color w:val="333333"/>
          <w:sz w:val="28"/>
          <w:szCs w:val="28"/>
          <w:shd w:val="clear" w:color="auto" w:fill="ffffff"/>
          <w:lang w:val="zh-CN"/>
        </w:rPr>
        <w:t xml:space="preserve">，甲方有权单方面终止合同。终止合同区域由上季度考核得分最高的中标供应商提供后续服务，</w:t>
      </w:r>
      <w:r>
        <w:rPr>
          <w:rFonts w:hint="eastAsia" w:ascii="方正仿宋_GBK" w:hAnsi="宋体" w:eastAsia="方正仿宋_GBK" w:cs="宋体"/>
          <w:bCs/>
          <w:color w:val="333333"/>
          <w:sz w:val="28"/>
          <w:szCs w:val="28"/>
          <w:shd w:val="clear" w:color="auto" w:fill="ffffff"/>
        </w:rPr>
        <w:t xml:space="preserve">甲方</w:t>
      </w:r>
      <w:r>
        <w:rPr>
          <w:rFonts w:hint="eastAsia" w:ascii="方正仿宋_GBK" w:hAnsi="宋体" w:eastAsia="方正仿宋_GBK" w:cs="宋体"/>
          <w:bCs/>
          <w:color w:val="333333"/>
          <w:sz w:val="28"/>
          <w:szCs w:val="28"/>
          <w:shd w:val="clear" w:color="auto" w:fill="ffffff"/>
          <w:lang w:val="zh-CN"/>
        </w:rPr>
        <w:t xml:space="preserve">在六个月内组织对该区域重新招标。</w:t>
      </w:r>
      <w:r/>
    </w:p>
    <w:p>
      <w:pPr>
        <w:ind w:firstLine="562"/>
        <w:jc w:val="left"/>
        <w:spacing w:line="440" w:lineRule="exact"/>
        <w:widowControl/>
        <w:rPr>
          <w:rFonts w:ascii="方正仿宋_GBK" w:hAnsi="宋体" w:eastAsia="方正仿宋_GBK" w:cs="宋体"/>
          <w:b/>
          <w:color w:val="333333"/>
          <w:sz w:val="28"/>
          <w:szCs w:val="28"/>
          <w:shd w:val="clear" w:color="auto" w:fill="ffffff"/>
        </w:rPr>
      </w:pPr>
      <w:r>
        <w:rPr>
          <w:rFonts w:hint="eastAsia" w:ascii="方正仿宋_GBK" w:hAnsi="宋体" w:eastAsia="方正仿宋_GBK" w:cs="宋体"/>
          <w:b/>
          <w:color w:val="333333"/>
          <w:sz w:val="28"/>
          <w:szCs w:val="28"/>
          <w:shd w:val="clear" w:color="auto" w:fill="ffffff"/>
        </w:rPr>
        <w:t xml:space="preserve">七、约定事项：</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1、一标包：合同价应包括完成本项目并经相关主管部门审查、审批通过所需的一切费用，包括但不限于对甲方提供的现有设备设施的升级改造、设备投入、 社区养老服务设施设备投入及运营费、信息服务费，办公用品费、办公服务费、水电通讯网络费用、软件系统维护、系统技术支持、人工费、交通工具及交通费、服务项目其它费用、风险、税金、规费、人员保险、咨询、政策性文件规定及合同包含的所有风险、责任等各项所有费用。在合同实施期间，中标单价不随国家政策或法规、标准及任何市场因素的变化而进行调整（合同约定按考核结算的除外）。</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二标包-四标包：合同价应包括完成本项目并经相关主管部门审查、审批通过所需的一切费用，包括但不限于对甲方提供的现有设备设施的升级改造、设备投入、社区养老服务设施设备投入及运营费，线下服务所涉及到的信息服务费，办公用品费、办公服务费、水电通讯网络费用、人工费、交通工具及交通费、服务项目其它费用、风险、税金、规费、人员保险、咨询、政策性文件规定及合同包含的所有风险、责任等各项所有费用。在合同实施期间，中标单价不随国家政策或法规、标准及任何市场因素的变化而进行调整（合同约定按考核结算的除外）。</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2、合同履行过程中，因乙方责任造成人身伤害、经济损失或其他损害的，均由乙方自行承担（包括但不限于经济赔偿、法律责任等）。</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3、合同期满（或终止）时，乙方须将所有的服务记录等档案资料移交给甲方。</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4、居家养老政府购买服务对象根据区镇（街道）确定的系统名单为准。</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5、乙方须按甲方要求对所有设备设施等进</w:t>
      </w:r>
      <w:r>
        <w:rPr>
          <w:rFonts w:hint="eastAsia" w:ascii="方正仿宋_GBK" w:hAnsi="宋体" w:eastAsia="方正仿宋_GBK" w:cs="宋体"/>
          <w:bCs/>
          <w:color w:val="000000"/>
          <w:sz w:val="28"/>
          <w:szCs w:val="28"/>
        </w:rPr>
        <w:t xml:space="preserve">行日常维护和管理，保证系统的正常运行；合同期满（或终止），乙方须将所有设备设施完好地移交甲方。</w:t>
      </w:r>
      <w:r/>
    </w:p>
    <w:p>
      <w:pPr>
        <w:ind w:firstLine="562"/>
        <w:jc w:val="left"/>
        <w:spacing w:line="440" w:lineRule="exact"/>
        <w:widowControl/>
        <w:rPr>
          <w:rFonts w:ascii="方正仿宋_GBK" w:hAnsi="宋体" w:eastAsia="方正仿宋_GBK" w:cs="宋体"/>
          <w:b/>
          <w:bCs/>
          <w:color w:val="333333"/>
          <w:sz w:val="28"/>
          <w:szCs w:val="28"/>
          <w:shd w:val="clear" w:color="auto" w:fill="ffffff"/>
        </w:rPr>
      </w:pPr>
      <w:r>
        <w:rPr>
          <w:rFonts w:hint="eastAsia" w:ascii="方正仿宋_GBK" w:hAnsi="宋体" w:eastAsia="方正仿宋_GBK" w:cs="宋体"/>
          <w:b/>
          <w:bCs/>
          <w:color w:val="333333"/>
          <w:sz w:val="28"/>
          <w:szCs w:val="28"/>
          <w:shd w:val="clear" w:color="auto" w:fill="ffffff"/>
        </w:rPr>
        <w:t xml:space="preserve">第二条 合同总价款</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一标包合同总价款包括以下三部分：</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1、社区养老服务设施服务站点运营费：长者驿家20万元/年、市综合养老服务6万元/年、睦邻点3万元/年；</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2、线上服务费=Σ每月实际人数*线上服务中标单价（元/人/月）</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3、线上平台系统=中标单价（元/年）</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二标包至四标包总价款包括以下二部分：</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1、线下服务费（除第3类）=Σ【（每月实际人数*服务时间）*线下服务中标单价（元/小时）】</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2、线下服务费（第3类）：根据启东市民政局文件《关于明确调整城乡居民最低生活保障、特困供养和相关民政对象救助标准的通知》，2025年7月1日起，分散特困人员照料护理标准按照完全丧失生活自理能力、部分丧失生活自理能力、具备生活自理能力三档，分别为747元、373.5元、124.5元。服务金额根据文件按时调整，服务时长按线下服务中标单价（元/小时）折算。</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本合同服务期限内合同单价不变。</w:t>
      </w:r>
      <w:r/>
    </w:p>
    <w:p>
      <w:pPr>
        <w:ind w:firstLine="562"/>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b/>
          <w:bCs/>
          <w:color w:val="333333"/>
          <w:sz w:val="28"/>
          <w:szCs w:val="28"/>
          <w:shd w:val="clear" w:color="auto" w:fill="ffffff"/>
        </w:rPr>
        <w:t xml:space="preserve">第三条 组成本合同的有关文件</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下列关于本次采购活动方式相适应的文件及有关附件是本合同不可分割的组成部分，与本合同具有同等法律效力，这些文件包括但不限于：</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（1）招标文件；</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（2）投标文件；</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（3）中标通知书；</w:t>
      </w:r>
      <w:r/>
    </w:p>
    <w:p>
      <w:pPr>
        <w:ind w:firstLine="536"/>
        <w:jc w:val="left"/>
        <w:spacing w:line="440" w:lineRule="exact"/>
        <w:widowControl/>
        <w:rPr>
          <w:rFonts w:ascii="方正仿宋_GBK" w:hAnsi="宋体" w:eastAsia="方正仿宋_GBK" w:cs="宋体"/>
          <w:color w:val="333333"/>
          <w:spacing w:val="-6"/>
          <w:sz w:val="28"/>
          <w:szCs w:val="28"/>
          <w:shd w:val="clear" w:color="auto" w:fill="ffffff"/>
        </w:rPr>
      </w:pPr>
      <w:r>
        <w:rPr>
          <w:rFonts w:hint="eastAsia" w:ascii="方正仿宋_GBK" w:hAnsi="宋体" w:eastAsia="方正仿宋_GBK" w:cs="宋体"/>
          <w:color w:val="333333"/>
          <w:spacing w:val="-6"/>
          <w:sz w:val="28"/>
          <w:szCs w:val="28"/>
          <w:shd w:val="clear" w:color="auto" w:fill="ffffff"/>
        </w:rPr>
        <w:t xml:space="preserve">（4）中标人在投标、评标过程中所作其它有关承诺、声明、书面澄清；</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（5）甲乙双方商定的其他文件等。</w:t>
      </w:r>
      <w:r/>
    </w:p>
    <w:p>
      <w:pPr>
        <w:ind w:firstLine="562"/>
        <w:jc w:val="left"/>
        <w:spacing w:line="440" w:lineRule="exact"/>
        <w:widowControl/>
        <w:rPr>
          <w:rFonts w:ascii="方正仿宋_GBK" w:hAnsi="宋体" w:eastAsia="方正仿宋_GBK" w:cs="宋体"/>
          <w:b/>
          <w:bCs/>
          <w:color w:val="333333"/>
          <w:sz w:val="28"/>
          <w:szCs w:val="28"/>
          <w:shd w:val="clear" w:color="auto" w:fill="ffffff"/>
        </w:rPr>
      </w:pPr>
      <w:r>
        <w:rPr>
          <w:rFonts w:hint="eastAsia" w:ascii="方正仿宋_GBK" w:hAnsi="宋体" w:eastAsia="方正仿宋_GBK" w:cs="宋体"/>
          <w:b/>
          <w:bCs/>
          <w:color w:val="333333"/>
          <w:sz w:val="28"/>
          <w:szCs w:val="28"/>
          <w:shd w:val="clear" w:color="auto" w:fill="ffffff"/>
        </w:rPr>
        <w:t xml:space="preserve">第四条 权利保证</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乙方应保证甲方在合同履行期限内不受第三方提出侵犯其专利权、版权、商标权或其他权利的起诉。一旦出现侵权，乙方应承担全部责任。</w:t>
      </w:r>
      <w:r/>
    </w:p>
    <w:p>
      <w:pPr>
        <w:ind w:firstLine="562"/>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b/>
          <w:bCs/>
          <w:color w:val="333333"/>
          <w:sz w:val="28"/>
          <w:szCs w:val="28"/>
          <w:shd w:val="clear" w:color="auto" w:fill="ffffff"/>
        </w:rPr>
        <w:t xml:space="preserve">第五条 付款方式</w:t>
      </w:r>
      <w:r/>
    </w:p>
    <w:p>
      <w:pPr>
        <w:ind w:firstLine="562"/>
        <w:spacing w:line="440" w:lineRule="exact"/>
        <w:rPr>
          <w:rFonts w:ascii="方正仿宋_GBK" w:eastAsia="方正仿宋_GBK" w:cs="宋体"/>
          <w:b/>
          <w:bCs/>
          <w:color w:val="333333"/>
          <w:sz w:val="28"/>
          <w:szCs w:val="28"/>
          <w:shd w:val="clear" w:color="auto" w:fill="ffffff"/>
        </w:rPr>
      </w:pPr>
      <w:r>
        <w:rPr>
          <w:rFonts w:hint="eastAsia" w:ascii="方正仿宋_GBK" w:eastAsia="方正仿宋_GBK" w:cs="宋体"/>
          <w:b/>
          <w:bCs/>
          <w:color w:val="333333"/>
          <w:sz w:val="28"/>
          <w:szCs w:val="28"/>
          <w:shd w:val="clear" w:color="auto" w:fill="ffffff"/>
        </w:rPr>
        <w:t xml:space="preserve">一、本项目付款：</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本项目付款按二部分结算支付：</w:t>
      </w:r>
      <w:r/>
    </w:p>
    <w:p>
      <w:pPr>
        <w:ind w:firstLine="42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（一）社区养老服务设施服务站点运营费</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1、社区养老服务设施运营费为固定价格：长者驿家20万元/年、市综合养老服务6万元/年、睦邻点3万元/年；</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2、运营费结算支付：运营费挂钩季度绩效考核结果和季度累计活动人次，按季支付。</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3、各标包运营费支付按合同约定范围内运营站点数量，并按上述结算方式支付。</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（二）除“（一）各服务站点运营费”外的结算：</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按季度考核支付，每季度由采购人按考核办法组织考核。考核得分95分以上（含95分）的，当季服务费全额发放；95-90分（含90分）的,给予当季服务费1%的扣款；90-85分（含85分）的，给予当季服务费2%的扣款;85-80分（含80分）的，给予当季服务费3%的扣款。80分以下的，给予当季服务费20%的扣款。</w:t>
      </w:r>
      <w:r/>
    </w:p>
    <w:p>
      <w:pPr>
        <w:ind w:firstLine="560"/>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※一标包每季度服务费组成：</w:t>
      </w:r>
      <w:r/>
    </w:p>
    <w:p>
      <w:pPr>
        <w:ind w:firstLine="560"/>
        <w:spacing w:line="440" w:lineRule="exact"/>
        <w:rPr>
          <w:rFonts w:ascii="方正仿宋_GBK" w:hAnsi="宋体" w:eastAsia="方正仿宋_GBK"/>
          <w:spacing w:val="-6"/>
          <w:sz w:val="28"/>
          <w:szCs w:val="28"/>
        </w:rPr>
      </w:pPr>
      <w:r>
        <w:rPr>
          <w:rFonts w:hint="eastAsia" w:ascii="方正仿宋_GBK" w:hAnsi="宋体" w:eastAsia="方正仿宋_GBK"/>
          <w:sz w:val="28"/>
          <w:szCs w:val="28"/>
        </w:rPr>
        <w:t xml:space="preserve">（1）</w:t>
      </w:r>
      <w:r>
        <w:rPr>
          <w:rFonts w:hint="eastAsia" w:ascii="方正仿宋_GBK" w:hAnsi="宋体" w:eastAsia="方正仿宋_GBK"/>
          <w:spacing w:val="-6"/>
          <w:sz w:val="28"/>
          <w:szCs w:val="28"/>
        </w:rPr>
        <w:t xml:space="preserve">线上服务费=Σ每月实际人数*线上服务中标单价（元/人/月）</w:t>
      </w:r>
      <w:r/>
    </w:p>
    <w:p>
      <w:pPr>
        <w:ind w:firstLine="560"/>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（2）线上平台系统=中标单价（元/年）/12个月*3个月</w:t>
      </w:r>
      <w:r/>
    </w:p>
    <w:p>
      <w:pPr>
        <w:ind w:firstLine="560"/>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每季度服务费结算价=（1）+（2）-考核扣款</w:t>
      </w:r>
      <w:r/>
    </w:p>
    <w:p>
      <w:pPr>
        <w:ind w:firstLine="560"/>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※二标包-四标包每季度服务费组成：</w:t>
      </w:r>
      <w:r/>
    </w:p>
    <w:p>
      <w:pPr>
        <w:ind w:firstLine="560"/>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（1）线下服务费（除第3类）=Σ【（每月实际人数*服务时间）*线下服务中标单价（元/小时）】</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2）线下服务费（第3类），根据启东市民政局文件《关于明确调整城乡居民最低生活保障、特困供养和相关民政对象救助标准的通知》，2025年7月1日起，分散特困人员照料护理标准按照完全丧失生活自理能力、部分丧失生活自理能力、具备生活自理能力三档，分别为747元、373.5元、124.5元。服务金额根据文件按时调整，服务时长按线下服务中标单价（元/小时）折算。按季结算。</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每季度服务费结算价=（1）+（2）-考核扣款</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服务期的最后一个季度，服务费暂不支付，一年服务期满经采购人考核合格且续签合同的，则在续签合同生效后支付；若一年服务期满经甲方考核不合格不再续签下一年度合同的，则待下一个中标供应商确定并完成数据和服务对接后拨付。</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注：乙方凭采购合同、考核单及正式发票等相关证明材料按规定进行资金结算。 </w:t>
      </w:r>
      <w:r/>
    </w:p>
    <w:p>
      <w:pPr>
        <w:ind w:firstLine="560"/>
        <w:jc w:val="left"/>
        <w:spacing w:line="440" w:lineRule="exact"/>
        <w:rPr>
          <w:rFonts w:ascii="方正仿宋_GBK" w:hAnsi="宋体" w:eastAsia="方正仿宋_GBK"/>
          <w:sz w:val="28"/>
          <w:szCs w:val="28"/>
        </w:rPr>
      </w:pPr>
      <w:r>
        <w:rPr>
          <w:rFonts w:hint="eastAsia" w:ascii="方正仿宋_GBK" w:hAnsi="宋体" w:eastAsia="方正仿宋_GBK"/>
          <w:sz w:val="28"/>
          <w:szCs w:val="28"/>
        </w:rPr>
        <w:t xml:space="preserve">（备注：对满足合同支付条件的，甲方应当自收到发票后30日内支付资金）</w:t>
      </w:r>
      <w:r/>
    </w:p>
    <w:p>
      <w:pPr>
        <w:numPr>
          <w:ilvl w:val="0"/>
          <w:numId w:val="5"/>
        </w:numPr>
        <w:ind w:firstLine="562"/>
        <w:spacing w:line="420" w:lineRule="exact"/>
        <w:rPr>
          <w:rFonts w:ascii="方正仿宋_GBK" w:hAnsi="宋体" w:eastAsia="方正仿宋_GBK" w:cs="宋体"/>
          <w:b/>
          <w:bCs/>
          <w:sz w:val="28"/>
          <w:szCs w:val="28"/>
          <w:lang w:val="zh-CN"/>
        </w:rPr>
      </w:pPr>
      <w:r>
        <w:rPr>
          <w:rFonts w:hint="eastAsia" w:ascii="方正仿宋_GBK" w:hAnsi="宋体" w:eastAsia="方正仿宋_GBK" w:cs="宋体"/>
          <w:b/>
          <w:bCs/>
          <w:sz w:val="28"/>
          <w:szCs w:val="28"/>
          <w:lang w:val="zh-CN"/>
        </w:rPr>
        <w:t xml:space="preserve">履约保证金：</w:t>
      </w:r>
      <w:r/>
    </w:p>
    <w:p>
      <w:pPr>
        <w:ind w:firstLine="560"/>
        <w:spacing w:line="500" w:lineRule="exact"/>
        <w:rPr>
          <w:rFonts w:ascii="方正仿宋_GBK" w:hAnsi="宋体" w:eastAsia="方正仿宋_GBK"/>
          <w:sz w:val="28"/>
          <w:szCs w:val="28"/>
        </w:rPr>
      </w:pPr>
      <w:r>
        <w:rPr>
          <w:rFonts w:hint="eastAsia" w:ascii="方正仿宋_GBK" w:hAnsi="宋体" w:eastAsia="方正仿宋_GBK"/>
          <w:sz w:val="28"/>
          <w:szCs w:val="28"/>
        </w:rPr>
        <w:t xml:space="preserve">本项目履约保证金为项目中标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p>
    <w:p>
      <w:pPr>
        <w:ind w:firstLine="560"/>
        <w:spacing w:line="500" w:lineRule="exact"/>
        <w:rPr>
          <w:rFonts w:ascii="方正仿宋_GBK" w:hAnsi="宋体" w:eastAsia="方正仿宋_GBK"/>
          <w:sz w:val="28"/>
          <w:szCs w:val="28"/>
        </w:rPr>
      </w:pPr>
      <w:r>
        <w:rPr>
          <w:rFonts w:hint="eastAsia" w:ascii="方正仿宋_GBK" w:hAnsi="宋体" w:eastAsia="方正仿宋_GBK"/>
          <w:sz w:val="28"/>
          <w:szCs w:val="28"/>
        </w:rPr>
        <w:t xml:space="preserve">2．乙方全部履约合同义务，经甲方验收合格无质量、进度等问题的，甲方在验收合格后一次性退还履约保证金，甲方若逾期退还履约保证金的，按照逾期部分的</w:t>
      </w:r>
      <w:r>
        <w:rPr>
          <w:rFonts w:hint="eastAsia" w:ascii="方正仿宋_GBK" w:hAnsi="宋体" w:eastAsia="方正仿宋_GBK"/>
          <w:sz w:val="28"/>
          <w:szCs w:val="28"/>
          <w:u w:val="single"/>
        </w:rPr>
        <w:t xml:space="preserve">每日0.05%</w:t>
      </w:r>
      <w:r>
        <w:rPr>
          <w:rFonts w:hint="eastAsia" w:ascii="方正仿宋_GBK" w:hAnsi="宋体" w:eastAsia="方正仿宋_GBK"/>
          <w:sz w:val="28"/>
          <w:szCs w:val="28"/>
        </w:rPr>
        <w:t xml:space="preserve">支付违约金。</w:t>
      </w:r>
      <w:r/>
    </w:p>
    <w:p>
      <w:pPr>
        <w:ind w:firstLine="560"/>
        <w:spacing w:line="500" w:lineRule="exact"/>
        <w:rPr>
          <w:rFonts w:ascii="方正仿宋_GBK" w:hAnsi="宋体" w:eastAsia="方正仿宋_GBK"/>
          <w:sz w:val="28"/>
          <w:szCs w:val="28"/>
        </w:rPr>
      </w:pPr>
      <w:r>
        <w:rPr>
          <w:rFonts w:hint="eastAsia" w:ascii="方正仿宋_GBK" w:hAnsi="宋体" w:eastAsia="方正仿宋_GBK"/>
          <w:sz w:val="28"/>
          <w:szCs w:val="28"/>
        </w:rPr>
        <w:t xml:space="preserve">3．发生以下情况的，履约保证金不予退还或部分退还：</w:t>
      </w:r>
      <w:r/>
    </w:p>
    <w:p>
      <w:pPr>
        <w:ind w:firstLine="560"/>
        <w:spacing w:line="500" w:lineRule="exact"/>
        <w:rPr>
          <w:rFonts w:ascii="方正仿宋_GBK" w:hAnsi="宋体" w:eastAsia="方正仿宋_GBK"/>
          <w:sz w:val="28"/>
          <w:szCs w:val="28"/>
        </w:rPr>
      </w:pPr>
      <w:r>
        <w:rPr>
          <w:rFonts w:hint="eastAsia" w:ascii="方正仿宋_GBK" w:hAnsi="宋体" w:eastAsia="方正仿宋_GBK"/>
          <w:sz w:val="28"/>
          <w:szCs w:val="28"/>
        </w:rPr>
        <w:t xml:space="preserve">a.签订合同后，乙方不履行合同义务的，甲方有权全额扣除履约保证金，全额不予退还，同时甲方亦有权终止合同，乙方还须承担相应的法律赔偿责任。</w:t>
      </w:r>
      <w:r/>
    </w:p>
    <w:p>
      <w:pPr>
        <w:ind w:firstLine="560"/>
        <w:spacing w:line="420" w:lineRule="exact"/>
        <w:rPr>
          <w:rFonts w:ascii="方正仿宋_GBK" w:hAnsi="宋体" w:eastAsia="方正仿宋_GBK"/>
          <w:sz w:val="28"/>
          <w:szCs w:val="28"/>
        </w:rPr>
      </w:pPr>
      <w:r>
        <w:rPr>
          <w:rFonts w:hint="eastAsia" w:ascii="方正仿宋_GBK" w:hAnsi="宋体" w:eastAsia="方正仿宋_GBK"/>
          <w:sz w:val="28"/>
          <w:szCs w:val="28"/>
        </w:rPr>
        <w:t xml:space="preserve">b.乙方在履约过程中发生违约行为，给甲方造成损失的，甲方有权在乙方缴纳的履约保证金中予以扣款，以弥补甲方经济损失，不足的部分乙方另外补齐。</w:t>
      </w:r>
      <w:r/>
    </w:p>
    <w:p>
      <w:pPr>
        <w:ind w:firstLine="562"/>
        <w:jc w:val="left"/>
        <w:spacing w:line="420" w:lineRule="exact"/>
        <w:widowControl/>
        <w:rPr>
          <w:rFonts w:ascii="方正仿宋_GBK" w:hAnsi="宋体" w:eastAsia="方正仿宋_GBK" w:cs="宋体"/>
          <w:b/>
          <w:bCs/>
          <w:color w:val="333333"/>
          <w:sz w:val="28"/>
          <w:szCs w:val="28"/>
          <w:shd w:val="clear" w:color="auto" w:fill="ffffff"/>
        </w:rPr>
      </w:pPr>
      <w:r>
        <w:rPr>
          <w:rFonts w:hint="eastAsia" w:ascii="方正仿宋_GBK" w:hAnsi="宋体" w:eastAsia="方正仿宋_GBK" w:cs="宋体"/>
          <w:b/>
          <w:bCs/>
          <w:color w:val="333333"/>
          <w:sz w:val="28"/>
          <w:szCs w:val="28"/>
          <w:shd w:val="clear" w:color="auto" w:fill="ffffff"/>
        </w:rPr>
        <w:t xml:space="preserve">第六条 双方的权利和义务</w:t>
      </w:r>
      <w:r/>
    </w:p>
    <w:p>
      <w:pPr>
        <w:ind w:firstLine="560"/>
        <w:jc w:val="left"/>
        <w:spacing w:line="42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甲方权利义务：</w:t>
      </w:r>
      <w:r/>
    </w:p>
    <w:p>
      <w:pPr>
        <w:ind w:firstLine="560"/>
        <w:jc w:val="left"/>
        <w:spacing w:line="42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1、甲方有权随时向乙方了解项目进度并要求乙方提供项目相关资料。</w:t>
      </w:r>
      <w:r/>
    </w:p>
    <w:p>
      <w:pPr>
        <w:ind w:firstLine="560"/>
        <w:jc w:val="left"/>
        <w:spacing w:line="42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2、甲方有权按照本合同的约定及有关法律法规和政府管理的相关职能规定，对本项目的进展进行监督和检查；但甲方并不因行使该监督和检查权而承担任何责任，也并不因此减轻或免除乙方根据本合同或相关法律法规的要求而应承担的任何义务或责任。</w:t>
      </w:r>
      <w:r/>
    </w:p>
    <w:p>
      <w:pPr>
        <w:ind w:firstLine="536"/>
        <w:jc w:val="left"/>
        <w:spacing w:line="440" w:lineRule="exact"/>
        <w:widowControl/>
        <w:rPr>
          <w:rFonts w:ascii="方正仿宋_GBK" w:hAnsi="宋体" w:eastAsia="方正仿宋_GBK" w:cs="宋体"/>
          <w:color w:val="333333"/>
          <w:spacing w:val="-6"/>
          <w:sz w:val="28"/>
          <w:szCs w:val="28"/>
          <w:shd w:val="clear" w:color="auto" w:fill="ffffff"/>
        </w:rPr>
      </w:pPr>
      <w:r>
        <w:rPr>
          <w:rFonts w:hint="eastAsia" w:ascii="方正仿宋_GBK" w:hAnsi="宋体" w:eastAsia="方正仿宋_GBK" w:cs="宋体"/>
          <w:color w:val="333333"/>
          <w:spacing w:val="-6"/>
          <w:sz w:val="28"/>
          <w:szCs w:val="28"/>
          <w:shd w:val="clear" w:color="auto" w:fill="ffffff"/>
        </w:rPr>
        <w:t xml:space="preserve">3、甲方应及时向乙方提供与履行本合同相关的所有必须的文件、资料。</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4、甲方应为乙方在合同履行过程中与相关政府部门及其他第三方的沟通、协调提供必要的协助。</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乙方权利义务：</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1、乙方有权按照本合同约定向甲方收取费用。</w:t>
      </w:r>
      <w:r/>
    </w:p>
    <w:p>
      <w:pPr>
        <w:ind w:firstLine="536"/>
        <w:jc w:val="left"/>
        <w:spacing w:line="440" w:lineRule="exact"/>
        <w:widowControl/>
        <w:rPr>
          <w:rFonts w:ascii="方正仿宋_GBK" w:hAnsi="宋体" w:eastAsia="方正仿宋_GBK" w:cs="宋体"/>
          <w:color w:val="333333"/>
          <w:spacing w:val="-6"/>
          <w:sz w:val="28"/>
          <w:szCs w:val="28"/>
          <w:shd w:val="clear" w:color="auto" w:fill="ffffff"/>
        </w:rPr>
      </w:pPr>
      <w:r>
        <w:rPr>
          <w:rFonts w:hint="eastAsia" w:ascii="方正仿宋_GBK" w:hAnsi="宋体" w:eastAsia="方正仿宋_GBK" w:cs="宋体"/>
          <w:color w:val="333333"/>
          <w:spacing w:val="-6"/>
          <w:sz w:val="28"/>
          <w:szCs w:val="28"/>
          <w:shd w:val="clear" w:color="auto" w:fill="ffffff"/>
        </w:rPr>
        <w:t xml:space="preserve">2、乙方有权自甲方处获得与提供本合同相关的所有必须的文件、资料。</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3、乙方应接受并配合甲方或甲方组织的对本合同履行情况的监督与检查，对于甲方指出的问题，应及时作出合理解释或予以纠正。</w:t>
      </w:r>
      <w:r/>
    </w:p>
    <w:p>
      <w:pPr>
        <w:ind w:firstLine="562"/>
        <w:jc w:val="left"/>
        <w:spacing w:line="440" w:lineRule="exact"/>
        <w:widowControl/>
        <w:rPr>
          <w:rFonts w:ascii="方正仿宋_GBK" w:hAnsi="宋体" w:eastAsia="方正仿宋_GBK" w:cs="宋体"/>
          <w:b/>
          <w:bCs/>
          <w:color w:val="333333"/>
          <w:sz w:val="28"/>
          <w:szCs w:val="28"/>
          <w:shd w:val="clear" w:color="auto" w:fill="ffffff"/>
        </w:rPr>
      </w:pPr>
      <w:r>
        <w:rPr>
          <w:rFonts w:hint="eastAsia" w:ascii="方正仿宋_GBK" w:hAnsi="宋体" w:eastAsia="方正仿宋_GBK" w:cs="宋体"/>
          <w:b/>
          <w:bCs/>
          <w:color w:val="333333"/>
          <w:sz w:val="28"/>
          <w:szCs w:val="28"/>
          <w:shd w:val="clear" w:color="auto" w:fill="ffffff"/>
        </w:rPr>
        <w:t xml:space="preserve">第七条 违约责任</w:t>
      </w:r>
      <w:r/>
    </w:p>
    <w:p>
      <w:pPr>
        <w:ind w:firstLine="536"/>
        <w:jc w:val="left"/>
        <w:spacing w:line="440" w:lineRule="exact"/>
        <w:widowControl/>
        <w:rPr>
          <w:rFonts w:ascii="方正仿宋_GBK" w:hAnsi="宋体" w:eastAsia="方正仿宋_GBK" w:cs="宋体"/>
          <w:color w:val="333333"/>
          <w:spacing w:val="-6"/>
          <w:sz w:val="28"/>
          <w:szCs w:val="28"/>
          <w:shd w:val="clear" w:color="auto" w:fill="ffffff"/>
        </w:rPr>
      </w:pPr>
      <w:r>
        <w:rPr>
          <w:rFonts w:hint="eastAsia" w:ascii="方正仿宋_GBK" w:hAnsi="宋体" w:eastAsia="方正仿宋_GBK" w:cs="宋体"/>
          <w:color w:val="333333"/>
          <w:spacing w:val="-6"/>
          <w:sz w:val="28"/>
          <w:szCs w:val="28"/>
          <w:shd w:val="clear" w:color="auto" w:fill="ffffff"/>
        </w:rPr>
        <w:t xml:space="preserve">一、乙方采用转包、分包的形式履行合同的，甲方有权中止或终止合同。</w:t>
      </w:r>
      <w:r/>
    </w:p>
    <w:p>
      <w:pPr>
        <w:ind w:firstLine="560"/>
        <w:spacing w:line="440" w:lineRule="exact"/>
        <w:widowControl/>
        <w:rPr>
          <w:rFonts w:ascii="方正仿宋_GBK" w:hAnsi="宋体" w:eastAsia="方正仿宋_GBK" w:cs="宋体"/>
          <w:bCs/>
          <w:color w:val="000000"/>
          <w:sz w:val="28"/>
          <w:szCs w:val="28"/>
        </w:rPr>
      </w:pPr>
      <w:r>
        <w:rPr>
          <w:rFonts w:hint="eastAsia" w:ascii="方正仿宋_GBK" w:hAnsi="宋体" w:eastAsia="方正仿宋_GBK" w:cs="宋体"/>
          <w:bCs/>
          <w:color w:val="000000"/>
          <w:sz w:val="28"/>
          <w:szCs w:val="28"/>
        </w:rPr>
        <w:t xml:space="preserve">二、若合同履行期内，</w:t>
      </w:r>
      <w:r>
        <w:rPr>
          <w:rFonts w:hint="eastAsia" w:ascii="方正仿宋_GBK" w:hAnsi="宋体" w:eastAsia="方正仿宋_GBK" w:cs="宋体"/>
          <w:bCs/>
          <w:color w:val="000000"/>
          <w:sz w:val="28"/>
          <w:szCs w:val="28"/>
          <w:lang w:val="zh-CN"/>
        </w:rPr>
        <w:t xml:space="preserve">发生有效信访、安全事故等情况，甲方有权对</w:t>
      </w:r>
      <w:r>
        <w:rPr>
          <w:rFonts w:hint="eastAsia" w:ascii="方正仿宋_GBK" w:hAnsi="宋体" w:eastAsia="方正仿宋_GBK" w:cs="宋体"/>
          <w:bCs/>
          <w:color w:val="000000"/>
          <w:sz w:val="28"/>
          <w:szCs w:val="28"/>
        </w:rPr>
        <w:t xml:space="preserve">乙方予以处罚</w:t>
      </w:r>
      <w:r>
        <w:rPr>
          <w:rFonts w:hint="eastAsia" w:ascii="方正仿宋_GBK" w:hAnsi="宋体" w:eastAsia="方正仿宋_GBK" w:cs="宋体"/>
          <w:bCs/>
          <w:color w:val="000000"/>
          <w:sz w:val="28"/>
          <w:szCs w:val="28"/>
          <w:lang w:val="zh-CN"/>
        </w:rPr>
        <w:t xml:space="preserve">，并发出整改通知</w:t>
      </w:r>
      <w:r>
        <w:rPr>
          <w:rFonts w:hint="eastAsia" w:ascii="方正仿宋_GBK" w:hAnsi="宋体" w:eastAsia="方正仿宋_GBK" w:cs="宋体"/>
          <w:bCs/>
          <w:color w:val="000000"/>
          <w:sz w:val="28"/>
          <w:szCs w:val="28"/>
        </w:rPr>
        <w:t xml:space="preserve">。</w:t>
      </w:r>
      <w:r/>
    </w:p>
    <w:p>
      <w:pPr>
        <w:ind w:firstLine="562"/>
        <w:jc w:val="left"/>
        <w:spacing w:line="440" w:lineRule="exact"/>
        <w:widowControl/>
        <w:rPr>
          <w:rFonts w:ascii="方正仿宋_GBK" w:hAnsi="宋体" w:eastAsia="方正仿宋_GBK" w:cs="宋体"/>
          <w:b/>
          <w:bCs/>
          <w:color w:val="333333"/>
          <w:sz w:val="28"/>
          <w:szCs w:val="28"/>
          <w:shd w:val="clear" w:color="auto" w:fill="ffffff"/>
        </w:rPr>
      </w:pPr>
      <w:r>
        <w:rPr>
          <w:rFonts w:hint="eastAsia" w:ascii="方正仿宋_GBK" w:hAnsi="宋体" w:eastAsia="方正仿宋_GBK" w:cs="宋体"/>
          <w:b/>
          <w:bCs/>
          <w:color w:val="333333"/>
          <w:sz w:val="28"/>
          <w:szCs w:val="28"/>
          <w:shd w:val="clear" w:color="auto" w:fill="ffffff"/>
        </w:rPr>
        <w:t xml:space="preserve">第八条 不可抗力</w:t>
      </w:r>
      <w:r/>
    </w:p>
    <w:p>
      <w:pPr>
        <w:ind w:firstLine="536"/>
        <w:jc w:val="left"/>
        <w:spacing w:line="440" w:lineRule="exact"/>
        <w:widowControl/>
        <w:rPr>
          <w:rFonts w:ascii="方正仿宋_GBK" w:hAnsi="宋体" w:eastAsia="方正仿宋_GBK" w:cs="宋体"/>
          <w:color w:val="333333"/>
          <w:spacing w:val="-6"/>
          <w:sz w:val="28"/>
          <w:szCs w:val="28"/>
          <w:shd w:val="clear" w:color="auto" w:fill="ffffff"/>
        </w:rPr>
      </w:pPr>
      <w:r>
        <w:rPr>
          <w:rFonts w:hint="eastAsia" w:ascii="方正仿宋_GBK" w:hAnsi="宋体" w:eastAsia="方正仿宋_GBK" w:cs="宋体"/>
          <w:color w:val="333333"/>
          <w:spacing w:val="-6"/>
          <w:sz w:val="28"/>
          <w:szCs w:val="28"/>
          <w:shd w:val="clear" w:color="auto" w:fill="ffffff"/>
        </w:rPr>
        <w:t xml:space="preserve">一、不可抗力，是指不能预见、不能避免并不能克服的客观情况，如战争、动乱、瘟疫、严重火灾、洪水、地震、风暴或其他自然灾害等。</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二、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三、发生不可抗力事件，任何一方均不对因不可抗力无法履行或迟延履行本合同义务而使另一方蒙受的任何损失承担责任，法律另有规定的除外。</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四、合同各方应根据不可抗力对本合同履行的影响程度，协商确定是否终止本合同或是继续履行本合同。</w:t>
      </w:r>
      <w:r/>
    </w:p>
    <w:p>
      <w:pPr>
        <w:ind w:firstLine="562"/>
        <w:jc w:val="left"/>
        <w:spacing w:line="440" w:lineRule="exact"/>
        <w:widowControl/>
        <w:rPr>
          <w:rFonts w:ascii="方正仿宋_GBK" w:hAnsi="宋体" w:eastAsia="方正仿宋_GBK" w:cs="宋体"/>
          <w:b/>
          <w:bCs/>
          <w:color w:val="333333"/>
          <w:sz w:val="28"/>
          <w:szCs w:val="28"/>
          <w:shd w:val="clear" w:color="auto" w:fill="ffffff"/>
        </w:rPr>
      </w:pPr>
      <w:r>
        <w:rPr>
          <w:rFonts w:hint="eastAsia" w:ascii="方正仿宋_GBK" w:hAnsi="宋体" w:eastAsia="方正仿宋_GBK" w:cs="宋体"/>
          <w:b/>
          <w:bCs/>
          <w:color w:val="333333"/>
          <w:sz w:val="28"/>
          <w:szCs w:val="28"/>
          <w:shd w:val="clear" w:color="auto" w:fill="ffffff"/>
        </w:rPr>
        <w:t xml:space="preserve">第九条 合同的变更和终止</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一、除《中华人民共和国政府采购法》第五十条规定的情形外，本合同一经签订，甲乙双方不得擅自变更、中止或终止合同。</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二、除发生法律规定的不能预见、不能避免并不能克服的客观情况外，甲乙双方不得放弃或拒绝履行合同。</w:t>
      </w:r>
      <w:r/>
    </w:p>
    <w:p>
      <w:pPr>
        <w:ind w:firstLine="562"/>
        <w:jc w:val="left"/>
        <w:spacing w:line="440" w:lineRule="exact"/>
        <w:widowControl/>
        <w:rPr>
          <w:rFonts w:ascii="方正仿宋_GBK" w:hAnsi="宋体" w:eastAsia="方正仿宋_GBK" w:cs="宋体"/>
          <w:b/>
          <w:bCs/>
          <w:color w:val="333333"/>
          <w:sz w:val="28"/>
          <w:szCs w:val="28"/>
          <w:shd w:val="clear" w:color="auto" w:fill="ffffff"/>
        </w:rPr>
      </w:pPr>
      <w:r>
        <w:rPr>
          <w:rFonts w:hint="eastAsia" w:ascii="方正仿宋_GBK" w:hAnsi="宋体" w:eastAsia="方正仿宋_GBK" w:cs="宋体"/>
          <w:b/>
          <w:bCs/>
          <w:color w:val="333333"/>
          <w:sz w:val="28"/>
          <w:szCs w:val="28"/>
          <w:shd w:val="clear" w:color="auto" w:fill="ffffff"/>
        </w:rPr>
        <w:t xml:space="preserve">第十条 合同的终止</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本合同因下列原因而终止：</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（1）本合同正常履行完毕；</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（2）因不可抗力导致本合同无法履行或履行不必要；</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（3）任何一方行使解除权解除本合同；</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（4）合同的继续履行将损害国家利益和社会公共利益。</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除上述情形外，甲乙双方不得擅自终止合同。</w:t>
      </w:r>
      <w:r/>
    </w:p>
    <w:p>
      <w:pPr>
        <w:ind w:firstLine="562"/>
        <w:jc w:val="left"/>
        <w:spacing w:line="440" w:lineRule="exact"/>
        <w:widowControl/>
        <w:rPr>
          <w:rFonts w:ascii="方正仿宋_GBK" w:hAnsi="宋体" w:eastAsia="方正仿宋_GBK" w:cs="宋体"/>
          <w:b/>
          <w:bCs/>
          <w:color w:val="333333"/>
          <w:sz w:val="28"/>
          <w:szCs w:val="28"/>
          <w:shd w:val="clear" w:color="auto" w:fill="ffffff"/>
        </w:rPr>
      </w:pPr>
      <w:r>
        <w:rPr>
          <w:rFonts w:hint="eastAsia" w:ascii="方正仿宋_GBK" w:hAnsi="宋体" w:eastAsia="方正仿宋_GBK" w:cs="宋体"/>
          <w:b/>
          <w:bCs/>
          <w:color w:val="333333"/>
          <w:sz w:val="28"/>
          <w:szCs w:val="28"/>
          <w:shd w:val="clear" w:color="auto" w:fill="ffffff"/>
        </w:rPr>
        <w:t xml:space="preserve">第十一条 争议的解决</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一、因履行本合同引起的或与本合同有关的争议，甲乙双方应首先通过友好协商解决，如果协商不能解决争议，则采取以下方式解决争议：</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（1）向甲方所在地有管辖权的人民法院提起诉讼。</w:t>
      </w:r>
      <w:r/>
    </w:p>
    <w:p>
      <w:pPr>
        <w:ind w:firstLine="562"/>
        <w:jc w:val="left"/>
        <w:spacing w:line="440" w:lineRule="exact"/>
        <w:widowControl/>
        <w:rPr>
          <w:rFonts w:ascii="方正仿宋_GBK" w:hAnsi="宋体" w:eastAsia="方正仿宋_GBK" w:cs="宋体"/>
          <w:b/>
          <w:bCs/>
          <w:color w:val="333333"/>
          <w:sz w:val="28"/>
          <w:szCs w:val="28"/>
          <w:shd w:val="clear" w:color="auto" w:fill="ffffff"/>
        </w:rPr>
      </w:pPr>
      <w:r>
        <w:rPr>
          <w:rFonts w:hint="eastAsia" w:ascii="方正仿宋_GBK" w:hAnsi="宋体" w:eastAsia="方正仿宋_GBK" w:cs="宋体"/>
          <w:b/>
          <w:bCs/>
          <w:color w:val="333333"/>
          <w:sz w:val="28"/>
          <w:szCs w:val="28"/>
          <w:shd w:val="clear" w:color="auto" w:fill="ffffff"/>
        </w:rPr>
        <w:t xml:space="preserve">第十二条 合同生效及其他</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一、本合同由甲乙双方签订并加盖公章（同时双方应加盖骑缝章），经甲乙双方法定代表人或委托代理人签字和盖章后生效，合同一式</w:t>
      </w:r>
      <w:r>
        <w:rPr>
          <w:rFonts w:hint="eastAsia" w:ascii="方正仿宋_GBK" w:hAnsi="宋体" w:eastAsia="方正仿宋_GBK" w:cs="宋体"/>
          <w:color w:val="333333"/>
          <w:sz w:val="28"/>
          <w:szCs w:val="28"/>
          <w:u w:val="single"/>
          <w:shd w:val="clear" w:color="auto" w:fill="ffffff"/>
        </w:rPr>
        <w:t xml:space="preserve">六</w:t>
      </w:r>
      <w:r>
        <w:rPr>
          <w:rFonts w:hint="eastAsia" w:ascii="方正仿宋_GBK" w:hAnsi="宋体" w:eastAsia="方正仿宋_GBK" w:cs="宋体"/>
          <w:color w:val="333333"/>
          <w:sz w:val="28"/>
          <w:szCs w:val="28"/>
          <w:shd w:val="clear" w:color="auto" w:fill="ffffff"/>
        </w:rPr>
        <w:t xml:space="preserve">份，甲乙双方各执</w:t>
      </w:r>
      <w:r>
        <w:rPr>
          <w:rFonts w:hint="eastAsia" w:ascii="方正仿宋_GBK" w:hAnsi="宋体" w:eastAsia="方正仿宋_GBK" w:cs="宋体"/>
          <w:color w:val="333333"/>
          <w:sz w:val="28"/>
          <w:szCs w:val="28"/>
          <w:u w:val="single"/>
          <w:shd w:val="clear" w:color="auto" w:fill="ffffff"/>
        </w:rPr>
        <w:t xml:space="preserve">三</w:t>
      </w:r>
      <w:r>
        <w:rPr>
          <w:rFonts w:hint="eastAsia" w:ascii="方正仿宋_GBK" w:hAnsi="宋体" w:eastAsia="方正仿宋_GBK" w:cs="宋体"/>
          <w:color w:val="333333"/>
          <w:sz w:val="28"/>
          <w:szCs w:val="28"/>
          <w:shd w:val="clear" w:color="auto" w:fill="ffffff"/>
        </w:rPr>
        <w:t xml:space="preserve">份。</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二、本合同应按照中华人民共和国的现行法律进行解释。</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甲方（盖章）：                   乙方（盖章）：           </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ascii="方正仿宋_GBK" w:hAnsi="宋体" w:eastAsia="方正仿宋_GBK" w:cs="宋体"/>
          <w:color w:val="333333"/>
          <w:sz w:val="28"/>
          <w:szCs w:val="28"/>
          <w:shd w:val="clear" w:color="auto" w:fill="ffffff"/>
        </w:rPr>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法定代表人：                     法定代表人：            </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ascii="方正仿宋_GBK" w:hAnsi="宋体" w:eastAsia="方正仿宋_GBK" w:cs="宋体"/>
          <w:color w:val="333333"/>
          <w:sz w:val="28"/>
          <w:szCs w:val="28"/>
          <w:shd w:val="clear" w:color="auto" w:fill="ffffff"/>
        </w:rPr>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委托代理人：                     委托代理人：            </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ascii="方正仿宋_GBK" w:hAnsi="宋体" w:eastAsia="方正仿宋_GBK" w:cs="宋体"/>
          <w:color w:val="333333"/>
          <w:sz w:val="28"/>
          <w:szCs w:val="28"/>
          <w:shd w:val="clear" w:color="auto" w:fill="ffffff"/>
        </w:rPr>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联系电话：                       联系电话：              </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ascii="方正仿宋_GBK" w:hAnsi="宋体" w:eastAsia="方正仿宋_GBK" w:cs="宋体"/>
          <w:color w:val="333333"/>
          <w:sz w:val="28"/>
          <w:szCs w:val="28"/>
          <w:shd w:val="clear" w:color="auto" w:fill="ffffff"/>
        </w:rPr>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开户银行：                       开户银行：</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ascii="方正仿宋_GBK" w:hAnsi="宋体" w:eastAsia="方正仿宋_GBK" w:cs="宋体"/>
          <w:color w:val="333333"/>
          <w:sz w:val="28"/>
          <w:szCs w:val="28"/>
          <w:shd w:val="clear" w:color="auto" w:fill="ffffff"/>
        </w:rPr>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hint="eastAsia" w:ascii="方正仿宋_GBK" w:hAnsi="宋体" w:eastAsia="方正仿宋_GBK" w:cs="宋体"/>
          <w:color w:val="333333"/>
          <w:sz w:val="28"/>
          <w:szCs w:val="28"/>
          <w:shd w:val="clear" w:color="auto" w:fill="ffffff"/>
        </w:rPr>
        <w:t xml:space="preserve">银行账号：                       银行账号：</w:t>
      </w:r>
      <w:r/>
    </w:p>
    <w:p>
      <w:pPr>
        <w:ind w:firstLine="560"/>
        <w:jc w:val="left"/>
        <w:spacing w:line="440" w:lineRule="exact"/>
        <w:widowControl/>
        <w:rPr>
          <w:rFonts w:ascii="方正仿宋_GBK" w:hAnsi="宋体" w:eastAsia="方正仿宋_GBK" w:cs="宋体"/>
          <w:color w:val="333333"/>
          <w:sz w:val="28"/>
          <w:szCs w:val="28"/>
          <w:shd w:val="clear" w:color="auto" w:fill="ffffff"/>
        </w:rPr>
      </w:pPr>
      <w:r>
        <w:rPr>
          <w:rFonts w:ascii="方正仿宋_GBK" w:hAnsi="宋体" w:eastAsia="方正仿宋_GBK" w:cs="宋体"/>
          <w:color w:val="333333"/>
          <w:sz w:val="28"/>
          <w:szCs w:val="28"/>
          <w:shd w:val="clear" w:color="auto" w:fill="ffffff"/>
        </w:rPr>
      </w:r>
      <w:r/>
    </w:p>
    <w:p>
      <w:pPr>
        <w:ind w:firstLine="560"/>
        <w:spacing w:line="500" w:lineRule="exact"/>
        <w:rPr>
          <w:rFonts w:ascii="方正仿宋_GBK" w:hAnsi="方正黑体_GBK" w:eastAsia="方正仿宋_GBK" w:cs="方正黑体_GBK"/>
          <w:bCs/>
          <w:sz w:val="28"/>
          <w:szCs w:val="28"/>
        </w:rPr>
      </w:pPr>
      <w:r>
        <w:rPr>
          <w:rFonts w:hint="eastAsia" w:ascii="方正仿宋_GBK" w:hAnsi="宋体" w:eastAsia="方正仿宋_GBK" w:cs="宋体"/>
          <w:color w:val="333333"/>
          <w:sz w:val="28"/>
          <w:szCs w:val="28"/>
          <w:shd w:val="clear" w:color="auto" w:fill="ffffff"/>
        </w:rPr>
        <w:t xml:space="preserve">签订日期：                       签订日期：</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  开标和评标</w:t>
      </w:r>
      <w:r/>
    </w:p>
    <w:p>
      <w:pPr>
        <w:pStyle w:val="922"/>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7"/>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不见面远程开标模式：投标人在各自地点通过“苏采云”系统参加开标会。</w:t>
      </w:r>
      <w:r/>
    </w:p>
    <w:p>
      <w:pPr>
        <w:pStyle w:val="922"/>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采用综合评分法，总分值为100分。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pStyle w:val="926"/>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p>
    <w:p>
      <w:pPr>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查</w:t>
      </w:r>
      <w:r/>
    </w:p>
    <w:p>
      <w:pPr>
        <w:pStyle w:val="926"/>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商务技术分：</w:t>
      </w:r>
      <w:r>
        <w:rPr>
          <w:rFonts w:hint="eastAsia" w:eastAsia="方正仿宋_GBK"/>
          <w:sz w:val="28"/>
          <w:szCs w:val="28"/>
        </w:rPr>
        <w:t xml:space="preserve">70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p>
    <w:p>
      <w:pPr>
        <w:ind w:firstLine="482"/>
        <w:jc w:val="left"/>
        <w:spacing w:line="500" w:lineRule="exact"/>
        <w:rPr>
          <w:rFonts w:eastAsia="方正仿宋_GBK"/>
          <w:b/>
          <w:bCs/>
          <w:sz w:val="24"/>
        </w:rPr>
      </w:pPr>
      <w:r>
        <w:rPr>
          <w:rFonts w:eastAsia="方正仿宋_GBK"/>
          <w:b/>
          <w:bCs/>
          <w:sz w:val="24"/>
        </w:rPr>
      </w:r>
      <w:r/>
    </w:p>
    <w:p>
      <w:pPr>
        <w:pStyle w:val="922"/>
        <w:ind w:left="0" w:right="0" w:firstLine="562"/>
        <w:jc w:val="both"/>
        <w:spacing w:before="0" w:after="0" w:line="500" w:lineRule="exact"/>
        <w:rPr>
          <w:rFonts w:eastAsia="方正仿宋_GBK"/>
          <w:b/>
          <w:sz w:val="28"/>
          <w:szCs w:val="28"/>
        </w:rPr>
      </w:pPr>
      <w:r>
        <w:rPr>
          <w:rFonts w:hint="eastAsia" w:eastAsia="方正仿宋_GBK"/>
          <w:b/>
          <w:sz w:val="28"/>
          <w:szCs w:val="28"/>
        </w:rPr>
        <w:t xml:space="preserve">一标包：</w:t>
      </w:r>
      <w:r/>
    </w:p>
    <w:tbl>
      <w:tblPr>
        <w:tblStyle w:val="973"/>
        <w:tblpPr w:horzAnchor="page" w:tblpX="1214" w:vertAnchor="text" w:tblpY="223" w:leftFromText="180" w:topFromText="0" w:rightFromText="180" w:bottomFromText="0"/>
        <w:tblW w:w="975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8"/>
        <w:gridCol w:w="1429"/>
        <w:gridCol w:w="6703"/>
        <w:gridCol w:w="698"/>
      </w:tblGrid>
      <w:tr>
        <w:trPr>
          <w:trHeight w:val="510"/>
        </w:trPr>
        <w:tc>
          <w:tcPr>
            <w:gridSpan w:val="2"/>
            <w:tcW w:w="2357" w:type="dxa"/>
            <w:vAlign w:val="center"/>
            <w:textDirection w:val="lrTb"/>
            <w:noWrap w:val="false"/>
          </w:tcPr>
          <w:p>
            <w:pPr>
              <w:jc w:val="center"/>
              <w:spacing w:line="240" w:lineRule="exact"/>
              <w:widowControl/>
              <w:rPr>
                <w:rFonts w:ascii="方正仿宋_GBK" w:hAnsi="宋体" w:eastAsia="方正仿宋_GBK"/>
                <w:b/>
                <w:bCs/>
                <w:sz w:val="24"/>
                <w:lang w:val="zh-CN"/>
              </w:rPr>
            </w:pPr>
            <w:r>
              <w:rPr>
                <w:rFonts w:hint="eastAsia" w:ascii="方正仿宋_GBK" w:hAnsi="宋体" w:eastAsia="方正仿宋_GBK"/>
                <w:b/>
                <w:bCs/>
                <w:sz w:val="24"/>
                <w:lang w:val="zh-CN"/>
              </w:rPr>
              <w:t xml:space="preserve">评审项目</w:t>
            </w:r>
            <w:r/>
          </w:p>
        </w:tc>
        <w:tc>
          <w:tcPr>
            <w:tcW w:w="6703" w:type="dxa"/>
            <w:vAlign w:val="center"/>
            <w:textDirection w:val="lrTb"/>
            <w:noWrap w:val="false"/>
          </w:tcPr>
          <w:p>
            <w:pPr>
              <w:jc w:val="center"/>
              <w:spacing w:line="240" w:lineRule="exact"/>
              <w:widowControl/>
              <w:rPr>
                <w:rFonts w:ascii="方正仿宋_GBK" w:hAnsi="宋体" w:eastAsia="方正仿宋_GBK"/>
                <w:b/>
                <w:bCs/>
                <w:sz w:val="24"/>
                <w:lang w:val="zh-CN"/>
              </w:rPr>
            </w:pPr>
            <w:r>
              <w:rPr>
                <w:rFonts w:hint="eastAsia" w:ascii="方正仿宋_GBK" w:hAnsi="宋体" w:eastAsia="方正仿宋_GBK"/>
                <w:b/>
                <w:bCs/>
                <w:sz w:val="24"/>
                <w:lang w:val="zh-CN"/>
              </w:rPr>
              <w:t xml:space="preserve">评审规则</w:t>
            </w:r>
            <w:r/>
          </w:p>
        </w:tc>
        <w:tc>
          <w:tcPr>
            <w:tcW w:w="698" w:type="dxa"/>
            <w:vAlign w:val="center"/>
            <w:textDirection w:val="lrTb"/>
            <w:noWrap w:val="false"/>
          </w:tcPr>
          <w:p>
            <w:pPr>
              <w:jc w:val="center"/>
              <w:spacing w:line="240" w:lineRule="exact"/>
              <w:widowControl/>
              <w:rPr>
                <w:rFonts w:ascii="方正仿宋_GBK" w:hAnsi="宋体" w:eastAsia="方正仿宋_GBK"/>
                <w:b/>
                <w:bCs/>
                <w:sz w:val="24"/>
                <w:lang w:val="zh-CN"/>
              </w:rPr>
            </w:pPr>
            <w:r>
              <w:rPr>
                <w:rFonts w:hint="eastAsia" w:ascii="方正仿宋_GBK" w:hAnsi="宋体" w:eastAsia="方正仿宋_GBK"/>
                <w:b/>
                <w:bCs/>
                <w:sz w:val="24"/>
                <w:lang w:val="zh-CN"/>
              </w:rPr>
              <w:t xml:space="preserve">得分</w:t>
            </w:r>
            <w:r/>
          </w:p>
        </w:tc>
      </w:tr>
      <w:tr>
        <w:trPr>
          <w:trHeight w:val="2022"/>
        </w:trPr>
        <w:tc>
          <w:tcPr>
            <w:tcW w:w="928" w:type="dxa"/>
            <w:vAlign w:val="center"/>
            <w:vMerge w:val="restart"/>
            <w:textDirection w:val="lrTb"/>
            <w:noWrap w:val="false"/>
          </w:tcPr>
          <w:p>
            <w:pPr>
              <w:spacing w:line="240" w:lineRule="exact"/>
              <w:widowControl/>
              <w:rPr>
                <w:rFonts w:ascii="方正仿宋_GBK" w:eastAsia="方正仿宋_GBK"/>
                <w:szCs w:val="21"/>
              </w:rPr>
            </w:pPr>
            <w:r>
              <w:rPr>
                <w:rFonts w:hint="eastAsia" w:ascii="方正仿宋_GBK" w:eastAsia="方正仿宋_GBK"/>
                <w:szCs w:val="21"/>
              </w:rPr>
              <w:t xml:space="preserve">一、技术方案（30分）</w:t>
            </w:r>
            <w:r/>
          </w:p>
        </w:tc>
        <w:tc>
          <w:tcPr>
            <w:tcW w:w="1429" w:type="dxa"/>
            <w:vAlign w:val="center"/>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7"/>
                <w:position w:val="1"/>
                <w:sz w:val="20"/>
                <w:szCs w:val="20"/>
              </w:rPr>
              <w:t xml:space="preserve">1.系统建设方</w:t>
            </w:r>
            <w:r>
              <w:rPr>
                <w:rFonts w:hint="eastAsia" w:ascii="方正仿宋_GBK" w:hAnsi="宋体" w:eastAsia="方正仿宋_GBK" w:cs="宋体"/>
                <w:spacing w:val="6"/>
                <w:position w:val="1"/>
                <w:sz w:val="20"/>
                <w:szCs w:val="20"/>
              </w:rPr>
              <w:t xml:space="preserve">案</w:t>
            </w:r>
            <w:r/>
          </w:p>
        </w:tc>
        <w:tc>
          <w:tcPr>
            <w:tcW w:w="6703" w:type="dxa"/>
            <w:vAlign w:val="center"/>
            <w:textDirection w:val="lrTb"/>
            <w:noWrap w:val="false"/>
          </w:tcPr>
          <w:p>
            <w:pPr>
              <w:ind w:firstLine="3"/>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16"/>
                <w:sz w:val="20"/>
                <w:szCs w:val="20"/>
              </w:rPr>
              <w:t xml:space="preserve">投标</w:t>
            </w:r>
            <w:r>
              <w:rPr>
                <w:rFonts w:hint="eastAsia" w:ascii="方正仿宋_GBK" w:hAnsi="宋体" w:eastAsia="方正仿宋_GBK" w:cs="宋体"/>
                <w:spacing w:val="15"/>
                <w:sz w:val="20"/>
                <w:szCs w:val="20"/>
              </w:rPr>
              <w:t xml:space="preserve">人结合本项目，</w:t>
            </w:r>
            <w:r>
              <w:rPr>
                <w:rFonts w:hint="eastAsia" w:ascii="方正仿宋_GBK" w:hAnsi="宋体" w:eastAsia="方正仿宋_GBK" w:cs="宋体"/>
                <w:spacing w:val="8"/>
                <w:sz w:val="20"/>
                <w:szCs w:val="20"/>
              </w:rPr>
              <w:t xml:space="preserve">从平台的总体架构设计、需求分析、功能模块说明、关键技术应用</w:t>
            </w:r>
            <w:r>
              <w:rPr>
                <w:rFonts w:hint="eastAsia" w:ascii="方正仿宋_GBK" w:hAnsi="宋体" w:eastAsia="方正仿宋_GBK" w:cs="宋体"/>
                <w:spacing w:val="9"/>
                <w:sz w:val="20"/>
                <w:szCs w:val="20"/>
              </w:rPr>
              <w:t xml:space="preserve">、系统集成设计、系统安全保障措施等方面制定系统建设</w:t>
            </w:r>
            <w:r>
              <w:rPr>
                <w:rFonts w:hint="eastAsia" w:ascii="方正仿宋_GBK" w:hAnsi="宋体" w:eastAsia="方正仿宋_GBK" w:cs="宋体"/>
                <w:spacing w:val="5"/>
                <w:sz w:val="20"/>
                <w:szCs w:val="20"/>
              </w:rPr>
              <w:t xml:space="preserve">方</w:t>
            </w:r>
            <w:r>
              <w:rPr>
                <w:rFonts w:hint="eastAsia" w:ascii="方正仿宋_GBK" w:hAnsi="宋体" w:eastAsia="方正仿宋_GBK" w:cs="宋体"/>
                <w:spacing w:val="10"/>
                <w:sz w:val="20"/>
                <w:szCs w:val="20"/>
              </w:rPr>
              <w:t xml:space="preserve">案。评标委员会从方案的</w:t>
            </w:r>
            <w:r>
              <w:rPr>
                <w:rFonts w:hint="eastAsia" w:ascii="方正仿宋_GBK" w:hAnsi="宋体" w:eastAsia="方正仿宋_GBK" w:cs="宋体"/>
                <w:spacing w:val="5"/>
                <w:sz w:val="20"/>
                <w:szCs w:val="20"/>
              </w:rPr>
              <w:t xml:space="preserve">完整性、合理性、安全性等方面进行评审：</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6"/>
                <w:sz w:val="20"/>
                <w:szCs w:val="20"/>
              </w:rPr>
              <w:t xml:space="preserve">方案详细</w:t>
            </w:r>
            <w:r>
              <w:rPr>
                <w:rFonts w:hint="eastAsia" w:ascii="方正仿宋_GBK" w:hAnsi="宋体" w:eastAsia="方正仿宋_GBK" w:cs="宋体"/>
                <w:spacing w:val="5"/>
                <w:sz w:val="20"/>
                <w:szCs w:val="20"/>
              </w:rPr>
              <w:t xml:space="preserve">、</w:t>
            </w:r>
            <w:r>
              <w:rPr>
                <w:rFonts w:hint="eastAsia" w:ascii="方正仿宋_GBK" w:hAnsi="宋体" w:eastAsia="方正仿宋_GBK" w:cs="宋体"/>
                <w:spacing w:val="3"/>
                <w:sz w:val="20"/>
                <w:szCs w:val="20"/>
              </w:rPr>
              <w:t xml:space="preserve">内容专业、科学合理的，</w:t>
            </w:r>
            <w:r>
              <w:rPr>
                <w:rFonts w:hint="eastAsia" w:ascii="方正仿宋_GBK" w:hAnsi="宋体" w:eastAsia="方正仿宋_GBK" w:cs="宋体"/>
                <w:spacing w:val="4"/>
                <w:sz w:val="20"/>
                <w:szCs w:val="20"/>
              </w:rPr>
              <w:t xml:space="preserve">得5分；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方案一般，专业性、合理性一般的，得2分；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内容较为简单，描述不够详尽的，得1分；</w:t>
            </w:r>
            <w:r/>
          </w:p>
          <w:p>
            <w:pPr>
              <w:ind w:firstLine="3"/>
              <w:spacing w:line="240" w:lineRule="exact"/>
              <w:widowControl/>
              <w:rPr>
                <w:rFonts w:ascii="方正仿宋_GBK" w:eastAsia="方正仿宋_GBK"/>
                <w:szCs w:val="21"/>
              </w:rPr>
            </w:pPr>
            <w:r>
              <w:rPr>
                <w:rFonts w:hint="eastAsia" w:ascii="方正仿宋_GBK" w:hAnsi="宋体" w:eastAsia="方正仿宋_GBK" w:cs="宋体"/>
                <w:spacing w:val="4"/>
                <w:sz w:val="20"/>
                <w:szCs w:val="20"/>
              </w:rPr>
              <w:t xml:space="preserve">内容缺项或者未提供的，得0分。</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5分</w:t>
            </w:r>
            <w:r/>
          </w:p>
        </w:tc>
      </w:tr>
      <w:tr>
        <w:trPr>
          <w:trHeight w:val="2309"/>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29" w:type="dxa"/>
            <w:vAlign w:val="center"/>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12"/>
                <w:position w:val="1"/>
                <w:sz w:val="20"/>
                <w:szCs w:val="20"/>
              </w:rPr>
              <w:t xml:space="preserve">2.数据库设计方案</w:t>
            </w:r>
            <w:r/>
          </w:p>
        </w:tc>
        <w:tc>
          <w:tcPr>
            <w:tcW w:w="6703" w:type="dxa"/>
            <w:vAlign w:val="center"/>
            <w:textDirection w:val="lrTb"/>
            <w:noWrap w:val="false"/>
          </w:tcPr>
          <w:p>
            <w:pPr>
              <w:spacing w:line="240" w:lineRule="exact"/>
              <w:widowControl/>
              <w:rPr>
                <w:rFonts w:ascii="方正仿宋_GBK" w:hAnsi="宋体" w:eastAsia="方正仿宋_GBK" w:cs="宋体"/>
                <w:spacing w:val="10"/>
                <w:sz w:val="20"/>
                <w:szCs w:val="20"/>
              </w:rPr>
            </w:pPr>
            <w:r>
              <w:rPr>
                <w:rFonts w:hint="eastAsia" w:ascii="方正仿宋_GBK" w:hAnsi="宋体" w:eastAsia="方正仿宋_GBK" w:cs="宋体"/>
                <w:spacing w:val="4"/>
                <w:sz w:val="20"/>
                <w:szCs w:val="20"/>
              </w:rPr>
              <w:t xml:space="preserve">投标人应提供完整、详细的数据库设计方案（包括服务对象数据库、服务供应商数据库、服务人员数据库、服务工单数据库、回访工单数据库、系统管理等），通过数据库开发为精准服务、周密监管提供支撑。</w:t>
            </w:r>
            <w:r>
              <w:rPr>
                <w:rFonts w:hint="eastAsia" w:ascii="方正仿宋_GBK" w:hAnsi="宋体" w:eastAsia="方正仿宋_GBK" w:cs="宋体"/>
                <w:spacing w:val="10"/>
                <w:sz w:val="20"/>
                <w:szCs w:val="20"/>
              </w:rPr>
              <w:t xml:space="preserve">评标委员会根据其专业性、合理性、可靠性等方面进行评审：</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6"/>
                <w:sz w:val="20"/>
                <w:szCs w:val="20"/>
              </w:rPr>
              <w:t xml:space="preserve">方案详细</w:t>
            </w:r>
            <w:r>
              <w:rPr>
                <w:rFonts w:hint="eastAsia" w:ascii="方正仿宋_GBK" w:hAnsi="宋体" w:eastAsia="方正仿宋_GBK" w:cs="宋体"/>
                <w:spacing w:val="5"/>
                <w:sz w:val="20"/>
                <w:szCs w:val="20"/>
              </w:rPr>
              <w:t xml:space="preserve">、</w:t>
            </w:r>
            <w:r>
              <w:rPr>
                <w:rFonts w:hint="eastAsia" w:ascii="方正仿宋_GBK" w:hAnsi="宋体" w:eastAsia="方正仿宋_GBK" w:cs="宋体"/>
                <w:spacing w:val="3"/>
                <w:sz w:val="20"/>
                <w:szCs w:val="20"/>
              </w:rPr>
              <w:t xml:space="preserve">内容专业、科学合理的，</w:t>
            </w:r>
            <w:r>
              <w:rPr>
                <w:rFonts w:hint="eastAsia" w:ascii="方正仿宋_GBK" w:hAnsi="宋体" w:eastAsia="方正仿宋_GBK" w:cs="宋体"/>
                <w:spacing w:val="4"/>
                <w:sz w:val="20"/>
                <w:szCs w:val="20"/>
              </w:rPr>
              <w:t xml:space="preserve">得5分；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方案一般，专业性、合理性一般的，得2分；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内容较为简单，描述不够详尽的，得1分；</w:t>
            </w:r>
            <w:r/>
          </w:p>
          <w:p>
            <w:pPr>
              <w:spacing w:line="240" w:lineRule="exact"/>
              <w:widowControl/>
              <w:rPr>
                <w:rFonts w:ascii="方正仿宋_GBK" w:eastAsia="方正仿宋_GBK"/>
                <w:szCs w:val="21"/>
              </w:rPr>
            </w:pPr>
            <w:r>
              <w:rPr>
                <w:rFonts w:hint="eastAsia" w:ascii="方正仿宋_GBK" w:hAnsi="宋体" w:eastAsia="方正仿宋_GBK" w:cs="宋体"/>
                <w:spacing w:val="4"/>
                <w:sz w:val="20"/>
                <w:szCs w:val="20"/>
              </w:rPr>
              <w:t xml:space="preserve">内容缺项或者未提供的，得0分。</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5分</w:t>
            </w:r>
            <w:r/>
          </w:p>
        </w:tc>
      </w:tr>
      <w:tr>
        <w:trPr>
          <w:trHeight w:val="2022"/>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29" w:type="dxa"/>
            <w:vAlign w:val="center"/>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12"/>
                <w:position w:val="1"/>
                <w:sz w:val="20"/>
                <w:szCs w:val="20"/>
              </w:rPr>
              <w:t xml:space="preserve">3</w:t>
            </w:r>
            <w:r>
              <w:rPr>
                <w:rFonts w:hint="eastAsia" w:ascii="方正仿宋_GBK" w:hAnsi="宋体" w:eastAsia="方正仿宋_GBK" w:cs="宋体"/>
                <w:spacing w:val="6"/>
                <w:position w:val="1"/>
                <w:sz w:val="20"/>
                <w:szCs w:val="20"/>
              </w:rPr>
              <w:t xml:space="preserve">.平台线上运营方案</w:t>
            </w:r>
            <w:r/>
          </w:p>
        </w:tc>
        <w:tc>
          <w:tcPr>
            <w:tcW w:w="6703" w:type="dxa"/>
            <w:vAlign w:val="center"/>
            <w:textDirection w:val="lrTb"/>
            <w:noWrap w:val="false"/>
          </w:tcPr>
          <w:p>
            <w:pPr>
              <w:ind w:firstLine="3"/>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投标人针对本项目实际制定完整可行的线上运营服务方案。评标委员会从方案的完整性、合理性、可行性等方面进行评审：</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方案详细、内容完整、科学合理，且提供了相关有效证明材料的，得5分；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方案一般，科学合理性一般的，且提供了相关有效证明材料的，得2分；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内容较为简单，描述不够详尽的，且提供的相关有效证明材料不全的，得1分；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内容缺项或者未提供的，得0分。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5分</w:t>
            </w:r>
            <w:r/>
          </w:p>
        </w:tc>
      </w:tr>
      <w:tr>
        <w:trPr>
          <w:trHeight w:val="2022"/>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2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10"/>
                <w:position w:val="1"/>
                <w:sz w:val="20"/>
                <w:szCs w:val="20"/>
              </w:rPr>
              <w:t xml:space="preserve">4</w:t>
            </w:r>
            <w:r>
              <w:rPr>
                <w:rFonts w:hint="eastAsia" w:ascii="方正仿宋_GBK" w:hAnsi="宋体" w:eastAsia="方正仿宋_GBK" w:cs="宋体"/>
                <w:spacing w:val="7"/>
                <w:position w:val="1"/>
                <w:sz w:val="20"/>
                <w:szCs w:val="20"/>
              </w:rPr>
              <w:t xml:space="preserve">.线下监管方案</w:t>
            </w:r>
            <w:r/>
          </w:p>
        </w:tc>
        <w:tc>
          <w:tcPr>
            <w:tcW w:w="6703" w:type="dxa"/>
            <w:vAlign w:val="center"/>
            <w:textDirection w:val="lrTb"/>
            <w:noWrap w:val="false"/>
          </w:tcPr>
          <w:p>
            <w:pPr>
              <w:ind w:firstLine="3"/>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投标人结合本项目采购内容，对如何开展好线下居家养老上门服务质量考核评估，制定监管方案。评标委员会从方案的完整性、合理性、可行性等方面进行评审：</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方案详细、内容完整、科学合理的，得5分；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方案一般，科学合理性一般的，得2分；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内容较为简单，描述不够详尽或内容明显欠缺的，得1分；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内容缺项或者未提供的，得0分。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5分</w:t>
            </w:r>
            <w:r/>
          </w:p>
        </w:tc>
      </w:tr>
      <w:tr>
        <w:trPr>
          <w:trHeight w:val="2022"/>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29" w:type="dxa"/>
            <w:vAlign w:val="center"/>
            <w:textDirection w:val="lrTb"/>
            <w:noWrap w:val="false"/>
          </w:tcPr>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5.组织架构与人员配备</w:t>
            </w:r>
            <w:r/>
          </w:p>
        </w:tc>
        <w:tc>
          <w:tcPr>
            <w:tcW w:w="6703" w:type="dxa"/>
            <w:vAlign w:val="center"/>
            <w:textDirection w:val="lrTb"/>
            <w:noWrap w:val="false"/>
          </w:tcPr>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投标人结合本项目采购内容，对拟投入本项目人员配备及管理形成方案，合理设置日常行政、业务管理等职能部门，各职能部门均按需配备人员，保证各项工作均有专人负责且不冗余的。</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方案详细、内容完整、科学合理的，得5分；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方案一般，科学合理性一般的，得2分；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内容较为简单，描述不够详尽的，得1分；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内容缺项或者未提供的，得0分。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5分</w:t>
            </w:r>
            <w:r/>
          </w:p>
        </w:tc>
      </w:tr>
      <w:tr>
        <w:trPr>
          <w:trHeight w:val="2022"/>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29" w:type="dxa"/>
            <w:vAlign w:val="center"/>
            <w:textDirection w:val="lrTb"/>
            <w:noWrap w:val="false"/>
          </w:tcPr>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6.平台支撑及拓展方案</w:t>
            </w:r>
            <w:r/>
          </w:p>
        </w:tc>
        <w:tc>
          <w:tcPr>
            <w:tcW w:w="6703" w:type="dxa"/>
            <w:vAlign w:val="center"/>
            <w:textDirection w:val="lrTb"/>
            <w:noWrap w:val="false"/>
          </w:tcPr>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投标人结合本地实际，为民政其他养老服务项目提供平台支撑(例如机构养老、社区养老等)，并提供智慧养老平台大数据信息汇聚方案，实现平台与其它养老系统兼容和协同。</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方案详细、内容完整、科学合理的，得5分；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方案一般，科学合理性一般的，得2分；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内容较为简单，描述不够详尽，得1分；</w:t>
            </w:r>
            <w:r/>
          </w:p>
          <w:p>
            <w:pPr>
              <w:ind w:firstLine="1"/>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内容缺项或者未提供的，得0分。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5分</w:t>
            </w:r>
            <w:r/>
          </w:p>
        </w:tc>
      </w:tr>
      <w:tr>
        <w:trPr>
          <w:trHeight w:val="1602"/>
        </w:trPr>
        <w:tc>
          <w:tcPr>
            <w:tcW w:w="928" w:type="dxa"/>
            <w:vAlign w:val="center"/>
            <w:vMerge w:val="restart"/>
            <w:textDirection w:val="lrTb"/>
            <w:noWrap w:val="false"/>
          </w:tcPr>
          <w:p>
            <w:pPr>
              <w:numPr>
                <w:ilvl w:val="0"/>
                <w:numId w:val="6"/>
              </w:numPr>
              <w:jc w:val="left"/>
              <w:spacing w:line="240" w:lineRule="exact"/>
              <w:widowControl/>
              <w:rPr>
                <w:rFonts w:ascii="方正仿宋_GBK" w:hAnsi="宋体" w:eastAsia="方正仿宋_GBK" w:cs="宋体"/>
                <w:spacing w:val="1"/>
                <w:sz w:val="20"/>
                <w:szCs w:val="20"/>
              </w:rPr>
            </w:pPr>
            <w:r>
              <w:rPr>
                <w:rFonts w:hint="eastAsia" w:ascii="方正仿宋_GBK" w:hAnsi="宋体" w:eastAsia="方正仿宋_GBK" w:cs="宋体"/>
                <w:spacing w:val="-10"/>
                <w:sz w:val="20"/>
                <w:szCs w:val="20"/>
              </w:rPr>
              <w:t xml:space="preserve">关</w:t>
            </w:r>
            <w:r>
              <w:rPr>
                <w:rFonts w:hint="eastAsia" w:ascii="方正仿宋_GBK" w:hAnsi="宋体" w:eastAsia="方正仿宋_GBK" w:cs="宋体"/>
                <w:spacing w:val="5"/>
                <w:sz w:val="20"/>
                <w:szCs w:val="20"/>
              </w:rPr>
              <w:t xml:space="preserve">键技术演</w:t>
            </w:r>
            <w:r>
              <w:rPr>
                <w:rFonts w:hint="eastAsia" w:ascii="方正仿宋_GBK" w:hAnsi="宋体" w:eastAsia="方正仿宋_GBK" w:cs="宋体"/>
                <w:spacing w:val="1"/>
                <w:sz w:val="20"/>
                <w:szCs w:val="20"/>
              </w:rPr>
              <w:t xml:space="preserve">示</w:t>
            </w:r>
            <w:r/>
          </w:p>
          <w:p>
            <w:pPr>
              <w:spacing w:line="240" w:lineRule="exact"/>
              <w:widowControl/>
              <w:rPr>
                <w:rFonts w:ascii="方正仿宋_GBK" w:eastAsia="方正仿宋_GBK"/>
                <w:szCs w:val="21"/>
              </w:rPr>
            </w:pPr>
            <w:r>
              <w:rPr>
                <w:rFonts w:hint="eastAsia" w:ascii="方正仿宋_GBK" w:hAnsi="宋体" w:eastAsia="方正仿宋_GBK" w:cs="宋体"/>
                <w:sz w:val="20"/>
                <w:szCs w:val="20"/>
              </w:rPr>
              <w:t xml:space="preserve">(15</w:t>
            </w:r>
            <w:r>
              <w:rPr>
                <w:rFonts w:hint="eastAsia" w:ascii="方正仿宋_GBK" w:hAnsi="宋体" w:eastAsia="方正仿宋_GBK" w:cs="宋体"/>
                <w:spacing w:val="1"/>
                <w:sz w:val="20"/>
                <w:szCs w:val="20"/>
              </w:rPr>
              <w:t xml:space="preserve">分</w:t>
            </w:r>
            <w:r>
              <w:rPr>
                <w:rFonts w:hint="eastAsia" w:ascii="方正仿宋_GBK" w:hAnsi="宋体" w:eastAsia="方正仿宋_GBK" w:cs="宋体"/>
                <w:sz w:val="20"/>
                <w:szCs w:val="20"/>
              </w:rPr>
              <w:t xml:space="preserve">)</w:t>
            </w:r>
            <w:r/>
          </w:p>
        </w:tc>
        <w:tc>
          <w:tcPr>
            <w:tcBorders>
              <w:left w:val="single" w:color="auto" w:sz="4" w:space="0"/>
            </w:tcBorders>
            <w:tcW w:w="142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1．指挥调度系统演示</w:t>
            </w:r>
            <w:r/>
          </w:p>
        </w:tc>
        <w:tc>
          <w:tcPr>
            <w:tcBorders>
              <w:left w:val="single" w:color="auto" w:sz="4" w:space="0"/>
            </w:tcBorders>
            <w:tcW w:w="670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支持电脑端接听电话，接听电话记录电子化保存接听人、接听时间、接听时长。支持查看用户的详细信息，包含家庭地址、来电事由快速处理，并支持同步将该通呼入转由线下服务单位上门作为工单处理（1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（2）所有呼入、呼出电话支持自动录音，录音文件长久保存（1分）。</w:t>
            </w:r>
            <w:r/>
          </w:p>
          <w:p>
            <w:pP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（3）运营系统能有效地管理各类养老服务及服务供应商，对线下服务供应商、服务站及服务人员提供后台配置功能（1分）。</w:t>
            </w:r>
            <w:r/>
          </w:p>
        </w:tc>
        <w:tc>
          <w:tcPr>
            <w:tcBorders>
              <w:left w:val="single" w:color="auto" w:sz="4" w:space="0"/>
            </w:tcBorders>
            <w:tcW w:w="698" w:type="dxa"/>
            <w:vAlign w:val="center"/>
            <w:textDirection w:val="lrTb"/>
            <w:noWrap w:val="false"/>
          </w:tcPr>
          <w:p>
            <w:pPr>
              <w:jc w:val="center"/>
              <w:spacing w:line="240" w:lineRule="exact"/>
              <w:widowControl/>
              <w:rPr>
                <w:rFonts w:ascii="方正仿宋_GBK" w:hAnsi="宋体" w:eastAsia="方正仿宋_GBK" w:cs="宋体"/>
                <w:sz w:val="19"/>
                <w:szCs w:val="19"/>
              </w:rPr>
            </w:pPr>
            <w:r>
              <w:rPr>
                <w:rFonts w:hint="eastAsia" w:ascii="方正仿宋_GBK" w:hAnsi="宋体" w:eastAsia="方正仿宋_GBK" w:cs="宋体"/>
                <w:sz w:val="19"/>
                <w:szCs w:val="19"/>
              </w:rPr>
              <w:t xml:space="preserve">3</w:t>
            </w:r>
            <w:r>
              <w:rPr>
                <w:rFonts w:hint="eastAsia" w:ascii="方正仿宋_GBK" w:hAnsi="宋体" w:eastAsia="方正仿宋_GBK" w:cs="宋体"/>
                <w:sz w:val="20"/>
                <w:szCs w:val="20"/>
              </w:rPr>
              <w:t xml:space="preserve">分</w:t>
            </w:r>
            <w:r/>
          </w:p>
        </w:tc>
      </w:tr>
      <w:tr>
        <w:trPr>
          <w:trHeight w:val="1447"/>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Borders>
              <w:left w:val="single" w:color="auto" w:sz="4" w:space="0"/>
            </w:tcBorders>
            <w:tcW w:w="142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2．服务管理系统演示</w:t>
            </w:r>
            <w:r/>
          </w:p>
        </w:tc>
        <w:tc>
          <w:tcPr>
            <w:tcBorders>
              <w:left w:val="single" w:color="auto" w:sz="4" w:space="0"/>
            </w:tcBorders>
            <w:tcW w:w="670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（1）将民政部门提供的居家养老服务数据导入，区分服务对象类别，获得服务对象姓名、身份证号码、家庭住址、联系方式、联系人等信息；信息上传平台及档案完善的展示（1分）。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（2）支持线下服务商有效开展业务（如派单、查看本区域工作进度、向服务人员推送提示信息等）（1分）。</w:t>
            </w:r>
            <w:r/>
          </w:p>
        </w:tc>
        <w:tc>
          <w:tcPr>
            <w:tcBorders>
              <w:left w:val="single" w:color="auto" w:sz="4" w:space="0"/>
            </w:tcBorders>
            <w:tcW w:w="698" w:type="dxa"/>
            <w:vAlign w:val="center"/>
            <w:textDirection w:val="lrTb"/>
            <w:noWrap w:val="false"/>
          </w:tcPr>
          <w:p>
            <w:pPr>
              <w:jc w:val="center"/>
              <w:spacing w:line="240" w:lineRule="exact"/>
              <w:widowControl/>
              <w:rPr>
                <w:rFonts w:ascii="方正仿宋_GBK" w:hAnsi="宋体" w:eastAsia="方正仿宋_GBK" w:cs="宋体"/>
                <w:sz w:val="19"/>
                <w:szCs w:val="19"/>
              </w:rPr>
            </w:pPr>
            <w:r>
              <w:rPr>
                <w:rFonts w:hint="eastAsia" w:ascii="方正仿宋_GBK" w:hAnsi="宋体" w:eastAsia="方正仿宋_GBK" w:cs="宋体"/>
                <w:sz w:val="19"/>
                <w:szCs w:val="19"/>
              </w:rPr>
              <w:t xml:space="preserve">2</w:t>
            </w:r>
            <w:r>
              <w:rPr>
                <w:rFonts w:hint="eastAsia" w:ascii="方正仿宋_GBK" w:hAnsi="宋体" w:eastAsia="方正仿宋_GBK" w:cs="宋体"/>
                <w:sz w:val="20"/>
                <w:szCs w:val="20"/>
              </w:rPr>
              <w:t xml:space="preserve">分</w:t>
            </w:r>
            <w:r/>
          </w:p>
        </w:tc>
      </w:tr>
      <w:tr>
        <w:trPr>
          <w:trHeight w:val="3115"/>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Borders>
              <w:left w:val="single" w:color="auto" w:sz="4" w:space="0"/>
            </w:tcBorders>
            <w:tcW w:w="142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3.手机端功能演示</w:t>
            </w:r>
            <w:r/>
          </w:p>
        </w:tc>
        <w:tc>
          <w:tcPr>
            <w:tcBorders>
              <w:left w:val="single" w:color="auto" w:sz="4" w:space="0"/>
            </w:tcBorders>
            <w:tcW w:w="670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上门服务单位工作人员通过手机端页面，在完成登录后，开始服务前，用手机拍摄服务对象照片或服务视频并上传至服务器，拍摄的照片或服务视频应自动在图片上标记服务器时间和地理位置，服务结束后，用手机拍摄服务对象照片或服务视频并上传至服务器，拍摄的照片或服务视频应自动生成时间和地址水印。记录服务项目 (支持多选) 。系统应自动记录服务时工作人员的手机定位。服务结束后生成电子工单上传系统（1分）；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2）上门回访工作人员手机端应有以下功能，回访开始时系统应记录工作人员的手机定位；有工作人员与回访对象的同框照片或不少于1分钟的交流录音；回访结束时作出以百分制表述的客观评价；生成包括以上要素的电子工单上传系统（1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（3）手机端功能应简洁明了，使用快捷方便，能实时接收系统发送的工作任务提示、异常工单提醒、工作进度完成情况等信息（1分）。</w:t>
            </w:r>
            <w:r/>
          </w:p>
        </w:tc>
        <w:tc>
          <w:tcPr>
            <w:tcBorders>
              <w:left w:val="single" w:color="auto" w:sz="4" w:space="0"/>
            </w:tcBorders>
            <w:tcW w:w="698" w:type="dxa"/>
            <w:vAlign w:val="center"/>
            <w:textDirection w:val="lrTb"/>
            <w:noWrap w:val="false"/>
          </w:tcPr>
          <w:p>
            <w:pPr>
              <w:jc w:val="center"/>
              <w:spacing w:line="240" w:lineRule="exact"/>
              <w:widowControl/>
              <w:rPr>
                <w:rFonts w:ascii="方正仿宋_GBK" w:hAnsi="宋体" w:eastAsia="方正仿宋_GBK" w:cs="宋体"/>
                <w:sz w:val="19"/>
                <w:szCs w:val="19"/>
              </w:rPr>
            </w:pPr>
            <w:r>
              <w:rPr>
                <w:rFonts w:hint="eastAsia" w:ascii="方正仿宋_GBK" w:hAnsi="宋体" w:eastAsia="方正仿宋_GBK" w:cs="宋体"/>
                <w:sz w:val="19"/>
                <w:szCs w:val="19"/>
              </w:rPr>
              <w:t xml:space="preserve">3</w:t>
            </w:r>
            <w:r>
              <w:rPr>
                <w:rFonts w:hint="eastAsia" w:ascii="方正仿宋_GBK" w:hAnsi="宋体" w:eastAsia="方正仿宋_GBK" w:cs="宋体"/>
                <w:sz w:val="20"/>
                <w:szCs w:val="20"/>
              </w:rPr>
              <w:t xml:space="preserve">分</w:t>
            </w:r>
            <w:r/>
          </w:p>
        </w:tc>
      </w:tr>
      <w:tr>
        <w:trPr>
          <w:trHeight w:val="1735"/>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Borders>
              <w:left w:val="single" w:color="auto" w:sz="4" w:space="0"/>
            </w:tcBorders>
            <w:tcW w:w="142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4.大数据展示</w:t>
            </w:r>
            <w:r/>
          </w:p>
        </w:tc>
        <w:tc>
          <w:tcPr>
            <w:tcBorders>
              <w:left w:val="single" w:color="auto" w:sz="4" w:space="0"/>
            </w:tcBorders>
            <w:tcW w:w="670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展示类似行政级别县级市及以上的养老服务分布，包括服务资源分布，服务数据分布(如养老机构、居家养老服务中心等地图分布），实时服务开展情况（如已派单、服务中、空闲等明确标注），线上平台基础数据，运营数据展示等（1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（2）核心数据进行每日推送，向采购人推送每日线下派单数据分布及汇总、每日上门抽查数量、电话回访情况及满意率等数据（1分）。</w:t>
            </w:r>
            <w:r/>
          </w:p>
        </w:tc>
        <w:tc>
          <w:tcPr>
            <w:tcBorders>
              <w:left w:val="single" w:color="auto" w:sz="4" w:space="0"/>
            </w:tcBorders>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19"/>
                <w:szCs w:val="19"/>
              </w:rPr>
              <w:t xml:space="preserve">2</w:t>
            </w:r>
            <w:r>
              <w:rPr>
                <w:rFonts w:hint="eastAsia" w:ascii="方正仿宋_GBK" w:hAnsi="宋体" w:eastAsia="方正仿宋_GBK" w:cs="宋体"/>
                <w:sz w:val="20"/>
                <w:szCs w:val="20"/>
              </w:rPr>
              <w:t xml:space="preserve">分</w:t>
            </w:r>
            <w:r/>
          </w:p>
        </w:tc>
      </w:tr>
      <w:tr>
        <w:trPr>
          <w:trHeight w:val="2761"/>
        </w:trPr>
        <w:tc>
          <w:tcPr>
            <w:tcW w:w="928" w:type="dxa"/>
            <w:vAlign w:val="center"/>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29" w:type="dxa"/>
            <w:vAlign w:val="center"/>
            <w:textDirection w:val="lrTb"/>
            <w:noWrap w:val="false"/>
          </w:tcPr>
          <w:p>
            <w:pPr>
              <w:spacing w:line="240" w:lineRule="exact"/>
              <w:widowControl/>
              <w:rPr>
                <w:rFonts w:ascii="方正仿宋_GBK" w:hAnsi="宋体" w:eastAsia="方正仿宋_GBK" w:cs="宋体"/>
                <w:spacing w:val="4"/>
                <w:sz w:val="20"/>
                <w:szCs w:val="20"/>
              </w:rPr>
            </w:pPr>
            <w:r/>
            <w:bookmarkStart w:id="132" w:name="OLE_LINK2"/>
            <w:r>
              <w:rPr>
                <w:rFonts w:hint="eastAsia" w:ascii="方正仿宋_GBK" w:hAnsi="宋体" w:eastAsia="方正仿宋_GBK" w:cs="宋体"/>
                <w:spacing w:val="4"/>
                <w:sz w:val="20"/>
                <w:szCs w:val="20"/>
              </w:rPr>
              <w:t xml:space="preserve">5.服务监管功能演示(含自动比对功能)</w:t>
            </w:r>
            <w:bookmarkEnd w:id="132"/>
            <w:r/>
            <w:r/>
          </w:p>
        </w:tc>
        <w:tc>
          <w:tcPr>
            <w:tcW w:w="6703" w:type="dxa"/>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支持回访人员对线下已完成或正在进行的工单进行回访，线上回访可在工单页面点击电话回访按键直接回访，过程应录制不少于1分钟的音频，回访完成后在工单页面显示回访结果，以上要素形成回访电子工单（2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2）线下回访，在管理人员手机端有操作界面，对正在服务或已完成服务的工单进行抽查，点击线下回访按钮开始回访。回访人员到达回访对象地址时，回访人员须点击签到，进行位置信息上传，并拍摄老人照片上传，页面应标注回访对象姓名等简单信息。回访结束后给出结果，并在回访工单页面显示（2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（3）收集汇总回访信息，运用大数据等智能技术进行分析，对数据异常向相关单位及个人推送，并按采购方要求进行结果运用，为采购方资金结算提供依据（1分）。</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5分</w:t>
            </w:r>
            <w:r/>
          </w:p>
        </w:tc>
      </w:tr>
      <w:tr>
        <w:trPr>
          <w:trHeight w:val="1447"/>
        </w:trPr>
        <w:tc>
          <w:tcPr>
            <w:tcW w:w="928" w:type="dxa"/>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gridSpan w:val="3"/>
            <w:tcW w:w="8830" w:type="dxa"/>
            <w:vAlign w:val="center"/>
            <w:textDirection w:val="lrTb"/>
            <w:noWrap w:val="false"/>
          </w:tcPr>
          <w:p>
            <w:pPr>
              <w:jc w:val="left"/>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4"/>
                <w:sz w:val="20"/>
                <w:szCs w:val="20"/>
              </w:rPr>
              <w:t xml:space="preserve">投标人须进行演示讲解，</w:t>
            </w:r>
            <w:r>
              <w:rPr>
                <w:rFonts w:hint="eastAsia" w:ascii="方正仿宋_GBK" w:hAnsi="宋体" w:eastAsia="方正仿宋_GBK" w:cs="宋体"/>
                <w:bCs/>
                <w:spacing w:val="4"/>
                <w:sz w:val="20"/>
                <w:szCs w:val="20"/>
              </w:rPr>
              <w:t xml:space="preserve">视频文件的格式为*.mp4或*.avi，供应商须将视频文件分段压缩为*.zip文件上传（单个文件不得大于50M，所有文件总共不得大于300M）。文件上传方式见《江苏省政府采购管理交易系统（苏采云）供应商操作指南》规定，上传的演示视频将作为投标文件的组成部分。</w:t>
            </w:r>
            <w:r>
              <w:rPr>
                <w:rFonts w:hint="eastAsia" w:ascii="方正仿宋_GBK" w:hAnsi="宋体" w:eastAsia="方正仿宋_GBK" w:cs="宋体"/>
                <w:spacing w:val="4"/>
                <w:sz w:val="20"/>
                <w:szCs w:val="20"/>
              </w:rPr>
              <w:t xml:space="preserve">视频时间控制在15分钟内（超过15分钟的，仅根据视频前15分钟所演示讲解内容评分），</w:t>
            </w:r>
            <w:r>
              <w:rPr>
                <w:rFonts w:hint="eastAsia" w:ascii="方正仿宋_GBK" w:hAnsi="宋体" w:eastAsia="方正仿宋_GBK" w:cs="宋体"/>
                <w:bCs/>
                <w:spacing w:val="4"/>
                <w:sz w:val="20"/>
                <w:szCs w:val="20"/>
              </w:rPr>
              <w:t xml:space="preserve">演示视频未提供或者无法打开的本项不得分。</w:t>
            </w:r>
            <w:r/>
          </w:p>
        </w:tc>
      </w:tr>
      <w:tr>
        <w:trPr>
          <w:trHeight w:val="3465"/>
        </w:trPr>
        <w:tc>
          <w:tcPr>
            <w:tcW w:w="928" w:type="dxa"/>
            <w:vAlign w:val="center"/>
            <w:vMerge w:val="restart"/>
            <w:textDirection w:val="lrTb"/>
            <w:noWrap w:val="false"/>
          </w:tcPr>
          <w:p>
            <w:pPr>
              <w:numPr>
                <w:ilvl w:val="0"/>
                <w:numId w:val="6"/>
              </w:numPr>
              <w:spacing w:line="240" w:lineRule="exact"/>
              <w:widowControl/>
              <w:rPr>
                <w:rFonts w:ascii="方正仿宋_GBK" w:hAnsi="宋体" w:eastAsia="方正仿宋_GBK" w:cs="宋体"/>
                <w:spacing w:val="-18"/>
                <w:sz w:val="20"/>
                <w:szCs w:val="20"/>
              </w:rPr>
            </w:pPr>
            <w:r>
              <w:rPr>
                <w:rFonts w:hint="eastAsia" w:ascii="方正仿宋_GBK" w:hAnsi="宋体" w:eastAsia="方正仿宋_GBK" w:cs="宋体"/>
                <w:spacing w:val="-18"/>
                <w:sz w:val="20"/>
                <w:szCs w:val="20"/>
              </w:rPr>
              <w:t xml:space="preserve">人员</w:t>
            </w:r>
            <w:r/>
          </w:p>
          <w:p>
            <w:pPr>
              <w:ind w:firstLine="328"/>
              <w:spacing w:line="240" w:lineRule="exact"/>
              <w:widowControl/>
              <w:rPr>
                <w:rFonts w:ascii="方正仿宋_GBK" w:hAnsi="宋体" w:eastAsia="方正仿宋_GBK" w:cs="宋体"/>
                <w:spacing w:val="-18"/>
                <w:sz w:val="20"/>
                <w:szCs w:val="20"/>
              </w:rPr>
            </w:pPr>
            <w:r>
              <w:rPr>
                <w:rFonts w:hint="eastAsia" w:ascii="方正仿宋_GBK" w:hAnsi="宋体" w:eastAsia="方正仿宋_GBK" w:cs="宋体"/>
                <w:spacing w:val="-18"/>
                <w:sz w:val="20"/>
                <w:szCs w:val="20"/>
              </w:rPr>
              <w:t xml:space="preserve">配 置</w:t>
            </w:r>
            <w:r/>
          </w:p>
          <w:p>
            <w:pPr>
              <w:spacing w:line="240" w:lineRule="exact"/>
              <w:widowControl/>
              <w:rPr>
                <w:rFonts w:ascii="方正仿宋_GBK" w:eastAsia="方正仿宋_GBK"/>
                <w:szCs w:val="21"/>
              </w:rPr>
            </w:pPr>
            <w:r>
              <w:rPr>
                <w:rFonts w:hint="eastAsia" w:ascii="方正仿宋_GBK" w:hAnsi="宋体" w:eastAsia="方正仿宋_GBK" w:cs="宋体"/>
                <w:spacing w:val="-18"/>
                <w:sz w:val="20"/>
                <w:szCs w:val="20"/>
              </w:rPr>
              <w:t xml:space="preserve">(8分)</w:t>
            </w:r>
            <w:r/>
          </w:p>
        </w:tc>
        <w:tc>
          <w:tcPr>
            <w:tcW w:w="1429"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1.项目负责人综合素质</w:t>
            </w:r>
            <w:r/>
          </w:p>
        </w:tc>
        <w:tc>
          <w:tcPr>
            <w:tcW w:w="670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（1）项目负责人为投标企业正式人员，具有专科学历的，得1分；具有本科学历及以上的，得2分。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2）项目负责人承担过与本项目类似的政府购买养老服务项目或相关信息系统项目，有一个得1分，最高得2分（注：①须提供中标通知书和合同，合同中未体现项目负责人姓名的，需提供购买方的有效证明材料；②截止投标时间已签约但服务未履约结束的项目不予计分；③项目负责人业绩与企业业绩为同一个的，以得分高者计，不重复计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项目负责人的居家养老服务行业或软件开发从业年限(从截止投标时间往前推算)在3年及以上的得1分；3年(不含)以下的得0.5分；无从业经验的不得分。【注：①须提供项目负责人工作简历(格式自拟，投标人盖章)、投标企业为其缴纳的自本采购公告发布之日前三个月内任意一个月的社保缴纳证明材料。②若为联合体投标的，则拟派项目负责人须为联合体牵头方拟派】</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5分</w:t>
            </w:r>
            <w:r/>
          </w:p>
        </w:tc>
      </w:tr>
      <w:tr>
        <w:trPr>
          <w:trHeight w:val="1447"/>
        </w:trPr>
        <w:tc>
          <w:tcPr>
            <w:tcW w:w="928" w:type="dxa"/>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29" w:type="dxa"/>
            <w:vAlign w:val="center"/>
            <w:textDirection w:val="lrTb"/>
            <w:noWrap w:val="false"/>
          </w:tcPr>
          <w:p>
            <w:pPr>
              <w:ind w:firstLine="15"/>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4"/>
                <w:sz w:val="20"/>
                <w:szCs w:val="20"/>
              </w:rPr>
              <w:t xml:space="preserve">2.专业技术团队</w:t>
            </w:r>
            <w:r/>
          </w:p>
        </w:tc>
        <w:tc>
          <w:tcPr>
            <w:tcW w:w="670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配备的专业技术人员中拥有系统架构设计师、信息安全工程师或程序员等专业技术资格证书的，有一个得1分，最多得3分。注：①提供人员的证书；②投标企业为其缴纳的自本采购公告发布之日前三个月内任意一个月的社保缴纳证明材料；③不同人员具有同类证书可计分，一人持多个证书不可重复计分。</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3分</w:t>
            </w:r>
            <w:r/>
          </w:p>
        </w:tc>
      </w:tr>
      <w:tr>
        <w:trPr>
          <w:trHeight w:val="1735"/>
        </w:trPr>
        <w:tc>
          <w:tcPr>
            <w:tcW w:w="928" w:type="dxa"/>
            <w:vAlign w:val="center"/>
            <w:vMerge w:val="restart"/>
            <w:textDirection w:val="lrTb"/>
            <w:noWrap w:val="false"/>
          </w:tcPr>
          <w:p>
            <w:pPr>
              <w:ind w:firstLine="21"/>
              <w:spacing w:line="240" w:lineRule="exact"/>
              <w:widowControl/>
              <w:rPr>
                <w:rFonts w:ascii="方正仿宋_GBK" w:hAnsi="宋体" w:eastAsia="方正仿宋_GBK" w:cs="宋体"/>
                <w:spacing w:val="-18"/>
                <w:sz w:val="20"/>
                <w:szCs w:val="20"/>
              </w:rPr>
            </w:pPr>
            <w:r>
              <w:rPr>
                <w:rFonts w:hint="eastAsia" w:ascii="方正仿宋_GBK" w:hAnsi="宋体" w:eastAsia="方正仿宋_GBK" w:cs="宋体"/>
                <w:spacing w:val="-18"/>
                <w:sz w:val="20"/>
                <w:szCs w:val="20"/>
              </w:rPr>
              <w:t xml:space="preserve">五、企业综合实力</w:t>
            </w:r>
            <w:r/>
          </w:p>
          <w:p>
            <w:pPr>
              <w:spacing w:line="240" w:lineRule="exact"/>
              <w:widowControl/>
              <w:rPr>
                <w:rFonts w:ascii="方正仿宋_GBK" w:eastAsia="方正仿宋_GBK"/>
                <w:szCs w:val="21"/>
              </w:rPr>
            </w:pPr>
            <w:r>
              <w:rPr>
                <w:rFonts w:hint="eastAsia" w:ascii="方正仿宋_GBK" w:hAnsi="宋体" w:eastAsia="方正仿宋_GBK" w:cs="宋体"/>
                <w:spacing w:val="-18"/>
                <w:sz w:val="20"/>
                <w:szCs w:val="20"/>
              </w:rPr>
              <w:t xml:space="preserve">(17分)</w:t>
            </w:r>
            <w:r/>
          </w:p>
        </w:tc>
        <w:tc>
          <w:tcPr>
            <w:tcW w:w="142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1.系统认证</w:t>
            </w:r>
            <w:r/>
          </w:p>
        </w:tc>
        <w:tc>
          <w:tcPr>
            <w:tcW w:w="670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投标人具有质量管理体系认证证书、信息安全管理体系认证证书、信息技术服务管理体系认证证书、环境认证体系认证证书，且在有效期内的，有1个得1分，最高得4分。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注：①认证范围须包括养老服务类或养老服务平台或养老服务平台软件；②提供有效期内的证书和国家认证认可监督管理委员会信息平台查询截图及网址。</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highlight w:val="yellow"/>
              </w:rPr>
            </w:pPr>
            <w:r>
              <w:rPr>
                <w:rFonts w:hint="eastAsia" w:ascii="方正仿宋_GBK" w:hAnsi="宋体" w:eastAsia="方正仿宋_GBK" w:cs="宋体"/>
                <w:sz w:val="20"/>
                <w:szCs w:val="20"/>
              </w:rPr>
              <w:t xml:space="preserve">4分</w:t>
            </w:r>
            <w:r/>
          </w:p>
        </w:tc>
      </w:tr>
      <w:tr>
        <w:trPr>
          <w:trHeight w:val="1447"/>
        </w:trPr>
        <w:tc>
          <w:tcPr>
            <w:tcW w:w="928" w:type="dxa"/>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2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2.获得的荣誉</w:t>
            </w:r>
            <w:r/>
          </w:p>
        </w:tc>
        <w:tc>
          <w:tcPr>
            <w:tcW w:w="670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投标人获得政府行政部门颁发的养老服务领域的荣誉奖项的，省级及以上的，有一个得2分，地市级的，有一个1分，本项最高得3分。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注：①提供获得的相关荣誉表彰材料或官方网站相关公示链接及截图；行政主管部门指民政、老龄、卫健、工信、科技等部门；②同一内容获得地市级、省级、国家级的，则以最高荣誉计，不累计得分。</w:t>
            </w:r>
            <w:r/>
          </w:p>
        </w:tc>
        <w:tc>
          <w:tcPr>
            <w:tcW w:w="698"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3分</w:t>
            </w:r>
            <w:r/>
          </w:p>
        </w:tc>
      </w:tr>
      <w:tr>
        <w:trPr>
          <w:trHeight w:val="1447"/>
        </w:trPr>
        <w:tc>
          <w:tcPr>
            <w:tcW w:w="928" w:type="dxa"/>
            <w:vMerge w:val="continue"/>
            <w:textDirection w:val="lrTb"/>
            <w:noWrap w:val="false"/>
          </w:tcPr>
          <w:p>
            <w:pPr>
              <w:spacing w:line="240" w:lineRule="exact"/>
              <w:widowControl/>
              <w:rPr>
                <w:rFonts w:ascii="方正仿宋_GBK" w:eastAsia="方正仿宋_GBK"/>
                <w:szCs w:val="21"/>
              </w:rPr>
            </w:pPr>
            <w:r>
              <w:rPr>
                <w:rFonts w:ascii="方正仿宋_GBK" w:eastAsia="方正仿宋_GBK"/>
                <w:szCs w:val="21"/>
              </w:rPr>
            </w:r>
            <w:r/>
          </w:p>
        </w:tc>
        <w:tc>
          <w:tcPr>
            <w:tcW w:w="1429" w:type="dxa"/>
            <w:vAlign w:val="center"/>
            <w:textDirection w:val="lrTb"/>
            <w:noWrap w:val="false"/>
          </w:tcPr>
          <w:p>
            <w:pPr>
              <w:spacing w:line="240" w:lineRule="exact"/>
              <w:widowControl/>
              <w:rPr>
                <w:rFonts w:ascii="方正仿宋_GBK" w:hAnsi="宋体" w:eastAsia="方正仿宋_GBK" w:cs="宋体"/>
                <w:spacing w:val="7"/>
                <w:position w:val="1"/>
                <w:sz w:val="20"/>
                <w:szCs w:val="20"/>
              </w:rPr>
            </w:pPr>
            <w:r>
              <w:rPr>
                <w:rFonts w:hint="eastAsia" w:ascii="方正仿宋_GBK" w:hAnsi="宋体" w:eastAsia="方正仿宋_GBK" w:cs="宋体"/>
                <w:spacing w:val="7"/>
                <w:position w:val="1"/>
                <w:sz w:val="20"/>
                <w:szCs w:val="20"/>
              </w:rPr>
              <w:t xml:space="preserve">3.技术实力</w:t>
            </w:r>
            <w:r/>
          </w:p>
        </w:tc>
        <w:tc>
          <w:tcPr>
            <w:tcW w:w="670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（1）投标人具有与本项目相关的《软件产品证书》的，得1分；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（2）投标人具有与养老相关且含有如下内容的软件著作权证书的，每有1个得1分，最多得4分：派单管理、线上稽查、话务平台、数据监控、投诉管理；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注：以上证书均须在有效期内。</w:t>
            </w:r>
            <w:r/>
          </w:p>
        </w:tc>
        <w:tc>
          <w:tcPr>
            <w:tcW w:w="698" w:type="dxa"/>
            <w:vAlign w:val="center"/>
            <w:textDirection w:val="lrTb"/>
            <w:noWrap w:val="false"/>
          </w:tcPr>
          <w:p>
            <w:pPr>
              <w:jc w:val="center"/>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5分</w:t>
            </w:r>
            <w:r/>
          </w:p>
        </w:tc>
      </w:tr>
      <w:tr>
        <w:trPr>
          <w:trHeight w:val="1459"/>
        </w:trPr>
        <w:tc>
          <w:tcPr>
            <w:tcW w:w="928" w:type="dxa"/>
            <w:vMerge w:val="continue"/>
            <w:textDirection w:val="lrTb"/>
            <w:noWrap w:val="false"/>
          </w:tcPr>
          <w:p>
            <w:pPr>
              <w:spacing w:line="240" w:lineRule="exact"/>
              <w:widowControl/>
              <w:rPr>
                <w:rFonts w:ascii="方正仿宋_GBK" w:hAnsi="宋体" w:eastAsia="方正仿宋_GBK" w:cs="宋体"/>
                <w:sz w:val="20"/>
                <w:szCs w:val="20"/>
              </w:rPr>
            </w:pPr>
            <w:r>
              <w:rPr>
                <w:rFonts w:ascii="方正仿宋_GBK" w:hAnsi="宋体" w:eastAsia="方正仿宋_GBK" w:cs="宋体"/>
                <w:sz w:val="20"/>
                <w:szCs w:val="20"/>
              </w:rPr>
            </w:r>
            <w:r/>
          </w:p>
        </w:tc>
        <w:tc>
          <w:tcPr>
            <w:tcW w:w="1429" w:type="dxa"/>
            <w:vAlign w:val="center"/>
            <w:textDirection w:val="lrTb"/>
            <w:noWrap w:val="false"/>
          </w:tcPr>
          <w:p>
            <w:pPr>
              <w:spacing w:line="240" w:lineRule="exact"/>
              <w:widowControl/>
              <w:rPr>
                <w:rFonts w:ascii="方正仿宋_GBK" w:eastAsia="方正仿宋_GBK"/>
                <w:szCs w:val="21"/>
              </w:rPr>
            </w:pPr>
            <w:r>
              <w:rPr>
                <w:rFonts w:hint="eastAsia" w:ascii="方正仿宋_GBK" w:hAnsi="宋体" w:eastAsia="方正仿宋_GBK" w:cs="宋体"/>
                <w:spacing w:val="7"/>
                <w:position w:val="1"/>
                <w:sz w:val="20"/>
                <w:szCs w:val="20"/>
              </w:rPr>
              <w:t xml:space="preserve">4.类似业绩</w:t>
            </w:r>
            <w:r/>
          </w:p>
        </w:tc>
        <w:tc>
          <w:tcPr>
            <w:tcW w:w="6703" w:type="dxa"/>
            <w:vAlign w:val="center"/>
            <w:textDirection w:val="lrTb"/>
            <w:noWrap w:val="false"/>
          </w:tcPr>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投标人承担过与本项目类似的政府购买养老服务项目，有一个得1分，最多得5分。</w:t>
            </w:r>
            <w:r/>
          </w:p>
          <w:p>
            <w:pPr>
              <w:ind w:firstLine="15"/>
              <w:spacing w:line="240" w:lineRule="exact"/>
              <w:widowControl/>
              <w:rPr>
                <w:rFonts w:ascii="方正仿宋_GBK" w:hAnsi="宋体" w:eastAsia="方正仿宋_GBK" w:cs="宋体"/>
                <w:spacing w:val="4"/>
                <w:sz w:val="20"/>
                <w:szCs w:val="20"/>
              </w:rPr>
            </w:pPr>
            <w:r>
              <w:rPr>
                <w:rFonts w:hint="eastAsia" w:ascii="方正仿宋_GBK" w:hAnsi="宋体" w:eastAsia="方正仿宋_GBK" w:cs="宋体"/>
                <w:spacing w:val="4"/>
                <w:sz w:val="20"/>
                <w:szCs w:val="20"/>
              </w:rPr>
              <w:t xml:space="preserve">【注：①须提供合同和验收合格报告（或购买方的有效证明）；②同一单位相同内容合同不累计得分；③企业业绩和项目负责人业绩不重复计分；④截止投标时间已签约但服务未履约结束的项目不予计分。</w:t>
            </w:r>
            <w:r/>
          </w:p>
        </w:tc>
        <w:tc>
          <w:tcPr>
            <w:tcW w:w="698" w:type="dxa"/>
            <w:vAlign w:val="center"/>
            <w:textDirection w:val="lrTb"/>
            <w:noWrap w:val="false"/>
          </w:tcPr>
          <w:p>
            <w:pPr>
              <w:jc w:val="center"/>
              <w:spacing w:line="240" w:lineRule="exact"/>
              <w:widowControl/>
              <w:rPr>
                <w:rFonts w:ascii="方正仿宋_GBK" w:eastAsia="方正仿宋_GBK"/>
                <w:szCs w:val="21"/>
              </w:rPr>
            </w:pPr>
            <w:r>
              <w:rPr>
                <w:rFonts w:hint="eastAsia" w:ascii="方正仿宋_GBK" w:hAnsi="宋体" w:eastAsia="方正仿宋_GBK" w:cs="宋体"/>
                <w:sz w:val="20"/>
                <w:szCs w:val="20"/>
              </w:rPr>
              <w:t xml:space="preserve">5分</w:t>
            </w:r>
            <w:r/>
          </w:p>
        </w:tc>
      </w:tr>
    </w:tbl>
    <w:p>
      <w:pPr>
        <w:pStyle w:val="922"/>
        <w:ind w:left="0" w:right="0" w:firstLine="562"/>
        <w:jc w:val="both"/>
        <w:spacing w:before="0" w:after="0" w:line="500" w:lineRule="exact"/>
        <w:rPr>
          <w:rFonts w:eastAsia="方正仿宋_GBK"/>
          <w:b/>
          <w:sz w:val="28"/>
          <w:szCs w:val="28"/>
        </w:rPr>
      </w:pPr>
      <w:r>
        <w:rPr>
          <w:rFonts w:hint="eastAsia" w:ascii="Times New Roman" w:hAnsi="Times New Roman" w:eastAsia="方正仿宋_GBK"/>
          <w:b/>
          <w:sz w:val="28"/>
          <w:szCs w:val="28"/>
        </w:rPr>
        <w:t xml:space="preserve">二标包</w:t>
      </w:r>
      <w:r>
        <w:rPr>
          <w:rFonts w:ascii="Times New Roman" w:hAnsi="Times New Roman" w:eastAsia="方正仿宋_GBK"/>
          <w:b/>
          <w:sz w:val="28"/>
          <w:szCs w:val="28"/>
        </w:rPr>
        <w:t xml:space="preserve">~</w:t>
      </w:r>
      <w:r>
        <w:rPr>
          <w:rFonts w:hint="eastAsia" w:ascii="Times New Roman" w:hAnsi="Times New Roman" w:eastAsia="方正仿宋_GBK"/>
          <w:b/>
          <w:sz w:val="28"/>
          <w:szCs w:val="28"/>
        </w:rPr>
        <w:t xml:space="preserve">四标包：</w:t>
      </w:r>
      <w:r/>
    </w:p>
    <w:tbl>
      <w:tblPr>
        <w:tblStyle w:val="973"/>
        <w:tblW w:w="1011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6"/>
        <w:gridCol w:w="1676"/>
        <w:gridCol w:w="6932"/>
        <w:gridCol w:w="712"/>
      </w:tblGrid>
      <w:tr>
        <w:trPr>
          <w:jc w:val="center"/>
          <w:trHeight w:val="418"/>
        </w:trPr>
        <w:tc>
          <w:tcPr>
            <w:gridSpan w:val="2"/>
            <w:tcW w:w="2472" w:type="dxa"/>
            <w:vAlign w:val="center"/>
            <w:textDirection w:val="lrTb"/>
            <w:noWrap w:val="false"/>
          </w:tcPr>
          <w:p>
            <w:pPr>
              <w:jc w:val="center"/>
              <w:spacing w:line="240" w:lineRule="exact"/>
              <w:widowControl/>
              <w:rPr>
                <w:rFonts w:ascii="方正仿宋_GBK" w:hAnsi="宋体" w:eastAsia="方正仿宋_GBK" w:cs="宋体"/>
                <w:b/>
                <w:bCs/>
                <w:spacing w:val="3"/>
                <w:position w:val="1"/>
                <w:sz w:val="20"/>
                <w:szCs w:val="20"/>
              </w:rPr>
            </w:pPr>
            <w:r>
              <w:rPr>
                <w:rFonts w:hint="eastAsia" w:ascii="方正仿宋_GBK" w:hAnsi="宋体" w:eastAsia="方正仿宋_GBK" w:cs="宋体"/>
                <w:b/>
                <w:bCs/>
                <w:spacing w:val="3"/>
                <w:position w:val="1"/>
                <w:sz w:val="20"/>
                <w:szCs w:val="20"/>
              </w:rPr>
              <w:t xml:space="preserve">评审项目</w:t>
            </w:r>
            <w:r/>
          </w:p>
        </w:tc>
        <w:tc>
          <w:tcPr>
            <w:tcW w:w="6932" w:type="dxa"/>
            <w:vAlign w:val="center"/>
            <w:textDirection w:val="lrTb"/>
            <w:noWrap w:val="false"/>
          </w:tcPr>
          <w:p>
            <w:pPr>
              <w:jc w:val="center"/>
              <w:spacing w:line="240" w:lineRule="exact"/>
              <w:widowControl/>
              <w:rPr>
                <w:rFonts w:ascii="方正仿宋_GBK" w:hAnsi="宋体" w:eastAsia="方正仿宋_GBK" w:cs="宋体"/>
                <w:b/>
                <w:bCs/>
                <w:spacing w:val="3"/>
                <w:position w:val="1"/>
                <w:sz w:val="20"/>
                <w:szCs w:val="20"/>
              </w:rPr>
            </w:pPr>
            <w:r>
              <w:rPr>
                <w:rFonts w:hint="eastAsia" w:ascii="方正仿宋_GBK" w:hAnsi="宋体" w:eastAsia="方正仿宋_GBK" w:cs="宋体"/>
                <w:b/>
                <w:bCs/>
                <w:spacing w:val="3"/>
                <w:position w:val="1"/>
                <w:sz w:val="20"/>
                <w:szCs w:val="20"/>
              </w:rPr>
              <w:t xml:space="preserve">评审规则</w:t>
            </w:r>
            <w:r/>
          </w:p>
        </w:tc>
        <w:tc>
          <w:tcPr>
            <w:tcW w:w="712" w:type="dxa"/>
            <w:vAlign w:val="center"/>
            <w:textDirection w:val="lrTb"/>
            <w:noWrap w:val="false"/>
          </w:tcPr>
          <w:p>
            <w:pPr>
              <w:jc w:val="center"/>
              <w:spacing w:line="240" w:lineRule="exact"/>
              <w:widowControl/>
              <w:rPr>
                <w:rFonts w:ascii="方正仿宋_GBK" w:hAnsi="宋体" w:eastAsia="方正仿宋_GBK" w:cs="宋体"/>
                <w:b/>
                <w:bCs/>
                <w:spacing w:val="3"/>
                <w:position w:val="1"/>
                <w:sz w:val="20"/>
                <w:szCs w:val="20"/>
              </w:rPr>
            </w:pPr>
            <w:r>
              <w:rPr>
                <w:rFonts w:hint="eastAsia" w:ascii="方正仿宋_GBK" w:hAnsi="宋体" w:eastAsia="方正仿宋_GBK" w:cs="宋体"/>
                <w:b/>
                <w:bCs/>
                <w:spacing w:val="3"/>
                <w:position w:val="1"/>
                <w:sz w:val="20"/>
                <w:szCs w:val="20"/>
              </w:rPr>
              <w:t xml:space="preserve">得分</w:t>
            </w:r>
            <w:r/>
          </w:p>
        </w:tc>
      </w:tr>
      <w:tr>
        <w:trPr>
          <w:jc w:val="center"/>
          <w:trHeight w:val="5760"/>
        </w:trPr>
        <w:tc>
          <w:tcPr>
            <w:tcW w:w="796" w:type="dxa"/>
            <w:vAlign w:val="center"/>
            <w:vMerge w:val="restart"/>
            <w:textDirection w:val="lrTb"/>
            <w:noWrap w:val="false"/>
          </w:tcPr>
          <w:p>
            <w:pPr>
              <w:jc w:val="left"/>
              <w:spacing w:line="240" w:lineRule="exact"/>
              <w:widowControl/>
              <w:rPr>
                <w:rFonts w:ascii="方正仿宋_GBK" w:eastAsia="方正仿宋_GBK"/>
                <w:sz w:val="20"/>
                <w:szCs w:val="20"/>
              </w:rPr>
            </w:pPr>
            <w:r>
              <w:rPr>
                <w:rFonts w:hint="eastAsia" w:ascii="方正仿宋_GBK" w:hAnsi="宋体" w:eastAsia="方正仿宋_GBK" w:cs="宋体"/>
                <w:spacing w:val="6"/>
                <w:position w:val="2"/>
                <w:sz w:val="20"/>
                <w:szCs w:val="20"/>
              </w:rPr>
              <w:t xml:space="preserve">一、</w:t>
            </w:r>
            <w:r>
              <w:rPr>
                <w:rFonts w:hint="eastAsia" w:ascii="方正仿宋_GBK" w:hAnsi="宋体" w:eastAsia="方正仿宋_GBK" w:cs="宋体"/>
                <w:spacing w:val="5"/>
                <w:position w:val="2"/>
                <w:sz w:val="20"/>
                <w:szCs w:val="20"/>
              </w:rPr>
              <w:t xml:space="preserve">服</w:t>
            </w:r>
            <w:r>
              <w:rPr>
                <w:rFonts w:hint="eastAsia" w:ascii="方正仿宋_GBK" w:hAnsi="宋体" w:eastAsia="方正仿宋_GBK" w:cs="宋体"/>
                <w:spacing w:val="7"/>
                <w:sz w:val="20"/>
                <w:szCs w:val="20"/>
              </w:rPr>
              <w:t xml:space="preserve">务</w:t>
            </w:r>
            <w:r>
              <w:rPr>
                <w:rFonts w:hint="eastAsia" w:ascii="方正仿宋_GBK" w:hAnsi="宋体" w:eastAsia="方正仿宋_GBK" w:cs="宋体"/>
                <w:spacing w:val="6"/>
                <w:sz w:val="20"/>
                <w:szCs w:val="20"/>
              </w:rPr>
              <w:t xml:space="preserve">方案</w:t>
            </w:r>
            <w:r>
              <w:rPr>
                <w:rFonts w:hint="eastAsia" w:ascii="方正仿宋_GBK" w:hAnsi="宋体" w:eastAsia="方正仿宋_GBK" w:cs="宋体"/>
                <w:spacing w:val="1"/>
                <w:sz w:val="20"/>
                <w:szCs w:val="20"/>
              </w:rPr>
              <w:t xml:space="preserve">(40分</w:t>
            </w:r>
            <w:r>
              <w:rPr>
                <w:rFonts w:hint="eastAsia" w:ascii="方正仿宋_GBK" w:hAnsi="宋体" w:eastAsia="方正仿宋_GBK" w:cs="宋体"/>
                <w:sz w:val="20"/>
                <w:szCs w:val="20"/>
              </w:rPr>
              <w:t xml:space="preserve">)</w:t>
            </w:r>
            <w:r/>
          </w:p>
        </w:tc>
        <w:tc>
          <w:tcPr>
            <w:tcW w:w="1676"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6"/>
                <w:position w:val="1"/>
                <w:sz w:val="20"/>
                <w:szCs w:val="20"/>
              </w:rPr>
              <w:t xml:space="preserve">1.服务</w:t>
            </w:r>
            <w:r>
              <w:rPr>
                <w:rFonts w:hint="eastAsia" w:ascii="方正仿宋_GBK" w:hAnsi="宋体" w:eastAsia="方正仿宋_GBK" w:cs="宋体"/>
                <w:spacing w:val="5"/>
                <w:position w:val="1"/>
                <w:sz w:val="20"/>
                <w:szCs w:val="20"/>
              </w:rPr>
              <w:t xml:space="preserve">实</w:t>
            </w:r>
            <w:r>
              <w:rPr>
                <w:rFonts w:hint="eastAsia" w:ascii="方正仿宋_GBK" w:hAnsi="宋体" w:eastAsia="方正仿宋_GBK" w:cs="宋体"/>
                <w:spacing w:val="9"/>
                <w:sz w:val="20"/>
                <w:szCs w:val="20"/>
              </w:rPr>
              <w:t xml:space="preserve">施</w:t>
            </w:r>
            <w:r>
              <w:rPr>
                <w:rFonts w:hint="eastAsia" w:ascii="方正仿宋_GBK" w:hAnsi="宋体" w:eastAsia="方正仿宋_GBK" w:cs="宋体"/>
                <w:spacing w:val="7"/>
                <w:sz w:val="20"/>
                <w:szCs w:val="20"/>
              </w:rPr>
              <w:t xml:space="preserve">方案</w:t>
            </w:r>
            <w:r/>
          </w:p>
        </w:tc>
        <w:tc>
          <w:tcPr>
            <w:tcW w:w="6932" w:type="dxa"/>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由评标委员会投标人提供的服务实施方案的完整性、合理性等方面进行评审。</w:t>
            </w:r>
            <w:r/>
          </w:p>
          <w:p>
            <w:pPr>
              <w:numPr>
                <w:ilvl w:val="0"/>
                <w:numId w:val="7"/>
              </w:num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能够根据需要服务的不同类型的老人实际情况制定适合的服务方案，提供个性化和专业化居家养老服务。针对招标文件中的“1+N”服务模式优化 (可延伸)，从服务项目、时长等方面进行考虑，针对服务内容制定可行性实施方案。</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方案详细、内容完整、科学合理的，得5分；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（2）有居家养老医疗护理方面的详细发展规划。</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方案详细、内容完整、科学合理的，得5分；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（3）居家养老服务站点运营管理服务方案</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方案详细、内容完整、科学合理的，得5分；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（4）根据投标人提供服务的便捷性以及其他便于该项目实施的方案等，提供具体的实施方案及保证措施。</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方案详细、内容完整、科学合理的，得5分；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20分</w:t>
            </w:r>
            <w:r/>
          </w:p>
        </w:tc>
      </w:tr>
      <w:tr>
        <w:trPr>
          <w:jc w:val="center"/>
          <w:trHeight w:val="90"/>
        </w:trPr>
        <w:tc>
          <w:tcPr>
            <w:tcW w:w="796" w:type="dxa"/>
            <w:vMerge w:val="continue"/>
            <w:textDirection w:val="lrTb"/>
            <w:noWrap w:val="false"/>
          </w:tcPr>
          <w:p>
            <w:pPr>
              <w:spacing w:line="240" w:lineRule="exact"/>
              <w:widowControl/>
              <w:rPr>
                <w:rFonts w:ascii="方正仿宋_GBK" w:eastAsia="方正仿宋_GBK"/>
                <w:sz w:val="20"/>
                <w:szCs w:val="20"/>
              </w:rPr>
            </w:pPr>
            <w:r>
              <w:rPr>
                <w:rFonts w:ascii="方正仿宋_GBK" w:eastAsia="方正仿宋_GBK"/>
                <w:sz w:val="20"/>
                <w:szCs w:val="20"/>
              </w:rPr>
            </w:r>
            <w:r/>
          </w:p>
        </w:tc>
        <w:tc>
          <w:tcPr>
            <w:tcBorders>
              <w:bottom w:val="single" w:color="auto" w:sz="4" w:space="0"/>
            </w:tcBorders>
            <w:tcW w:w="1676"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2.应急管理</w:t>
            </w:r>
            <w:r/>
          </w:p>
        </w:tc>
        <w:tc>
          <w:tcPr>
            <w:tcBorders>
              <w:bottom w:val="single" w:color="auto" w:sz="4" w:space="0"/>
            </w:tcBorders>
            <w:tcW w:w="6932" w:type="dxa"/>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投标人具有完善的保障制度，制定突发事件(包括突发公共卫生事件、灾害事故、紧急医疗等)应急预案，应结合规章制度和服务规范制定。由评标委员会人预案的完整度、合理性等方面进行评审。</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预案详细、内容完整、科学合理的，得3分；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预案一般详细，科学合理性一般的，得2分；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3分</w:t>
            </w:r>
            <w:r/>
          </w:p>
        </w:tc>
      </w:tr>
      <w:tr>
        <w:trPr>
          <w:jc w:val="center"/>
          <w:trHeight w:val="3792"/>
        </w:trPr>
        <w:tc>
          <w:tcPr>
            <w:tcW w:w="796" w:type="dxa"/>
            <w:vMerge w:val="continue"/>
            <w:textDirection w:val="lrTb"/>
            <w:noWrap w:val="false"/>
          </w:tcPr>
          <w:p>
            <w:pPr>
              <w:spacing w:line="240" w:lineRule="exact"/>
              <w:widowControl/>
              <w:rPr>
                <w:rFonts w:ascii="方正仿宋_GBK" w:eastAsia="方正仿宋_GBK"/>
                <w:sz w:val="20"/>
                <w:szCs w:val="20"/>
              </w:rPr>
            </w:pPr>
            <w:r>
              <w:rPr>
                <w:rFonts w:ascii="方正仿宋_GBK" w:eastAsia="方正仿宋_GBK"/>
                <w:sz w:val="20"/>
                <w:szCs w:val="20"/>
              </w:rPr>
            </w:r>
            <w:r/>
          </w:p>
        </w:tc>
        <w:tc>
          <w:tcPr>
            <w:tcW w:w="1676"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3.内部管理</w:t>
            </w:r>
            <w:r/>
          </w:p>
        </w:tc>
        <w:tc>
          <w:tcPr>
            <w:tcW w:w="6932" w:type="dxa"/>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（1）为确保服务质量，投标人有完善的企业内部监督管理控制措施，监督流程完善、评价标准科学、奖惩制度有效。</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方案详细、内容完整、科学合理的，得4分；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2）根据服务回访、异常工单处理、服务质量考核等制订人员绩效考核制度，能够根据不同岗位制定相应的人员考核机制，考核机制应结合以上项目内容，相关各项内容合理体现、密切关联，规范、清晰、具有可操作性。</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方案详细、内容完整、科学合理的，得4分；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（3）根据招标文件要求制订服务人员培训方案。</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方案详细、内容完整、科学合理的，得3分；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内容缺项或者未提供的，得0分。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11分</w:t>
            </w:r>
            <w:r/>
          </w:p>
        </w:tc>
      </w:tr>
      <w:tr>
        <w:trPr>
          <w:jc w:val="center"/>
          <w:trHeight w:val="1572"/>
        </w:trPr>
        <w:tc>
          <w:tcPr>
            <w:tcW w:w="796" w:type="dxa"/>
            <w:vMerge w:val="continue"/>
            <w:textDirection w:val="lrTb"/>
            <w:noWrap w:val="false"/>
          </w:tcPr>
          <w:p>
            <w:pPr>
              <w:spacing w:line="240" w:lineRule="exact"/>
              <w:widowControl/>
              <w:rPr>
                <w:rFonts w:ascii="方正仿宋_GBK" w:eastAsia="方正仿宋_GBK"/>
                <w:sz w:val="20"/>
                <w:szCs w:val="20"/>
              </w:rPr>
            </w:pPr>
            <w:r>
              <w:rPr>
                <w:rFonts w:ascii="方正仿宋_GBK" w:eastAsia="方正仿宋_GBK"/>
                <w:sz w:val="20"/>
                <w:szCs w:val="20"/>
              </w:rPr>
            </w:r>
            <w:r/>
          </w:p>
        </w:tc>
        <w:tc>
          <w:tcPr>
            <w:tcW w:w="1676" w:type="dxa"/>
            <w:vAlign w:val="center"/>
            <w:textDirection w:val="lrTb"/>
            <w:noWrap w:val="false"/>
          </w:tcPr>
          <w:p>
            <w:pPr>
              <w:jc w:val="center"/>
              <w:spacing w:line="240" w:lineRule="exact"/>
              <w:widowControl/>
              <w:rPr>
                <w:rFonts w:ascii="方正仿宋_GBK" w:eastAsia="方正仿宋_GBK"/>
                <w:sz w:val="20"/>
                <w:szCs w:val="20"/>
              </w:rPr>
            </w:pPr>
            <w:r>
              <w:rPr>
                <w:rFonts w:hint="eastAsia" w:ascii="方正仿宋_GBK" w:hAnsi="宋体" w:eastAsia="方正仿宋_GBK" w:cs="宋体"/>
                <w:spacing w:val="5"/>
                <w:position w:val="1"/>
                <w:sz w:val="20"/>
                <w:szCs w:val="20"/>
              </w:rPr>
              <w:t xml:space="preserve">4.</w:t>
            </w:r>
            <w:r>
              <w:rPr>
                <w:rFonts w:hint="eastAsia" w:ascii="方正仿宋_GBK" w:eastAsia="方正仿宋_GBK"/>
                <w:sz w:val="20"/>
                <w:szCs w:val="20"/>
              </w:rPr>
              <w:t xml:space="preserve">社会化服务</w:t>
            </w:r>
            <w:r/>
          </w:p>
        </w:tc>
        <w:tc>
          <w:tcPr>
            <w:tcW w:w="6932" w:type="dxa"/>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投标人提供社会化服务：第一年服务人次达到服务总人数的2%、第二年服务人次达到服务总人数的3%、第三年服务人次达到服务总人数的4%。制定相应的社会化服务方案及考核机制，考核机制应结合以上内容，相关各项内容合理体现、密切关联，规范、清晰、具有可操作。</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方案详细、内容完整、科学合理的，得3分；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方案一般详细，科学合理性一般的，得2分；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eastAsia="方正仿宋_GBK"/>
                <w:szCs w:val="21"/>
              </w:rPr>
            </w:pPr>
            <w:r>
              <w:rPr>
                <w:rFonts w:hint="eastAsia" w:ascii="方正仿宋_GBK" w:hAnsi="宋体" w:eastAsia="方正仿宋_GBK" w:cs="宋体"/>
                <w:sz w:val="20"/>
                <w:szCs w:val="20"/>
              </w:rPr>
              <w:t xml:space="preserve">内容缺项或者未提供的，得0分。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3分</w:t>
            </w:r>
            <w:r/>
          </w:p>
        </w:tc>
      </w:tr>
      <w:tr>
        <w:trPr>
          <w:jc w:val="center"/>
          <w:trHeight w:val="1100"/>
        </w:trPr>
        <w:tc>
          <w:tcPr>
            <w:tcW w:w="796" w:type="dxa"/>
            <w:vMerge w:val="continue"/>
            <w:textDirection w:val="lrTb"/>
            <w:noWrap w:val="false"/>
          </w:tcPr>
          <w:p>
            <w:pPr>
              <w:spacing w:line="240" w:lineRule="exact"/>
              <w:widowControl/>
              <w:rPr>
                <w:rFonts w:ascii="方正仿宋_GBK" w:eastAsia="方正仿宋_GBK"/>
                <w:sz w:val="20"/>
                <w:szCs w:val="20"/>
              </w:rPr>
            </w:pPr>
            <w:r>
              <w:rPr>
                <w:rFonts w:ascii="方正仿宋_GBK" w:eastAsia="方正仿宋_GBK"/>
                <w:sz w:val="20"/>
                <w:szCs w:val="20"/>
              </w:rPr>
            </w:r>
            <w:r/>
          </w:p>
        </w:tc>
        <w:tc>
          <w:tcPr>
            <w:tcW w:w="1676" w:type="dxa"/>
            <w:vAlign w:val="center"/>
            <w:textDirection w:val="lrTb"/>
            <w:noWrap w:val="false"/>
          </w:tcPr>
          <w:p>
            <w:pPr>
              <w:jc w:val="center"/>
              <w:spacing w:line="240" w:lineRule="exact"/>
              <w:widowControl/>
              <w:rPr>
                <w:rFonts w:ascii="方正仿宋_GBK" w:eastAsia="方正仿宋_GBK"/>
                <w:sz w:val="20"/>
                <w:szCs w:val="20"/>
              </w:rPr>
            </w:pPr>
            <w:r>
              <w:rPr>
                <w:rFonts w:hint="eastAsia" w:ascii="方正仿宋_GBK" w:hAnsi="宋体" w:eastAsia="方正仿宋_GBK" w:cs="宋体"/>
                <w:spacing w:val="5"/>
                <w:position w:val="1"/>
                <w:sz w:val="20"/>
                <w:szCs w:val="20"/>
              </w:rPr>
              <w:t xml:space="preserve">5.</w:t>
            </w:r>
            <w:r>
              <w:rPr>
                <w:rFonts w:hint="eastAsia" w:ascii="方正仿宋_GBK" w:eastAsia="方正仿宋_GBK"/>
                <w:sz w:val="20"/>
                <w:szCs w:val="20"/>
              </w:rPr>
              <w:t xml:space="preserve">合理化建议</w:t>
            </w:r>
            <w:r/>
          </w:p>
        </w:tc>
        <w:tc>
          <w:tcPr>
            <w:tcW w:w="6932" w:type="dxa"/>
            <w:textDirection w:val="lrTb"/>
            <w:noWrap w:val="false"/>
          </w:tcPr>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投标人根据本项目情况，结合本地实际，对线下居家养老服务提出合理化建议，提出的建议具有可操作性 。</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5"/>
                <w:position w:val="1"/>
                <w:sz w:val="20"/>
                <w:szCs w:val="20"/>
              </w:rPr>
              <w:t xml:space="preserve">预</w:t>
            </w:r>
            <w:r>
              <w:rPr>
                <w:rFonts w:hint="eastAsia" w:ascii="方正仿宋_GBK" w:hAnsi="宋体" w:eastAsia="方正仿宋_GBK" w:cs="宋体"/>
                <w:sz w:val="20"/>
                <w:szCs w:val="20"/>
              </w:rPr>
              <w:t xml:space="preserve">案详细、内容完整、科学合理的，得3分；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pacing w:val="5"/>
                <w:position w:val="1"/>
                <w:sz w:val="20"/>
                <w:szCs w:val="20"/>
              </w:rPr>
              <w:t xml:space="preserve">预</w:t>
            </w:r>
            <w:r>
              <w:rPr>
                <w:rFonts w:hint="eastAsia" w:ascii="方正仿宋_GBK" w:hAnsi="宋体" w:eastAsia="方正仿宋_GBK" w:cs="宋体"/>
                <w:sz w:val="20"/>
                <w:szCs w:val="20"/>
              </w:rPr>
              <w:t xml:space="preserve">案一般详细，科学合理性一般的，得2分；</w:t>
            </w:r>
            <w:r/>
          </w:p>
          <w:p>
            <w:pP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内容较为简单，描述不够详尽的，得1分；</w:t>
            </w:r>
            <w:r/>
          </w:p>
          <w:p>
            <w:pPr>
              <w:spacing w:line="240" w:lineRule="exact"/>
              <w:widowControl/>
              <w:rPr>
                <w:rFonts w:ascii="方正仿宋_GBK" w:eastAsia="方正仿宋_GBK"/>
                <w:sz w:val="20"/>
                <w:szCs w:val="20"/>
              </w:rPr>
            </w:pPr>
            <w:r>
              <w:rPr>
                <w:rFonts w:hint="eastAsia" w:ascii="方正仿宋_GBK" w:hAnsi="宋体" w:eastAsia="方正仿宋_GBK" w:cs="宋体"/>
                <w:sz w:val="20"/>
                <w:szCs w:val="20"/>
              </w:rPr>
              <w:t xml:space="preserve">内容缺项或者未提供的，得0分。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3分</w:t>
            </w:r>
            <w:r/>
          </w:p>
        </w:tc>
      </w:tr>
      <w:tr>
        <w:trPr>
          <w:jc w:val="center"/>
          <w:trHeight w:val="800"/>
        </w:trPr>
        <w:tc>
          <w:tcPr>
            <w:tcW w:w="796" w:type="dxa"/>
            <w:vAlign w:val="center"/>
            <w:vMerge w:val="restart"/>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二、人员配备(12分)</w:t>
            </w:r>
            <w:r/>
          </w:p>
        </w:tc>
        <w:tc>
          <w:tcPr>
            <w:tcW w:w="1676" w:type="dxa"/>
            <w:vAlign w:val="center"/>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1.项目负责人综合素质</w:t>
            </w:r>
            <w:r/>
          </w:p>
        </w:tc>
        <w:tc>
          <w:tcPr>
            <w:tcW w:w="6932" w:type="dxa"/>
            <w:textDirection w:val="lrTb"/>
            <w:noWrap w:val="false"/>
          </w:tcPr>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（1）</w:t>
            </w:r>
            <w:r>
              <w:rPr>
                <w:rFonts w:hint="eastAsia" w:ascii="方正仿宋_GBK" w:hAnsi="宋体" w:eastAsia="方正仿宋_GBK" w:cs="宋体"/>
                <w:spacing w:val="4"/>
                <w:sz w:val="20"/>
                <w:szCs w:val="20"/>
              </w:rPr>
              <w:t xml:space="preserve">项目负责人为投标企业正式人员，具有专科学历的，得1分；具有本科学历及以上的，得2分。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（2）项目负责人具有社会工作者职业水平(资格)、老年人能力评估师、养老护理员证、健康管理师等证书的，有一个得1分，本项最多得2分。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（3）项目负责人承担过与本项目类似的政府购买养老服务项目(服务内容包含线下服务)，有一个得1.5分，最高得3分。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（注：</w:t>
            </w:r>
            <w:r>
              <w:rPr>
                <w:rFonts w:hint="eastAsia" w:ascii="方正仿宋_GBK" w:hAnsi="Cambria Math" w:eastAsia="方正仿宋_GBK" w:cs="Cambria Math"/>
                <w:sz w:val="20"/>
                <w:szCs w:val="20"/>
              </w:rPr>
              <w:t xml:space="preserve">①</w:t>
            </w:r>
            <w:r>
              <w:rPr>
                <w:rFonts w:hint="eastAsia" w:ascii="方正仿宋_GBK" w:eastAsia="方正仿宋_GBK"/>
                <w:sz w:val="20"/>
                <w:szCs w:val="20"/>
              </w:rPr>
              <w:t xml:space="preserve">须提供中标通知书和合同，合同中未体现项目负责人姓名的，需提供购买方的有效证明材料；</w:t>
            </w:r>
            <w:r>
              <w:rPr>
                <w:rFonts w:hint="eastAsia" w:ascii="方正仿宋_GBK" w:hAnsi="Cambria Math" w:eastAsia="方正仿宋_GBK" w:cs="Cambria Math"/>
                <w:sz w:val="20"/>
                <w:szCs w:val="20"/>
              </w:rPr>
              <w:t xml:space="preserve">②</w:t>
            </w:r>
            <w:r>
              <w:rPr>
                <w:rFonts w:hint="eastAsia" w:ascii="方正仿宋_GBK" w:eastAsia="方正仿宋_GBK"/>
                <w:sz w:val="20"/>
                <w:szCs w:val="20"/>
              </w:rPr>
              <w:t xml:space="preserve">截止投标时间已签约但服务未履约结束的项目不予计分</w:t>
            </w:r>
            <w:r>
              <w:rPr>
                <w:rFonts w:hint="eastAsia" w:ascii="方正仿宋_GBK" w:hAnsi="Cambria Math" w:eastAsia="方正仿宋_GBK" w:cs="Cambria Math"/>
                <w:sz w:val="20"/>
                <w:szCs w:val="20"/>
              </w:rPr>
              <w:t xml:space="preserve">③</w:t>
            </w:r>
            <w:r>
              <w:rPr>
                <w:rFonts w:hint="eastAsia" w:ascii="方正仿宋_GBK" w:eastAsia="方正仿宋_GBK"/>
                <w:sz w:val="20"/>
                <w:szCs w:val="20"/>
              </w:rPr>
              <w:t xml:space="preserve">项目负责人业绩与企业业绩为同一个的，以得分高者计，不重复计。）</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（4）项目负责人的居家养老服务行业从业年限(从截止投标时间往前推算)在3 年及以上的得1分；3年(不含)以下的得0.5分；无从业经历的不得分。【注：须提供项目负责人工作简历(格式自拟，投标人盖章)、</w:t>
            </w:r>
            <w:r>
              <w:rPr>
                <w:rFonts w:hint="eastAsia" w:ascii="方正仿宋_GBK" w:hAnsi="宋体" w:eastAsia="方正仿宋_GBK" w:cs="宋体"/>
                <w:spacing w:val="4"/>
                <w:sz w:val="20"/>
                <w:szCs w:val="20"/>
              </w:rPr>
              <w:t xml:space="preserve">投标企业为其缴纳的自本采购公告发布之日前三个月内任意一个月的社保缴纳证明材料</w:t>
            </w:r>
            <w:r>
              <w:rPr>
                <w:rFonts w:hint="eastAsia" w:ascii="方正仿宋_GBK" w:eastAsia="方正仿宋_GBK"/>
                <w:sz w:val="20"/>
                <w:szCs w:val="20"/>
              </w:rPr>
              <w:t xml:space="preserve">。</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8分</w:t>
            </w:r>
            <w:r/>
          </w:p>
        </w:tc>
      </w:tr>
      <w:tr>
        <w:trPr>
          <w:jc w:val="center"/>
          <w:trHeight w:val="260"/>
        </w:trPr>
        <w:tc>
          <w:tcPr>
            <w:tcW w:w="796" w:type="dxa"/>
            <w:vMerge w:val="continue"/>
            <w:textDirection w:val="lrTb"/>
            <w:noWrap w:val="false"/>
          </w:tcPr>
          <w:p>
            <w:pPr>
              <w:spacing w:line="240" w:lineRule="exact"/>
              <w:widowControl/>
              <w:rPr>
                <w:rFonts w:ascii="方正仿宋_GBK" w:eastAsia="方正仿宋_GBK"/>
                <w:sz w:val="20"/>
                <w:szCs w:val="20"/>
              </w:rPr>
            </w:pPr>
            <w:r>
              <w:rPr>
                <w:rFonts w:ascii="方正仿宋_GBK" w:eastAsia="方正仿宋_GBK"/>
                <w:sz w:val="20"/>
                <w:szCs w:val="20"/>
              </w:rPr>
            </w:r>
            <w:r/>
          </w:p>
        </w:tc>
        <w:tc>
          <w:tcPr>
            <w:tcW w:w="1676" w:type="dxa"/>
            <w:vAlign w:val="center"/>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2.拟派往本项目的服务团队综</w:t>
            </w:r>
            <w:r/>
          </w:p>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合素质</w:t>
            </w:r>
            <w:r/>
          </w:p>
        </w:tc>
        <w:tc>
          <w:tcPr>
            <w:tcW w:w="6932" w:type="dxa"/>
            <w:textDirection w:val="lrTb"/>
            <w:noWrap w:val="false"/>
          </w:tcPr>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投标人的服务团队成员（除项目负责人）中具有医生、护士、心理咨询师、健康管理师、公共营养师、康复治疗师、劳动关系协调员、保健按摩师、老年人能力评估师、社会工作者职业水平(资格)等，每提供一份证书得1分，最高得4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注：</w:t>
            </w:r>
            <w:r>
              <w:rPr>
                <w:rFonts w:hint="eastAsia" w:ascii="方正仿宋_GBK" w:hAnsi="Cambria Math" w:eastAsia="方正仿宋_GBK" w:cs="Cambria Math"/>
                <w:sz w:val="20"/>
                <w:szCs w:val="20"/>
              </w:rPr>
              <w:t xml:space="preserve">①</w:t>
            </w:r>
            <w:r>
              <w:rPr>
                <w:rFonts w:hint="eastAsia" w:ascii="方正仿宋_GBK" w:eastAsia="方正仿宋_GBK"/>
                <w:sz w:val="20"/>
                <w:szCs w:val="20"/>
              </w:rPr>
              <w:t xml:space="preserve">提供人员的证书；</w:t>
            </w:r>
            <w:r>
              <w:rPr>
                <w:rFonts w:hint="eastAsia" w:ascii="方正仿宋_GBK" w:hAnsi="Cambria Math" w:eastAsia="方正仿宋_GBK" w:cs="Cambria Math"/>
                <w:sz w:val="20"/>
                <w:szCs w:val="20"/>
              </w:rPr>
              <w:t xml:space="preserve">②</w:t>
            </w:r>
            <w:r>
              <w:rPr>
                <w:rFonts w:hint="eastAsia" w:ascii="方正仿宋_GBK" w:eastAsia="方正仿宋_GBK"/>
                <w:sz w:val="20"/>
                <w:szCs w:val="20"/>
              </w:rPr>
              <w:t xml:space="preserve">投标企业为其缴纳的自本采购公告发布之日前三个月内任意一个月的社保缴纳证明材料；</w:t>
            </w:r>
            <w:r>
              <w:rPr>
                <w:rFonts w:hint="eastAsia" w:ascii="方正仿宋_GBK" w:hAnsi="Cambria Math" w:eastAsia="方正仿宋_GBK" w:cs="Cambria Math"/>
                <w:sz w:val="20"/>
                <w:szCs w:val="20"/>
              </w:rPr>
              <w:t xml:space="preserve">③</w:t>
            </w:r>
            <w:r>
              <w:rPr>
                <w:rFonts w:hint="eastAsia" w:ascii="方正仿宋_GBK" w:eastAsia="方正仿宋_GBK"/>
                <w:sz w:val="20"/>
                <w:szCs w:val="20"/>
              </w:rPr>
              <w:t xml:space="preserve">一人持多个证书不可重复计分。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4分</w:t>
            </w:r>
            <w:r/>
          </w:p>
        </w:tc>
      </w:tr>
      <w:tr>
        <w:trPr>
          <w:jc w:val="center"/>
          <w:trHeight w:val="279"/>
        </w:trPr>
        <w:tc>
          <w:tcPr>
            <w:tcW w:w="796" w:type="dxa"/>
            <w:vAlign w:val="center"/>
            <w:vMerge w:val="restart"/>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三、综 合实力</w:t>
            </w:r>
            <w:r/>
          </w:p>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(18</w:t>
            </w:r>
            <w:r/>
          </w:p>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分)</w:t>
            </w:r>
            <w:r/>
          </w:p>
        </w:tc>
        <w:tc>
          <w:tcPr>
            <w:tcW w:w="1676" w:type="dxa"/>
            <w:vAlign w:val="center"/>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1.认证</w:t>
            </w:r>
            <w:r/>
          </w:p>
        </w:tc>
        <w:tc>
          <w:tcPr>
            <w:tcW w:w="6932" w:type="dxa"/>
            <w:textDirection w:val="lrTb"/>
            <w:noWrap w:val="false"/>
          </w:tcPr>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（1）投标人具有职业健康安全管理体系认证证书、质量管理体系认证证书、培训管理体系认证证书、环境认证体系认证证书等，且认证范围必须包含养老服务类，有一个得1分，本项最高得3分。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（2）投标人的养老服务能力符合RB/T303-2016《养老服务认证技术导则》、RB/T 068-2021《居家养老服务认证要求通则》、《居家养老上门服务基本规范》（GB/T43153-2023）任意一项，并具有服务认证证书，认证范围包含“居家养老服务”和“社区养老服务”的，四星级（或4A）及以下（或）得1分，五星级（或5A）及以上得2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注：提供有效的认证证书</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5分</w:t>
            </w:r>
            <w:r/>
          </w:p>
        </w:tc>
      </w:tr>
      <w:tr>
        <w:trPr>
          <w:jc w:val="center"/>
          <w:trHeight w:val="787"/>
        </w:trPr>
        <w:tc>
          <w:tcPr>
            <w:tcW w:w="796" w:type="dxa"/>
            <w:vMerge w:val="continue"/>
            <w:textDirection w:val="lrTb"/>
            <w:noWrap w:val="false"/>
          </w:tcPr>
          <w:p>
            <w:pPr>
              <w:jc w:val="center"/>
              <w:spacing w:line="240" w:lineRule="exact"/>
              <w:widowControl/>
              <w:rPr>
                <w:rFonts w:ascii="方正仿宋_GBK" w:eastAsia="方正仿宋_GBK"/>
                <w:sz w:val="20"/>
                <w:szCs w:val="20"/>
              </w:rPr>
            </w:pPr>
            <w:r>
              <w:rPr>
                <w:rFonts w:ascii="方正仿宋_GBK" w:eastAsia="方正仿宋_GBK"/>
                <w:sz w:val="20"/>
                <w:szCs w:val="20"/>
              </w:rPr>
            </w:r>
            <w:r/>
          </w:p>
        </w:tc>
        <w:tc>
          <w:tcPr>
            <w:tcW w:w="1676" w:type="dxa"/>
            <w:vAlign w:val="center"/>
            <w:textDirection w:val="lrTb"/>
            <w:noWrap w:val="false"/>
          </w:tcPr>
          <w:p>
            <w:pPr>
              <w:jc w:val="center"/>
              <w:spacing w:line="240" w:lineRule="exact"/>
              <w:widowControl/>
              <w:rPr>
                <w:rFonts w:ascii="方正仿宋_GBK" w:eastAsia="方正仿宋_GBK"/>
                <w:sz w:val="20"/>
                <w:szCs w:val="20"/>
              </w:rPr>
            </w:pPr>
            <w:r>
              <w:rPr>
                <w:rFonts w:hint="eastAsia" w:ascii="方正仿宋_GBK" w:eastAsia="方正仿宋_GBK"/>
                <w:sz w:val="20"/>
                <w:szCs w:val="20"/>
              </w:rPr>
              <w:t xml:space="preserve">2.类似业绩</w:t>
            </w:r>
            <w:r/>
          </w:p>
        </w:tc>
        <w:tc>
          <w:tcPr>
            <w:tcW w:w="6932" w:type="dxa"/>
            <w:textDirection w:val="lrTb"/>
            <w:noWrap w:val="false"/>
          </w:tcPr>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投标人承担过与本项目类似的政府购买养老服务项目(服务内容包含线下服务)，有一个得2分，最多得8分。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【注：</w:t>
            </w:r>
            <w:r>
              <w:rPr>
                <w:rFonts w:hint="eastAsia" w:ascii="方正仿宋_GBK" w:hAnsi="Cambria Math" w:eastAsia="方正仿宋_GBK" w:cs="Cambria Math"/>
                <w:sz w:val="20"/>
                <w:szCs w:val="20"/>
              </w:rPr>
              <w:t xml:space="preserve">①</w:t>
            </w:r>
            <w:r>
              <w:rPr>
                <w:rFonts w:hint="eastAsia" w:ascii="方正仿宋_GBK" w:eastAsia="方正仿宋_GBK"/>
                <w:sz w:val="20"/>
                <w:szCs w:val="20"/>
              </w:rPr>
              <w:t xml:space="preserve">须提供中标通知书和合同；</w:t>
            </w:r>
            <w:r>
              <w:rPr>
                <w:rFonts w:hint="eastAsia" w:ascii="方正仿宋_GBK" w:hAnsi="Cambria Math" w:eastAsia="方正仿宋_GBK" w:cs="Cambria Math"/>
                <w:sz w:val="20"/>
                <w:szCs w:val="20"/>
              </w:rPr>
              <w:t xml:space="preserve">②</w:t>
            </w:r>
            <w:r>
              <w:rPr>
                <w:rFonts w:hint="eastAsia" w:ascii="方正仿宋_GBK" w:eastAsia="方正仿宋_GBK"/>
                <w:sz w:val="20"/>
                <w:szCs w:val="20"/>
              </w:rPr>
              <w:t xml:space="preserve">同一单位相同内容合同不累计得分。</w:t>
            </w:r>
            <w:r>
              <w:rPr>
                <w:rFonts w:hint="eastAsia" w:ascii="方正仿宋_GBK" w:hAnsi="Cambria Math" w:eastAsia="方正仿宋_GBK" w:cs="Cambria Math"/>
                <w:sz w:val="20"/>
                <w:szCs w:val="20"/>
              </w:rPr>
              <w:t xml:space="preserve">③</w:t>
            </w:r>
            <w:r>
              <w:rPr>
                <w:rFonts w:hint="eastAsia" w:ascii="方正仿宋_GBK" w:eastAsia="方正仿宋_GBK"/>
                <w:sz w:val="20"/>
                <w:szCs w:val="20"/>
              </w:rPr>
              <w:t xml:space="preserve">项目负责人业绩与企业业绩为同一个的，以得分高者计，不重复计；</w:t>
            </w:r>
            <w:r>
              <w:rPr>
                <w:rFonts w:hint="eastAsia" w:ascii="方正仿宋_GBK" w:hAnsi="Cambria Math" w:eastAsia="方正仿宋_GBK" w:cs="Cambria Math"/>
                <w:sz w:val="20"/>
                <w:szCs w:val="20"/>
              </w:rPr>
              <w:t xml:space="preserve">④</w:t>
            </w:r>
            <w:r>
              <w:rPr>
                <w:rFonts w:hint="eastAsia" w:ascii="方正仿宋_GBK" w:eastAsia="方正仿宋_GBK"/>
                <w:sz w:val="20"/>
                <w:szCs w:val="20"/>
              </w:rPr>
              <w:t xml:space="preserve">截止投标时间已签约但服务未履约结束的项目不予计分。】</w:t>
            </w:r>
            <w:r/>
          </w:p>
        </w:tc>
        <w:tc>
          <w:tcPr>
            <w:tcW w:w="712" w:type="dxa"/>
            <w:vAlign w:val="center"/>
            <w:textDirection w:val="lrTb"/>
            <w:noWrap w:val="false"/>
          </w:tcPr>
          <w:p>
            <w:pPr>
              <w:jc w:val="center"/>
              <w:spacing w:line="240" w:lineRule="exact"/>
              <w:widowControl/>
              <w:rPr>
                <w:rFonts w:ascii="方正仿宋_GBK" w:hAnsi="宋体" w:eastAsia="方正仿宋_GBK" w:cs="宋体"/>
                <w:sz w:val="20"/>
                <w:szCs w:val="20"/>
              </w:rPr>
            </w:pPr>
            <w:r>
              <w:rPr>
                <w:rFonts w:hint="eastAsia" w:ascii="方正仿宋_GBK" w:hAnsi="宋体" w:eastAsia="方正仿宋_GBK" w:cs="宋体"/>
                <w:sz w:val="20"/>
                <w:szCs w:val="20"/>
              </w:rPr>
              <w:t xml:space="preserve">8分</w:t>
            </w:r>
            <w:r/>
          </w:p>
        </w:tc>
      </w:tr>
      <w:tr>
        <w:trPr>
          <w:jc w:val="center"/>
          <w:trHeight w:val="600"/>
        </w:trPr>
        <w:tc>
          <w:tcPr>
            <w:tcW w:w="796" w:type="dxa"/>
            <w:vMerge w:val="continue"/>
            <w:textDirection w:val="lrTb"/>
            <w:noWrap w:val="false"/>
          </w:tcPr>
          <w:p>
            <w:pPr>
              <w:spacing w:line="240" w:lineRule="exact"/>
              <w:widowControl/>
              <w:rPr>
                <w:rFonts w:ascii="方正仿宋_GBK" w:eastAsia="方正仿宋_GBK"/>
                <w:sz w:val="20"/>
                <w:szCs w:val="20"/>
              </w:rPr>
            </w:pPr>
            <w:r>
              <w:rPr>
                <w:rFonts w:ascii="方正仿宋_GBK" w:eastAsia="方正仿宋_GBK"/>
                <w:sz w:val="20"/>
                <w:szCs w:val="20"/>
              </w:rPr>
            </w:r>
            <w:r/>
          </w:p>
        </w:tc>
        <w:tc>
          <w:tcPr>
            <w:tcW w:w="1676" w:type="dxa"/>
            <w:vAlign w:val="center"/>
            <w:textDirection w:val="lrTb"/>
            <w:noWrap w:val="false"/>
          </w:tcPr>
          <w:p>
            <w:pPr>
              <w:ind w:left="110"/>
              <w:jc w:val="center"/>
              <w:spacing w:before="65" w:line="271" w:lineRule="exact"/>
              <w:widowControl/>
              <w:rPr>
                <w:rFonts w:ascii="方正仿宋_GBK" w:hAnsi="宋体" w:eastAsia="方正仿宋_GBK" w:cs="宋体"/>
                <w:sz w:val="20"/>
                <w:szCs w:val="20"/>
              </w:rPr>
            </w:pPr>
            <w:r>
              <w:rPr>
                <w:rFonts w:hint="eastAsia" w:ascii="方正仿宋_GBK" w:hAnsi="宋体" w:eastAsia="方正仿宋_GBK" w:cs="宋体"/>
                <w:spacing w:val="5"/>
                <w:position w:val="1"/>
                <w:sz w:val="20"/>
                <w:szCs w:val="20"/>
              </w:rPr>
              <w:t xml:space="preserve">3.实力和荣誉</w:t>
            </w:r>
            <w:r/>
          </w:p>
        </w:tc>
        <w:tc>
          <w:tcPr>
            <w:tcW w:w="6932" w:type="dxa"/>
            <w:textDirection w:val="lrTb"/>
            <w:noWrap w:val="false"/>
          </w:tcPr>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（1）投标人参与过养老服务行业（包括但不限于养老服务、居家适老化、老年居家辅具等）相关标准的制定，得1分。（注：提供证书或文件等有效证明材料）</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2）投标人具有丰富的养老服务人才培训经验，投标人自有（或参股）职业技能培训机构，且办学内容包含“养老护理员”的，得2分，投标人与办学内容包含“养老护理员”的职业技能培训机构进行合作的方式开展培训人员的，得1分，本项满分2分。注：提供相关有效证明材料（自有或参股职业技能培训机构的，须提供符合要求的有效的办学许可证及股权关系证明。与职业技能培训机构合作的，提供该机构的有效的办学许可证及双方签订的合作协议）。</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（3）投标人获得政府行政部门颁发的养老服务领域的荣誉奖项的，省级及以上的，有一个得2分；地市级的，有一个得1分。本项满分2分。</w:t>
            </w:r>
            <w:r/>
          </w:p>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注：</w:t>
            </w:r>
            <w:r>
              <w:rPr>
                <w:rFonts w:hint="eastAsia" w:ascii="方正仿宋_GBK" w:hAnsi="Cambria Math" w:eastAsia="方正仿宋_GBK" w:cs="Cambria Math"/>
                <w:sz w:val="20"/>
                <w:szCs w:val="20"/>
              </w:rPr>
              <w:t xml:space="preserve">①</w:t>
            </w:r>
            <w:r>
              <w:rPr>
                <w:rFonts w:hint="eastAsia" w:ascii="方正仿宋_GBK" w:eastAsia="方正仿宋_GBK"/>
                <w:sz w:val="20"/>
                <w:szCs w:val="20"/>
              </w:rPr>
              <w:t xml:space="preserve">提供证书或文件等有效证明材料，行政主管部门指民政、老龄、卫健、工信、科技等部门；</w:t>
            </w:r>
            <w:r>
              <w:rPr>
                <w:rFonts w:hint="eastAsia" w:ascii="方正仿宋_GBK" w:hAnsi="Cambria Math" w:eastAsia="方正仿宋_GBK" w:cs="Cambria Math"/>
                <w:sz w:val="20"/>
                <w:szCs w:val="20"/>
              </w:rPr>
              <w:t xml:space="preserve">②</w:t>
            </w:r>
            <w:r>
              <w:rPr>
                <w:rFonts w:hint="eastAsia" w:ascii="方正仿宋_GBK" w:eastAsia="方正仿宋_GBK"/>
                <w:sz w:val="20"/>
                <w:szCs w:val="20"/>
              </w:rPr>
              <w:t xml:space="preserve">同一内容获得地市级、省级的，以最高荣誉计，不累计得分。</w:t>
            </w:r>
            <w:r/>
          </w:p>
        </w:tc>
        <w:tc>
          <w:tcPr>
            <w:tcW w:w="712" w:type="dxa"/>
            <w:vAlign w:val="center"/>
            <w:textDirection w:val="lrTb"/>
            <w:noWrap w:val="false"/>
          </w:tcPr>
          <w:p>
            <w:pPr>
              <w:ind w:firstLine="15"/>
              <w:spacing w:line="240" w:lineRule="exact"/>
              <w:widowControl/>
              <w:rPr>
                <w:rFonts w:ascii="方正仿宋_GBK" w:eastAsia="方正仿宋_GBK"/>
                <w:sz w:val="20"/>
                <w:szCs w:val="20"/>
              </w:rPr>
            </w:pPr>
            <w:r>
              <w:rPr>
                <w:rFonts w:hint="eastAsia" w:ascii="方正仿宋_GBK" w:eastAsia="方正仿宋_GBK"/>
                <w:sz w:val="20"/>
                <w:szCs w:val="20"/>
              </w:rPr>
              <w:t xml:space="preserve">5分</w:t>
            </w:r>
            <w:r/>
          </w:p>
        </w:tc>
      </w:tr>
    </w:tbl>
    <w:p>
      <w:pPr>
        <w:pStyle w:val="922"/>
        <w:ind w:left="0" w:right="0" w:firstLine="562"/>
        <w:jc w:val="both"/>
        <w:spacing w:before="0" w:after="0" w:line="500" w:lineRule="exact"/>
        <w:rPr>
          <w:rFonts w:ascii="Times New Roman" w:hAnsi="Times New Roman" w:eastAsia="方正仿宋_GBK"/>
          <w:sz w:val="28"/>
          <w:szCs w:val="28"/>
        </w:rPr>
      </w:pPr>
      <w:r>
        <w:rPr>
          <w:rFonts w:hint="eastAsia" w:eastAsia="方正仿宋_GBK"/>
          <w:b/>
          <w:sz w:val="28"/>
          <w:szCs w:val="28"/>
        </w:rPr>
        <w:t xml:space="preserve">注：本项目划分为四个标包，投标人可以选择一个或多个标包投标，评审委员会按照一、二、三、四标包顺位顺序依次进行评标。供应商仅可中一个标包，如前面标包已中标，可参与后续标包的评审，但不得再被推荐为中标候选人。</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价格分</w:t>
      </w:r>
      <w:r>
        <w:rPr>
          <w:rFonts w:hint="eastAsia" w:ascii="方正楷体_GBK" w:hAnsi="方正楷体_GBK" w:eastAsia="方正楷体_GBK" w:cs="方正楷体_GBK"/>
          <w:bCs/>
          <w:sz w:val="28"/>
          <w:szCs w:val="28"/>
        </w:rPr>
        <w:t xml:space="preserve">：30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p>
    <w:p>
      <w:pPr>
        <w:pStyle w:val="922"/>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（1）小微型企业价格扣除：</w:t>
      </w:r>
      <w:r/>
    </w:p>
    <w:p>
      <w:pPr>
        <w:ind w:firstLine="570"/>
        <w:spacing w:line="500" w:lineRule="exact"/>
        <w:rPr>
          <w:rFonts w:eastAsia="方正仿宋_GBK"/>
          <w:bCs/>
          <w:sz w:val="28"/>
          <w:szCs w:val="28"/>
        </w:rPr>
      </w:pPr>
      <w:r>
        <w:rPr>
          <w:rFonts w:eastAsia="方正仿宋_GBK"/>
          <w:bCs/>
          <w:sz w:val="28"/>
          <w:szCs w:val="28"/>
        </w:rPr>
        <w:t xml:space="preserve">①对小型和微型企业产品给予10%的扣除价格，用扣除后的价格参与评审。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300号）文件规定自行填写。</w:t>
      </w:r>
      <w:r/>
    </w:p>
    <w:p>
      <w:pPr>
        <w:ind w:firstLine="570"/>
        <w:spacing w:line="500" w:lineRule="exact"/>
        <w:rPr>
          <w:rFonts w:eastAsia="方正仿宋_GBK"/>
          <w:bCs/>
          <w:sz w:val="28"/>
          <w:szCs w:val="28"/>
        </w:rPr>
      </w:pPr>
      <w:r>
        <w:rPr>
          <w:rFonts w:eastAsia="方正仿宋_GBK"/>
          <w:bCs/>
          <w:sz w:val="28"/>
          <w:szCs w:val="28"/>
        </w:rPr>
        <w:t xml:space="preserve">（2）残疾人福利单位价格扣除：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①对残疾人福利性单位，给予10%的价格扣除，用扣除后的价格参与评审。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①对监狱和戒毒企业（简称监狱企业）给予10%的价格扣除，用扣除后的价格参与评审。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③监狱企业标准请参照《关于政府采购支持监狱企业发展有关问题的通知》（财库〔2014</w:t>
      </w:r>
      <w:r>
        <w:rPr>
          <w:rFonts w:eastAsia="方正仿宋_GBK"/>
          <w:sz w:val="28"/>
          <w:szCs w:val="28"/>
          <w:lang w:val="zh-CN"/>
        </w:rPr>
        <w:t xml:space="preserve">〕</w:t>
      </w:r>
      <w:r>
        <w:rPr>
          <w:rFonts w:eastAsia="方正仿宋_GBK"/>
          <w:bCs/>
          <w:sz w:val="28"/>
          <w:szCs w:val="28"/>
        </w:rPr>
        <w:t xml:space="preserve">68号）。</w:t>
      </w:r>
      <w:r/>
    </w:p>
    <w:p>
      <w:pPr>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2.专门面向中小企业采购的项目或者采购包，不再执行上述价格评审优惠的扶持政策。</w:t>
      </w:r>
      <w:r/>
    </w:p>
    <w:p>
      <w:pPr>
        <w:ind w:firstLine="570"/>
        <w:spacing w:line="500" w:lineRule="exact"/>
        <w:rPr>
          <w:rFonts w:eastAsia="方正仿宋_GBK"/>
          <w:bCs/>
          <w:sz w:val="28"/>
          <w:szCs w:val="28"/>
        </w:rPr>
      </w:pPr>
      <w:r/>
      <w:bookmarkStart w:id="133" w:name="_Hlk220575971"/>
      <w:r/>
      <w:bookmarkEnd w:id="133"/>
      <w:r/>
      <w:r/>
    </w:p>
    <w:p>
      <w:pPr>
        <w:pStyle w:val="922"/>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评委会汇总各评委评分后，综合评审得分最高的投标人为中标候选人，若总得分者有相同时，则投标报价低者排名优先，均相同时则通过抽签方式随机确定排名顺序。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本项目（每标段）选取1名中标候选人，并编写评标报告。采购人应根据评委会推荐的中标候选人确定中标人。</w:t>
      </w:r>
      <w:r/>
    </w:p>
    <w:p>
      <w:pPr>
        <w:pStyle w:val="922"/>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自确定中标人之日起2个工作日内，在江苏政府采购网公告中标结果，公告期限为1个工作日。</w:t>
      </w:r>
      <w:r/>
    </w:p>
    <w:p>
      <w:pPr>
        <w:pStyle w:val="922"/>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三</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  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（格式见附件1）（如分公司参加投标的，另需提供总公司的授权证明）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3.法定代表人参加投标的提供法定代表人身份证明书（格式见附件2）；非法定代表人参加投标的提供法定代表人授权委托书原件（格式见附件3）</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5.投标函（格式见附件5）</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商务部分正负偏离表（格式见附件6）、技术部分正负偏离表（格式见附件7）</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886"/>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7.开标一览表[格式见“苏采云”系统内电子投标（响应）文件中表式]</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中小企业声明函（格式见附件9）</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sz w:val="28"/>
          <w:szCs w:val="28"/>
          <w:lang w:val="zh-CN"/>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000000"/>
          <w:sz w:val="28"/>
          <w:szCs w:val="28"/>
        </w:rPr>
      </w:pPr>
      <w:r>
        <w:rPr>
          <w:rFonts w:eastAsia="仿宋"/>
          <w:color w:val="000000"/>
          <w:sz w:val="28"/>
          <w:szCs w:val="28"/>
        </w:rPr>
        <w:t xml:space="preserve">6.我单位满足法律、行政法规规定的其他条件。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b/>
          <w:sz w:val="28"/>
          <w:szCs w:val="28"/>
        </w:rPr>
      </w:pPr>
      <w:r>
        <w:rPr>
          <w:b/>
          <w:sz w:val="28"/>
          <w:szCs w:val="28"/>
        </w:rPr>
      </w:r>
      <w:r/>
    </w:p>
    <w:p>
      <w:pPr>
        <w:contextualSpacing/>
        <w:spacing w:line="400" w:lineRule="exact"/>
        <w:rPr>
          <w:rFonts w:eastAsia="方正黑体_GBK"/>
          <w:sz w:val="32"/>
          <w:szCs w:val="32"/>
          <w:lang w:val="zh-CN"/>
        </w:rPr>
      </w:pPr>
      <w:r>
        <w:rPr>
          <w:rFonts w:eastAsia="方正黑体_GBK"/>
          <w:sz w:val="32"/>
          <w:szCs w:val="32"/>
          <w:lang w:val="zh-CN"/>
        </w:rPr>
        <w:t xml:space="preserve">附件2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87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87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附件8</w:t>
      </w:r>
      <w:r/>
    </w:p>
    <w:p>
      <w:pPr>
        <w:jc w:val="center"/>
        <w:spacing w:line="400" w:lineRule="exact"/>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t xml:space="preserve">分项报价明细表（服务类</w:t>
      </w:r>
      <w:r>
        <w:rPr>
          <w:rFonts w:hint="eastAsia" w:ascii="宋体" w:hAnsi="宋体" w:cs="宋体"/>
          <w:b/>
          <w:bCs/>
          <w:sz w:val="32"/>
          <w:szCs w:val="32"/>
        </w:rPr>
        <w:t xml:space="preserve">·</w:t>
      </w:r>
      <w:r>
        <w:rPr>
          <w:rFonts w:hint="eastAsia" w:ascii="宋体" w:hAnsi="宋体" w:cs="宋体"/>
          <w:b/>
          <w:bCs/>
          <w:sz w:val="32"/>
          <w:szCs w:val="32"/>
          <w:u w:val="single"/>
        </w:rPr>
        <w:t xml:space="preserve">    </w:t>
      </w:r>
      <w:r>
        <w:rPr>
          <w:rFonts w:hint="eastAsia" w:ascii="宋体" w:hAnsi="宋体" w:cs="宋体"/>
          <w:b/>
          <w:bCs/>
          <w:sz w:val="32"/>
          <w:szCs w:val="32"/>
        </w:rPr>
        <w:t xml:space="preserve">标包</w:t>
      </w:r>
      <w:r>
        <w:rPr>
          <w:rFonts w:ascii="方正小标宋简体" w:hAnsi="方正小标宋简体" w:eastAsia="方正小标宋简体" w:cs="方正小标宋简体"/>
          <w:sz w:val="32"/>
          <w:szCs w:val="32"/>
        </w:rPr>
        <w:t xml:space="preserve">）</w:t>
      </w:r>
      <w:r/>
    </w:p>
    <w:p>
      <w:pPr>
        <w:spacing w:line="400" w:lineRule="exact"/>
        <w:rPr>
          <w:rFonts w:eastAsia="仿宋_GB2312"/>
          <w:sz w:val="28"/>
          <w:szCs w:val="28"/>
          <w:highlight w:val="yellow"/>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                             年  月  日</w:t>
      </w:r>
      <w:r/>
    </w:p>
    <w:tbl>
      <w:tblPr>
        <w:tblStyle w:val="887"/>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931"/>
        <w:gridCol w:w="1960"/>
        <w:gridCol w:w="1439"/>
        <w:gridCol w:w="1350"/>
        <w:gridCol w:w="1054"/>
      </w:tblGrid>
      <w:tr>
        <w:trPr>
          <w:jc w:val="center"/>
          <w:trHeight w:val="708"/>
        </w:trPr>
        <w:tc>
          <w:tcPr>
            <w:tcW w:w="914"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标包号</w:t>
            </w:r>
            <w:r/>
          </w:p>
        </w:tc>
        <w:tc>
          <w:tcPr>
            <w:tcW w:w="2931"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服务要求简述</w:t>
            </w:r>
            <w:r/>
          </w:p>
        </w:tc>
        <w:tc>
          <w:tcPr>
            <w:tcW w:w="1960"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人数</w:t>
            </w:r>
            <w:r/>
          </w:p>
        </w:tc>
        <w:tc>
          <w:tcPr>
            <w:tcW w:w="1439"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服务时间</w:t>
            </w:r>
            <w:r/>
          </w:p>
        </w:tc>
        <w:tc>
          <w:tcPr>
            <w:tcW w:w="1350"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单价</w:t>
            </w:r>
            <w:r/>
          </w:p>
        </w:tc>
        <w:tc>
          <w:tcPr>
            <w:tcW w:w="1054" w:type="dxa"/>
            <w:vAlign w:val="center"/>
            <w:textDirection w:val="lrTb"/>
            <w:noWrap w:val="false"/>
          </w:tcPr>
          <w:p>
            <w:pPr>
              <w:jc w:val="center"/>
              <w:spacing w:line="300" w:lineRule="exact"/>
              <w:rPr>
                <w:rFonts w:ascii="仿宋" w:hAnsi="仿宋" w:eastAsia="仿宋" w:cs="宋体"/>
                <w:b/>
                <w:bCs/>
                <w:szCs w:val="21"/>
              </w:rPr>
            </w:pPr>
            <w:r>
              <w:rPr>
                <w:rFonts w:hint="eastAsia" w:ascii="仿宋" w:hAnsi="仿宋" w:eastAsia="仿宋" w:cs="宋体"/>
                <w:b/>
                <w:bCs/>
                <w:szCs w:val="21"/>
              </w:rPr>
              <w:t xml:space="preserve">合价（元/年）</w:t>
            </w:r>
            <w:r/>
          </w:p>
        </w:tc>
      </w:tr>
      <w:tr>
        <w:trPr>
          <w:jc w:val="center"/>
          <w:trHeight w:val="708"/>
        </w:trPr>
        <w:tc>
          <w:tcPr>
            <w:tcW w:w="914" w:type="dxa"/>
            <w:vAlign w:val="center"/>
            <w:textDirection w:val="lrTb"/>
            <w:noWrap w:val="false"/>
          </w:tcPr>
          <w:p>
            <w:pPr>
              <w:pStyle w:val="875"/>
              <w:jc w:val="center"/>
              <w:spacing w:line="300" w:lineRule="exact"/>
              <w:rPr>
                <w:rFonts w:ascii="仿宋" w:hAnsi="仿宋" w:eastAsia="仿宋" w:cs="宋体"/>
                <w:sz w:val="21"/>
                <w:szCs w:val="21"/>
              </w:rPr>
            </w:pPr>
            <w:r>
              <w:rPr>
                <w:rFonts w:ascii="仿宋" w:hAnsi="仿宋" w:eastAsia="仿宋" w:cs="宋体"/>
                <w:sz w:val="21"/>
                <w:szCs w:val="21"/>
              </w:rPr>
            </w:r>
            <w:r/>
          </w:p>
        </w:tc>
        <w:tc>
          <w:tcPr>
            <w:tcW w:w="2931" w:type="dxa"/>
            <w:vAlign w:val="center"/>
            <w:textDirection w:val="lrTb"/>
            <w:noWrap w:val="false"/>
          </w:tcPr>
          <w:p>
            <w:pPr>
              <w:pStyle w:val="875"/>
              <w:spacing w:line="300" w:lineRule="exact"/>
              <w:rPr>
                <w:rFonts w:ascii="仿宋" w:hAnsi="仿宋" w:eastAsia="仿宋" w:cs="宋体"/>
                <w:sz w:val="21"/>
                <w:szCs w:val="21"/>
              </w:rPr>
            </w:pPr>
            <w:r>
              <w:rPr>
                <w:rFonts w:ascii="仿宋" w:hAnsi="仿宋" w:eastAsia="仿宋" w:cs="宋体"/>
                <w:sz w:val="21"/>
                <w:szCs w:val="21"/>
              </w:rPr>
            </w:r>
            <w:r/>
          </w:p>
        </w:tc>
        <w:tc>
          <w:tcPr>
            <w:tcW w:w="1960" w:type="dxa"/>
            <w:vAlign w:val="center"/>
            <w:textDirection w:val="lrTb"/>
            <w:noWrap w:val="false"/>
          </w:tcPr>
          <w:p>
            <w:pPr>
              <w:pStyle w:val="875"/>
              <w:spacing w:line="300" w:lineRule="exact"/>
              <w:rPr>
                <w:rFonts w:ascii="仿宋" w:hAnsi="仿宋" w:eastAsia="仿宋" w:cs="宋体"/>
                <w:sz w:val="21"/>
                <w:szCs w:val="21"/>
              </w:rPr>
            </w:pPr>
            <w:r>
              <w:rPr>
                <w:rFonts w:ascii="仿宋" w:hAnsi="仿宋" w:eastAsia="仿宋" w:cs="宋体"/>
                <w:sz w:val="21"/>
                <w:szCs w:val="21"/>
              </w:rPr>
            </w:r>
            <w:r/>
          </w:p>
        </w:tc>
        <w:tc>
          <w:tcPr>
            <w:tcW w:w="1439" w:type="dxa"/>
            <w:vAlign w:val="center"/>
            <w:vMerge w:val="restart"/>
            <w:textDirection w:val="lrTb"/>
            <w:noWrap w:val="false"/>
          </w:tcPr>
          <w:p>
            <w:pPr>
              <w:pStyle w:val="875"/>
              <w:jc w:val="center"/>
              <w:spacing w:line="300" w:lineRule="exact"/>
              <w:rPr>
                <w:rFonts w:ascii="仿宋" w:hAnsi="仿宋" w:eastAsia="仿宋" w:cs="宋体"/>
                <w:sz w:val="21"/>
                <w:szCs w:val="21"/>
              </w:rPr>
            </w:pPr>
            <w:r>
              <w:rPr>
                <w:rFonts w:hint="eastAsia" w:ascii="仿宋" w:hAnsi="仿宋" w:eastAsia="仿宋" w:cs="宋体"/>
                <w:sz w:val="21"/>
                <w:szCs w:val="21"/>
              </w:rPr>
              <w:t xml:space="preserve">12个月</w:t>
            </w:r>
            <w:r/>
          </w:p>
        </w:tc>
        <w:tc>
          <w:tcPr>
            <w:tcW w:w="1350" w:type="dxa"/>
            <w:vAlign w:val="center"/>
            <w:textDirection w:val="lrTb"/>
            <w:noWrap w:val="false"/>
          </w:tcPr>
          <w:p>
            <w:pPr>
              <w:pStyle w:val="875"/>
              <w:spacing w:line="300" w:lineRule="exact"/>
              <w:rPr>
                <w:rFonts w:ascii="仿宋" w:hAnsi="仿宋" w:eastAsia="仿宋" w:cs="宋体"/>
                <w:sz w:val="21"/>
                <w:szCs w:val="21"/>
              </w:rPr>
            </w:pPr>
            <w:r>
              <w:rPr>
                <w:rFonts w:ascii="仿宋" w:hAnsi="仿宋" w:eastAsia="仿宋" w:cs="宋体"/>
                <w:sz w:val="21"/>
                <w:szCs w:val="21"/>
              </w:rPr>
            </w:r>
            <w:r/>
          </w:p>
        </w:tc>
        <w:tc>
          <w:tcPr>
            <w:tcW w:w="1054" w:type="dxa"/>
            <w:vAlign w:val="center"/>
            <w:textDirection w:val="lrTb"/>
            <w:noWrap w:val="false"/>
          </w:tcPr>
          <w:p>
            <w:pPr>
              <w:pStyle w:val="875"/>
              <w:spacing w:line="300" w:lineRule="exact"/>
              <w:rPr>
                <w:rFonts w:ascii="仿宋" w:hAnsi="仿宋" w:eastAsia="仿宋" w:cs="宋体"/>
                <w:sz w:val="21"/>
                <w:szCs w:val="21"/>
              </w:rPr>
            </w:pPr>
            <w:r>
              <w:rPr>
                <w:rFonts w:ascii="仿宋" w:hAnsi="仿宋" w:eastAsia="仿宋" w:cs="宋体"/>
                <w:sz w:val="21"/>
                <w:szCs w:val="21"/>
              </w:rPr>
            </w:r>
            <w:r/>
          </w:p>
        </w:tc>
      </w:tr>
      <w:tr>
        <w:trPr>
          <w:jc w:val="center"/>
          <w:trHeight w:val="708"/>
        </w:trPr>
        <w:tc>
          <w:tcPr>
            <w:tcW w:w="914" w:type="dxa"/>
            <w:vAlign w:val="center"/>
            <w:textDirection w:val="lrTb"/>
            <w:noWrap w:val="false"/>
          </w:tcPr>
          <w:p>
            <w:pPr>
              <w:pStyle w:val="875"/>
              <w:jc w:val="center"/>
              <w:spacing w:line="300" w:lineRule="exact"/>
              <w:rPr>
                <w:rFonts w:ascii="仿宋" w:hAnsi="仿宋" w:eastAsia="仿宋" w:cs="宋体"/>
                <w:sz w:val="21"/>
                <w:szCs w:val="21"/>
              </w:rPr>
            </w:pPr>
            <w:r>
              <w:rPr>
                <w:rFonts w:ascii="仿宋" w:hAnsi="仿宋" w:eastAsia="仿宋" w:cs="宋体"/>
                <w:sz w:val="21"/>
                <w:szCs w:val="21"/>
              </w:rPr>
            </w:r>
            <w:r/>
          </w:p>
        </w:tc>
        <w:tc>
          <w:tcPr>
            <w:tcW w:w="2931" w:type="dxa"/>
            <w:vAlign w:val="center"/>
            <w:textDirection w:val="lrTb"/>
            <w:noWrap w:val="false"/>
          </w:tcPr>
          <w:p>
            <w:pPr>
              <w:pStyle w:val="974"/>
              <w:jc w:val="both"/>
              <w:spacing w:line="300" w:lineRule="exact"/>
              <w:widowControl w:val="off"/>
              <w:rPr>
                <w:rFonts w:ascii="仿宋" w:hAnsi="仿宋" w:eastAsia="仿宋" w:cs="宋体"/>
                <w:sz w:val="21"/>
                <w:szCs w:val="21"/>
              </w:rPr>
            </w:pPr>
            <w:r>
              <w:rPr>
                <w:rFonts w:ascii="仿宋" w:hAnsi="仿宋" w:eastAsia="仿宋" w:cs="宋体"/>
                <w:sz w:val="21"/>
                <w:szCs w:val="21"/>
              </w:rPr>
            </w:r>
            <w:r/>
          </w:p>
        </w:tc>
        <w:tc>
          <w:tcPr>
            <w:tcW w:w="1960" w:type="dxa"/>
            <w:vAlign w:val="center"/>
            <w:textDirection w:val="lrTb"/>
            <w:noWrap w:val="false"/>
          </w:tcPr>
          <w:p>
            <w:pPr>
              <w:jc w:val="center"/>
              <w:spacing w:line="300" w:lineRule="exact"/>
              <w:rPr>
                <w:rFonts w:ascii="仿宋" w:hAnsi="仿宋" w:eastAsia="仿宋" w:cs="宋体"/>
                <w:szCs w:val="21"/>
              </w:rPr>
            </w:pPr>
            <w:r>
              <w:rPr>
                <w:rFonts w:ascii="仿宋" w:hAnsi="仿宋" w:eastAsia="仿宋" w:cs="宋体"/>
                <w:szCs w:val="21"/>
              </w:rPr>
            </w:r>
            <w:r/>
          </w:p>
        </w:tc>
        <w:tc>
          <w:tcPr>
            <w:tcW w:w="1439" w:type="dxa"/>
            <w:vAlign w:val="center"/>
            <w:vMerge w:val="continue"/>
            <w:textDirection w:val="lrTb"/>
            <w:noWrap w:val="false"/>
          </w:tcPr>
          <w:p>
            <w:pPr>
              <w:pStyle w:val="875"/>
              <w:jc w:val="center"/>
              <w:spacing w:line="240" w:lineRule="exact"/>
              <w:rPr>
                <w:rFonts w:ascii="仿宋" w:hAnsi="仿宋" w:eastAsia="仿宋" w:cs="宋体"/>
                <w:sz w:val="21"/>
                <w:szCs w:val="21"/>
              </w:rPr>
            </w:pPr>
            <w:r>
              <w:rPr>
                <w:rFonts w:ascii="仿宋" w:hAnsi="仿宋" w:eastAsia="仿宋" w:cs="宋体"/>
                <w:sz w:val="21"/>
                <w:szCs w:val="21"/>
              </w:rPr>
            </w:r>
            <w:r/>
          </w:p>
        </w:tc>
        <w:tc>
          <w:tcPr>
            <w:tcW w:w="1350" w:type="dxa"/>
            <w:vAlign w:val="center"/>
            <w:textDirection w:val="lrTb"/>
            <w:noWrap w:val="false"/>
          </w:tcPr>
          <w:p>
            <w:pPr>
              <w:pStyle w:val="875"/>
              <w:jc w:val="center"/>
              <w:spacing w:line="240" w:lineRule="exact"/>
              <w:rPr>
                <w:rFonts w:ascii="仿宋" w:hAnsi="仿宋" w:eastAsia="仿宋" w:cs="宋体"/>
                <w:sz w:val="21"/>
                <w:szCs w:val="21"/>
              </w:rPr>
            </w:pPr>
            <w:r>
              <w:rPr>
                <w:rFonts w:ascii="仿宋" w:hAnsi="仿宋" w:eastAsia="仿宋" w:cs="宋体"/>
                <w:sz w:val="21"/>
                <w:szCs w:val="21"/>
              </w:rPr>
            </w:r>
            <w:r/>
          </w:p>
        </w:tc>
        <w:tc>
          <w:tcPr>
            <w:tcW w:w="1054" w:type="dxa"/>
            <w:vAlign w:val="center"/>
            <w:textDirection w:val="lrTb"/>
            <w:noWrap w:val="false"/>
          </w:tcPr>
          <w:p>
            <w:pPr>
              <w:pStyle w:val="875"/>
              <w:jc w:val="center"/>
              <w:spacing w:line="240" w:lineRule="exact"/>
              <w:rPr>
                <w:rFonts w:ascii="仿宋" w:hAnsi="仿宋" w:eastAsia="仿宋" w:cs="宋体"/>
                <w:sz w:val="21"/>
                <w:szCs w:val="21"/>
              </w:rPr>
            </w:pPr>
            <w:r>
              <w:rPr>
                <w:rFonts w:ascii="仿宋" w:hAnsi="仿宋" w:eastAsia="仿宋" w:cs="宋体"/>
                <w:sz w:val="21"/>
                <w:szCs w:val="21"/>
              </w:rPr>
            </w:r>
            <w:r/>
          </w:p>
        </w:tc>
      </w:tr>
      <w:tr>
        <w:trPr>
          <w:jc w:val="center"/>
          <w:trHeight w:val="708"/>
        </w:trPr>
        <w:tc>
          <w:tcPr>
            <w:tcW w:w="914" w:type="dxa"/>
            <w:vAlign w:val="center"/>
            <w:textDirection w:val="lrTb"/>
            <w:noWrap w:val="false"/>
          </w:tcPr>
          <w:p>
            <w:pPr>
              <w:pStyle w:val="875"/>
              <w:jc w:val="center"/>
              <w:spacing w:line="300" w:lineRule="exact"/>
              <w:rPr>
                <w:rFonts w:ascii="仿宋" w:hAnsi="仿宋" w:eastAsia="仿宋" w:cs="宋体"/>
                <w:sz w:val="21"/>
                <w:szCs w:val="21"/>
              </w:rPr>
            </w:pPr>
            <w:r>
              <w:rPr>
                <w:rFonts w:ascii="仿宋" w:hAnsi="仿宋" w:eastAsia="仿宋" w:cs="宋体"/>
                <w:sz w:val="21"/>
                <w:szCs w:val="21"/>
              </w:rPr>
            </w:r>
            <w:r/>
          </w:p>
        </w:tc>
        <w:tc>
          <w:tcPr>
            <w:tcW w:w="2931" w:type="dxa"/>
            <w:vAlign w:val="center"/>
            <w:textDirection w:val="lrTb"/>
            <w:noWrap w:val="false"/>
          </w:tcPr>
          <w:p>
            <w:pPr>
              <w:pStyle w:val="974"/>
              <w:jc w:val="both"/>
              <w:spacing w:line="300" w:lineRule="exact"/>
              <w:widowControl w:val="off"/>
              <w:rPr>
                <w:rFonts w:ascii="仿宋" w:hAnsi="仿宋" w:eastAsia="仿宋" w:cs="宋体"/>
                <w:sz w:val="21"/>
                <w:szCs w:val="21"/>
                <w:lang w:val="en-US"/>
              </w:rPr>
            </w:pPr>
            <w:r>
              <w:rPr>
                <w:rFonts w:ascii="仿宋" w:hAnsi="仿宋" w:eastAsia="仿宋" w:cs="宋体"/>
                <w:sz w:val="21"/>
                <w:szCs w:val="21"/>
                <w:lang w:val="en-US"/>
              </w:rPr>
            </w:r>
            <w:r/>
          </w:p>
        </w:tc>
        <w:tc>
          <w:tcPr>
            <w:tcW w:w="1960" w:type="dxa"/>
            <w:vAlign w:val="center"/>
            <w:textDirection w:val="lrTb"/>
            <w:noWrap w:val="false"/>
          </w:tcPr>
          <w:p>
            <w:pPr>
              <w:pStyle w:val="974"/>
              <w:jc w:val="both"/>
              <w:spacing w:line="300" w:lineRule="exact"/>
              <w:widowControl w:val="off"/>
              <w:rPr>
                <w:rFonts w:ascii="仿宋" w:hAnsi="仿宋" w:eastAsia="仿宋" w:cs="宋体"/>
                <w:sz w:val="21"/>
                <w:szCs w:val="21"/>
                <w:lang w:val="en-US"/>
              </w:rPr>
            </w:pPr>
            <w:r>
              <w:rPr>
                <w:rFonts w:ascii="仿宋" w:hAnsi="仿宋" w:eastAsia="仿宋" w:cs="宋体"/>
                <w:sz w:val="21"/>
                <w:szCs w:val="21"/>
                <w:lang w:val="en-US"/>
              </w:rPr>
            </w:r>
            <w:r/>
          </w:p>
        </w:tc>
        <w:tc>
          <w:tcPr>
            <w:tcW w:w="1439" w:type="dxa"/>
            <w:vAlign w:val="center"/>
            <w:vMerge w:val="continue"/>
            <w:textDirection w:val="lrTb"/>
            <w:noWrap w:val="false"/>
          </w:tcPr>
          <w:p>
            <w:pPr>
              <w:pStyle w:val="974"/>
              <w:jc w:val="center"/>
              <w:spacing w:line="240" w:lineRule="exact"/>
              <w:widowControl w:val="off"/>
              <w:rPr>
                <w:rFonts w:ascii="仿宋" w:hAnsi="仿宋" w:eastAsia="仿宋" w:cs="宋体"/>
                <w:sz w:val="21"/>
                <w:szCs w:val="21"/>
              </w:rPr>
            </w:pPr>
            <w:r>
              <w:rPr>
                <w:rFonts w:ascii="仿宋" w:hAnsi="仿宋" w:eastAsia="仿宋" w:cs="宋体"/>
                <w:sz w:val="21"/>
                <w:szCs w:val="21"/>
              </w:rPr>
            </w:r>
            <w:r/>
          </w:p>
        </w:tc>
        <w:tc>
          <w:tcPr>
            <w:tcW w:w="1350" w:type="dxa"/>
            <w:vAlign w:val="center"/>
            <w:textDirection w:val="lrTb"/>
            <w:noWrap w:val="false"/>
          </w:tcPr>
          <w:p>
            <w:pPr>
              <w:pStyle w:val="974"/>
              <w:jc w:val="center"/>
              <w:spacing w:line="240" w:lineRule="exact"/>
              <w:widowControl w:val="off"/>
              <w:rPr>
                <w:rFonts w:ascii="仿宋" w:hAnsi="仿宋" w:eastAsia="仿宋" w:cs="宋体"/>
                <w:sz w:val="21"/>
                <w:szCs w:val="21"/>
              </w:rPr>
            </w:pPr>
            <w:r>
              <w:rPr>
                <w:rFonts w:ascii="仿宋" w:hAnsi="仿宋" w:eastAsia="仿宋" w:cs="宋体"/>
                <w:sz w:val="21"/>
                <w:szCs w:val="21"/>
              </w:rPr>
            </w:r>
            <w:r/>
          </w:p>
        </w:tc>
        <w:tc>
          <w:tcPr>
            <w:tcW w:w="1054" w:type="dxa"/>
            <w:vAlign w:val="center"/>
            <w:textDirection w:val="lrTb"/>
            <w:noWrap w:val="false"/>
          </w:tcPr>
          <w:p>
            <w:pPr>
              <w:pStyle w:val="974"/>
              <w:jc w:val="center"/>
              <w:spacing w:line="240" w:lineRule="exact"/>
              <w:widowControl w:val="off"/>
              <w:rPr>
                <w:rFonts w:ascii="仿宋" w:hAnsi="仿宋" w:eastAsia="仿宋" w:cs="宋体"/>
                <w:sz w:val="21"/>
                <w:szCs w:val="21"/>
              </w:rPr>
            </w:pPr>
            <w:r>
              <w:rPr>
                <w:rFonts w:ascii="仿宋" w:hAnsi="仿宋" w:eastAsia="仿宋" w:cs="宋体"/>
                <w:sz w:val="21"/>
                <w:szCs w:val="21"/>
              </w:rPr>
            </w:r>
            <w:r/>
          </w:p>
        </w:tc>
      </w:tr>
      <w:tr>
        <w:trPr>
          <w:jc w:val="center"/>
          <w:trHeight w:val="708"/>
        </w:trPr>
        <w:tc>
          <w:tcPr>
            <w:tcW w:w="914" w:type="dxa"/>
            <w:vAlign w:val="center"/>
            <w:textDirection w:val="lrTb"/>
            <w:noWrap w:val="false"/>
          </w:tcPr>
          <w:p>
            <w:pPr>
              <w:pStyle w:val="875"/>
              <w:jc w:val="center"/>
              <w:spacing w:line="300" w:lineRule="exact"/>
              <w:rPr>
                <w:rFonts w:ascii="仿宋" w:hAnsi="仿宋" w:eastAsia="仿宋" w:cs="宋体"/>
                <w:sz w:val="21"/>
                <w:szCs w:val="21"/>
              </w:rPr>
            </w:pPr>
            <w:r>
              <w:rPr>
                <w:rFonts w:ascii="仿宋" w:hAnsi="仿宋" w:eastAsia="仿宋" w:cs="宋体"/>
                <w:sz w:val="21"/>
                <w:szCs w:val="21"/>
              </w:rPr>
            </w:r>
            <w:r/>
          </w:p>
        </w:tc>
        <w:tc>
          <w:tcPr>
            <w:tcW w:w="2931" w:type="dxa"/>
            <w:vAlign w:val="center"/>
            <w:textDirection w:val="lrTb"/>
            <w:noWrap w:val="false"/>
          </w:tcPr>
          <w:p>
            <w:pPr>
              <w:pStyle w:val="974"/>
              <w:jc w:val="both"/>
              <w:spacing w:line="300" w:lineRule="exact"/>
              <w:widowControl w:val="off"/>
              <w:rPr>
                <w:rFonts w:ascii="仿宋" w:hAnsi="仿宋" w:eastAsia="仿宋" w:cs="宋体"/>
                <w:sz w:val="21"/>
                <w:szCs w:val="21"/>
                <w:lang w:val="en-US"/>
              </w:rPr>
            </w:pPr>
            <w:r>
              <w:rPr>
                <w:rFonts w:ascii="仿宋" w:hAnsi="仿宋" w:eastAsia="仿宋" w:cs="宋体"/>
                <w:sz w:val="21"/>
                <w:szCs w:val="21"/>
                <w:lang w:val="en-US"/>
              </w:rPr>
            </w:r>
            <w:r/>
          </w:p>
        </w:tc>
        <w:tc>
          <w:tcPr>
            <w:tcW w:w="1960" w:type="dxa"/>
            <w:vAlign w:val="center"/>
            <w:textDirection w:val="lrTb"/>
            <w:noWrap w:val="false"/>
          </w:tcPr>
          <w:p>
            <w:pPr>
              <w:pStyle w:val="974"/>
              <w:jc w:val="both"/>
              <w:spacing w:line="300" w:lineRule="exact"/>
              <w:widowControl w:val="off"/>
              <w:rPr>
                <w:rFonts w:ascii="仿宋" w:hAnsi="仿宋" w:eastAsia="仿宋" w:cs="宋体"/>
                <w:sz w:val="21"/>
                <w:szCs w:val="21"/>
                <w:lang w:val="en-US"/>
              </w:rPr>
            </w:pPr>
            <w:r>
              <w:rPr>
                <w:rFonts w:ascii="仿宋" w:hAnsi="仿宋" w:eastAsia="仿宋" w:cs="宋体"/>
                <w:sz w:val="21"/>
                <w:szCs w:val="21"/>
                <w:lang w:val="en-US"/>
              </w:rPr>
            </w:r>
            <w:r/>
          </w:p>
        </w:tc>
        <w:tc>
          <w:tcPr>
            <w:tcW w:w="1439" w:type="dxa"/>
            <w:vAlign w:val="center"/>
            <w:vMerge w:val="continue"/>
            <w:textDirection w:val="lrTb"/>
            <w:noWrap w:val="false"/>
          </w:tcPr>
          <w:p>
            <w:pPr>
              <w:pStyle w:val="974"/>
              <w:jc w:val="center"/>
              <w:spacing w:line="240" w:lineRule="exact"/>
              <w:widowControl w:val="off"/>
              <w:rPr>
                <w:rFonts w:ascii="仿宋" w:hAnsi="仿宋" w:eastAsia="仿宋" w:cs="宋体"/>
                <w:sz w:val="21"/>
                <w:szCs w:val="21"/>
              </w:rPr>
            </w:pPr>
            <w:r>
              <w:rPr>
                <w:rFonts w:ascii="仿宋" w:hAnsi="仿宋" w:eastAsia="仿宋" w:cs="宋体"/>
                <w:sz w:val="21"/>
                <w:szCs w:val="21"/>
              </w:rPr>
            </w:r>
            <w:r/>
          </w:p>
        </w:tc>
        <w:tc>
          <w:tcPr>
            <w:tcW w:w="1350" w:type="dxa"/>
            <w:vAlign w:val="center"/>
            <w:textDirection w:val="lrTb"/>
            <w:noWrap w:val="false"/>
          </w:tcPr>
          <w:p>
            <w:pPr>
              <w:pStyle w:val="974"/>
              <w:jc w:val="center"/>
              <w:spacing w:line="240" w:lineRule="exact"/>
              <w:widowControl w:val="off"/>
              <w:rPr>
                <w:rFonts w:ascii="仿宋" w:hAnsi="仿宋" w:eastAsia="仿宋" w:cs="宋体"/>
                <w:sz w:val="21"/>
                <w:szCs w:val="21"/>
              </w:rPr>
            </w:pPr>
            <w:r>
              <w:rPr>
                <w:rFonts w:ascii="仿宋" w:hAnsi="仿宋" w:eastAsia="仿宋" w:cs="宋体"/>
                <w:sz w:val="21"/>
                <w:szCs w:val="21"/>
              </w:rPr>
            </w:r>
            <w:r/>
          </w:p>
        </w:tc>
        <w:tc>
          <w:tcPr>
            <w:tcW w:w="1054" w:type="dxa"/>
            <w:vAlign w:val="center"/>
            <w:textDirection w:val="lrTb"/>
            <w:noWrap w:val="false"/>
          </w:tcPr>
          <w:p>
            <w:pPr>
              <w:pStyle w:val="974"/>
              <w:jc w:val="center"/>
              <w:spacing w:line="240" w:lineRule="exact"/>
              <w:widowControl w:val="off"/>
              <w:rPr>
                <w:rFonts w:ascii="仿宋" w:hAnsi="仿宋" w:eastAsia="仿宋" w:cs="宋体"/>
                <w:sz w:val="21"/>
                <w:szCs w:val="21"/>
              </w:rPr>
            </w:pPr>
            <w:r>
              <w:rPr>
                <w:rFonts w:ascii="仿宋" w:hAnsi="仿宋" w:eastAsia="仿宋" w:cs="宋体"/>
                <w:sz w:val="21"/>
                <w:szCs w:val="21"/>
              </w:rPr>
            </w:r>
            <w:r/>
          </w:p>
        </w:tc>
      </w:tr>
      <w:tr>
        <w:trPr>
          <w:jc w:val="center"/>
          <w:trHeight w:val="708"/>
        </w:trPr>
        <w:tc>
          <w:tcPr>
            <w:tcW w:w="914" w:type="dxa"/>
            <w:vAlign w:val="center"/>
            <w:textDirection w:val="lrTb"/>
            <w:noWrap w:val="false"/>
          </w:tcPr>
          <w:p>
            <w:pPr>
              <w:pStyle w:val="875"/>
              <w:jc w:val="center"/>
              <w:spacing w:line="300" w:lineRule="exact"/>
              <w:rPr>
                <w:rFonts w:ascii="仿宋" w:hAnsi="仿宋" w:eastAsia="仿宋" w:cs="宋体"/>
                <w:sz w:val="21"/>
                <w:szCs w:val="21"/>
              </w:rPr>
            </w:pPr>
            <w:r>
              <w:rPr>
                <w:rFonts w:ascii="仿宋" w:hAnsi="仿宋" w:eastAsia="仿宋" w:cs="宋体"/>
                <w:sz w:val="21"/>
                <w:szCs w:val="21"/>
              </w:rPr>
            </w:r>
            <w:r/>
          </w:p>
        </w:tc>
        <w:tc>
          <w:tcPr>
            <w:tcW w:w="2931" w:type="dxa"/>
            <w:vAlign w:val="center"/>
            <w:textDirection w:val="lrTb"/>
            <w:noWrap w:val="false"/>
          </w:tcPr>
          <w:p>
            <w:pPr>
              <w:pStyle w:val="974"/>
              <w:jc w:val="both"/>
              <w:spacing w:line="300" w:lineRule="exact"/>
              <w:widowControl w:val="off"/>
              <w:rPr>
                <w:rFonts w:ascii="仿宋" w:hAnsi="仿宋" w:eastAsia="仿宋" w:cs="宋体"/>
                <w:sz w:val="21"/>
                <w:szCs w:val="21"/>
                <w:lang w:val="en-US"/>
              </w:rPr>
            </w:pPr>
            <w:r>
              <w:rPr>
                <w:rFonts w:ascii="仿宋" w:hAnsi="仿宋" w:eastAsia="仿宋" w:cs="宋体"/>
                <w:sz w:val="21"/>
                <w:szCs w:val="21"/>
                <w:lang w:val="en-US"/>
              </w:rPr>
            </w:r>
            <w:r/>
          </w:p>
        </w:tc>
        <w:tc>
          <w:tcPr>
            <w:tcW w:w="1960" w:type="dxa"/>
            <w:vAlign w:val="center"/>
            <w:textDirection w:val="lrTb"/>
            <w:noWrap w:val="false"/>
          </w:tcPr>
          <w:p>
            <w:pPr>
              <w:pStyle w:val="974"/>
              <w:jc w:val="both"/>
              <w:spacing w:line="300" w:lineRule="exact"/>
              <w:widowControl w:val="off"/>
              <w:rPr>
                <w:rFonts w:ascii="仿宋" w:hAnsi="仿宋" w:eastAsia="仿宋" w:cs="宋体"/>
                <w:sz w:val="21"/>
                <w:szCs w:val="21"/>
                <w:lang w:val="en-US"/>
              </w:rPr>
            </w:pPr>
            <w:r>
              <w:rPr>
                <w:rFonts w:ascii="仿宋" w:hAnsi="仿宋" w:eastAsia="仿宋" w:cs="宋体"/>
                <w:sz w:val="21"/>
                <w:szCs w:val="21"/>
                <w:lang w:val="en-US"/>
              </w:rPr>
            </w:r>
            <w:r/>
          </w:p>
        </w:tc>
        <w:tc>
          <w:tcPr>
            <w:tcW w:w="1439" w:type="dxa"/>
            <w:vAlign w:val="center"/>
            <w:vMerge w:val="continue"/>
            <w:textDirection w:val="lrTb"/>
            <w:noWrap w:val="false"/>
          </w:tcPr>
          <w:p>
            <w:pPr>
              <w:pStyle w:val="974"/>
              <w:jc w:val="center"/>
              <w:spacing w:line="240" w:lineRule="exact"/>
              <w:widowControl w:val="off"/>
              <w:rPr>
                <w:rFonts w:ascii="仿宋" w:hAnsi="仿宋" w:eastAsia="仿宋" w:cs="宋体"/>
                <w:sz w:val="21"/>
                <w:szCs w:val="21"/>
              </w:rPr>
            </w:pPr>
            <w:r>
              <w:rPr>
                <w:rFonts w:ascii="仿宋" w:hAnsi="仿宋" w:eastAsia="仿宋" w:cs="宋体"/>
                <w:sz w:val="21"/>
                <w:szCs w:val="21"/>
              </w:rPr>
            </w:r>
            <w:r/>
          </w:p>
        </w:tc>
        <w:tc>
          <w:tcPr>
            <w:tcW w:w="1350" w:type="dxa"/>
            <w:vAlign w:val="center"/>
            <w:textDirection w:val="lrTb"/>
            <w:noWrap w:val="false"/>
          </w:tcPr>
          <w:p>
            <w:pPr>
              <w:pStyle w:val="974"/>
              <w:jc w:val="center"/>
              <w:spacing w:line="240" w:lineRule="exact"/>
              <w:widowControl w:val="off"/>
              <w:rPr>
                <w:rFonts w:ascii="仿宋" w:hAnsi="仿宋" w:eastAsia="仿宋" w:cs="宋体"/>
                <w:sz w:val="21"/>
                <w:szCs w:val="21"/>
              </w:rPr>
            </w:pPr>
            <w:r>
              <w:rPr>
                <w:rFonts w:ascii="仿宋" w:hAnsi="仿宋" w:eastAsia="仿宋" w:cs="宋体"/>
                <w:sz w:val="21"/>
                <w:szCs w:val="21"/>
              </w:rPr>
            </w:r>
            <w:r/>
          </w:p>
        </w:tc>
        <w:tc>
          <w:tcPr>
            <w:tcW w:w="1054" w:type="dxa"/>
            <w:vAlign w:val="center"/>
            <w:textDirection w:val="lrTb"/>
            <w:noWrap w:val="false"/>
          </w:tcPr>
          <w:p>
            <w:pPr>
              <w:pStyle w:val="974"/>
              <w:jc w:val="center"/>
              <w:spacing w:line="240" w:lineRule="exact"/>
              <w:widowControl w:val="off"/>
              <w:rPr>
                <w:rFonts w:ascii="仿宋" w:hAnsi="仿宋" w:eastAsia="仿宋" w:cs="宋体"/>
                <w:sz w:val="21"/>
                <w:szCs w:val="21"/>
              </w:rPr>
            </w:pPr>
            <w:r>
              <w:rPr>
                <w:rFonts w:ascii="仿宋" w:hAnsi="仿宋" w:eastAsia="仿宋" w:cs="宋体"/>
                <w:sz w:val="21"/>
                <w:szCs w:val="21"/>
              </w:rPr>
            </w:r>
            <w:r/>
          </w:p>
        </w:tc>
      </w:tr>
      <w:tr>
        <w:trPr>
          <w:jc w:val="center"/>
          <w:trHeight w:val="708"/>
        </w:trPr>
        <w:tc>
          <w:tcPr>
            <w:tcW w:w="914" w:type="dxa"/>
            <w:vAlign w:val="center"/>
            <w:textDirection w:val="lrTb"/>
            <w:noWrap w:val="false"/>
          </w:tcPr>
          <w:p>
            <w:pPr>
              <w:pStyle w:val="875"/>
              <w:jc w:val="center"/>
              <w:spacing w:line="300" w:lineRule="exact"/>
              <w:rPr>
                <w:rFonts w:ascii="仿宋" w:hAnsi="仿宋" w:eastAsia="仿宋" w:cs="宋体"/>
                <w:sz w:val="21"/>
                <w:szCs w:val="21"/>
              </w:rPr>
            </w:pPr>
            <w:r>
              <w:rPr>
                <w:rFonts w:hint="eastAsia" w:ascii="仿宋" w:hAnsi="仿宋" w:eastAsia="仿宋" w:cs="宋体"/>
                <w:sz w:val="21"/>
                <w:szCs w:val="21"/>
              </w:rPr>
              <w:t xml:space="preserve">……</w:t>
            </w:r>
            <w:r/>
          </w:p>
        </w:tc>
        <w:tc>
          <w:tcPr>
            <w:tcW w:w="2931" w:type="dxa"/>
            <w:vAlign w:val="center"/>
            <w:textDirection w:val="lrTb"/>
            <w:noWrap w:val="false"/>
          </w:tcPr>
          <w:p>
            <w:pPr>
              <w:pStyle w:val="974"/>
              <w:jc w:val="both"/>
              <w:spacing w:line="300" w:lineRule="exact"/>
              <w:widowControl w:val="off"/>
              <w:rPr>
                <w:rFonts w:ascii="仿宋" w:hAnsi="仿宋" w:eastAsia="仿宋" w:cs="宋体"/>
                <w:sz w:val="21"/>
                <w:szCs w:val="21"/>
                <w:lang w:val="en-US"/>
              </w:rPr>
            </w:pPr>
            <w:r>
              <w:rPr>
                <w:rFonts w:ascii="仿宋" w:hAnsi="仿宋" w:eastAsia="仿宋" w:cs="宋体"/>
                <w:sz w:val="21"/>
                <w:szCs w:val="21"/>
                <w:lang w:val="en-US"/>
              </w:rPr>
            </w:r>
            <w:r/>
          </w:p>
        </w:tc>
        <w:tc>
          <w:tcPr>
            <w:tcW w:w="1960" w:type="dxa"/>
            <w:vAlign w:val="center"/>
            <w:textDirection w:val="lrTb"/>
            <w:noWrap w:val="false"/>
          </w:tcPr>
          <w:p>
            <w:pPr>
              <w:pStyle w:val="974"/>
              <w:jc w:val="both"/>
              <w:spacing w:line="300" w:lineRule="exact"/>
              <w:widowControl w:val="off"/>
              <w:rPr>
                <w:rFonts w:ascii="仿宋" w:hAnsi="仿宋" w:eastAsia="仿宋" w:cs="宋体"/>
                <w:sz w:val="21"/>
                <w:szCs w:val="21"/>
                <w:lang w:val="en-US"/>
              </w:rPr>
            </w:pPr>
            <w:r>
              <w:rPr>
                <w:rFonts w:ascii="仿宋" w:hAnsi="仿宋" w:eastAsia="仿宋" w:cs="宋体"/>
                <w:sz w:val="21"/>
                <w:szCs w:val="21"/>
                <w:lang w:val="en-US"/>
              </w:rPr>
            </w:r>
            <w:r/>
          </w:p>
        </w:tc>
        <w:tc>
          <w:tcPr>
            <w:tcW w:w="1439" w:type="dxa"/>
            <w:vAlign w:val="center"/>
            <w:vMerge w:val="continue"/>
            <w:textDirection w:val="lrTb"/>
            <w:noWrap w:val="false"/>
          </w:tcPr>
          <w:p>
            <w:pPr>
              <w:pStyle w:val="974"/>
              <w:jc w:val="center"/>
              <w:spacing w:line="240" w:lineRule="exact"/>
              <w:widowControl w:val="off"/>
              <w:rPr>
                <w:rFonts w:ascii="仿宋" w:hAnsi="仿宋" w:eastAsia="仿宋" w:cs="宋体"/>
                <w:sz w:val="21"/>
                <w:szCs w:val="21"/>
              </w:rPr>
            </w:pPr>
            <w:r>
              <w:rPr>
                <w:rFonts w:ascii="仿宋" w:hAnsi="仿宋" w:eastAsia="仿宋" w:cs="宋体"/>
                <w:sz w:val="21"/>
                <w:szCs w:val="21"/>
              </w:rPr>
            </w:r>
            <w:r/>
          </w:p>
        </w:tc>
        <w:tc>
          <w:tcPr>
            <w:tcW w:w="1350" w:type="dxa"/>
            <w:vAlign w:val="center"/>
            <w:textDirection w:val="lrTb"/>
            <w:noWrap w:val="false"/>
          </w:tcPr>
          <w:p>
            <w:pPr>
              <w:pStyle w:val="974"/>
              <w:jc w:val="center"/>
              <w:spacing w:line="240" w:lineRule="exact"/>
              <w:widowControl w:val="off"/>
              <w:rPr>
                <w:rFonts w:ascii="仿宋" w:hAnsi="仿宋" w:eastAsia="仿宋" w:cs="宋体"/>
                <w:sz w:val="21"/>
                <w:szCs w:val="21"/>
              </w:rPr>
            </w:pPr>
            <w:r>
              <w:rPr>
                <w:rFonts w:ascii="仿宋" w:hAnsi="仿宋" w:eastAsia="仿宋" w:cs="宋体"/>
                <w:sz w:val="21"/>
                <w:szCs w:val="21"/>
              </w:rPr>
            </w:r>
            <w:r/>
          </w:p>
        </w:tc>
        <w:tc>
          <w:tcPr>
            <w:tcW w:w="1054" w:type="dxa"/>
            <w:vAlign w:val="center"/>
            <w:textDirection w:val="lrTb"/>
            <w:noWrap w:val="false"/>
          </w:tcPr>
          <w:p>
            <w:pPr>
              <w:pStyle w:val="974"/>
              <w:jc w:val="center"/>
              <w:spacing w:line="240" w:lineRule="exact"/>
              <w:widowControl w:val="off"/>
              <w:rPr>
                <w:rFonts w:ascii="仿宋" w:hAnsi="仿宋" w:eastAsia="仿宋" w:cs="宋体"/>
                <w:sz w:val="21"/>
                <w:szCs w:val="21"/>
              </w:rPr>
            </w:pPr>
            <w:r>
              <w:rPr>
                <w:rFonts w:ascii="仿宋" w:hAnsi="仿宋" w:eastAsia="仿宋" w:cs="宋体"/>
                <w:sz w:val="21"/>
                <w:szCs w:val="21"/>
              </w:rPr>
            </w:r>
            <w:r/>
          </w:p>
        </w:tc>
      </w:tr>
      <w:tr>
        <w:trPr>
          <w:jc w:val="center"/>
          <w:trHeight w:val="708"/>
        </w:trPr>
        <w:tc>
          <w:tcPr>
            <w:tcW w:w="914" w:type="dxa"/>
            <w:vAlign w:val="center"/>
            <w:textDirection w:val="lrTb"/>
            <w:noWrap w:val="false"/>
          </w:tcPr>
          <w:p>
            <w:pPr>
              <w:pStyle w:val="875"/>
              <w:jc w:val="center"/>
              <w:spacing w:line="300" w:lineRule="exact"/>
              <w:rPr>
                <w:rFonts w:ascii="仿宋" w:hAnsi="仿宋" w:eastAsia="仿宋" w:cs="宋体"/>
                <w:sz w:val="21"/>
                <w:szCs w:val="21"/>
              </w:rPr>
            </w:pPr>
            <w:r>
              <w:rPr>
                <w:rFonts w:hint="eastAsia" w:ascii="仿宋" w:hAnsi="仿宋" w:eastAsia="仿宋" w:cs="宋体"/>
                <w:b/>
                <w:bCs/>
                <w:sz w:val="21"/>
                <w:szCs w:val="21"/>
              </w:rPr>
              <w:t xml:space="preserve">总价</w:t>
            </w:r>
            <w:r/>
          </w:p>
        </w:tc>
        <w:tc>
          <w:tcPr>
            <w:gridSpan w:val="5"/>
            <w:tcW w:w="8734" w:type="dxa"/>
            <w:vAlign w:val="center"/>
            <w:textDirection w:val="lrTb"/>
            <w:noWrap w:val="false"/>
          </w:tcPr>
          <w:p>
            <w:pPr>
              <w:pStyle w:val="974"/>
              <w:jc w:val="center"/>
              <w:spacing w:line="240" w:lineRule="exact"/>
              <w:widowControl w:val="off"/>
              <w:rPr>
                <w:rFonts w:ascii="仿宋" w:hAnsi="仿宋" w:eastAsia="仿宋" w:cs="宋体"/>
                <w:sz w:val="21"/>
                <w:szCs w:val="21"/>
              </w:rPr>
            </w:pPr>
            <w:r>
              <w:rPr>
                <w:rFonts w:hint="eastAsia" w:ascii="仿宋" w:hAnsi="仿宋" w:eastAsia="仿宋" w:cs="仿宋"/>
                <w:szCs w:val="21"/>
              </w:rPr>
              <w:t xml:space="preserve">人民币（大写）：</w:t>
            </w:r>
            <w:r>
              <w:rPr>
                <w:rFonts w:hint="eastAsia" w:ascii="仿宋" w:hAnsi="仿宋" w:eastAsia="仿宋" w:cs="仿宋"/>
                <w:szCs w:val="21"/>
                <w:lang w:val="en-US"/>
              </w:rPr>
              <w:t xml:space="preserve">                   </w:t>
            </w:r>
            <w:r>
              <w:rPr>
                <w:rFonts w:hint="eastAsia" w:ascii="仿宋" w:hAnsi="仿宋" w:eastAsia="仿宋" w:cs="仿宋"/>
                <w:szCs w:val="21"/>
              </w:rPr>
              <w:t xml:space="preserve">（小写）：</w:t>
            </w:r>
            <w:r>
              <w:rPr>
                <w:rFonts w:ascii="Calibri" w:hAnsi="Calibri" w:eastAsia="仿宋" w:cs="Calibri"/>
                <w:szCs w:val="21"/>
              </w:rPr>
              <w:t xml:space="preserve">¥</w:t>
            </w:r>
            <w:r/>
          </w:p>
        </w:tc>
      </w:tr>
    </w:tbl>
    <w:p>
      <w:pPr>
        <w:spacing w:line="360" w:lineRule="auto"/>
        <w:rPr>
          <w:rFonts w:ascii="仿宋" w:hAnsi="仿宋" w:eastAsia="仿宋" w:cs="仿宋"/>
          <w:b/>
          <w:sz w:val="24"/>
          <w:lang w:val="zh-CN"/>
        </w:rPr>
      </w:pPr>
      <w:r>
        <w:rPr>
          <w:rFonts w:hint="eastAsia" w:ascii="仿宋" w:hAnsi="仿宋" w:eastAsia="仿宋" w:cs="仿宋"/>
          <w:b/>
          <w:sz w:val="24"/>
          <w:lang w:val="zh-CN"/>
        </w:rPr>
        <w:t xml:space="preserve">注：</w:t>
      </w:r>
      <w:r>
        <w:rPr>
          <w:rFonts w:eastAsia="仿宋"/>
          <w:b/>
          <w:sz w:val="24"/>
          <w:lang w:val="zh-CN"/>
        </w:rPr>
        <w:t xml:space="preserve">1.</w:t>
      </w:r>
      <w:r>
        <w:rPr>
          <w:rFonts w:hint="eastAsia" w:ascii="仿宋" w:hAnsi="仿宋" w:eastAsia="仿宋" w:cs="仿宋"/>
          <w:b/>
          <w:sz w:val="24"/>
          <w:lang w:val="zh-CN"/>
        </w:rPr>
        <w:t xml:space="preserve">投标人必须按实填写项目采购清单中</w:t>
      </w:r>
      <w:r>
        <w:rPr>
          <w:rFonts w:hint="eastAsia" w:ascii="仿宋" w:hAnsi="仿宋" w:eastAsia="仿宋" w:cs="仿宋"/>
          <w:b/>
          <w:sz w:val="24"/>
        </w:rPr>
        <w:t xml:space="preserve">的各项内容</w:t>
      </w:r>
      <w:r>
        <w:rPr>
          <w:rFonts w:hint="eastAsia" w:ascii="仿宋" w:hAnsi="仿宋" w:eastAsia="仿宋" w:cs="仿宋"/>
          <w:b/>
          <w:sz w:val="24"/>
          <w:lang w:val="zh-CN"/>
        </w:rPr>
        <w:t xml:space="preserve">，且本表各分项报价合计应当与开标一览表报价合计相等。请各投标人务必按照以上要求填报，否则作为无效投标处理。</w:t>
      </w:r>
      <w:r/>
    </w:p>
    <w:p>
      <w:pPr>
        <w:ind w:firstLine="482"/>
        <w:spacing w:line="300" w:lineRule="auto"/>
        <w:rPr>
          <w:rFonts w:ascii="仿宋" w:hAnsi="仿宋" w:eastAsia="仿宋" w:cs="仿宋"/>
          <w:b/>
          <w:sz w:val="24"/>
          <w:lang w:val="zh-CN"/>
        </w:rPr>
        <w:outlineLvl w:val="0"/>
      </w:pPr>
      <w:r>
        <w:rPr>
          <w:rFonts w:eastAsia="仿宋"/>
          <w:b/>
          <w:sz w:val="24"/>
        </w:rPr>
        <w:t xml:space="preserve">2.</w:t>
      </w:r>
      <w:r>
        <w:rPr>
          <w:rFonts w:hint="eastAsia" w:ascii="仿宋" w:hAnsi="仿宋" w:eastAsia="仿宋" w:cs="仿宋"/>
          <w:b/>
          <w:sz w:val="24"/>
        </w:rPr>
        <w:t xml:space="preserve">主要标的信息</w:t>
      </w:r>
      <w:r>
        <w:rPr>
          <w:rFonts w:hint="eastAsia" w:ascii="仿宋" w:hAnsi="仿宋" w:eastAsia="仿宋" w:cs="仿宋"/>
          <w:b/>
          <w:sz w:val="24"/>
          <w:lang w:val="zh-CN"/>
        </w:rPr>
        <w:t xml:space="preserve">将随中标（成交）结果公告进行公示。内容不实的，属于提供虚假材料谋取中标、成交，依照《中华人民共和</w:t>
      </w:r>
      <w:r>
        <w:rPr>
          <w:rFonts w:hint="eastAsia" w:ascii="仿宋" w:hAnsi="仿宋" w:eastAsia="仿宋" w:cs="仿宋"/>
          <w:b/>
          <w:sz w:val="24"/>
        </w:rPr>
        <w:t xml:space="preserve">国政府采购法》等国家有关规定追究相应责</w:t>
      </w:r>
      <w:r>
        <w:rPr>
          <w:rFonts w:hint="eastAsia" w:ascii="仿宋" w:hAnsi="仿宋" w:eastAsia="仿宋" w:cs="仿宋"/>
          <w:b/>
          <w:sz w:val="24"/>
          <w:lang w:val="zh-CN"/>
        </w:rPr>
        <w:t xml:space="preserve">任。</w:t>
      </w:r>
      <w:r/>
    </w:p>
    <w:p>
      <w:pPr>
        <w:ind w:firstLine="482"/>
        <w:spacing w:line="300" w:lineRule="auto"/>
        <w:rPr>
          <w:b/>
          <w:sz w:val="24"/>
          <w:lang w:val="zh-CN"/>
        </w:rPr>
        <w:outlineLvl w:val="0"/>
      </w:pPr>
      <w:r>
        <w:rPr>
          <w:b/>
          <w:sz w:val="24"/>
          <w:lang w:val="zh-CN"/>
        </w:rPr>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886"/>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886"/>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886"/>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886"/>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886"/>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886"/>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rPr>
        <w:t xml:space="preserve">知》（工信部联企业〔2011〕300号)和《国家统计局关于印发〈统计上大中小微型企业划分办法（2017）〉的通知》（国统字〔2017〕213号）的规定，自行勾选承接企业的企业规模类型。</w:t>
      </w:r>
      <w:r/>
    </w:p>
    <w:p>
      <w:pPr>
        <w:spacing w:line="300" w:lineRule="auto"/>
        <w:rPr>
          <w:rFonts w:eastAsia="方正黑体_GBK"/>
          <w:sz w:val="32"/>
          <w:szCs w:val="32"/>
        </w:rPr>
        <w:outlineLvl w:val="0"/>
      </w:pPr>
      <w:r>
        <w:rPr>
          <w:rFonts w:eastAsia="方正黑体_GBK"/>
          <w:sz w:val="32"/>
          <w:szCs w:val="32"/>
        </w:rPr>
        <w:t xml:space="preserve">附件10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886"/>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86"/>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86"/>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86"/>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1.专门面向中小微型企业采购的项目，供应商为残疾人福利性单位并提供服务的必须提供此声明函，否则将不能通过资格审查。</w:t>
      </w:r>
      <w:r/>
    </w:p>
    <w:p>
      <w:pPr>
        <w:pStyle w:val="886"/>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2.非专门面向中小微型企业采购的项目，供应商如不提供此声明函，价格将不做相应扣除。</w:t>
      </w:r>
      <w:r/>
    </w:p>
    <w:p>
      <w:pPr>
        <w:pStyle w:val="886"/>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3.中标/成交供应商为残疾人福利性单位的，此声明函将随中标/成交结果同时公告，接受社会监督。</w:t>
      </w:r>
      <w:r/>
    </w:p>
    <w:p>
      <w:pPr>
        <w:pStyle w:val="886"/>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86"/>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886"/>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bCs/>
          <w:sz w:val="32"/>
          <w:szCs w:val="32"/>
          <w:lang w:bidi="ar"/>
        </w:rPr>
        <w:outlineLvl w:val="0"/>
      </w:pPr>
      <w:r>
        <w:rPr>
          <w:rFonts w:eastAsia="方正黑体_GBK"/>
          <w:sz w:val="32"/>
          <w:szCs w:val="32"/>
        </w:rPr>
        <w:t xml:space="preserve">附件12  </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质疑事项1：</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                   公章：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5.质疑函的质疑请求应与质疑事项相关。</w:t>
      </w:r>
      <w:r/>
    </w:p>
    <w:p>
      <w:pPr>
        <w:ind w:firstLine="640"/>
        <w:spacing w:line="560" w:lineRule="exact"/>
        <w:rPr>
          <w:rFonts w:eastAsia="仿宋"/>
          <w:sz w:val="32"/>
          <w:szCs w:val="32"/>
        </w:rPr>
      </w:pPr>
      <w:r>
        <w:rPr>
          <w:rFonts w:eastAsia="仿宋"/>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Cambria Math">
    <w:panose1 w:val="02040503050406030204"/>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方正仿宋简体">
    <w:panose1 w:val="020B0503020202020204"/>
  </w:font>
  <w:font w:name="Calibri">
    <w:panose1 w:val="020F050202020403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63"/>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4">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japaneseCounting"/>
      <w:isLgl w:val="false"/>
      <w:suff w:val="tab"/>
      <w:lvlText w:val="（%1）"/>
      <w:lvlJc w:val="left"/>
      <w:pPr>
        <w:ind w:left="1409" w:hanging="849"/>
      </w:pPr>
      <w:rPr>
        <w:rFonts w:hint="default"/>
      </w:rPr>
    </w:lvl>
    <w:lvl w:ilvl="1">
      <w:start w:val="1"/>
      <w:numFmt w:val="lowerLetter"/>
      <w:isLgl w:val="false"/>
      <w:suff w:val="tab"/>
      <w:lvlText w:val="%2)"/>
      <w:lvlJc w:val="left"/>
      <w:pPr>
        <w:ind w:left="1440" w:hanging="440"/>
      </w:pPr>
    </w:lvl>
    <w:lvl w:ilvl="2">
      <w:start w:val="1"/>
      <w:numFmt w:val="lowerRoman"/>
      <w:isLgl w:val="false"/>
      <w:suff w:val="tab"/>
      <w:lvlText w:val="%3."/>
      <w:lvlJc w:val="right"/>
      <w:pPr>
        <w:ind w:left="1880" w:hanging="440"/>
      </w:pPr>
    </w:lvl>
    <w:lvl w:ilvl="3">
      <w:start w:val="1"/>
      <w:numFmt w:val="decimal"/>
      <w:isLgl w:val="false"/>
      <w:suff w:val="tab"/>
      <w:lvlText w:val="%4."/>
      <w:lvlJc w:val="left"/>
      <w:pPr>
        <w:ind w:left="2320" w:hanging="440"/>
      </w:pPr>
    </w:lvl>
    <w:lvl w:ilvl="4">
      <w:start w:val="1"/>
      <w:numFmt w:val="lowerLetter"/>
      <w:isLgl w:val="false"/>
      <w:suff w:val="tab"/>
      <w:lvlText w:val="%5)"/>
      <w:lvlJc w:val="left"/>
      <w:pPr>
        <w:ind w:left="2760" w:hanging="440"/>
      </w:pPr>
    </w:lvl>
    <w:lvl w:ilvl="5">
      <w:start w:val="1"/>
      <w:numFmt w:val="lowerRoman"/>
      <w:isLgl w:val="false"/>
      <w:suff w:val="tab"/>
      <w:lvlText w:val="%6."/>
      <w:lvlJc w:val="right"/>
      <w:pPr>
        <w:ind w:left="3200" w:hanging="440"/>
      </w:pPr>
    </w:lvl>
    <w:lvl w:ilvl="6">
      <w:start w:val="1"/>
      <w:numFmt w:val="decimal"/>
      <w:isLgl w:val="false"/>
      <w:suff w:val="tab"/>
      <w:lvlText w:val="%7."/>
      <w:lvlJc w:val="left"/>
      <w:pPr>
        <w:ind w:left="3640" w:hanging="440"/>
      </w:pPr>
    </w:lvl>
    <w:lvl w:ilvl="7">
      <w:start w:val="1"/>
      <w:numFmt w:val="lowerLetter"/>
      <w:isLgl w:val="false"/>
      <w:suff w:val="tab"/>
      <w:lvlText w:val="%8)"/>
      <w:lvlJc w:val="left"/>
      <w:pPr>
        <w:ind w:left="4080" w:hanging="440"/>
      </w:pPr>
    </w:lvl>
    <w:lvl w:ilvl="8">
      <w:start w:val="1"/>
      <w:numFmt w:val="lowerRoman"/>
      <w:isLgl w:val="false"/>
      <w:suff w:val="tab"/>
      <w:lvlText w:val="%9."/>
      <w:lvlJc w:val="right"/>
      <w:pPr>
        <w:ind w:left="4520" w:hanging="44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5"/>
  </w:num>
  <w:num w:numId="4">
    <w:abstractNumId w:val="1"/>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5">
    <w:name w:val="Heading 1 Char"/>
    <w:basedOn w:val="869"/>
    <w:link w:val="860"/>
    <w:uiPriority w:val="9"/>
    <w:rPr>
      <w:rFonts w:ascii="Arial" w:hAnsi="Arial" w:eastAsia="Arial" w:cs="Arial"/>
      <w:sz w:val="40"/>
      <w:szCs w:val="40"/>
    </w:rPr>
  </w:style>
  <w:style w:type="character" w:styleId="696">
    <w:name w:val="Heading 2 Char"/>
    <w:basedOn w:val="869"/>
    <w:link w:val="861"/>
    <w:uiPriority w:val="9"/>
    <w:rPr>
      <w:rFonts w:ascii="Arial" w:hAnsi="Arial" w:eastAsia="Arial" w:cs="Arial"/>
      <w:sz w:val="34"/>
    </w:rPr>
  </w:style>
  <w:style w:type="character" w:styleId="697">
    <w:name w:val="Heading 3 Char"/>
    <w:basedOn w:val="869"/>
    <w:link w:val="862"/>
    <w:uiPriority w:val="9"/>
    <w:rPr>
      <w:rFonts w:ascii="Arial" w:hAnsi="Arial" w:eastAsia="Arial" w:cs="Arial"/>
      <w:sz w:val="30"/>
      <w:szCs w:val="30"/>
    </w:rPr>
  </w:style>
  <w:style w:type="character" w:styleId="698">
    <w:name w:val="Heading 4 Char"/>
    <w:basedOn w:val="869"/>
    <w:link w:val="863"/>
    <w:uiPriority w:val="9"/>
    <w:rPr>
      <w:rFonts w:ascii="Arial" w:hAnsi="Arial" w:eastAsia="Arial" w:cs="Arial"/>
      <w:b/>
      <w:bCs/>
      <w:sz w:val="26"/>
      <w:szCs w:val="26"/>
    </w:rPr>
  </w:style>
  <w:style w:type="character" w:styleId="699">
    <w:name w:val="Heading 5 Char"/>
    <w:basedOn w:val="869"/>
    <w:link w:val="864"/>
    <w:uiPriority w:val="9"/>
    <w:rPr>
      <w:rFonts w:ascii="Arial" w:hAnsi="Arial" w:eastAsia="Arial" w:cs="Arial"/>
      <w:b/>
      <w:bCs/>
      <w:sz w:val="24"/>
      <w:szCs w:val="24"/>
    </w:rPr>
  </w:style>
  <w:style w:type="character" w:styleId="700">
    <w:name w:val="Heading 6 Char"/>
    <w:basedOn w:val="869"/>
    <w:link w:val="865"/>
    <w:uiPriority w:val="9"/>
    <w:rPr>
      <w:rFonts w:ascii="Arial" w:hAnsi="Arial" w:eastAsia="Arial" w:cs="Arial"/>
      <w:b/>
      <w:bCs/>
      <w:sz w:val="22"/>
      <w:szCs w:val="22"/>
    </w:rPr>
  </w:style>
  <w:style w:type="character" w:styleId="701">
    <w:name w:val="Heading 7 Char"/>
    <w:basedOn w:val="869"/>
    <w:link w:val="866"/>
    <w:uiPriority w:val="9"/>
    <w:rPr>
      <w:rFonts w:ascii="Arial" w:hAnsi="Arial" w:eastAsia="Arial" w:cs="Arial"/>
      <w:b/>
      <w:bCs/>
      <w:i/>
      <w:iCs/>
      <w:sz w:val="22"/>
      <w:szCs w:val="22"/>
    </w:rPr>
  </w:style>
  <w:style w:type="character" w:styleId="702">
    <w:name w:val="Heading 8 Char"/>
    <w:basedOn w:val="869"/>
    <w:link w:val="867"/>
    <w:uiPriority w:val="9"/>
    <w:rPr>
      <w:rFonts w:ascii="Arial" w:hAnsi="Arial" w:eastAsia="Arial" w:cs="Arial"/>
      <w:i/>
      <w:iCs/>
      <w:sz w:val="22"/>
      <w:szCs w:val="22"/>
    </w:rPr>
  </w:style>
  <w:style w:type="character" w:styleId="703">
    <w:name w:val="Heading 9 Char"/>
    <w:basedOn w:val="869"/>
    <w:link w:val="868"/>
    <w:uiPriority w:val="9"/>
    <w:rPr>
      <w:rFonts w:ascii="Arial" w:hAnsi="Arial" w:eastAsia="Arial" w:cs="Arial"/>
      <w:i/>
      <w:iCs/>
      <w:sz w:val="21"/>
      <w:szCs w:val="21"/>
    </w:rPr>
  </w:style>
  <w:style w:type="paragraph" w:styleId="704">
    <w:name w:val="No Spacing"/>
    <w:uiPriority w:val="1"/>
    <w:qFormat/>
    <w:pPr>
      <w:spacing w:before="0" w:after="0" w:line="240" w:lineRule="auto"/>
    </w:pPr>
  </w:style>
  <w:style w:type="paragraph" w:styleId="705">
    <w:name w:val="Title"/>
    <w:basedOn w:val="859"/>
    <w:next w:val="859"/>
    <w:link w:val="706"/>
    <w:uiPriority w:val="10"/>
    <w:qFormat/>
    <w:pPr>
      <w:contextualSpacing/>
      <w:spacing w:before="300" w:after="200"/>
    </w:pPr>
    <w:rPr>
      <w:sz w:val="48"/>
      <w:szCs w:val="48"/>
    </w:rPr>
  </w:style>
  <w:style w:type="character" w:styleId="706">
    <w:name w:val="Title Char"/>
    <w:basedOn w:val="869"/>
    <w:link w:val="705"/>
    <w:uiPriority w:val="10"/>
    <w:rPr>
      <w:sz w:val="48"/>
      <w:szCs w:val="48"/>
    </w:rPr>
  </w:style>
  <w:style w:type="paragraph" w:styleId="707">
    <w:name w:val="Subtitle"/>
    <w:basedOn w:val="859"/>
    <w:next w:val="859"/>
    <w:link w:val="708"/>
    <w:uiPriority w:val="11"/>
    <w:qFormat/>
    <w:pPr>
      <w:spacing w:before="200" w:after="200"/>
    </w:pPr>
    <w:rPr>
      <w:sz w:val="24"/>
      <w:szCs w:val="24"/>
    </w:rPr>
  </w:style>
  <w:style w:type="character" w:styleId="708">
    <w:name w:val="Subtitle Char"/>
    <w:basedOn w:val="869"/>
    <w:link w:val="707"/>
    <w:uiPriority w:val="11"/>
    <w:rPr>
      <w:sz w:val="24"/>
      <w:szCs w:val="24"/>
    </w:rPr>
  </w:style>
  <w:style w:type="paragraph" w:styleId="709">
    <w:name w:val="Quote"/>
    <w:basedOn w:val="859"/>
    <w:next w:val="859"/>
    <w:link w:val="710"/>
    <w:uiPriority w:val="29"/>
    <w:qFormat/>
    <w:pPr>
      <w:ind w:left="720" w:right="720"/>
    </w:pPr>
    <w:rPr>
      <w:i/>
    </w:rPr>
  </w:style>
  <w:style w:type="character" w:styleId="710">
    <w:name w:val="Quote Char"/>
    <w:link w:val="709"/>
    <w:uiPriority w:val="29"/>
    <w:rPr>
      <w:i/>
    </w:rPr>
  </w:style>
  <w:style w:type="paragraph" w:styleId="711">
    <w:name w:val="Intense Quote"/>
    <w:basedOn w:val="859"/>
    <w:next w:val="859"/>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character" w:styleId="713">
    <w:name w:val="Header Char"/>
    <w:basedOn w:val="869"/>
    <w:link w:val="882"/>
    <w:uiPriority w:val="99"/>
  </w:style>
  <w:style w:type="character" w:styleId="714">
    <w:name w:val="Footer Char"/>
    <w:basedOn w:val="869"/>
    <w:link w:val="881"/>
    <w:uiPriority w:val="99"/>
  </w:style>
  <w:style w:type="paragraph" w:styleId="715">
    <w:name w:val="Caption"/>
    <w:basedOn w:val="859"/>
    <w:next w:val="859"/>
    <w:uiPriority w:val="35"/>
    <w:semiHidden/>
    <w:unhideWhenUsed/>
    <w:qFormat/>
    <w:pPr>
      <w:spacing w:line="276" w:lineRule="auto"/>
    </w:pPr>
    <w:rPr>
      <w:b/>
      <w:bCs/>
      <w:color w:val="4f81bd" w:themeColor="accent1"/>
      <w:sz w:val="18"/>
      <w:szCs w:val="18"/>
    </w:rPr>
  </w:style>
  <w:style w:type="character" w:styleId="716">
    <w:name w:val="Caption Char"/>
    <w:basedOn w:val="715"/>
    <w:link w:val="881"/>
    <w:uiPriority w:val="99"/>
  </w:style>
  <w:style w:type="table" w:styleId="717">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3">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4">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5">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6">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7">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8">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5">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8">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9">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0">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1">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92">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3">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5">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6">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7">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8">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9">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0">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9">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0">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1">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2">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3">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4">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6">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7">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8">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9">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0">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1">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3">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4">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5">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6">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7">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8">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0">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1">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2">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3">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4">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5">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2">
    <w:name w:val="footnote text"/>
    <w:basedOn w:val="859"/>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basedOn w:val="869"/>
    <w:uiPriority w:val="99"/>
    <w:unhideWhenUsed/>
    <w:rPr>
      <w:vertAlign w:val="superscript"/>
    </w:rPr>
  </w:style>
  <w:style w:type="paragraph" w:styleId="845">
    <w:name w:val="endnote text"/>
    <w:basedOn w:val="859"/>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basedOn w:val="869"/>
    <w:uiPriority w:val="99"/>
    <w:semiHidden/>
    <w:unhideWhenUsed/>
    <w:rPr>
      <w:vertAlign w:val="superscript"/>
    </w:rPr>
  </w:style>
  <w:style w:type="paragraph" w:styleId="848">
    <w:name w:val="toc 1"/>
    <w:basedOn w:val="859"/>
    <w:next w:val="859"/>
    <w:uiPriority w:val="39"/>
    <w:unhideWhenUsed/>
    <w:pPr>
      <w:ind w:left="0" w:right="0" w:firstLine="0"/>
      <w:spacing w:after="57"/>
    </w:pPr>
  </w:style>
  <w:style w:type="paragraph" w:styleId="849">
    <w:name w:val="toc 2"/>
    <w:basedOn w:val="859"/>
    <w:next w:val="859"/>
    <w:uiPriority w:val="39"/>
    <w:unhideWhenUsed/>
    <w:pPr>
      <w:ind w:left="283" w:right="0" w:firstLine="0"/>
      <w:spacing w:after="57"/>
    </w:pPr>
  </w:style>
  <w:style w:type="paragraph" w:styleId="850">
    <w:name w:val="toc 3"/>
    <w:basedOn w:val="859"/>
    <w:next w:val="859"/>
    <w:uiPriority w:val="39"/>
    <w:unhideWhenUsed/>
    <w:pPr>
      <w:ind w:left="567" w:right="0" w:firstLine="0"/>
      <w:spacing w:after="57"/>
    </w:pPr>
  </w:style>
  <w:style w:type="paragraph" w:styleId="851">
    <w:name w:val="toc 4"/>
    <w:basedOn w:val="859"/>
    <w:next w:val="859"/>
    <w:uiPriority w:val="39"/>
    <w:unhideWhenUsed/>
    <w:pPr>
      <w:ind w:left="850" w:right="0" w:firstLine="0"/>
      <w:spacing w:after="57"/>
    </w:pPr>
  </w:style>
  <w:style w:type="paragraph" w:styleId="852">
    <w:name w:val="toc 5"/>
    <w:basedOn w:val="859"/>
    <w:next w:val="859"/>
    <w:uiPriority w:val="39"/>
    <w:unhideWhenUsed/>
    <w:pPr>
      <w:ind w:left="1134" w:right="0" w:firstLine="0"/>
      <w:spacing w:after="57"/>
    </w:pPr>
  </w:style>
  <w:style w:type="paragraph" w:styleId="853">
    <w:name w:val="toc 6"/>
    <w:basedOn w:val="859"/>
    <w:next w:val="859"/>
    <w:uiPriority w:val="39"/>
    <w:unhideWhenUsed/>
    <w:pPr>
      <w:ind w:left="1417" w:right="0" w:firstLine="0"/>
      <w:spacing w:after="57"/>
    </w:pPr>
  </w:style>
  <w:style w:type="paragraph" w:styleId="854">
    <w:name w:val="toc 7"/>
    <w:basedOn w:val="859"/>
    <w:next w:val="859"/>
    <w:uiPriority w:val="39"/>
    <w:unhideWhenUsed/>
    <w:pPr>
      <w:ind w:left="1701" w:right="0" w:firstLine="0"/>
      <w:spacing w:after="57"/>
    </w:pPr>
  </w:style>
  <w:style w:type="paragraph" w:styleId="855">
    <w:name w:val="toc 8"/>
    <w:basedOn w:val="859"/>
    <w:next w:val="859"/>
    <w:uiPriority w:val="39"/>
    <w:unhideWhenUsed/>
    <w:pPr>
      <w:ind w:left="1984" w:right="0" w:firstLine="0"/>
      <w:spacing w:after="57"/>
    </w:pPr>
  </w:style>
  <w:style w:type="paragraph" w:styleId="856">
    <w:name w:val="toc 9"/>
    <w:basedOn w:val="859"/>
    <w:next w:val="859"/>
    <w:uiPriority w:val="39"/>
    <w:unhideWhenUsed/>
    <w:pPr>
      <w:ind w:left="2268" w:right="0" w:firstLine="0"/>
      <w:spacing w:after="57"/>
    </w:p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next w:val="871"/>
    <w:uiPriority w:val="0"/>
    <w:qFormat/>
    <w:pPr>
      <w:jc w:val="both"/>
      <w:widowControl w:val="off"/>
    </w:pPr>
    <w:rPr>
      <w:rFonts w:ascii="Times New Roman" w:hAnsi="Times New Roman" w:eastAsia="宋体" w:cs="Times New Roman"/>
      <w:sz w:val="21"/>
      <w:szCs w:val="24"/>
      <w:lang w:val="en-US" w:eastAsia="zh-CN" w:bidi="ar-SA"/>
    </w:rPr>
  </w:style>
  <w:style w:type="paragraph" w:styleId="860">
    <w:name w:val="Heading 1"/>
    <w:basedOn w:val="859"/>
    <w:next w:val="859"/>
    <w:link w:val="893"/>
    <w:uiPriority w:val="0"/>
    <w:qFormat/>
    <w:pPr>
      <w:keepLines/>
      <w:keepNext/>
      <w:spacing w:before="340" w:after="330" w:line="578" w:lineRule="auto"/>
      <w:outlineLvl w:val="0"/>
    </w:pPr>
    <w:rPr>
      <w:b/>
      <w:bCs/>
      <w:sz w:val="44"/>
      <w:szCs w:val="44"/>
    </w:rPr>
  </w:style>
  <w:style w:type="paragraph" w:styleId="861">
    <w:name w:val="Heading 2"/>
    <w:basedOn w:val="859"/>
    <w:next w:val="859"/>
    <w:link w:val="894"/>
    <w:uiPriority w:val="0"/>
    <w:qFormat/>
    <w:pPr>
      <w:keepLines/>
      <w:keepNext/>
      <w:spacing w:before="260" w:after="260" w:line="416" w:lineRule="auto"/>
      <w:outlineLvl w:val="1"/>
    </w:pPr>
    <w:rPr>
      <w:rFonts w:ascii="Arial" w:hAnsi="Arial" w:eastAsia="黑体"/>
      <w:b/>
      <w:bCs/>
      <w:sz w:val="32"/>
      <w:szCs w:val="32"/>
    </w:rPr>
  </w:style>
  <w:style w:type="paragraph" w:styleId="862">
    <w:name w:val="Heading 3"/>
    <w:basedOn w:val="859"/>
    <w:next w:val="859"/>
    <w:link w:val="895"/>
    <w:uiPriority w:val="0"/>
    <w:qFormat/>
    <w:pPr>
      <w:keepLines/>
      <w:keepNext/>
      <w:spacing w:before="260" w:after="260" w:line="416" w:lineRule="auto"/>
      <w:outlineLvl w:val="2"/>
    </w:pPr>
    <w:rPr>
      <w:b/>
      <w:bCs/>
      <w:sz w:val="32"/>
      <w:szCs w:val="32"/>
    </w:rPr>
  </w:style>
  <w:style w:type="paragraph" w:styleId="863">
    <w:name w:val="Heading 4"/>
    <w:basedOn w:val="859"/>
    <w:next w:val="859"/>
    <w:link w:val="896"/>
    <w:uiPriority w:val="0"/>
    <w:qFormat/>
    <w:pPr>
      <w:jc w:val="center"/>
      <w:keepNext/>
      <w:outlineLvl w:val="3"/>
    </w:pPr>
    <w:rPr>
      <w:rFonts w:eastAsia="新宋体"/>
      <w:sz w:val="30"/>
      <w:szCs w:val="21"/>
    </w:rPr>
  </w:style>
  <w:style w:type="paragraph" w:styleId="864">
    <w:name w:val="Heading 5"/>
    <w:basedOn w:val="859"/>
    <w:next w:val="859"/>
    <w:link w:val="897"/>
    <w:uiPriority w:val="0"/>
    <w:qFormat/>
    <w:pPr>
      <w:keepLines/>
      <w:keepNext/>
      <w:spacing w:before="280" w:after="290" w:line="376" w:lineRule="auto"/>
      <w:outlineLvl w:val="4"/>
    </w:pPr>
    <w:rPr>
      <w:b/>
      <w:bCs/>
      <w:sz w:val="28"/>
      <w:szCs w:val="28"/>
    </w:rPr>
  </w:style>
  <w:style w:type="paragraph" w:styleId="865">
    <w:name w:val="Heading 6"/>
    <w:basedOn w:val="859"/>
    <w:next w:val="872"/>
    <w:link w:val="898"/>
    <w:uiPriority w:val="0"/>
    <w:qFormat/>
    <w:pPr>
      <w:jc w:val="center"/>
      <w:keepNext/>
      <w:outlineLvl w:val="5"/>
    </w:pPr>
    <w:rPr>
      <w:b/>
      <w:sz w:val="44"/>
      <w:szCs w:val="20"/>
    </w:rPr>
  </w:style>
  <w:style w:type="paragraph" w:styleId="866">
    <w:name w:val="Heading 7"/>
    <w:basedOn w:val="859"/>
    <w:next w:val="859"/>
    <w:link w:val="900"/>
    <w:uiPriority w:val="0"/>
    <w:qFormat/>
    <w:pPr>
      <w:keepLines/>
      <w:keepNext/>
      <w:spacing w:before="240" w:after="64" w:line="320" w:lineRule="auto"/>
      <w:outlineLvl w:val="6"/>
    </w:pPr>
    <w:rPr>
      <w:b/>
      <w:bCs/>
      <w:sz w:val="24"/>
    </w:rPr>
  </w:style>
  <w:style w:type="paragraph" w:styleId="867">
    <w:name w:val="Heading 8"/>
    <w:basedOn w:val="859"/>
    <w:next w:val="859"/>
    <w:link w:val="901"/>
    <w:uiPriority w:val="0"/>
    <w:qFormat/>
    <w:pPr>
      <w:keepLines/>
      <w:keepNext/>
      <w:spacing w:before="240" w:after="64" w:line="320" w:lineRule="auto"/>
      <w:outlineLvl w:val="7"/>
    </w:pPr>
    <w:rPr>
      <w:rFonts w:ascii="Arial" w:hAnsi="Arial" w:eastAsia="黑体"/>
      <w:sz w:val="24"/>
    </w:rPr>
  </w:style>
  <w:style w:type="paragraph" w:styleId="868">
    <w:name w:val="Heading 9"/>
    <w:basedOn w:val="859"/>
    <w:next w:val="859"/>
    <w:link w:val="902"/>
    <w:uiPriority w:val="0"/>
    <w:qFormat/>
    <w:pPr>
      <w:keepLines/>
      <w:keepNext/>
      <w:spacing w:before="240" w:after="64" w:line="320" w:lineRule="auto"/>
      <w:outlineLvl w:val="8"/>
    </w:pPr>
    <w:rPr>
      <w:rFonts w:ascii="Arial" w:hAnsi="Arial" w:eastAsia="黑体"/>
      <w:sz w:val="24"/>
      <w:szCs w:val="21"/>
    </w:rPr>
  </w:style>
  <w:style w:type="character" w:styleId="869" w:default="1">
    <w:name w:val="Default Paragraph Font"/>
    <w:uiPriority w:val="1"/>
    <w:semiHidden/>
    <w:unhideWhenUsed/>
  </w:style>
  <w:style w:type="table" w:styleId="870" w:default="1">
    <w:name w:val="Normal Table"/>
    <w:uiPriority w:val="99"/>
    <w:semiHidden/>
    <w:unhideWhenUsed/>
    <w:tblPr>
      <w:tblCellMar>
        <w:left w:w="108" w:type="dxa"/>
        <w:top w:w="0" w:type="dxa"/>
        <w:right w:w="108" w:type="dxa"/>
        <w:bottom w:w="0" w:type="dxa"/>
      </w:tblCellMar>
    </w:tblPr>
  </w:style>
  <w:style w:type="paragraph" w:styleId="871" w:customStyle="1">
    <w:name w:val="Heading 1"/>
    <w:basedOn w:val="859"/>
    <w:next w:val="859"/>
    <w:uiPriority w:val="0"/>
    <w:qFormat/>
    <w:pPr>
      <w:keepLines/>
      <w:keepNext/>
      <w:spacing w:before="340" w:after="330" w:line="576" w:lineRule="auto"/>
    </w:pPr>
    <w:rPr>
      <w:b/>
      <w:bCs/>
      <w:sz w:val="44"/>
      <w:szCs w:val="44"/>
    </w:rPr>
  </w:style>
  <w:style w:type="paragraph" w:styleId="872">
    <w:name w:val="Normal Indent"/>
    <w:basedOn w:val="859"/>
    <w:link w:val="899"/>
    <w:uiPriority w:val="0"/>
    <w:qFormat/>
    <w:pPr>
      <w:ind w:firstLine="420"/>
    </w:pPr>
    <w:rPr>
      <w:sz w:val="20"/>
      <w:szCs w:val="20"/>
    </w:rPr>
  </w:style>
  <w:style w:type="paragraph" w:styleId="873">
    <w:name w:val="Document Map"/>
    <w:basedOn w:val="859"/>
    <w:link w:val="903"/>
    <w:uiPriority w:val="0"/>
    <w:semiHidden/>
    <w:qFormat/>
    <w:pPr>
      <w:shd w:val="clear" w:color="auto" w:fill="000080"/>
    </w:pPr>
    <w:rPr>
      <w:sz w:val="20"/>
    </w:rPr>
  </w:style>
  <w:style w:type="paragraph" w:styleId="874">
    <w:name w:val="Body Text 3"/>
    <w:basedOn w:val="859"/>
    <w:link w:val="904"/>
    <w:uiPriority w:val="0"/>
    <w:qFormat/>
    <w:pPr>
      <w:spacing w:after="120"/>
    </w:pPr>
    <w:rPr>
      <w:sz w:val="16"/>
      <w:szCs w:val="16"/>
    </w:rPr>
  </w:style>
  <w:style w:type="paragraph" w:styleId="875">
    <w:name w:val="Body Text"/>
    <w:basedOn w:val="859"/>
    <w:next w:val="859"/>
    <w:link w:val="905"/>
    <w:uiPriority w:val="0"/>
    <w:qFormat/>
    <w:rPr>
      <w:rFonts w:ascii="仿宋_GB2312" w:eastAsia="仿宋_GB2312"/>
      <w:sz w:val="24"/>
      <w:szCs w:val="20"/>
    </w:rPr>
  </w:style>
  <w:style w:type="paragraph" w:styleId="876">
    <w:name w:val="Body Text Indent"/>
    <w:basedOn w:val="859"/>
    <w:link w:val="906"/>
    <w:uiPriority w:val="0"/>
    <w:qFormat/>
    <w:pPr>
      <w:ind w:left="765"/>
    </w:pPr>
    <w:rPr>
      <w:rFonts w:ascii="仿宋_GB2312" w:eastAsia="仿宋_GB2312"/>
      <w:sz w:val="28"/>
      <w:szCs w:val="20"/>
    </w:rPr>
  </w:style>
  <w:style w:type="paragraph" w:styleId="877">
    <w:name w:val="Plain Text"/>
    <w:basedOn w:val="859"/>
    <w:link w:val="907"/>
    <w:uiPriority w:val="0"/>
    <w:qFormat/>
    <w:rPr>
      <w:rFonts w:ascii="宋体" w:hAnsi="Courier New"/>
      <w:sz w:val="20"/>
      <w:szCs w:val="21"/>
    </w:rPr>
  </w:style>
  <w:style w:type="paragraph" w:styleId="878">
    <w:name w:val="Date"/>
    <w:basedOn w:val="859"/>
    <w:next w:val="859"/>
    <w:link w:val="908"/>
    <w:uiPriority w:val="0"/>
    <w:qFormat/>
    <w:rPr>
      <w:sz w:val="24"/>
      <w:szCs w:val="20"/>
    </w:rPr>
  </w:style>
  <w:style w:type="paragraph" w:styleId="879">
    <w:name w:val="Body Text Indent 2"/>
    <w:basedOn w:val="859"/>
    <w:link w:val="909"/>
    <w:uiPriority w:val="0"/>
    <w:qFormat/>
    <w:pPr>
      <w:ind w:firstLine="560"/>
      <w:spacing w:line="500" w:lineRule="exact"/>
    </w:pPr>
    <w:rPr>
      <w:rFonts w:eastAsia="仿宋_GB2312"/>
      <w:sz w:val="28"/>
      <w:szCs w:val="20"/>
    </w:rPr>
  </w:style>
  <w:style w:type="paragraph" w:styleId="880">
    <w:name w:val="Balloon Text"/>
    <w:basedOn w:val="859"/>
    <w:link w:val="910"/>
    <w:uiPriority w:val="0"/>
    <w:semiHidden/>
    <w:qFormat/>
    <w:rPr>
      <w:sz w:val="18"/>
      <w:szCs w:val="18"/>
    </w:rPr>
  </w:style>
  <w:style w:type="paragraph" w:styleId="881">
    <w:name w:val="Footer"/>
    <w:basedOn w:val="859"/>
    <w:link w:val="911"/>
    <w:uiPriority w:val="99"/>
    <w:qFormat/>
    <w:pPr>
      <w:jc w:val="left"/>
      <w:tabs>
        <w:tab w:val="center" w:pos="4153" w:leader="none"/>
        <w:tab w:val="right" w:pos="8306" w:leader="none"/>
      </w:tabs>
    </w:pPr>
    <w:rPr>
      <w:sz w:val="18"/>
      <w:szCs w:val="20"/>
    </w:rPr>
  </w:style>
  <w:style w:type="paragraph" w:styleId="882">
    <w:name w:val="Header"/>
    <w:basedOn w:val="859"/>
    <w:link w:val="912"/>
    <w:uiPriority w:val="0"/>
    <w:qFormat/>
    <w:pPr>
      <w:jc w:val="center"/>
      <w:tabs>
        <w:tab w:val="center" w:pos="4153" w:leader="none"/>
        <w:tab w:val="right" w:pos="8306" w:leader="none"/>
      </w:tabs>
      <w:pBdr>
        <w:bottom w:val="single" w:color="auto" w:sz="6" w:space="1"/>
      </w:pBdr>
    </w:pPr>
    <w:rPr>
      <w:sz w:val="18"/>
      <w:szCs w:val="18"/>
    </w:rPr>
  </w:style>
  <w:style w:type="paragraph" w:styleId="883">
    <w:name w:val="List"/>
    <w:basedOn w:val="859"/>
    <w:uiPriority w:val="0"/>
    <w:qFormat/>
    <w:pPr>
      <w:ind w:left="200" w:hanging="200"/>
    </w:pPr>
  </w:style>
  <w:style w:type="paragraph" w:styleId="884">
    <w:name w:val="Body Text Indent 3"/>
    <w:basedOn w:val="859"/>
    <w:link w:val="914"/>
    <w:uiPriority w:val="0"/>
    <w:qFormat/>
    <w:pPr>
      <w:ind w:left="420"/>
      <w:spacing w:after="120"/>
    </w:pPr>
    <w:rPr>
      <w:sz w:val="16"/>
      <w:szCs w:val="16"/>
    </w:rPr>
  </w:style>
  <w:style w:type="paragraph" w:styleId="885">
    <w:name w:val="Body Text 2"/>
    <w:basedOn w:val="859"/>
    <w:link w:val="915"/>
    <w:uiPriority w:val="0"/>
    <w:qFormat/>
    <w:rPr>
      <w:b/>
      <w:bCs/>
      <w:sz w:val="18"/>
    </w:rPr>
  </w:style>
  <w:style w:type="paragraph" w:styleId="886">
    <w:name w:val="Normal (Web)"/>
    <w:basedOn w:val="859"/>
    <w:uiPriority w:val="0"/>
    <w:qFormat/>
    <w:pPr>
      <w:jc w:val="left"/>
      <w:spacing w:before="100" w:beforeAutospacing="1" w:after="100" w:afterAutospacing="1"/>
      <w:widowControl/>
    </w:pPr>
    <w:rPr>
      <w:rFonts w:ascii="宋体" w:hAnsi="宋体"/>
      <w:color w:val="000000"/>
      <w:sz w:val="24"/>
    </w:rPr>
  </w:style>
  <w:style w:type="table" w:styleId="887">
    <w:name w:val="Table Grid"/>
    <w:basedOn w:val="8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8">
    <w:name w:val="Strong"/>
    <w:uiPriority w:val="0"/>
    <w:qFormat/>
    <w:rPr>
      <w:b/>
      <w:bCs/>
    </w:rPr>
  </w:style>
  <w:style w:type="character" w:styleId="889">
    <w:name w:val="page number"/>
    <w:uiPriority w:val="0"/>
    <w:qFormat/>
  </w:style>
  <w:style w:type="character" w:styleId="890">
    <w:name w:val="FollowedHyperlink"/>
    <w:uiPriority w:val="0"/>
    <w:qFormat/>
    <w:rPr>
      <w:color w:val="800080"/>
      <w:u w:val="single"/>
    </w:rPr>
  </w:style>
  <w:style w:type="character" w:styleId="891">
    <w:name w:val="Emphasis"/>
    <w:uiPriority w:val="0"/>
    <w:qFormat/>
    <w:rPr>
      <w:i/>
    </w:rPr>
  </w:style>
  <w:style w:type="character" w:styleId="892">
    <w:name w:val="Hyperlink"/>
    <w:uiPriority w:val="0"/>
    <w:qFormat/>
    <w:rPr>
      <w:color w:val="0000ff"/>
      <w:u w:val="single"/>
    </w:rPr>
  </w:style>
  <w:style w:type="character" w:styleId="893" w:customStyle="1">
    <w:name w:val="标题 1 字符"/>
    <w:link w:val="860"/>
    <w:uiPriority w:val="0"/>
    <w:qFormat/>
    <w:rPr>
      <w:rFonts w:ascii="Times New Roman" w:hAnsi="Times New Roman" w:eastAsia="宋体" w:cs="Times New Roman"/>
      <w:b/>
      <w:bCs/>
      <w:sz w:val="44"/>
      <w:szCs w:val="44"/>
    </w:rPr>
  </w:style>
  <w:style w:type="character" w:styleId="894" w:customStyle="1">
    <w:name w:val="标题 2 字符"/>
    <w:link w:val="861"/>
    <w:uiPriority w:val="0"/>
    <w:qFormat/>
    <w:rPr>
      <w:rFonts w:ascii="Arial" w:hAnsi="Arial" w:eastAsia="黑体" w:cs="Times New Roman"/>
      <w:b/>
      <w:bCs/>
      <w:sz w:val="32"/>
      <w:szCs w:val="32"/>
    </w:rPr>
  </w:style>
  <w:style w:type="character" w:styleId="895" w:customStyle="1">
    <w:name w:val="标题 3 字符"/>
    <w:link w:val="862"/>
    <w:uiPriority w:val="0"/>
    <w:qFormat/>
    <w:rPr>
      <w:rFonts w:ascii="Times New Roman" w:hAnsi="Times New Roman" w:eastAsia="宋体" w:cs="Times New Roman"/>
      <w:b/>
      <w:bCs/>
      <w:sz w:val="32"/>
      <w:szCs w:val="32"/>
    </w:rPr>
  </w:style>
  <w:style w:type="character" w:styleId="896" w:customStyle="1">
    <w:name w:val="标题 4 字符"/>
    <w:link w:val="863"/>
    <w:uiPriority w:val="0"/>
    <w:qFormat/>
    <w:rPr>
      <w:rFonts w:ascii="Times New Roman" w:hAnsi="Times New Roman" w:eastAsia="新宋体" w:cs="Times New Roman"/>
      <w:sz w:val="30"/>
      <w:szCs w:val="21"/>
    </w:rPr>
  </w:style>
  <w:style w:type="character" w:styleId="897" w:customStyle="1">
    <w:name w:val="标题 5 字符"/>
    <w:link w:val="864"/>
    <w:uiPriority w:val="0"/>
    <w:qFormat/>
    <w:rPr>
      <w:rFonts w:ascii="Times New Roman" w:hAnsi="Times New Roman" w:eastAsia="宋体" w:cs="Times New Roman"/>
      <w:b/>
      <w:bCs/>
      <w:sz w:val="28"/>
      <w:szCs w:val="28"/>
    </w:rPr>
  </w:style>
  <w:style w:type="character" w:styleId="898" w:customStyle="1">
    <w:name w:val="标题 6 字符"/>
    <w:link w:val="865"/>
    <w:uiPriority w:val="0"/>
    <w:qFormat/>
    <w:rPr>
      <w:rFonts w:ascii="Times New Roman" w:hAnsi="Times New Roman" w:eastAsia="宋体" w:cs="Times New Roman"/>
      <w:b/>
      <w:sz w:val="44"/>
      <w:szCs w:val="20"/>
    </w:rPr>
  </w:style>
  <w:style w:type="character" w:styleId="899" w:customStyle="1">
    <w:name w:val="正文缩进 字符"/>
    <w:link w:val="872"/>
    <w:uiPriority w:val="0"/>
    <w:qFormat/>
    <w:rPr>
      <w:rFonts w:ascii="Times New Roman" w:hAnsi="Times New Roman" w:eastAsia="宋体" w:cs="Times New Roman"/>
      <w:sz w:val="20"/>
      <w:szCs w:val="20"/>
    </w:rPr>
  </w:style>
  <w:style w:type="character" w:styleId="900" w:customStyle="1">
    <w:name w:val="标题 7 字符"/>
    <w:link w:val="866"/>
    <w:uiPriority w:val="0"/>
    <w:qFormat/>
    <w:rPr>
      <w:rFonts w:ascii="Times New Roman" w:hAnsi="Times New Roman" w:eastAsia="宋体" w:cs="Times New Roman"/>
      <w:b/>
      <w:bCs/>
      <w:sz w:val="24"/>
      <w:szCs w:val="24"/>
    </w:rPr>
  </w:style>
  <w:style w:type="character" w:styleId="901" w:customStyle="1">
    <w:name w:val="标题 8 字符"/>
    <w:link w:val="867"/>
    <w:uiPriority w:val="0"/>
    <w:qFormat/>
    <w:rPr>
      <w:rFonts w:ascii="Arial" w:hAnsi="Arial" w:eastAsia="黑体" w:cs="Times New Roman"/>
      <w:sz w:val="24"/>
      <w:szCs w:val="24"/>
    </w:rPr>
  </w:style>
  <w:style w:type="character" w:styleId="902" w:customStyle="1">
    <w:name w:val="标题 9 字符"/>
    <w:link w:val="868"/>
    <w:uiPriority w:val="0"/>
    <w:qFormat/>
    <w:rPr>
      <w:rFonts w:ascii="Arial" w:hAnsi="Arial" w:eastAsia="黑体" w:cs="Times New Roman"/>
      <w:sz w:val="24"/>
      <w:szCs w:val="21"/>
    </w:rPr>
  </w:style>
  <w:style w:type="character" w:styleId="903" w:customStyle="1">
    <w:name w:val="文档结构图 字符"/>
    <w:link w:val="873"/>
    <w:uiPriority w:val="0"/>
    <w:semiHidden/>
    <w:qFormat/>
    <w:rPr>
      <w:szCs w:val="24"/>
      <w:shd w:val="clear" w:color="auto" w:fill="000080"/>
    </w:rPr>
  </w:style>
  <w:style w:type="character" w:styleId="904" w:customStyle="1">
    <w:name w:val="正文文本 3 字符"/>
    <w:link w:val="874"/>
    <w:uiPriority w:val="0"/>
    <w:qFormat/>
    <w:rPr>
      <w:rFonts w:ascii="Times New Roman" w:hAnsi="Times New Roman" w:eastAsia="宋体" w:cs="Times New Roman"/>
      <w:sz w:val="16"/>
      <w:szCs w:val="16"/>
    </w:rPr>
  </w:style>
  <w:style w:type="character" w:styleId="905" w:customStyle="1">
    <w:name w:val="正文文本 字符"/>
    <w:link w:val="875"/>
    <w:uiPriority w:val="0"/>
    <w:qFormat/>
    <w:rPr>
      <w:rFonts w:ascii="仿宋_GB2312" w:hAnsi="Times New Roman" w:eastAsia="仿宋_GB2312" w:cs="Times New Roman"/>
      <w:sz w:val="24"/>
      <w:szCs w:val="20"/>
    </w:rPr>
  </w:style>
  <w:style w:type="character" w:styleId="906" w:customStyle="1">
    <w:name w:val="正文文本缩进 字符"/>
    <w:link w:val="876"/>
    <w:uiPriority w:val="0"/>
    <w:qFormat/>
    <w:rPr>
      <w:rFonts w:ascii="仿宋_GB2312" w:hAnsi="Times New Roman" w:eastAsia="仿宋_GB2312" w:cs="Times New Roman"/>
      <w:sz w:val="28"/>
      <w:szCs w:val="20"/>
    </w:rPr>
  </w:style>
  <w:style w:type="character" w:styleId="907" w:customStyle="1">
    <w:name w:val="纯文本 字符"/>
    <w:link w:val="877"/>
    <w:uiPriority w:val="0"/>
    <w:qFormat/>
    <w:rPr>
      <w:rFonts w:ascii="宋体" w:hAnsi="Courier New" w:eastAsia="宋体" w:cs="Courier New"/>
      <w:szCs w:val="21"/>
    </w:rPr>
  </w:style>
  <w:style w:type="character" w:styleId="908" w:customStyle="1">
    <w:name w:val="日期 字符"/>
    <w:link w:val="878"/>
    <w:uiPriority w:val="0"/>
    <w:qFormat/>
    <w:rPr>
      <w:rFonts w:ascii="Times New Roman" w:hAnsi="Times New Roman" w:eastAsia="宋体" w:cs="Times New Roman"/>
      <w:sz w:val="24"/>
      <w:szCs w:val="20"/>
    </w:rPr>
  </w:style>
  <w:style w:type="character" w:styleId="909" w:customStyle="1">
    <w:name w:val="正文文本缩进 2 字符"/>
    <w:link w:val="879"/>
    <w:uiPriority w:val="0"/>
    <w:qFormat/>
    <w:rPr>
      <w:rFonts w:ascii="Times New Roman" w:hAnsi="Times New Roman" w:eastAsia="仿宋_GB2312" w:cs="Times New Roman"/>
      <w:sz w:val="28"/>
      <w:szCs w:val="20"/>
    </w:rPr>
  </w:style>
  <w:style w:type="character" w:styleId="910" w:customStyle="1">
    <w:name w:val="批注框文本 字符"/>
    <w:link w:val="880"/>
    <w:uiPriority w:val="0"/>
    <w:semiHidden/>
    <w:qFormat/>
    <w:rPr>
      <w:sz w:val="18"/>
      <w:szCs w:val="18"/>
    </w:rPr>
  </w:style>
  <w:style w:type="character" w:styleId="911" w:customStyle="1">
    <w:name w:val="页脚 字符"/>
    <w:link w:val="881"/>
    <w:uiPriority w:val="99"/>
    <w:qFormat/>
    <w:rPr>
      <w:rFonts w:ascii="Times New Roman" w:hAnsi="Times New Roman" w:eastAsia="宋体" w:cs="Times New Roman"/>
      <w:sz w:val="18"/>
      <w:szCs w:val="20"/>
    </w:rPr>
  </w:style>
  <w:style w:type="character" w:styleId="912" w:customStyle="1">
    <w:name w:val="页眉 字符"/>
    <w:link w:val="882"/>
    <w:uiPriority w:val="0"/>
    <w:qFormat/>
    <w:rPr>
      <w:rFonts w:ascii="Times New Roman" w:hAnsi="Times New Roman" w:eastAsia="宋体" w:cs="Times New Roman"/>
      <w:sz w:val="18"/>
      <w:szCs w:val="18"/>
    </w:rPr>
  </w:style>
  <w:style w:type="paragraph" w:styleId="913" w:customStyle="1">
    <w:name w:val="目录 11"/>
    <w:basedOn w:val="859"/>
    <w:next w:val="859"/>
    <w:uiPriority w:val="0"/>
    <w:semiHidden/>
    <w:qFormat/>
    <w:rPr>
      <w:sz w:val="24"/>
    </w:rPr>
  </w:style>
  <w:style w:type="character" w:styleId="914" w:customStyle="1">
    <w:name w:val="正文文本缩进 3 字符"/>
    <w:link w:val="884"/>
    <w:uiPriority w:val="0"/>
    <w:qFormat/>
    <w:rPr>
      <w:rFonts w:ascii="Times New Roman" w:hAnsi="Times New Roman" w:eastAsia="宋体" w:cs="Times New Roman"/>
      <w:sz w:val="16"/>
      <w:szCs w:val="16"/>
    </w:rPr>
  </w:style>
  <w:style w:type="character" w:styleId="915" w:customStyle="1">
    <w:name w:val="正文文本 2 字符"/>
    <w:link w:val="885"/>
    <w:uiPriority w:val="0"/>
    <w:qFormat/>
    <w:rPr>
      <w:rFonts w:ascii="Times New Roman" w:hAnsi="Times New Roman" w:eastAsia="宋体" w:cs="Times New Roman"/>
      <w:b/>
      <w:bCs/>
      <w:sz w:val="18"/>
      <w:szCs w:val="24"/>
    </w:rPr>
  </w:style>
  <w:style w:type="paragraph" w:styleId="916" w:customStyle="1">
    <w:name w:val="正文首行缩进1"/>
    <w:basedOn w:val="875"/>
    <w:link w:val="917"/>
    <w:uiPriority w:val="0"/>
    <w:qFormat/>
    <w:pPr>
      <w:ind w:firstLine="420"/>
      <w:spacing w:after="120"/>
    </w:pPr>
    <w:rPr>
      <w:rFonts w:ascii="Times New Roman" w:eastAsia="宋体"/>
      <w:szCs w:val="24"/>
    </w:rPr>
  </w:style>
  <w:style w:type="character" w:styleId="917" w:customStyle="1">
    <w:name w:val="正文首行缩进 Char"/>
    <w:link w:val="916"/>
    <w:uiPriority w:val="0"/>
    <w:qFormat/>
    <w:rPr>
      <w:rFonts w:ascii="Times New Roman" w:hAnsi="Times New Roman" w:eastAsia="宋体" w:cs="Times New Roman"/>
      <w:sz w:val="24"/>
      <w:szCs w:val="24"/>
    </w:rPr>
  </w:style>
  <w:style w:type="character" w:styleId="918" w:customStyle="1">
    <w:name w:val="列出段落 Char"/>
    <w:link w:val="919"/>
    <w:uiPriority w:val="99"/>
    <w:qFormat/>
  </w:style>
  <w:style w:type="paragraph" w:styleId="919" w:customStyle="1">
    <w:name w:val="列出段落"/>
    <w:basedOn w:val="859"/>
    <w:link w:val="918"/>
    <w:uiPriority w:val="99"/>
    <w:qFormat/>
    <w:pPr>
      <w:ind w:firstLine="420"/>
    </w:pPr>
    <w:rPr>
      <w:sz w:val="20"/>
      <w:szCs w:val="20"/>
    </w:rPr>
  </w:style>
  <w:style w:type="character" w:styleId="920" w:customStyle="1">
    <w:name w:val="文档结构图 Char1"/>
    <w:uiPriority w:val="99"/>
    <w:semiHidden/>
    <w:qFormat/>
    <w:rPr>
      <w:rFonts w:ascii="宋体" w:hAnsi="Times New Roman" w:eastAsia="宋体" w:cs="Times New Roman"/>
      <w:sz w:val="18"/>
      <w:szCs w:val="18"/>
    </w:rPr>
  </w:style>
  <w:style w:type="character" w:styleId="921" w:customStyle="1">
    <w:name w:val="普通正文 Char"/>
    <w:link w:val="922"/>
    <w:uiPriority w:val="0"/>
    <w:qFormat/>
    <w:rPr>
      <w:rFonts w:ascii="Arial" w:hAnsi="Arial"/>
      <w:sz w:val="24"/>
      <w:szCs w:val="24"/>
    </w:rPr>
  </w:style>
  <w:style w:type="paragraph" w:styleId="922" w:customStyle="1">
    <w:name w:val="普通正文"/>
    <w:basedOn w:val="859"/>
    <w:link w:val="921"/>
    <w:uiPriority w:val="0"/>
    <w:qFormat/>
    <w:pPr>
      <w:ind w:left="-2" w:right="120" w:firstLine="480"/>
      <w:jc w:val="center"/>
      <w:spacing w:before="120" w:after="120" w:line="360" w:lineRule="auto"/>
    </w:pPr>
    <w:rPr>
      <w:rFonts w:ascii="Arial" w:hAnsi="Arial"/>
      <w:sz w:val="24"/>
    </w:rPr>
  </w:style>
  <w:style w:type="character" w:styleId="923" w:customStyle="1">
    <w:name w:val="FA正文 Char"/>
    <w:link w:val="924"/>
    <w:uiPriority w:val="0"/>
    <w:qFormat/>
    <w:rPr>
      <w:rFonts w:ascii="宋体" w:hAnsi="宋体" w:eastAsia="宋体" w:cs="Times New Roman"/>
      <w:sz w:val="28"/>
      <w:szCs w:val="28"/>
    </w:rPr>
  </w:style>
  <w:style w:type="paragraph" w:styleId="924" w:customStyle="1">
    <w:name w:val="FA正文"/>
    <w:basedOn w:val="859"/>
    <w:link w:val="923"/>
    <w:uiPriority w:val="0"/>
    <w:qFormat/>
    <w:pPr>
      <w:ind w:firstLine="538"/>
      <w:spacing w:line="440" w:lineRule="atLeast"/>
      <w:tabs>
        <w:tab w:val="left" w:pos="3375" w:leader="none"/>
      </w:tabs>
    </w:pPr>
    <w:rPr>
      <w:rFonts w:ascii="宋体" w:hAnsi="宋体"/>
      <w:sz w:val="28"/>
      <w:szCs w:val="28"/>
    </w:rPr>
  </w:style>
  <w:style w:type="character" w:styleId="925" w:customStyle="1">
    <w:name w:val="正文缩进2格 Char"/>
    <w:link w:val="926"/>
    <w:uiPriority w:val="0"/>
    <w:qFormat/>
    <w:rPr>
      <w:rFonts w:ascii="仿宋_GB2312" w:hAnsi="宋体" w:eastAsia="仿宋_GB2312" w:cs="Times New Roman"/>
      <w:sz w:val="31"/>
      <w:szCs w:val="28"/>
    </w:rPr>
  </w:style>
  <w:style w:type="paragraph" w:styleId="926" w:customStyle="1">
    <w:name w:val="正文缩进2格"/>
    <w:basedOn w:val="859"/>
    <w:link w:val="925"/>
    <w:uiPriority w:val="0"/>
    <w:qFormat/>
    <w:pPr>
      <w:ind w:firstLine="639"/>
      <w:spacing w:line="600" w:lineRule="exact"/>
    </w:pPr>
    <w:rPr>
      <w:rFonts w:ascii="仿宋_GB2312" w:hAnsi="宋体" w:eastAsia="仿宋_GB2312"/>
      <w:sz w:val="31"/>
      <w:szCs w:val="28"/>
    </w:rPr>
  </w:style>
  <w:style w:type="character" w:styleId="927" w:customStyle="1">
    <w:name w:val="cn_text1"/>
    <w:uiPriority w:val="0"/>
    <w:qFormat/>
    <w:rPr>
      <w:rFonts w:hint="default" w:ascii="ˎ̥" w:hAnsi="ˎ̥"/>
      <w:color w:val="003399"/>
      <w:spacing w:val="15"/>
      <w:sz w:val="18"/>
      <w:szCs w:val="18"/>
    </w:rPr>
  </w:style>
  <w:style w:type="character" w:styleId="928" w:customStyle="1">
    <w:name w:val="ssss Char"/>
    <w:uiPriority w:val="0"/>
    <w:qFormat/>
    <w:rPr>
      <w:rFonts w:eastAsia="宋体"/>
      <w:sz w:val="24"/>
      <w:szCs w:val="24"/>
      <w:lang w:val="en-US" w:eastAsia="zh-CN" w:bidi="ar-SA"/>
    </w:rPr>
  </w:style>
  <w:style w:type="character" w:styleId="929" w:customStyle="1">
    <w:name w:val="ssss Char1"/>
    <w:link w:val="930"/>
    <w:uiPriority w:val="0"/>
    <w:qFormat/>
    <w:rPr>
      <w:rFonts w:ascii="Times New Roman" w:hAnsi="Times New Roman" w:eastAsia="宋体" w:cs="Times New Roman"/>
      <w:sz w:val="24"/>
      <w:szCs w:val="24"/>
    </w:rPr>
  </w:style>
  <w:style w:type="paragraph" w:styleId="930" w:customStyle="1">
    <w:name w:val="ssss"/>
    <w:basedOn w:val="859"/>
    <w:link w:val="929"/>
    <w:uiPriority w:val="0"/>
    <w:qFormat/>
    <w:pPr>
      <w:ind w:firstLine="480"/>
      <w:spacing w:line="360" w:lineRule="auto"/>
    </w:pPr>
    <w:rPr>
      <w:sz w:val="24"/>
    </w:rPr>
  </w:style>
  <w:style w:type="character" w:styleId="931" w:customStyle="1">
    <w:name w:val="标题 4 Char1"/>
    <w:uiPriority w:val="0"/>
    <w:qFormat/>
    <w:rPr>
      <w:rFonts w:ascii="Arial" w:hAnsi="Arial" w:eastAsia="黑体"/>
      <w:b/>
      <w:bCs/>
      <w:sz w:val="28"/>
      <w:szCs w:val="28"/>
      <w:lang w:val="en-US" w:eastAsia="zh-CN" w:bidi="ar-SA"/>
    </w:rPr>
  </w:style>
  <w:style w:type="character" w:styleId="932" w:customStyle="1">
    <w:name w:val="列表段落 字符"/>
    <w:uiPriority w:val="34"/>
    <w:qFormat/>
    <w:rPr>
      <w:rFonts w:ascii="Calibri" w:hAnsi="Calibri"/>
      <w:sz w:val="21"/>
      <w:szCs w:val="22"/>
    </w:rPr>
  </w:style>
  <w:style w:type="character" w:styleId="933" w:customStyle="1">
    <w:name w:val="批注框文本 Char1"/>
    <w:uiPriority w:val="99"/>
    <w:semiHidden/>
    <w:qFormat/>
    <w:rPr>
      <w:rFonts w:ascii="Times New Roman" w:hAnsi="Times New Roman" w:eastAsia="宋体" w:cs="Times New Roman"/>
      <w:sz w:val="18"/>
      <w:szCs w:val="18"/>
    </w:rPr>
  </w:style>
  <w:style w:type="character" w:styleId="934" w:customStyle="1">
    <w:name w:val="样式 ssss + 宋体 五号1 Char"/>
    <w:link w:val="935"/>
    <w:uiPriority w:val="0"/>
    <w:qFormat/>
    <w:rPr>
      <w:rFonts w:ascii="宋体" w:hAnsi="宋体" w:eastAsia="宋体" w:cs="Times New Roman"/>
      <w:sz w:val="24"/>
      <w:szCs w:val="24"/>
    </w:rPr>
  </w:style>
  <w:style w:type="paragraph" w:styleId="935" w:customStyle="1">
    <w:name w:val="样式 ssss + 宋体 五号1"/>
    <w:basedOn w:val="930"/>
    <w:link w:val="934"/>
    <w:uiPriority w:val="0"/>
    <w:qFormat/>
    <w:rPr>
      <w:rFonts w:ascii="宋体" w:hAnsi="宋体"/>
    </w:rPr>
  </w:style>
  <w:style w:type="character" w:styleId="936" w:customStyle="1">
    <w:name w:val="point_normal1"/>
    <w:uiPriority w:val="0"/>
    <w:qFormat/>
    <w:rPr>
      <w:rFonts w:hint="default" w:ascii="Arial" w:hAnsi="Arial" w:cs="Arial"/>
      <w:sz w:val="16"/>
      <w:szCs w:val="16"/>
    </w:rPr>
  </w:style>
  <w:style w:type="paragraph" w:styleId="937" w:customStyle="1">
    <w:name w:val="样式 正文文本缩进 3 + 四号"/>
    <w:basedOn w:val="884"/>
    <w:uiPriority w:val="0"/>
    <w:qFormat/>
    <w:pPr>
      <w:ind w:left="0" w:firstLine="437"/>
      <w:spacing w:after="0" w:line="360" w:lineRule="auto"/>
    </w:pPr>
    <w:rPr>
      <w:sz w:val="24"/>
      <w:szCs w:val="21"/>
    </w:rPr>
  </w:style>
  <w:style w:type="paragraph" w:styleId="938" w:customStyle="1">
    <w:name w:val="2cxsplast"/>
    <w:basedOn w:val="859"/>
    <w:uiPriority w:val="0"/>
    <w:qFormat/>
    <w:pPr>
      <w:jc w:val="left"/>
      <w:spacing w:before="100" w:beforeAutospacing="1" w:after="100" w:afterAutospacing="1"/>
      <w:widowControl/>
    </w:pPr>
    <w:rPr>
      <w:rFonts w:ascii="宋体" w:hAnsi="宋体" w:cs="宋体"/>
      <w:sz w:val="24"/>
    </w:rPr>
  </w:style>
  <w:style w:type="paragraph" w:styleId="939" w:customStyle="1">
    <w:name w:val="ec_msonormal"/>
    <w:basedOn w:val="859"/>
    <w:uiPriority w:val="0"/>
    <w:qFormat/>
    <w:pPr>
      <w:jc w:val="left"/>
      <w:spacing w:before="100" w:beforeAutospacing="1" w:after="100" w:afterAutospacing="1"/>
      <w:widowControl/>
    </w:pPr>
    <w:rPr>
      <w:rFonts w:ascii="宋体" w:hAnsi="宋体"/>
      <w:sz w:val="24"/>
    </w:rPr>
  </w:style>
  <w:style w:type="paragraph" w:styleId="940" w:customStyle="1">
    <w:name w:val="Char Char Char Char"/>
    <w:basedOn w:val="859"/>
    <w:uiPriority w:val="0"/>
    <w:qFormat/>
    <w:rPr>
      <w:rFonts w:ascii="Tahoma" w:hAnsi="Tahoma"/>
      <w:sz w:val="24"/>
      <w:szCs w:val="20"/>
    </w:rPr>
  </w:style>
  <w:style w:type="paragraph" w:styleId="941" w:customStyle="1">
    <w:name w:val="Char Char Char Char Char Char Char Char Char Char Char Char Char"/>
    <w:basedOn w:val="859"/>
    <w:uiPriority w:val="0"/>
    <w:qFormat/>
  </w:style>
  <w:style w:type="paragraph" w:styleId="942" w:customStyle="1">
    <w:name w:val="表格正文"/>
    <w:basedOn w:val="859"/>
    <w:uiPriority w:val="0"/>
    <w:qFormat/>
    <w:pPr>
      <w:jc w:val="left"/>
      <w:spacing w:line="360" w:lineRule="auto"/>
    </w:pPr>
    <w:rPr>
      <w:rFonts w:ascii="Calibri" w:hAnsi="Calibri"/>
      <w:color w:val="000000"/>
      <w:szCs w:val="28"/>
    </w:rPr>
  </w:style>
  <w:style w:type="paragraph" w:styleId="943"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944" w:customStyle="1">
    <w:name w:val="Char Char Char Char1"/>
    <w:basedOn w:val="859"/>
    <w:uiPriority w:val="0"/>
    <w:qFormat/>
    <w:rPr>
      <w:rFonts w:ascii="Tahoma" w:hAnsi="Tahoma"/>
      <w:sz w:val="24"/>
      <w:szCs w:val="20"/>
    </w:rPr>
  </w:style>
  <w:style w:type="paragraph" w:styleId="945" w:customStyle="1">
    <w:name w:val="Char Char Char"/>
    <w:basedOn w:val="859"/>
    <w:uiPriority w:val="0"/>
    <w:qFormat/>
    <w:rPr>
      <w:rFonts w:ascii="Tahoma" w:hAnsi="Tahoma"/>
      <w:sz w:val="24"/>
      <w:szCs w:val="20"/>
    </w:rPr>
  </w:style>
  <w:style w:type="paragraph" w:styleId="946" w:customStyle="1">
    <w:name w:val="标题-----3"/>
    <w:basedOn w:val="862"/>
    <w:uiPriority w:val="0"/>
    <w:qFormat/>
    <w:pPr>
      <w:spacing w:before="0" w:after="0" w:line="240" w:lineRule="auto"/>
      <w:outlineLvl w:val="0"/>
    </w:pPr>
    <w:rPr>
      <w:rFonts w:ascii="宋体" w:hAnsi="宋体"/>
      <w:b w:val="0"/>
      <w:bCs w:val="0"/>
      <w:sz w:val="28"/>
      <w:szCs w:val="28"/>
    </w:rPr>
  </w:style>
  <w:style w:type="paragraph" w:styleId="947" w:customStyle="1">
    <w:name w:val="样式 ssss + 居中"/>
    <w:basedOn w:val="930"/>
    <w:uiPriority w:val="0"/>
    <w:qFormat/>
    <w:pPr>
      <w:jc w:val="center"/>
    </w:pPr>
    <w:rPr>
      <w:rFonts w:cs="宋体"/>
      <w:szCs w:val="20"/>
    </w:rPr>
  </w:style>
  <w:style w:type="paragraph" w:styleId="948" w:customStyle="1">
    <w:name w:val="样式 宋体 四号 黑色 左侧:  0.74 厘米 首行缩进:  0.74 厘米 行距: 1.5 倍行距"/>
    <w:basedOn w:val="859"/>
    <w:uiPriority w:val="0"/>
    <w:qFormat/>
    <w:pPr>
      <w:ind w:firstLine="420"/>
      <w:spacing w:line="360" w:lineRule="auto"/>
    </w:pPr>
    <w:rPr>
      <w:rFonts w:ascii="宋体"/>
      <w:color w:val="000000"/>
      <w:sz w:val="24"/>
      <w:szCs w:val="21"/>
    </w:rPr>
  </w:style>
  <w:style w:type="paragraph" w:styleId="949" w:customStyle="1">
    <w:name w:val="样式 样式 ssss + 宋体 五号 + 首行缩进:  2 字符"/>
    <w:basedOn w:val="950"/>
    <w:uiPriority w:val="0"/>
    <w:qFormat/>
    <w:pPr>
      <w:ind w:firstLine="480"/>
    </w:pPr>
  </w:style>
  <w:style w:type="paragraph" w:styleId="950" w:customStyle="1">
    <w:name w:val="样式 ssss + 宋体 五号"/>
    <w:basedOn w:val="930"/>
    <w:uiPriority w:val="0"/>
    <w:qFormat/>
    <w:pPr>
      <w:ind w:firstLine="420"/>
    </w:pPr>
    <w:rPr>
      <w:rFonts w:ascii="宋体" w:hAnsi="宋体" w:cs="宋体"/>
      <w:szCs w:val="20"/>
    </w:rPr>
  </w:style>
  <w:style w:type="paragraph" w:styleId="951" w:customStyle="1">
    <w:name w:val="msonormalcxsplast"/>
    <w:basedOn w:val="859"/>
    <w:uiPriority w:val="0"/>
    <w:qFormat/>
    <w:pPr>
      <w:jc w:val="left"/>
      <w:spacing w:before="100" w:beforeAutospacing="1" w:after="100" w:afterAutospacing="1"/>
      <w:widowControl/>
    </w:pPr>
    <w:rPr>
      <w:rFonts w:ascii="宋体" w:hAnsi="宋体" w:cs="宋体"/>
      <w:sz w:val="24"/>
    </w:rPr>
  </w:style>
  <w:style w:type="paragraph" w:styleId="952" w:customStyle="1">
    <w:name w:val="Char"/>
    <w:basedOn w:val="859"/>
    <w:uiPriority w:val="0"/>
    <w:qFormat/>
    <w:rPr>
      <w:rFonts w:ascii="Tahoma" w:hAnsi="Tahoma"/>
      <w:sz w:val="24"/>
      <w:szCs w:val="20"/>
    </w:rPr>
  </w:style>
  <w:style w:type="paragraph" w:styleId="953" w:customStyle="1">
    <w:name w:val="xl25"/>
    <w:basedOn w:val="859"/>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54" w:customStyle="1">
    <w:name w:val="标题------4"/>
    <w:basedOn w:val="863"/>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55" w:customStyle="1">
    <w:name w:val="msonormalcxspmiddle"/>
    <w:basedOn w:val="859"/>
    <w:uiPriority w:val="0"/>
    <w:qFormat/>
    <w:pPr>
      <w:jc w:val="left"/>
      <w:spacing w:before="100" w:beforeAutospacing="1" w:after="100" w:afterAutospacing="1"/>
      <w:widowControl/>
    </w:pPr>
    <w:rPr>
      <w:rFonts w:ascii="宋体" w:hAnsi="宋体" w:cs="宋体"/>
      <w:sz w:val="24"/>
    </w:rPr>
  </w:style>
  <w:style w:type="paragraph" w:styleId="956" w:customStyle="1">
    <w:name w:val="Char Char Char Char Char Char Char Char Char Char Char Char Char1"/>
    <w:basedOn w:val="859"/>
    <w:uiPriority w:val="0"/>
    <w:qFormat/>
    <w:rPr>
      <w:sz w:val="24"/>
    </w:rPr>
  </w:style>
  <w:style w:type="paragraph" w:styleId="957" w:customStyle="1">
    <w:name w:val="表格"/>
    <w:basedOn w:val="859"/>
    <w:uiPriority w:val="0"/>
    <w:qFormat/>
    <w:rPr>
      <w:rFonts w:ascii="Arial" w:hAnsi="Arial"/>
      <w:sz w:val="24"/>
    </w:rPr>
  </w:style>
  <w:style w:type="paragraph" w:styleId="958" w:customStyle="1">
    <w:name w:val="正文样式1"/>
    <w:basedOn w:val="859"/>
    <w:uiPriority w:val="0"/>
    <w:qFormat/>
    <w:pPr>
      <w:ind w:firstLine="480"/>
      <w:spacing w:before="120" w:after="120" w:line="360" w:lineRule="auto"/>
    </w:pPr>
    <w:rPr>
      <w:sz w:val="24"/>
      <w:szCs w:val="20"/>
    </w:rPr>
  </w:style>
  <w:style w:type="paragraph" w:styleId="959" w:customStyle="1">
    <w:name w:val="Char Char1 Char Char Char Char Char Char"/>
    <w:basedOn w:val="859"/>
    <w:uiPriority w:val="0"/>
    <w:qFormat/>
    <w:pPr>
      <w:jc w:val="left"/>
      <w:spacing w:after="160" w:line="240" w:lineRule="exact"/>
      <w:widowControl/>
    </w:pPr>
    <w:rPr>
      <w:rFonts w:ascii="Verdana" w:hAnsi="Verdana" w:eastAsia="仿宋_GB2312"/>
      <w:sz w:val="24"/>
      <w:szCs w:val="20"/>
      <w:lang w:eastAsia="en-US"/>
    </w:rPr>
  </w:style>
  <w:style w:type="paragraph" w:styleId="960" w:customStyle="1">
    <w:name w:val="Char Char Char Char Char Char Char Char Char Char"/>
    <w:basedOn w:val="859"/>
    <w:uiPriority w:val="0"/>
    <w:qFormat/>
    <w:rPr>
      <w:rFonts w:ascii="Tahoma" w:hAnsi="Tahoma"/>
      <w:sz w:val="24"/>
      <w:szCs w:val="20"/>
    </w:rPr>
  </w:style>
  <w:style w:type="paragraph" w:styleId="961" w:customStyle="1">
    <w:name w:val="Char1"/>
    <w:basedOn w:val="859"/>
    <w:uiPriority w:val="0"/>
    <w:qFormat/>
    <w:pPr>
      <w:tabs>
        <w:tab w:val="left" w:pos="360" w:leader="none"/>
      </w:tabs>
    </w:pPr>
    <w:rPr>
      <w:sz w:val="24"/>
    </w:rPr>
  </w:style>
  <w:style w:type="paragraph" w:styleId="962" w:customStyle="1">
    <w:name w:val="标题1"/>
    <w:basedOn w:val="859"/>
    <w:next w:val="85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3" w:customStyle="1">
    <w:name w:val="Header2"/>
    <w:basedOn w:val="859"/>
    <w:uiPriority w:val="0"/>
    <w:qFormat/>
    <w:pPr>
      <w:numPr>
        <w:ilvl w:val="0"/>
        <w:numId w:val="1"/>
      </w:numPr>
    </w:pPr>
  </w:style>
  <w:style w:type="paragraph" w:styleId="964" w:customStyle="1">
    <w:name w:val="Char Char 字元 字元 字元 Char Char Char Char"/>
    <w:basedOn w:val="859"/>
    <w:uiPriority w:val="0"/>
    <w:qFormat/>
    <w:pPr>
      <w:spacing w:line="360" w:lineRule="auto"/>
    </w:pPr>
    <w:rPr>
      <w:sz w:val="24"/>
      <w:szCs w:val="20"/>
    </w:rPr>
  </w:style>
  <w:style w:type="paragraph" w:styleId="965" w:customStyle="1">
    <w:name w:val="2cxspmiddle"/>
    <w:basedOn w:val="859"/>
    <w:uiPriority w:val="0"/>
    <w:qFormat/>
    <w:pPr>
      <w:jc w:val="left"/>
      <w:spacing w:before="100" w:beforeAutospacing="1" w:after="100" w:afterAutospacing="1"/>
      <w:widowControl/>
    </w:pPr>
    <w:rPr>
      <w:rFonts w:ascii="宋体" w:hAnsi="宋体" w:cs="宋体"/>
      <w:sz w:val="24"/>
    </w:rPr>
  </w:style>
  <w:style w:type="paragraph" w:styleId="96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6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968" w:customStyle="1">
    <w:name w:val="网格型1"/>
    <w:basedOn w:val="870"/>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9" w:customStyle="1">
    <w:name w:val="列出段落1"/>
    <w:basedOn w:val="859"/>
    <w:uiPriority w:val="0"/>
    <w:qFormat/>
    <w:pPr>
      <w:ind w:firstLine="420"/>
    </w:pPr>
    <w:rPr>
      <w:rFonts w:cs="黑体"/>
      <w:szCs w:val="22"/>
    </w:rPr>
  </w:style>
  <w:style w:type="table" w:styleId="970" w:customStyle="1">
    <w:name w:val="网格型3"/>
    <w:basedOn w:val="8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1">
    <w:name w:val="List Paragraph"/>
    <w:basedOn w:val="859"/>
    <w:uiPriority w:val="99"/>
    <w:qFormat/>
    <w:pPr>
      <w:ind w:firstLine="420"/>
    </w:pPr>
  </w:style>
  <w:style w:type="table" w:styleId="972" w:customStyle="1">
    <w:name w:val="网格型2"/>
    <w:basedOn w:val="8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3" w:customStyle="1">
    <w:name w:val="Table Normal"/>
    <w:uiPriority w:val="0"/>
    <w:semiHidden/>
    <w:unhideWhenUsed/>
    <w:qFormat/>
    <w:tblPr>
      <w:tblCellMar>
        <w:left w:w="0" w:type="dxa"/>
        <w:top w:w="0" w:type="dxa"/>
        <w:right w:w="0" w:type="dxa"/>
        <w:bottom w:w="0" w:type="dxa"/>
      </w:tblCellMar>
    </w:tblPr>
  </w:style>
  <w:style w:type="paragraph" w:styleId="974" w:customStyle="1">
    <w:name w:val="[Normal]"/>
    <w:uiPriority w:val="0"/>
    <w:qFormat/>
    <w:rPr>
      <w:rFonts w:ascii="方正仿宋简体" w:hAnsi="方正仿宋简体" w:eastAsia="方正仿宋简体" w:cs="Courier New"/>
      <w:sz w:val="24"/>
      <w:szCs w:val="22"/>
      <w:lang w:val="zh-CN" w:eastAsia="zh-CN" w:bidi="ar-SA"/>
    </w:rPr>
  </w:style>
  <w:style w:type="numbering" w:styleId="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694A5487-AC97-4F79-99F4-D64DB2AF107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521340A-6ACE-40A9-899E-9B55DA77D7A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50</cp:revision>
  <dcterms:created xsi:type="dcterms:W3CDTF">2026-01-12T06:58:00Z</dcterms:created>
  <dcterms:modified xsi:type="dcterms:W3CDTF">2026-05-13T08:43:59Z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1DCC85C39B994E9FA48D6DE743E89BEA</vt:lpwstr>
  </property>
  <property fmtid="{D5CDD505-2E9C-101B-9397-08002B2CF9AE}" pid="4" name="KSOTemplateDocerSaveRecord">
    <vt:lpwstr>eyJoZGlkIjoiMTMxZTFlMDNkMDMxNzgzYmNlMmE3MzRjYjllMjRhYjMiLCJ1c2VySWQiOiI1MjQwNDAwODcifQ==</vt:lpwstr>
  </property>
</Properties>
</file>