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JSZC-321000-SWGC-G2026-0050</w:t>
      </w:r>
      <w:r>
        <w:rPr>
          <w:rFonts w:hint="eastAsia" w:ascii="宋体" w:hAnsi="宋体" w:cs="宋体"/>
          <w:b/>
          <w:bCs/>
          <w:color w:val="auto"/>
          <w:sz w:val="36"/>
          <w:highlight w:val="none"/>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t xml:space="preserve">苏北人民医院祛红激光治疗仪采购项目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8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4</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23</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96"/>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77"/>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77"/>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77"/>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18</w:t>
      </w:r>
      <w:r/>
    </w:p>
    <w:p>
      <w:pPr>
        <w:pStyle w:val="777"/>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25</w:t>
      </w:r>
      <w:r/>
    </w:p>
    <w:p>
      <w:pPr>
        <w:pStyle w:val="777"/>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36</w:t>
      </w:r>
      <w:r/>
    </w:p>
    <w:p>
      <w:pPr>
        <w:pStyle w:val="777"/>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rFonts w:hint="eastAsia"/>
          <w:color w:val="auto"/>
          <w:highlight w:val="none"/>
        </w:rPr>
        <w:t xml:space="preserve">42</w:t>
      </w:r>
      <w:r/>
    </w:p>
    <w:p>
      <w:pPr>
        <w:pStyle w:val="783"/>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53"/>
        <w:rPr>
          <w:rFonts w:hint="default" w:eastAsia="宋体"/>
          <w:color w:val="auto"/>
          <w:highlight w:val="none"/>
          <w:lang w:val="en-US" w:eastAsia="zh-CN"/>
        </w:rPr>
      </w:pPr>
      <w:r/>
      <w:bookmarkStart w:id="0" w:name="_Toc55204177"/>
      <w:r/>
      <w:bookmarkStart w:id="1" w:name="_Toc30208"/>
      <w:r>
        <w:rPr>
          <w:rFonts w:hint="eastAsia"/>
          <w:color w:val="auto"/>
          <w:highlight w:val="none"/>
        </w:rPr>
        <w:t xml:space="preserve">第一章 </w:t>
      </w:r>
      <w:bookmarkEnd w:id="0"/>
      <w:r/>
      <w:bookmarkEnd w:id="1"/>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受苏北人民医院的委托，江苏苏维工程管理有限公司就</w:t>
      </w:r>
      <w:r>
        <w:rPr>
          <w:rFonts w:hint="eastAsia" w:ascii="宋体" w:hAnsi="宋体" w:cs="宋体"/>
          <w:color w:val="auto"/>
          <w:sz w:val="21"/>
          <w:szCs w:val="21"/>
          <w:highlight w:val="none"/>
          <w:lang w:eastAsia="zh-CN"/>
        </w:rPr>
        <w:t xml:space="preserve">苏北人民医院祛红激光治疗仪采购项目</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JSZC-321000-SWGC-G2026-0050</w:t>
      </w:r>
      <w:r>
        <w:rPr>
          <w:rFonts w:hint="eastAsia" w:ascii="宋体" w:hAnsi="宋体" w:cs="宋体"/>
          <w:color w:val="auto"/>
          <w:sz w:val="21"/>
          <w:szCs w:val="21"/>
          <w:highlight w:val="none"/>
        </w:rPr>
        <w:t xml:space="preserve">号)进行公开招标采购，欢迎符合条件的供应商投标。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苏北人民医院祛红激光治疗仪采购项目JSZC-321000-SWGC-G2026-0050</w:t>
      </w:r>
      <w:r>
        <w:rPr>
          <w:rFonts w:hint="eastAsia" w:ascii="宋体" w:hAnsi="宋体" w:cs="宋体"/>
          <w:color w:val="auto"/>
          <w:sz w:val="21"/>
          <w:szCs w:val="21"/>
          <w:highlight w:val="none"/>
          <w:u w:val="single"/>
          <w:lang w:val="en-US" w:eastAsia="zh-CN"/>
        </w:rPr>
        <w:t xml:space="preserve">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“扬州市政府采购网”“江苏政府采购网”“中国政府采购网”自行免费下载</w:t>
      </w:r>
      <w:r>
        <w:rPr>
          <w:rFonts w:hint="eastAsia" w:ascii="宋体" w:hAnsi="宋体" w:cs="宋体"/>
          <w:color w:val="auto"/>
          <w:sz w:val="21"/>
          <w:szCs w:val="21"/>
          <w:highlight w:val="none"/>
          <w:u w:val="none"/>
        </w:rPr>
        <w:t xml:space="preserve"> 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5</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14</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下午3</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00</w:t>
      </w:r>
      <w:r>
        <w:rPr>
          <w:rFonts w:hint="eastAsia" w:ascii="宋体" w:hAnsi="宋体" w:cs="宋体"/>
          <w:color w:val="auto"/>
          <w:sz w:val="21"/>
          <w:szCs w:val="21"/>
          <w:highlight w:val="none"/>
          <w:u w:val="single"/>
        </w:rPr>
        <w:t xml:space="preserve">（北京时间）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 w:name="_Toc38985263"/>
      <w:r/>
      <w:bookmarkStart w:id="3" w:name="_Toc35393621"/>
      <w:r/>
      <w:bookmarkStart w:id="4" w:name="_Toc28359079"/>
      <w:r/>
      <w:bookmarkStart w:id="5" w:name="_Toc35393790"/>
      <w:r/>
      <w:bookmarkStart w:id="6" w:name="_Toc28359002"/>
      <w:r/>
      <w:bookmarkStart w:id="7" w:name="_Hlk24379207"/>
      <w:r>
        <w:rPr>
          <w:rFonts w:hint="eastAsia" w:ascii="宋体" w:hAnsi="宋体" w:cs="宋体"/>
          <w:b/>
          <w:bCs/>
          <w:color w:val="auto"/>
          <w:sz w:val="21"/>
          <w:szCs w:val="21"/>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JSZC-321000-SWGC-G2026-0050</w:t>
      </w:r>
      <w:r>
        <w:rPr>
          <w:rFonts w:hint="eastAsia" w:ascii="宋体" w:hAnsi="宋体" w:cs="宋体"/>
          <w:color w:val="auto"/>
          <w:sz w:val="21"/>
          <w:szCs w:val="21"/>
          <w:highlight w:val="none"/>
        </w:rPr>
        <w:t xml:space="preserve">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苏北人民医院祛红激光治疗仪采购项目</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63"/>
        <w:tblW w:w="38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3"/>
        <w:gridCol w:w="4775"/>
      </w:tblGrid>
      <w:tr>
        <w:trPr/>
        <w:tc>
          <w:tcPr>
            <w:tcW w:w="134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3651"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预算</w:t>
            </w:r>
            <w:r>
              <w:rPr>
                <w:rFonts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34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651"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160</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63"/>
        <w:tblW w:w="38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2810"/>
        <w:gridCol w:w="2349"/>
      </w:tblGrid>
      <w:tr>
        <w:trPr/>
        <w:tc>
          <w:tcPr>
            <w:tcW w:w="1053"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2149" w:type="pct"/>
            <w:vAlign w:val="center"/>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firstLine="42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1797" w:type="pct"/>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最高</w:t>
            </w:r>
            <w:r>
              <w:rPr>
                <w:rFonts w:ascii="宋体" w:hAnsi="宋体"/>
                <w:color w:val="auto"/>
                <w:sz w:val="21"/>
                <w:szCs w:val="21"/>
                <w:highlight w:val="none"/>
              </w:rPr>
              <w:t xml:space="preserve">限价</w:t>
            </w:r>
            <w:r/>
          </w:p>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053"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2149"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w:t>
            </w:r>
            <w:r/>
          </w:p>
        </w:tc>
        <w:tc>
          <w:tcPr>
            <w:tcW w:w="1797"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160</w:t>
            </w:r>
            <w:r/>
          </w:p>
        </w:tc>
      </w:tr>
    </w:tbl>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5.采购需求：见招标文件第四章。</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6.合同履行期限：合同签订后90个日历</w:t>
      </w:r>
      <w:r>
        <w:rPr>
          <w:rFonts w:hint="eastAsia" w:ascii="宋体" w:hAnsi="宋体" w:cs="宋体"/>
          <w:color w:val="auto"/>
          <w:sz w:val="21"/>
          <w:szCs w:val="21"/>
          <w:highlight w:val="none"/>
          <w:lang w:val="en-US" w:eastAsia="zh-CN"/>
        </w:rPr>
        <w:t xml:space="preserve">天</w:t>
      </w:r>
      <w:r>
        <w:rPr>
          <w:rFonts w:hint="eastAsia" w:ascii="宋体" w:hAnsi="宋体" w:cs="宋体"/>
          <w:color w:val="auto"/>
          <w:sz w:val="21"/>
          <w:szCs w:val="21"/>
          <w:highlight w:val="none"/>
        </w:rPr>
        <w:t xml:space="preserve">内安装调试完毕。</w:t>
      </w:r>
      <w:r>
        <w:rPr>
          <w:rFonts w:hint="eastAsia" w:ascii="宋体" w:hAnsi="宋体" w:cs="宋体"/>
          <w:color w:val="auto"/>
          <w:sz w:val="21"/>
          <w:szCs w:val="21"/>
          <w:highlight w:val="none"/>
          <w:lang w:val="en-US" w:eastAsia="zh-CN"/>
        </w:rPr>
        <w:t xml:space="preserve">详</w:t>
      </w:r>
      <w:r>
        <w:rPr>
          <w:rFonts w:hint="eastAsia" w:ascii="宋体" w:hAnsi="宋体" w:cs="宋体"/>
          <w:color w:val="auto"/>
          <w:sz w:val="21"/>
          <w:szCs w:val="21"/>
          <w:highlight w:val="none"/>
        </w:rPr>
        <w:t xml:space="preserve">见招标文件第四章。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8" w:name="_Toc35393791"/>
      <w:r/>
      <w:bookmarkStart w:id="9" w:name="_Toc28359003"/>
      <w:r/>
      <w:bookmarkStart w:id="10" w:name="_Toc35393622"/>
      <w:r/>
      <w:bookmarkStart w:id="11" w:name="_Toc28359080"/>
      <w:r/>
      <w:bookmarkStart w:id="12" w:name="_Toc38985264"/>
      <w:r>
        <w:rPr>
          <w:rFonts w:hint="eastAsia" w:ascii="宋体" w:hAnsi="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color w:val="auto"/>
          <w:sz w:val="21"/>
          <w:szCs w:val="21"/>
          <w:highlight w:val="none"/>
        </w:rPr>
      </w:pPr>
      <w:r/>
      <w:bookmarkStart w:id="13" w:name="_Toc28359081"/>
      <w:r/>
      <w:bookmarkStart w:id="14" w:name="_Toc35393623"/>
      <w:r/>
      <w:bookmarkStart w:id="15" w:name="_Toc35393792"/>
      <w:r/>
      <w:bookmarkStart w:id="16" w:name="_Toc38985265"/>
      <w:r/>
      <w:bookmarkStart w:id="17" w:name="_Toc28359004"/>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 2024年度或2025年度的财务报告情况；</w:t>
      </w:r>
      <w:r>
        <w:rPr>
          <w:rFonts w:hint="eastAsia" w:ascii="宋体" w:hAnsi="宋体" w:cs="宋体"/>
          <w:b w:val="0"/>
          <w:bCs w:val="0"/>
          <w:i/>
          <w:iCs/>
          <w:color w:val="auto"/>
          <w:sz w:val="21"/>
          <w:szCs w:val="21"/>
          <w:highlight w:val="none"/>
          <w:u w:val="single"/>
        </w:rPr>
        <w:t xml:space="preserve">（成立不满一年无需提供）</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val="0"/>
          <w:bCs w:val="0"/>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供应商信用承诺书；</w:t>
      </w:r>
      <w:r/>
    </w:p>
    <w:p>
      <w:pPr>
        <w:ind w:firstLine="42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1.7法律、行政法规规定的其他条件；</w:t>
      </w:r>
      <w:r>
        <w:rPr>
          <w:rFonts w:hint="eastAsia" w:ascii="宋体" w:hAnsi="宋体" w:cs="宋体"/>
          <w:i/>
          <w:iCs/>
          <w:color w:val="auto"/>
          <w:sz w:val="21"/>
          <w:szCs w:val="21"/>
          <w:highlight w:val="none"/>
          <w:u w:val="single"/>
        </w:rPr>
        <w:t xml:space="preserve">（投标文件中无需提供证明材料）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val="0"/>
          <w:iCs w:val="0"/>
          <w:color w:val="auto"/>
          <w:sz w:val="21"/>
          <w:szCs w:val="21"/>
          <w:highlight w:val="none"/>
          <w:u w:val="none"/>
        </w:rPr>
        <w:t xml:space="preserve">无</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4"/>
        <w:gridCol w:w="3100"/>
        <w:gridCol w:w="3885"/>
      </w:tblGrid>
      <w:tr>
        <w:trPr/>
        <w:tc>
          <w:tcPr>
            <w:tcW w:w="900"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819"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ind w:firstLine="48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279"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tc>
          <w:tcPr>
            <w:tcW w:w="900" w:type="pct"/>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81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5.进口产品投标</w:t>
      </w:r>
      <w:r/>
    </w:p>
    <w:tbl>
      <w:tblPr>
        <w:tblStyle w:val="763"/>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4100"/>
      </w:tblGrid>
      <w:tr>
        <w:trPr>
          <w:trHeight w:val="372"/>
        </w:trPr>
        <w:tc>
          <w:tcPr>
            <w:tcW w:w="13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41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是否接受进口产品</w:t>
            </w:r>
            <w:r>
              <w:rPr>
                <w:rFonts w:ascii="宋体" w:hAnsi="宋体"/>
                <w:color w:val="auto"/>
                <w:sz w:val="21"/>
                <w:szCs w:val="21"/>
                <w:highlight w:val="none"/>
              </w:rPr>
              <w:t xml:space="preserve">投标（</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r>
      <w:tr>
        <w:trPr/>
        <w:tc>
          <w:tcPr>
            <w:tcW w:w="13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4100" w:type="dxa"/>
            <w:textDirection w:val="lrTb"/>
            <w:noWrap w:val="false"/>
          </w:tcPr>
          <w:p>
            <w:pPr>
              <w:jc w:val="cente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是</w:t>
            </w:r>
            <w:r/>
          </w:p>
        </w:tc>
      </w:tr>
    </w:tbl>
    <w:p>
      <w:pPr>
        <w:numPr>
          <w:ilvl w:val="0"/>
          <w:numId w:val="0"/>
        </w:numPr>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本项目的特定资格要求：</w:t>
      </w:r>
      <w:r/>
    </w:p>
    <w:tbl>
      <w:tblPr>
        <w:tblStyle w:val="7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7217"/>
      </w:tblGrid>
      <w:tr>
        <w:trPr>
          <w:trHeight w:val="512"/>
        </w:trPr>
        <w:tc>
          <w:tcPr>
            <w:tcW w:w="764"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4235"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特定</w:t>
            </w:r>
            <w:r>
              <w:rPr>
                <w:rFonts w:ascii="宋体" w:hAnsi="宋体"/>
                <w:color w:val="auto"/>
                <w:sz w:val="21"/>
                <w:szCs w:val="21"/>
                <w:highlight w:val="none"/>
              </w:rPr>
              <w:t xml:space="preserve">资格要求</w:t>
            </w:r>
            <w:r/>
          </w:p>
        </w:tc>
      </w:tr>
      <w:tr>
        <w:trPr/>
        <w:tc>
          <w:tcPr>
            <w:tcW w:w="764" w:type="pct"/>
            <w:vAlign w:val="center"/>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4235" w:type="pct"/>
            <w:textDirection w:val="lrTb"/>
            <w:noWrap w:val="false"/>
          </w:tcPr>
          <w:p>
            <w:pPr>
              <w:jc w:val="left"/>
              <w:pageBreakBefore w:val="0"/>
              <w:spacing w:line="360" w:lineRule="auto"/>
              <w:rPr>
                <w:rFonts w:hint="eastAsia"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（1）所投产品按国家规定须医疗器械注册证的，投标人须提供所投产品有效的《医疗器械注册证》（扫描上传系统）；</w:t>
            </w:r>
            <w:r/>
          </w:p>
          <w:p>
            <w:pPr>
              <w:jc w:val="left"/>
              <w:pageBreakBefore w:val="0"/>
              <w:spacing w:line="360" w:lineRule="auto"/>
              <w:rPr>
                <w:rFonts w:hint="eastAsia"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（2）投标人为医疗器械经营企业的，须根据投标产品的类别，提供投标人</w:t>
            </w:r>
            <w:r>
              <w:rPr>
                <w:rFonts w:hint="eastAsia" w:ascii="宋体" w:hAnsi="宋体"/>
                <w:i/>
                <w:iCs/>
                <w:color w:val="auto"/>
                <w:sz w:val="21"/>
                <w:szCs w:val="21"/>
                <w:highlight w:val="none"/>
                <w:u w:val="single"/>
                <w:lang w:val="en-US" w:eastAsia="zh-CN"/>
              </w:rPr>
              <w:t xml:space="preserve">有效</w:t>
            </w:r>
            <w:r>
              <w:rPr>
                <w:rFonts w:hint="eastAsia" w:ascii="宋体" w:hAnsi="宋体"/>
                <w:i/>
                <w:iCs/>
                <w:color w:val="auto"/>
                <w:sz w:val="21"/>
                <w:szCs w:val="21"/>
                <w:highlight w:val="none"/>
                <w:u w:val="single"/>
              </w:rPr>
              <w:t xml:space="preserve">的《医疗器械经营许可证》或者《医疗器械经营备案凭证》（扫描上传系统）；</w:t>
            </w:r>
            <w:r/>
          </w:p>
          <w:p>
            <w:pPr>
              <w:jc w:val="left"/>
              <w:pageBreakBefore w:val="0"/>
              <w:spacing w:line="360" w:lineRule="auto"/>
              <w:rPr>
                <w:rFonts w:hint="eastAsia"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投标人为医疗器械生产企业的，须提供</w:t>
            </w:r>
            <w:r>
              <w:rPr>
                <w:rFonts w:hint="eastAsia" w:ascii="宋体" w:hAnsi="宋体"/>
                <w:i/>
                <w:iCs/>
                <w:color w:val="auto"/>
                <w:sz w:val="21"/>
                <w:szCs w:val="21"/>
                <w:highlight w:val="none"/>
                <w:u w:val="single"/>
                <w:lang w:val="en-US" w:eastAsia="zh-CN"/>
              </w:rPr>
              <w:t xml:space="preserve">有效的</w:t>
            </w:r>
            <w:r>
              <w:rPr>
                <w:rFonts w:hint="eastAsia" w:ascii="宋体" w:hAnsi="宋体"/>
                <w:i/>
                <w:iCs/>
                <w:color w:val="auto"/>
                <w:sz w:val="21"/>
                <w:szCs w:val="21"/>
                <w:highlight w:val="none"/>
                <w:u w:val="single"/>
              </w:rPr>
              <w:t xml:space="preserve">《医疗器械生产许可证》（扫描上传系统）；</w:t>
            </w:r>
            <w:r/>
          </w:p>
          <w:p>
            <w:pPr>
              <w:jc w:val="left"/>
              <w:pageBreakBefore w:val="0"/>
              <w:spacing w:line="360" w:lineRule="auto"/>
              <w:rPr>
                <w:rFonts w:hint="eastAsia" w:ascii="宋体" w:hAnsi="宋体"/>
                <w:color w:val="auto"/>
                <w:sz w:val="21"/>
                <w:szCs w:val="21"/>
                <w:highlight w:val="none"/>
              </w:rPr>
            </w:pPr>
            <w:r>
              <w:rPr>
                <w:rFonts w:hint="eastAsia" w:ascii="宋体" w:hAnsi="宋体"/>
                <w:i/>
                <w:iCs/>
                <w:color w:val="auto"/>
                <w:sz w:val="21"/>
                <w:szCs w:val="21"/>
                <w:highlight w:val="none"/>
                <w:u w:val="single"/>
              </w:rPr>
              <w:t xml:space="preserve">（3）所投产品若为进口产品，须提供制造商（生产者）或代理商授权、进口产品注册证等有效证明（如为外文需提供翻译件）（扫描上传系统）；</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pageBreakBefore w:val="0"/>
        <w:spacing w:line="360" w:lineRule="auto"/>
        <w:rPr>
          <w:rFonts w:hint="eastAsia" w:ascii="宋体" w:hAnsi="宋体" w:cs="宋体"/>
          <w:color w:val="auto"/>
          <w:sz w:val="21"/>
          <w:szCs w:val="21"/>
          <w:highlight w:val="none"/>
        </w:rPr>
      </w:pPr>
      <w:r/>
      <w:bookmarkStart w:id="18" w:name="_Toc28359082"/>
      <w:r/>
      <w:bookmarkStart w:id="19" w:name="_Toc28359005"/>
      <w:r/>
      <w:bookmarkStart w:id="20" w:name="_Toc35393793"/>
      <w:r/>
      <w:bookmarkStart w:id="21" w:name="_Toc38985266"/>
      <w:r/>
      <w:bookmarkStart w:id="22" w:name="_Toc35393624"/>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2.获取方式：“扬州市政府采购网”“江苏政府采购网”和“中国政府采购网”自行免费下载。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http</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//zfcg.yangzhou.gov.cn/xzzx/art/2023/art_4d7de1f7865f4a2894fc22bc452f94d8.html。</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18"/>
      <w:r/>
      <w:bookmarkEnd w:id="19"/>
      <w:r>
        <w:rPr>
          <w:rFonts w:hint="eastAsia" w:ascii="宋体" w:hAnsi="宋体" w:cs="宋体"/>
          <w:b/>
          <w:bCs/>
          <w:color w:val="auto"/>
          <w:sz w:val="21"/>
          <w:szCs w:val="21"/>
          <w:highlight w:val="none"/>
        </w:rPr>
        <w:t xml:space="preserve">截止时间、开标时间和地点</w:t>
      </w:r>
      <w:bookmarkEnd w:id="20"/>
      <w:r/>
      <w:bookmarkEnd w:id="21"/>
      <w:r/>
      <w:bookmarkEnd w:id="22"/>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5</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14</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下午3</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00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3" w:name="_Toc35393794"/>
      <w:r/>
      <w:bookmarkStart w:id="24" w:name="_Toc38985267"/>
      <w:r/>
      <w:bookmarkStart w:id="25" w:name="_Toc28359084"/>
      <w:r/>
      <w:bookmarkStart w:id="26" w:name="_Toc28359007"/>
      <w:r/>
      <w:bookmarkStart w:id="27" w:name="_Toc35393625"/>
      <w:r>
        <w:rPr>
          <w:rFonts w:hint="eastAsia" w:ascii="宋体" w:hAnsi="宋体" w:cs="宋体"/>
          <w:b/>
          <w:bCs/>
          <w:color w:val="auto"/>
          <w:sz w:val="21"/>
          <w:szCs w:val="21"/>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cs="宋体"/>
          <w:color w:val="auto"/>
          <w:sz w:val="21"/>
          <w:szCs w:val="21"/>
          <w:highlight w:val="none"/>
        </w:rPr>
      </w:pPr>
      <w:r/>
      <w:bookmarkStart w:id="28" w:name="_Toc35393626"/>
      <w:r/>
      <w:bookmarkStart w:id="29" w:name="_Toc35393795"/>
      <w:r/>
      <w:bookmarkStart w:id="30" w:name="_Toc38985268"/>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bookmarkEnd w:id="28"/>
      <w:r/>
      <w:bookmarkEnd w:id="29"/>
      <w:r/>
      <w:bookmarkEnd w:id="30"/>
      <w:r/>
      <w:r/>
    </w:p>
    <w:p>
      <w:pPr>
        <w:ind w:firstLine="420"/>
        <w:pageBreakBefore w:val="0"/>
        <w:spacing w:line="360" w:lineRule="auto"/>
        <w:rPr>
          <w:rFonts w:hint="eastAsia" w:ascii="宋体" w:hAnsi="宋体" w:cs="宋体"/>
          <w:bCs/>
          <w:color w:val="auto"/>
          <w:sz w:val="21"/>
          <w:szCs w:val="21"/>
          <w:highlight w:val="none"/>
        </w:rPr>
      </w:pPr>
      <w:r/>
      <w:bookmarkStart w:id="31" w:name="_Toc28359008"/>
      <w:r/>
      <w:bookmarkStart w:id="32" w:name="_Toc38985269"/>
      <w:r/>
      <w:bookmarkStart w:id="33" w:name="_Toc28359085"/>
      <w:r/>
      <w:bookmarkStart w:id="34" w:name="_Toc35393627"/>
      <w:r/>
      <w:bookmarkStart w:id="35" w:name="_Toc35393796"/>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i/>
          <w:iCs/>
          <w:color w:val="auto"/>
          <w:sz w:val="21"/>
          <w:szCs w:val="21"/>
          <w:highlight w:val="none"/>
          <w:u w:val="single"/>
        </w:rPr>
        <w:t xml:space="preserve">不收取</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cs="宋体"/>
          <w:color w:val="auto"/>
          <w:sz w:val="21"/>
          <w:szCs w:val="21"/>
          <w:highlight w:val="none"/>
        </w:rPr>
      </w:pPr>
      <w:r/>
      <w:bookmarkStart w:id="36" w:name="_Toc28359087"/>
      <w:r/>
      <w:bookmarkStart w:id="37" w:name="_Toc28359010"/>
      <w:r>
        <w:rPr>
          <w:rFonts w:hint="eastAsia" w:ascii="宋体" w:hAnsi="宋体" w:cs="宋体"/>
          <w:color w:val="auto"/>
          <w:sz w:val="21"/>
          <w:szCs w:val="21"/>
          <w:highlight w:val="none"/>
        </w:rPr>
        <w:t xml:space="preserve">1.采购人信息</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称：苏北人民医院</w:t>
      </w:r>
      <w:r/>
    </w:p>
    <w:p>
      <w:pPr>
        <w:ind w:firstLine="420"/>
        <w:jc w:val="left"/>
        <w:pageBreakBefore w:val="0"/>
        <w:spacing w:line="360" w:lineRule="auto"/>
        <w:rPr>
          <w:rFonts w:hint="eastAsia" w:ascii="宋体" w:hAnsi="宋体" w:cs="宋体"/>
          <w:color w:val="auto"/>
          <w:sz w:val="21"/>
          <w:szCs w:val="21"/>
          <w:highlight w:val="none"/>
        </w:rPr>
      </w:pPr>
      <w:r/>
      <w:bookmarkStart w:id="38" w:name="_Toc28359086"/>
      <w:r/>
      <w:bookmarkStart w:id="39" w:name="_Toc28359009"/>
      <w:r>
        <w:rPr>
          <w:rFonts w:hint="eastAsia" w:ascii="宋体" w:hAnsi="宋体" w:cs="宋体"/>
          <w:color w:val="auto"/>
          <w:sz w:val="21"/>
          <w:szCs w:val="21"/>
          <w:highlight w:val="none"/>
        </w:rPr>
        <w:t xml:space="preserve">地 址：扬州市广陵区南通西路98号 </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联系人：丁老师</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联系方式：0514-87373493</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bookmarkEnd w:id="38"/>
      <w:r/>
      <w:bookmarkEnd w:id="39"/>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名称：江苏苏维工程管理有限公司</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址：扬州市邗江区翠岗路48号</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联系人：陈秋萍</w:t>
      </w:r>
      <w:r/>
    </w:p>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联系方式：0514-82129116</w:t>
      </w:r>
      <w:bookmarkEnd w:id="36"/>
      <w:r/>
      <w:bookmarkEnd w:id="37"/>
      <w:r/>
      <w:r/>
    </w:p>
    <w:p>
      <w:pPr>
        <w:pStyle w:val="980"/>
        <w:jc w:val="center"/>
        <w:pageBreakBefore w:val="0"/>
        <w:spacing w:before="0" w:after="0"/>
        <w:rPr>
          <w:rFonts w:hint="eastAsia" w:ascii="宋体" w:hAnsi="宋体" w:cs="宋体"/>
          <w:color w:val="auto"/>
          <w:sz w:val="21"/>
          <w:szCs w:val="21"/>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0" w:name="_Toc55204178"/>
      <w:r/>
      <w:r/>
    </w:p>
    <w:p>
      <w:pPr>
        <w:pStyle w:val="753"/>
        <w:rPr>
          <w:color w:val="auto"/>
          <w:highlight w:val="none"/>
        </w:rPr>
      </w:pPr>
      <w:r/>
      <w:bookmarkStart w:id="41" w:name="_Toc10032"/>
      <w:r>
        <w:rPr>
          <w:rFonts w:hint="eastAsia"/>
          <w:color w:val="auto"/>
          <w:highlight w:val="none"/>
        </w:rPr>
        <w:t xml:space="preserve">第二章 投标人须知</w:t>
      </w:r>
      <w:bookmarkEnd w:id="40"/>
      <w:r/>
      <w:bookmarkEnd w:id="41"/>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JSZC-321000-SWGC-G2026-0050</w:t>
      </w:r>
      <w:r>
        <w:rPr>
          <w:rFonts w:hint="eastAsia" w:ascii="宋体" w:hAnsi="宋体" w:cs="宋体"/>
          <w:bCs/>
          <w:color w:val="auto"/>
          <w:szCs w:val="21"/>
          <w:highlight w:val="none"/>
        </w:rPr>
        <w:t xml:space="preserve">号项目。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合格的</w:t>
      </w:r>
      <w:r>
        <w:rPr>
          <w:rFonts w:hint="eastAsia" w:ascii="宋体" w:hAnsi="宋体" w:cs="宋体"/>
          <w:b/>
          <w:color w:val="auto"/>
          <w:szCs w:val="21"/>
          <w:highlight w:val="none"/>
        </w:rPr>
        <w:t xml:space="preserve">投标人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3、适用法律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本次采购由中标人在领取中标通知书前参照《招标代理服务收费管理暂行办法》(计价格【2002】1980号文)货物类标准的四折一次性支付给招标代理机构代理服务费。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763"/>
        <w:tblW w:w="6459" w:type="dxa"/>
        <w:jc w:val="center"/>
        <w:tblLayout w:type="fixed"/>
        <w:tblCellMar>
          <w:left w:w="108" w:type="dxa"/>
          <w:top w:w="0" w:type="dxa"/>
          <w:right w:w="108" w:type="dxa"/>
          <w:bottom w:w="0" w:type="dxa"/>
        </w:tblCellMar>
        <w:tblLook w:val="04A0" w:firstRow="1" w:lastRow="0" w:firstColumn="1" w:lastColumn="0" w:noHBand="0" w:noVBand="1"/>
      </w:tblPr>
      <w:tblGrid>
        <w:gridCol w:w="3137"/>
        <w:gridCol w:w="3322"/>
      </w:tblGrid>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vMerge w:val="restart"/>
            <w:textDirection w:val="lrTb"/>
            <w:noWrap w:val="false"/>
          </w:tcPr>
          <w:p>
            <w:pPr>
              <w:ind w:left="160"/>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项目</w:t>
            </w:r>
            <w:r/>
          </w:p>
          <w:p>
            <w:pPr>
              <w:ind w:left="160"/>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100万以上</w:t>
            </w:r>
            <w:r/>
          </w:p>
        </w:tc>
      </w:tr>
      <w:tr>
        <w:trPr>
          <w:jc w:val="center"/>
          <w:trHeight w:val="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vMerge w:val="continue"/>
            <w:textDirection w:val="lrTb"/>
            <w:noWrap w:val="false"/>
          </w:tcPr>
          <w:p>
            <w:pPr>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代理费（折扣率）</w:t>
            </w:r>
            <w:r/>
          </w:p>
        </w:tc>
      </w:tr>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w:t>
            </w:r>
            <w:r>
              <w:rPr>
                <w:rFonts w:hint="eastAsia" w:ascii="宋体" w:hAnsi="宋体" w:eastAsia="宋体" w:cs="宋体"/>
                <w:color w:val="auto"/>
                <w:sz w:val="21"/>
                <w:szCs w:val="21"/>
                <w:highlight w:val="none"/>
              </w:rPr>
              <w:t xml:space="preserve">类</w:t>
            </w:r>
            <w: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right w:val="single" w:color="000000" w:sz="4" w:space="0"/>
            </w:tcBorders>
            <w:tcMar>
              <w:left w:w="108" w:type="dxa"/>
              <w:top w:w="0" w:type="dxa"/>
              <w:right w:w="108" w:type="dxa"/>
              <w:bottom w:w="0" w:type="dxa"/>
            </w:tcMar>
            <w:tcW w:w="3322"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40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rPr>
              <w:t xml:space="preserve">类</w:t>
            </w:r>
            <w: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Mar>
              <w:left w:w="108" w:type="dxa"/>
              <w:top w:w="0" w:type="dxa"/>
              <w:right w:w="108" w:type="dxa"/>
              <w:bottom w:w="0" w:type="dxa"/>
            </w:tcMar>
            <w:tcW w:w="3322"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w:t>
            </w:r>
            <w:r>
              <w:rPr>
                <w:rFonts w:hint="eastAsia" w:ascii="宋体" w:hAnsi="宋体" w:eastAsia="宋体" w:cs="宋体"/>
                <w:color w:val="auto"/>
                <w:sz w:val="21"/>
                <w:szCs w:val="21"/>
                <w:highlight w:val="none"/>
              </w:rPr>
              <w:t xml:space="preserve">类</w:t>
            </w:r>
            <w:r/>
            <w:r>
              <w:rPr>
                <w:rFonts w:hint="eastAsia" w:ascii="宋体" w:hAnsi="宋体" w:eastAsia="宋体" w:cs="宋体"/>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vMerge w:val="continue"/>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基准费率表</w:t>
      </w:r>
      <w:r/>
    </w:p>
    <w:tbl>
      <w:tblPr>
        <w:tblStyle w:val="763"/>
        <w:tblW w:w="6499" w:type="dxa"/>
        <w:jc w:val="center"/>
        <w:tblLayout w:type="fixed"/>
        <w:tblCellMar>
          <w:left w:w="0" w:type="dxa"/>
          <w:top w:w="0" w:type="dxa"/>
          <w:right w:w="0" w:type="dxa"/>
          <w:bottom w:w="0" w:type="dxa"/>
        </w:tblCellMar>
        <w:tblLook w:val="04A0" w:firstRow="1" w:lastRow="0" w:firstColumn="1" w:lastColumn="0" w:noHBand="0" w:noVBand="1"/>
      </w:tblPr>
      <w:tblGrid>
        <w:gridCol w:w="1871"/>
        <w:gridCol w:w="1359"/>
        <w:gridCol w:w="1759"/>
        <w:gridCol w:w="1510"/>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eastAsia="zh-CN"/>
              </w:rPr>
              <w:t xml:space="preserve">%</w:t>
            </w:r>
            <w:r/>
          </w:p>
        </w:tc>
      </w:tr>
      <w:tr>
        <w:trPr>
          <w:jc w:val="center"/>
          <w:trHeight w:val="42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rPr>
                <w:rFonts w:hint="eastAsia" w:ascii="宋体" w:hAnsi="宋体" w:cs="宋体"/>
                <w:color w:val="auto"/>
                <w:sz w:val="21"/>
                <w:szCs w:val="21"/>
                <w:highlight w:val="none"/>
                <w:lang w:eastAsia="zh-CN"/>
              </w:rPr>
              <w:t xml:space="preserve">%</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10.1投标人编写的投标文件应包括基本目录、资格审查内容、符合性审查内容、价格扣除证明文件等部分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12、投标分项报价表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投标人按照招标文件规定格式填报投标分项报价表。每项货物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13、技术要求响应及偏离表、商务要求响应及偏离表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2" w:name="_Toc513029225"/>
      <w:r/>
      <w:bookmarkStart w:id="43" w:name="_Toc20823297"/>
      <w:r/>
      <w:bookmarkStart w:id="44" w:name="_Toc462564084"/>
      <w:r/>
      <w:bookmarkStart w:id="45" w:name="_Toc16938541"/>
      <w:r>
        <w:rPr>
          <w:rFonts w:hint="eastAsia" w:ascii="宋体" w:hAnsi="宋体" w:cs="宋体"/>
          <w:b/>
          <w:color w:val="auto"/>
          <w:szCs w:val="21"/>
          <w:highlight w:val="none"/>
        </w:rPr>
        <w:t xml:space="preserve">17、投标文件</w:t>
      </w:r>
      <w:bookmarkEnd w:id="42"/>
      <w:r/>
      <w:bookmarkEnd w:id="43"/>
      <w:r/>
      <w:bookmarkEnd w:id="44"/>
      <w:r/>
      <w:bookmarkEnd w:id="45"/>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17.2苏采云系统相关要求是本招标文件的组成部分。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18、投标截止</w:t>
      </w:r>
      <w:bookmarkEnd w:id="46"/>
      <w:r/>
      <w:bookmarkEnd w:id="47"/>
      <w:r/>
      <w:bookmarkEnd w:id="48"/>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9" w:name="_Toc16938543"/>
      <w:r/>
      <w:bookmarkStart w:id="50" w:name="_Toc20823299"/>
      <w:r/>
      <w:bookmarkStart w:id="51" w:name="_Toc513029227"/>
      <w:r>
        <w:rPr>
          <w:rFonts w:hint="eastAsia" w:ascii="宋体" w:hAnsi="宋体" w:cs="宋体"/>
          <w:b/>
          <w:color w:val="auto"/>
          <w:szCs w:val="21"/>
          <w:highlight w:val="none"/>
        </w:rPr>
        <w:t xml:space="preserve">19、投标文件</w:t>
      </w:r>
      <w:bookmarkEnd w:id="49"/>
      <w:r/>
      <w:bookmarkEnd w:id="50"/>
      <w:r/>
      <w:bookmarkEnd w:id="51"/>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2" w:name="_Toc513029228"/>
      <w:r/>
      <w:bookmarkStart w:id="53" w:name="_Toc16938544"/>
      <w:r/>
      <w:bookmarkStart w:id="54" w:name="_Toc20823300"/>
      <w:r>
        <w:rPr>
          <w:rFonts w:hint="eastAsia" w:ascii="宋体" w:hAnsi="宋体" w:cs="宋体"/>
          <w:b/>
          <w:color w:val="auto"/>
          <w:szCs w:val="21"/>
          <w:highlight w:val="none"/>
        </w:rPr>
        <w:t xml:space="preserve">20、投标文件的撤回和修改</w:t>
      </w:r>
      <w:bookmarkEnd w:id="52"/>
      <w:r/>
      <w:bookmarkEnd w:id="53"/>
      <w:r/>
      <w:bookmarkEnd w:id="54"/>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26、无效投标条款和废标条款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26.1无效投标条款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color w:val="auto"/>
          <w:highlight w:val="none"/>
        </w:rPr>
        <w:t xml:space="preserve">26.1.7不符合招标文件中规定的实质性要求的</w:t>
      </w:r>
      <w:r>
        <w:rPr>
          <w:rFonts w:hint="eastAsia" w:ascii="宋体" w:hAnsi="宋体" w:eastAsia="宋体" w:cs="宋体"/>
          <w:b/>
          <w:bCs/>
          <w:i w:val="0"/>
          <w:iCs w:val="0"/>
          <w:color w:val="auto"/>
          <w:highlight w:val="none"/>
          <w:u w:val="none"/>
        </w:rPr>
        <w:t xml:space="preserve">（本招标文件中</w:t>
      </w:r>
      <w:r>
        <w:rPr>
          <w:rFonts w:hint="eastAsia" w:ascii="宋体" w:hAnsi="宋体" w:eastAsia="宋体" w:cs="宋体"/>
          <w:b/>
          <w:bCs/>
          <w:i/>
          <w:iCs/>
          <w:color w:val="auto"/>
          <w:highlight w:val="none"/>
          <w:u w:val="single"/>
        </w:rPr>
        <w:t xml:space="preserve">斜体且有下划线部分</w:t>
      </w:r>
      <w:r>
        <w:rPr>
          <w:rFonts w:hint="eastAsia" w:ascii="宋体" w:hAnsi="宋体" w:eastAsia="宋体" w:cs="宋体"/>
          <w:b/>
          <w:bCs/>
          <w:i w:val="0"/>
          <w:iCs w:val="0"/>
          <w:color w:val="auto"/>
          <w:highlight w:val="none"/>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26.1.10.3投标（响应）报价低于采购项目最高限价 45% 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26.1.14其他法律、法规及本招标文件规定的属无效投标的情形。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53"/>
        <w:rPr>
          <w:color w:val="auto"/>
          <w:highlight w:val="none"/>
        </w:rPr>
      </w:pPr>
      <w:r/>
      <w:bookmarkStart w:id="55" w:name="_Toc18427"/>
      <w:r/>
      <w:bookmarkStart w:id="56" w:name="_Toc55204179"/>
      <w:r/>
      <w:bookmarkStart w:id="57" w:name="_Hlk69392822"/>
      <w:r>
        <w:rPr>
          <w:rFonts w:hint="eastAsia"/>
          <w:color w:val="auto"/>
          <w:highlight w:val="none"/>
        </w:rPr>
        <w:t xml:space="preserve">第三章 合同条款及格式</w:t>
      </w:r>
      <w:bookmarkEnd w:id="55"/>
      <w:r/>
      <w:bookmarkEnd w:id="56"/>
      <w:r/>
      <w:r/>
    </w:p>
    <w:p>
      <w:pPr>
        <w:pStyle w:val="992"/>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bookmarkEnd w:id="57"/>
      <w:r/>
      <w:r/>
    </w:p>
    <w:p>
      <w:pPr>
        <w:pStyle w:val="992"/>
        <w:ind w:firstLine="422"/>
        <w:jc w:val="center"/>
        <w:spacing w:line="360" w:lineRule="auto"/>
        <w:rPr>
          <w:rFonts w:hint="eastAsia" w:hAnsi="宋体" w:cs="宋体"/>
          <w:b/>
          <w:bCs/>
          <w:color w:val="auto"/>
          <w:sz w:val="21"/>
          <w:highlight w:val="none"/>
        </w:rPr>
      </w:pPr>
      <w:r/>
      <w:bookmarkStart w:id="58" w:name="_Toc12506"/>
      <w:r/>
      <w:r/>
    </w:p>
    <w:p>
      <w:pPr>
        <w:pStyle w:val="992"/>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项目名称：苏北人民医院祛红激光治疗仪采购项目</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项目编号：</w:t>
      </w:r>
      <w:r>
        <w:rPr>
          <w:rFonts w:hint="eastAsia" w:hAnsi="宋体" w:cs="宋体"/>
          <w:color w:val="auto"/>
          <w:sz w:val="21"/>
          <w:highlight w:val="none"/>
          <w:lang w:eastAsia="zh-CN"/>
        </w:rPr>
        <w:t xml:space="preserve">JSZC-321000-SWGC-G2026-0050</w:t>
      </w:r>
      <w:r>
        <w:rPr>
          <w:rFonts w:hint="eastAsia" w:ascii="宋体" w:hAnsi="宋体" w:eastAsia="宋体" w:cs="宋体"/>
          <w:color w:val="auto"/>
          <w:sz w:val="21"/>
          <w:highlight w:val="none"/>
        </w:rPr>
        <w:t xml:space="preserve">号</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甲方：（买方）苏北人民医院</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乙方：（卖方）_________</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见证方：江苏苏维工程管理有限公司</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甲、乙双方根据江苏苏维工程管理有限公司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数量（单位）</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6.1 乙方交纳人民币</w:t>
      </w:r>
      <w:r>
        <w:rPr>
          <w:rFonts w:hint="eastAsia" w:ascii="宋体" w:hAnsi="宋体" w:eastAsia="宋体" w:cs="宋体"/>
          <w:color w:val="auto"/>
          <w:sz w:val="21"/>
          <w:highlight w:val="none"/>
          <w:u w:val="single"/>
          <w:lang w:val="en-US" w:eastAsia="zh-CN"/>
        </w:rPr>
        <w:t xml:space="preserve"> 零  </w:t>
      </w:r>
      <w:r>
        <w:rPr>
          <w:rFonts w:hint="eastAsia" w:ascii="宋体" w:hAnsi="宋体" w:eastAsia="宋体" w:cs="宋体"/>
          <w:color w:val="auto"/>
          <w:sz w:val="21"/>
          <w:highlight w:val="none"/>
          <w:lang w:val="en-US" w:eastAsia="zh-CN"/>
        </w:rPr>
        <w:t xml:space="preserve">元作为本合同的履约保证金。（不得超过合同金额的10%）</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6.2合同履行结束后，甲方应及时退还交纳的履约保证金。</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6.2.1履约保证金退还方式：无</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6.2.2履约保证金退还时间：无</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6.2.3履约保证金退还条件：无</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6.2.4履约保证金不予退还的情形：无</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9.1 交付期：</w:t>
      </w:r>
      <w:r>
        <w:rPr>
          <w:rFonts w:hint="eastAsia" w:ascii="宋体" w:hAnsi="宋体" w:eastAsia="宋体" w:cs="宋体"/>
          <w:color w:val="auto"/>
          <w:sz w:val="21"/>
          <w:highlight w:val="none"/>
          <w:u w:val="single"/>
        </w:rPr>
        <w:t xml:space="preserve">合同签订后90个日历</w:t>
      </w:r>
      <w:r>
        <w:rPr>
          <w:rFonts w:hint="eastAsia" w:ascii="宋体" w:hAnsi="宋体" w:cs="宋体"/>
          <w:color w:val="auto"/>
          <w:sz w:val="21"/>
          <w:highlight w:val="none"/>
          <w:u w:val="single"/>
          <w:lang w:val="en-US" w:eastAsia="zh-CN"/>
        </w:rPr>
        <w:t xml:space="preserve">天</w:t>
      </w:r>
      <w:r>
        <w:rPr>
          <w:rFonts w:hint="eastAsia" w:ascii="宋体" w:hAnsi="宋体" w:eastAsia="宋体" w:cs="宋体"/>
          <w:color w:val="auto"/>
          <w:sz w:val="21"/>
          <w:highlight w:val="none"/>
          <w:u w:val="single"/>
        </w:rPr>
        <w:t xml:space="preserve">内安装调试完毕。</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9.2 交付方式：</w:t>
      </w:r>
      <w:r>
        <w:rPr>
          <w:rFonts w:hint="eastAsia" w:ascii="宋体" w:hAnsi="宋体" w:eastAsia="宋体" w:cs="宋体"/>
          <w:color w:val="auto"/>
          <w:sz w:val="21"/>
          <w:highlight w:val="none"/>
          <w:u w:val="single"/>
        </w:rPr>
        <w:t xml:space="preserve">甲方指定方式</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9.3 交付地点：</w:t>
      </w:r>
      <w:r>
        <w:rPr>
          <w:rFonts w:hint="eastAsia" w:ascii="宋体" w:hAnsi="宋体" w:eastAsia="宋体" w:cs="宋体"/>
          <w:color w:val="auto"/>
          <w:sz w:val="21"/>
          <w:highlight w:val="none"/>
          <w:u w:val="single"/>
        </w:rPr>
        <w:t xml:space="preserve">甲方指定地点</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合同签订后，乙方向甲方开具发票，甲方自收到发票之日起10个工作日内支付合同总价30%的预付款；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设备安装调试</w:t>
      </w:r>
      <w:r>
        <w:rPr>
          <w:rFonts w:hint="eastAsia" w:ascii="宋体" w:hAnsi="宋体" w:eastAsia="宋体" w:cs="宋体"/>
          <w:color w:val="auto"/>
          <w:szCs w:val="21"/>
          <w:highlight w:val="none"/>
          <w:u w:val="single"/>
          <w:lang w:val="en-US" w:eastAsia="zh-CN"/>
        </w:rPr>
        <w:t xml:space="preserve">验收合格</w:t>
      </w:r>
      <w:r>
        <w:rPr>
          <w:rFonts w:hint="eastAsia" w:ascii="宋体" w:hAnsi="宋体" w:eastAsia="宋体" w:cs="宋体"/>
          <w:color w:val="auto"/>
          <w:szCs w:val="21"/>
          <w:highlight w:val="none"/>
          <w:u w:val="single"/>
        </w:rPr>
        <w:t xml:space="preserve">后，乙方向甲方开具发票，甲方自收到发票之日起10个工作日内</w:t>
      </w:r>
      <w:r>
        <w:rPr>
          <w:rFonts w:hint="eastAsia" w:ascii="宋体" w:hAnsi="宋体" w:eastAsia="宋体" w:cs="宋体"/>
          <w:color w:val="auto"/>
          <w:szCs w:val="21"/>
          <w:highlight w:val="none"/>
          <w:u w:val="single"/>
          <w:lang w:val="en-US" w:eastAsia="zh-CN"/>
        </w:rPr>
        <w:t xml:space="preserve">支付剩余合同总价尾款</w:t>
      </w:r>
      <w:r>
        <w:rPr>
          <w:rFonts w:hint="eastAsia" w:ascii="宋体" w:hAnsi="宋体" w:eastAsia="宋体" w:cs="宋体"/>
          <w:color w:val="auto"/>
          <w:szCs w:val="21"/>
          <w:highlight w:val="none"/>
          <w:u w:val="single"/>
          <w:lang w:eastAsia="zh-CN"/>
        </w:rPr>
        <w:t xml:space="preserve">。</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年，因人为因素出现的故障不在免费保修范围内。超过保修期的机器设备，终身维修，维修时只收部件成本费。</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hAnsi="宋体" w:cs="宋体"/>
          <w:color w:val="auto"/>
          <w:sz w:val="21"/>
          <w:highlight w:val="none"/>
          <w:lang w:val="en-US" w:eastAsia="zh-CN"/>
        </w:rPr>
        <w:t xml:space="preserve">13</w:t>
      </w:r>
      <w:r>
        <w:rPr>
          <w:rFonts w:hint="eastAsia" w:ascii="宋体" w:hAnsi="宋体" w:eastAsia="宋体" w:cs="宋体"/>
          <w:color w:val="auto"/>
          <w:sz w:val="21"/>
          <w:highlight w:val="none"/>
        </w:rPr>
        <w:t xml:space="preserve">.1 甲方依法组织履约验收工作。</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.3 对于实际使用人和甲方分离的项目，甲方邀请实际使用人参与验收。</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.4 如有必要，甲方邀请参加本项目的其他供应商或第三方专业机构及专家参与验收，相关意见将作为验收书的参考资料。</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992"/>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合同经双方法定代表人签章并加盖单位公章，并经江苏苏维工程管理有限公司见证盖章后生效。</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992"/>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本合同正本一式四份，具有同等法律效力，甲方、乙方、见证方各执一份。  </w:t>
      </w:r>
      <w:r/>
    </w:p>
    <w:tbl>
      <w:tblPr>
        <w:tblStyle w:val="763"/>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甲方：苏北人民医院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2"/>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bl>
    <w:p>
      <w:pPr>
        <w:pStyle w:val="992"/>
        <w:spacing w:line="360" w:lineRule="auto"/>
        <w:rPr>
          <w:color w:val="auto"/>
          <w:highlight w:val="none"/>
        </w:rPr>
      </w:pPr>
      <w:r>
        <w:rPr>
          <w:rFonts w:hint="eastAsia"/>
          <w:color w:val="auto"/>
          <w:highlight w:val="none"/>
        </w:rPr>
        <w:br w:type="page" w:clear="all"/>
      </w:r>
      <w:r/>
    </w:p>
    <w:p>
      <w:pPr>
        <w:pStyle w:val="753"/>
        <w:numPr>
          <w:ilvl w:val="0"/>
          <w:numId w:val="2"/>
        </w:numPr>
        <w:rPr>
          <w:color w:val="auto"/>
          <w:highlight w:val="none"/>
        </w:rPr>
      </w:pPr>
      <w:r>
        <w:rPr>
          <w:rFonts w:hint="eastAsia"/>
          <w:color w:val="auto"/>
          <w:highlight w:val="none"/>
        </w:rPr>
        <w:t xml:space="preserve">项目需求</w:t>
      </w:r>
      <w:bookmarkEnd w:id="58"/>
      <w:r/>
      <w:r/>
    </w:p>
    <w:p>
      <w:pPr>
        <w:pStyle w:val="769"/>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bookmarkStart w:id="59" w:name="_Toc319408306"/>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769"/>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val="0"/>
          <w:bCs w:val="0"/>
          <w:color w:val="auto"/>
          <w:sz w:val="21"/>
          <w:szCs w:val="21"/>
          <w:highlight w:val="none"/>
          <w:u w:val="single"/>
          <w:lang w:val="en-US" w:eastAsia="zh-CN"/>
        </w:rPr>
        <w:t xml:space="preserve">无</w:t>
      </w:r>
      <w:r>
        <w:rPr>
          <w:rFonts w:hint="eastAsia" w:ascii="宋体" w:hAnsi="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3.采购需求中</w:t>
      </w:r>
      <w:r>
        <w:rPr>
          <w:rFonts w:hint="eastAsia" w:ascii="宋体" w:hAnsi="宋体" w:cs="宋体"/>
          <w:b/>
          <w:bCs/>
          <w:i/>
          <w:iCs/>
          <w:color w:val="auto"/>
          <w:sz w:val="21"/>
          <w:szCs w:val="21"/>
          <w:highlight w:val="none"/>
          <w:u w:val="single"/>
        </w:rPr>
        <w:t xml:space="preserve">斜体且有下划线部分</w:t>
      </w:r>
      <w:r>
        <w:rPr>
          <w:rFonts w:hint="eastAsia" w:ascii="宋体" w:hAnsi="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技术要求响应及偏离表</w:t>
      </w:r>
      <w:r>
        <w:rPr>
          <w:rFonts w:hint="eastAsia" w:ascii="宋体" w:hAnsi="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商务要求响应及偏离表</w:t>
      </w:r>
      <w:r>
        <w:rPr>
          <w:rFonts w:hint="eastAsia" w:ascii="宋体" w:hAnsi="宋体" w:cs="宋体"/>
          <w:b w:val="0"/>
          <w:bCs w:val="0"/>
          <w:color w:val="auto"/>
          <w:sz w:val="21"/>
          <w:szCs w:val="21"/>
          <w:highlight w:val="none"/>
        </w:rPr>
        <w:t xml:space="preserve">之下。</w:t>
      </w:r>
      <w:r/>
    </w:p>
    <w:p>
      <w:pPr>
        <w:pStyle w:val="769"/>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63"/>
        <w:tblW w:w="44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2455"/>
        <w:gridCol w:w="3193"/>
      </w:tblGrid>
      <w:tr>
        <w:trPr>
          <w:cantSplit/>
          <w:jc w:val="center"/>
          <w:trHeight w:val="607"/>
        </w:trPr>
        <w:tc>
          <w:tcPr>
            <w:tcW w:w="1268"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1621"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1268"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621" w:type="pct"/>
            <w:vAlign w:val="center"/>
            <w:textDirection w:val="lrTb"/>
            <w:noWrap w:val="false"/>
          </w:tcPr>
          <w:p>
            <w:pPr>
              <w:jc w:val="center"/>
              <w:keepLines w:val="0"/>
              <w:keepNext w:val="0"/>
              <w:pageBreakBefore w:val="0"/>
              <w:spacing w:line="360" w:lineRule="auto"/>
              <w:widowControl w:val="off"/>
              <w:tabs>
                <w:tab w:val="left" w:pos="2020" w:leader="none"/>
              </w:tabs>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祛红激光治疗仪</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工业</w:t>
            </w:r>
            <w:r/>
          </w:p>
        </w:tc>
      </w:tr>
    </w:tbl>
    <w:p>
      <w:pPr>
        <w:pStyle w:val="1026"/>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本院拟采购祛红激光治疗仪1套，</w:t>
      </w:r>
      <w:r>
        <w:rPr>
          <w:rFonts w:hint="eastAsia" w:ascii="宋体" w:hAnsi="宋体" w:eastAsia="宋体" w:cs="宋体"/>
          <w:color w:val="auto"/>
          <w:sz w:val="21"/>
          <w:szCs w:val="21"/>
          <w:highlight w:val="none"/>
          <w:lang w:val="en-US" w:eastAsia="zh-CN"/>
        </w:rPr>
        <w:t xml:space="preserve">用于治疗血管性疾病如鲜红斑痣、血管瘤、毛细血管扩张、静脉曲张、 蜘蛛痣、酒糟鼻等、改善增生性疤痕、</w:t>
      </w:r>
      <w:r>
        <w:rPr>
          <w:rFonts w:hint="eastAsia" w:hAnsi="宋体" w:cs="宋体"/>
          <w:color w:val="auto"/>
          <w:sz w:val="21"/>
          <w:szCs w:val="21"/>
          <w:highlight w:val="none"/>
          <w:lang w:val="en-US" w:eastAsia="zh-CN"/>
        </w:rPr>
        <w:t xml:space="preserve">痤疮</w:t>
      </w:r>
      <w:r>
        <w:rPr>
          <w:rFonts w:hint="eastAsia" w:ascii="宋体" w:hAnsi="宋体" w:eastAsia="宋体" w:cs="宋体"/>
          <w:color w:val="auto"/>
          <w:sz w:val="21"/>
          <w:szCs w:val="21"/>
          <w:highlight w:val="none"/>
          <w:lang w:val="en-US" w:eastAsia="zh-CN"/>
        </w:rPr>
        <w:t xml:space="preserve">瘢痕治疗病等。</w:t>
      </w:r>
      <w:r/>
    </w:p>
    <w:p>
      <w:pPr>
        <w:pStyle w:val="1026"/>
        <w:ind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最高限价：</w:t>
      </w:r>
      <w:r>
        <w:rPr>
          <w:rFonts w:hint="eastAsia" w:ascii="宋体" w:hAnsi="宋体" w:eastAsia="宋体" w:cs="宋体"/>
          <w:b/>
          <w:bCs/>
          <w:i/>
          <w:iCs/>
          <w:color w:val="auto"/>
          <w:sz w:val="21"/>
          <w:szCs w:val="21"/>
          <w:highlight w:val="none"/>
          <w:u w:val="single"/>
          <w:lang w:val="en-US" w:eastAsia="zh-CN"/>
        </w:rPr>
        <w:t xml:space="preserve">160</w:t>
      </w:r>
      <w:r>
        <w:rPr>
          <w:rFonts w:hint="eastAsia" w:ascii="宋体" w:hAnsi="宋体" w:eastAsia="宋体" w:cs="宋体"/>
          <w:b/>
          <w:bCs/>
          <w:i/>
          <w:iCs/>
          <w:color w:val="auto"/>
          <w:sz w:val="21"/>
          <w:szCs w:val="21"/>
          <w:highlight w:val="none"/>
          <w:u w:val="single"/>
        </w:rPr>
        <w:t xml:space="preserve">万元，投标人报价不得高于最高限价，否则</w:t>
      </w:r>
      <w:r>
        <w:rPr>
          <w:rFonts w:hint="eastAsia" w:hAnsi="宋体" w:cs="宋体"/>
          <w:b/>
          <w:bCs/>
          <w:i/>
          <w:iCs/>
          <w:color w:val="auto"/>
          <w:sz w:val="21"/>
          <w:szCs w:val="21"/>
          <w:highlight w:val="none"/>
          <w:u w:val="single"/>
          <w:lang w:eastAsia="zh-CN"/>
        </w:rPr>
        <w:t xml:space="preserve">作</w:t>
      </w:r>
      <w:r>
        <w:rPr>
          <w:rFonts w:hint="eastAsia" w:ascii="宋体" w:hAnsi="宋体" w:eastAsia="宋体" w:cs="宋体"/>
          <w:b/>
          <w:bCs/>
          <w:i/>
          <w:iCs/>
          <w:color w:val="auto"/>
          <w:sz w:val="21"/>
          <w:szCs w:val="21"/>
          <w:highlight w:val="none"/>
          <w:u w:val="single"/>
        </w:rPr>
        <w:t xml:space="preserve">无效投标处理。（提供开标一览表，扫描上传系统）</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验收要求：货到安装调试完毕后一次性验收，符合国家医疗设备评验标准。</w:t>
      </w:r>
      <w:r/>
    </w:p>
    <w:p>
      <w:pPr>
        <w:pStyle w:val="769"/>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6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0"/>
        <w:gridCol w:w="2541"/>
      </w:tblGrid>
      <w:tr>
        <w:trPr/>
        <w:tc>
          <w:tcPr>
            <w:tcW w:w="165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2541"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r>
      <w:tr>
        <w:trPr/>
        <w:tc>
          <w:tcPr>
            <w:tcW w:w="165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541" w:type="dxa"/>
            <w:vAlign w:val="center"/>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祛红激光治疗仪</w:t>
            </w:r>
            <w:r/>
          </w:p>
        </w:tc>
      </w:tr>
    </w:tbl>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rPr>
        <w:t xml:space="preserve">进口产品投标</w:t>
      </w:r>
      <w:r/>
    </w:p>
    <w:tbl>
      <w:tblPr>
        <w:tblStyle w:val="76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5"/>
        <w:gridCol w:w="3824"/>
      </w:tblGrid>
      <w:tr>
        <w:trPr>
          <w:trHeight w:val="818"/>
        </w:trPr>
        <w:tc>
          <w:tcPr>
            <w:tcW w:w="255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382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是否接受进口产品投标</w:t>
            </w:r>
            <w:r/>
          </w:p>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w:t>
            </w:r>
            <w:r/>
          </w:p>
        </w:tc>
      </w:tr>
      <w:tr>
        <w:trPr>
          <w:trHeight w:val="424"/>
        </w:trPr>
        <w:tc>
          <w:tcPr>
            <w:tcW w:w="255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82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是</w:t>
            </w:r>
            <w:r/>
          </w:p>
        </w:tc>
      </w:tr>
    </w:tbl>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政府采购中实施本国产品标准及相关政策</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b/>
          <w:bCs/>
          <w:color w:val="auto"/>
          <w:sz w:val="21"/>
          <w:szCs w:val="21"/>
          <w:highlight w:val="none"/>
        </w:rPr>
        <w:t xml:space="preserve">对医疗器械产品，取得药品监督管理部门授予的准字号医疗器械注册证的，属于在中国境内生产的产品；</w:t>
      </w:r>
      <w:r>
        <w:rPr>
          <w:rFonts w:hint="eastAsia" w:ascii="宋体" w:hAnsi="宋体" w:cs="宋体"/>
          <w:color w:val="auto"/>
          <w:sz w:val="21"/>
          <w:szCs w:val="21"/>
          <w:highlight w:val="none"/>
        </w:rPr>
        <w:t xml:space="preserve">其他产品，根据实际情况判断是否在中国境内生产。</w:t>
      </w:r>
      <w:bookmarkEnd w:id="59"/>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bookmarkStart w:id="60" w:name="_Toc55204181"/>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Cs w:val="21"/>
          <w:highlight w:val="none"/>
        </w:rPr>
        <w:t xml:space="preserve">技术要求</w:t>
      </w:r>
      <w:r/>
    </w:p>
    <w:p>
      <w:pPr>
        <w:pStyle w:val="841"/>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设备用途：用于治疗血管性疾病如鲜红斑痣、血管瘤、毛细血管扩张、静脉曲张、 蜘蛛痣、酒糟鼻等、改善增生性疤痕、</w:t>
      </w:r>
      <w:r>
        <w:rPr>
          <w:rFonts w:hint="eastAsia" w:ascii="宋体" w:hAnsi="宋体" w:cs="宋体"/>
          <w:color w:val="auto"/>
          <w:sz w:val="21"/>
          <w:szCs w:val="21"/>
          <w:highlight w:val="none"/>
          <w:lang w:val="en-US" w:eastAsia="zh-CN" w:bidi="ar-SA"/>
        </w:rPr>
        <w:t xml:space="preserve">痤疮</w:t>
      </w:r>
      <w:r>
        <w:rPr>
          <w:rFonts w:hint="eastAsia" w:ascii="宋体" w:hAnsi="宋体" w:eastAsia="宋体" w:cs="宋体"/>
          <w:color w:val="auto"/>
          <w:sz w:val="21"/>
          <w:szCs w:val="21"/>
          <w:highlight w:val="none"/>
          <w:lang w:val="en-US" w:eastAsia="zh-CN" w:bidi="ar-SA"/>
        </w:rPr>
        <w:t xml:space="preserve">瘢痕治疗病等。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激光波长：脉冲染料激光595nm</w:t>
      </w:r>
      <w:r>
        <w:rPr>
          <w:rFonts w:hint="eastAsia" w:ascii="宋体" w:hAnsi="宋体" w:cs="宋体"/>
          <w:color w:val="auto"/>
          <w:sz w:val="21"/>
          <w:szCs w:val="21"/>
          <w:highlight w:val="none"/>
          <w:lang w:val="en-US" w:eastAsia="zh-CN" w:bidi="ar-SA"/>
        </w:rPr>
        <w:t xml:space="preserve">或</w:t>
      </w:r>
      <w:r>
        <w:rPr>
          <w:rFonts w:hint="eastAsia" w:ascii="宋体" w:hAnsi="宋体" w:eastAsia="宋体" w:cs="宋体"/>
          <w:color w:val="auto"/>
          <w:sz w:val="21"/>
          <w:szCs w:val="21"/>
          <w:highlight w:val="none"/>
          <w:lang w:val="en-US" w:eastAsia="zh-CN" w:bidi="ar-SA"/>
        </w:rPr>
        <w:t xml:space="preserve">Nd：YAG激光</w:t>
      </w:r>
      <w:r>
        <w:rPr>
          <w:rFonts w:hint="eastAsia" w:ascii="宋体" w:hAnsi="宋体" w:cs="宋体"/>
          <w:color w:val="auto"/>
          <w:sz w:val="21"/>
          <w:szCs w:val="21"/>
          <w:highlight w:val="none"/>
          <w:lang w:val="en-US" w:eastAsia="zh-CN" w:bidi="ar-SA"/>
        </w:rPr>
        <w:t xml:space="preserve">1064nm</w:t>
      </w:r>
      <w:r>
        <w:rPr>
          <w:rFonts w:hint="eastAsia" w:ascii="宋体" w:hAnsi="宋体" w:eastAsia="宋体" w:cs="宋体"/>
          <w:color w:val="auto"/>
          <w:sz w:val="21"/>
          <w:szCs w:val="21"/>
          <w:highlight w:val="none"/>
          <w:lang w:val="en-US" w:eastAsia="zh-CN" w:bidi="ar-SA"/>
        </w:rPr>
        <w:t xml:space="preserve">；</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激光模式：单模</w:t>
      </w:r>
      <w:r>
        <w:rPr>
          <w:rFonts w:hint="eastAsia" w:ascii="宋体" w:hAnsi="宋体" w:cs="宋体"/>
          <w:color w:val="auto"/>
          <w:sz w:val="21"/>
          <w:szCs w:val="21"/>
          <w:highlight w:val="none"/>
          <w:lang w:val="en-US" w:eastAsia="zh-CN" w:bidi="ar-SA"/>
        </w:rPr>
        <w:t xml:space="preserve">或多模式</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激光类型：脉冲染料激光或Nd：YAG激光</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▲脉冲持续时间范围包含：0.45-40ms；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重复频率：≥1.5HZ；</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光斑大小（直径）范围包含：3-12mm可调；</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▲光斑个数：≥8个</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最大输出激光能量：≥8J</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能量密度：≥ 40J/㎠</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▲子脉冲个数：≥8个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控制面板：彩色触摸屏；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传输方式：光纤传输或导光臂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治疗冷却方式：动态冷却系统或风冷却；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瞄准光束：瞄准光束与治疗光束</w:t>
      </w:r>
      <w:r>
        <w:rPr>
          <w:rFonts w:hint="eastAsia" w:ascii="宋体" w:hAnsi="宋体" w:cs="宋体"/>
          <w:color w:val="auto"/>
          <w:sz w:val="21"/>
          <w:szCs w:val="21"/>
          <w:highlight w:val="none"/>
          <w:lang w:val="en-US" w:eastAsia="zh-CN" w:bidi="ar-SA"/>
        </w:rPr>
        <w:t xml:space="preserve">形状一样，尺寸</w:t>
      </w:r>
      <w:r>
        <w:rPr>
          <w:rFonts w:hint="eastAsia" w:ascii="宋体" w:hAnsi="宋体" w:eastAsia="宋体" w:cs="宋体"/>
          <w:color w:val="auto"/>
          <w:sz w:val="21"/>
          <w:szCs w:val="21"/>
          <w:highlight w:val="none"/>
          <w:lang w:val="en-US" w:eastAsia="zh-CN" w:bidi="ar-SA"/>
        </w:rPr>
        <w:t xml:space="preserve">相同；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手柄：镜头与距离规一体式设计；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▲能量校准方式：自动程序校准和外部校准口模式； </w:t>
      </w:r>
      <w:r/>
    </w:p>
    <w:p>
      <w:pPr>
        <w:numPr>
          <w:ilvl w:val="0"/>
          <w:numId w:val="3"/>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▲脉冲控制：提供手控开关，提供脚踏开关；</w:t>
      </w:r>
      <w:r>
        <w:rPr>
          <w:rFonts w:hint="eastAsia" w:ascii="宋体" w:hAnsi="宋体" w:eastAsia="宋体" w:cs="宋体"/>
          <w:color w:val="auto"/>
          <w:sz w:val="21"/>
          <w:szCs w:val="21"/>
          <w:highlight w:val="none"/>
        </w:rPr>
        <w:t xml:space="preserve"> </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、商务要求</w:t>
      </w:r>
      <w:r/>
    </w:p>
    <w:p>
      <w:pPr>
        <w:ind w:firstLine="420"/>
        <w:jc w:val="left"/>
        <w:spacing w:line="360" w:lineRule="auto"/>
        <w:widowControl/>
        <w:rPr>
          <w:rFonts w:hint="eastAsia" w:ascii="宋体" w:hAnsi="宋体" w:cs="宋体"/>
          <w:color w:val="auto"/>
          <w:szCs w:val="21"/>
          <w:highlight w:val="none"/>
        </w:rPr>
      </w:pPr>
      <w:r/>
      <w:bookmarkStart w:id="61" w:name="_Toc29995"/>
      <w:r>
        <w:rPr>
          <w:rFonts w:hint="eastAsia" w:ascii="宋体" w:hAnsi="宋体" w:cs="宋体"/>
          <w:i w:val="0"/>
          <w:iCs w:val="0"/>
          <w:color w:val="auto"/>
          <w:szCs w:val="21"/>
          <w:highlight w:val="none"/>
          <w:u w:val="none"/>
        </w:rPr>
        <w:t xml:space="preserve">1.</w:t>
      </w:r>
      <w:r>
        <w:rPr>
          <w:rFonts w:hint="eastAsia" w:ascii="宋体" w:hAnsi="宋体" w:cs="宋体"/>
          <w:color w:val="auto"/>
          <w:sz w:val="21"/>
          <w:szCs w:val="21"/>
          <w:highlight w:val="none"/>
        </w:rPr>
        <w:t xml:space="preserve">合同签订后90个日历</w:t>
      </w:r>
      <w:r>
        <w:rPr>
          <w:rFonts w:hint="eastAsia" w:ascii="宋体" w:hAnsi="宋体" w:cs="宋体"/>
          <w:color w:val="auto"/>
          <w:sz w:val="21"/>
          <w:szCs w:val="21"/>
          <w:highlight w:val="none"/>
          <w:lang w:val="en-US" w:eastAsia="zh-CN"/>
        </w:rPr>
        <w:t xml:space="preserve">天</w:t>
      </w:r>
      <w:r>
        <w:rPr>
          <w:rFonts w:hint="eastAsia" w:ascii="宋体" w:hAnsi="宋体" w:cs="宋体"/>
          <w:color w:val="auto"/>
          <w:sz w:val="21"/>
          <w:szCs w:val="21"/>
          <w:highlight w:val="none"/>
        </w:rPr>
        <w:t xml:space="preserve">内安装调试完毕。</w:t>
      </w:r>
      <w:r>
        <w:rPr>
          <w:rFonts w:hint="eastAsia" w:ascii="宋体" w:hAnsi="宋体" w:cs="宋体"/>
          <w:i/>
          <w:iCs/>
          <w:strike w:val="0"/>
          <w:color w:val="auto"/>
          <w:szCs w:val="21"/>
          <w:highlight w:val="none"/>
          <w:u w:val="single"/>
        </w:rPr>
        <w:t xml:space="preserve">设备质量保修期</w:t>
      </w:r>
      <w:r>
        <w:rPr>
          <w:rFonts w:hint="eastAsia" w:ascii="宋体" w:hAnsi="宋体" w:cs="宋体"/>
          <w:i/>
          <w:iCs/>
          <w:strike w:val="0"/>
          <w:color w:val="auto"/>
          <w:szCs w:val="21"/>
          <w:highlight w:val="none"/>
          <w:u w:val="single"/>
          <w:lang w:val="en-US" w:eastAsia="zh-CN"/>
        </w:rPr>
        <w:t xml:space="preserve">至少1</w:t>
      </w:r>
      <w:r>
        <w:rPr>
          <w:rFonts w:hint="eastAsia" w:ascii="宋体" w:hAnsi="宋体" w:cs="宋体"/>
          <w:i/>
          <w:iCs/>
          <w:strike w:val="0"/>
          <w:color w:val="auto"/>
          <w:szCs w:val="21"/>
          <w:highlight w:val="none"/>
          <w:u w:val="single"/>
        </w:rPr>
        <w:t xml:space="preserve">年，自验收合格之日起计算，质保期内免费上门质保。</w:t>
      </w:r>
      <w:r>
        <w:rPr>
          <w:rFonts w:hint="eastAsia" w:ascii="宋体" w:hAnsi="宋体" w:cs="宋体"/>
          <w:i/>
          <w:iCs/>
          <w:strike w:val="0"/>
          <w:color w:val="auto"/>
          <w:szCs w:val="21"/>
          <w:highlight w:val="none"/>
          <w:u w:val="single"/>
          <w:lang w:eastAsia="zh-CN"/>
        </w:rPr>
        <w:t xml:space="preserve">（</w:t>
      </w:r>
      <w:r>
        <w:rPr>
          <w:rFonts w:hint="eastAsia" w:ascii="宋体" w:hAnsi="宋体" w:cs="宋体"/>
          <w:i/>
          <w:iCs/>
          <w:strike w:val="0"/>
          <w:color w:val="auto"/>
          <w:szCs w:val="21"/>
          <w:highlight w:val="none"/>
          <w:u w:val="single"/>
          <w:lang w:val="en-US" w:eastAsia="zh-CN"/>
        </w:rPr>
        <w:t xml:space="preserve">提供承诺书加盖投标人公章， 扫描上传系统</w:t>
      </w:r>
      <w:r>
        <w:rPr>
          <w:rFonts w:hint="eastAsia" w:ascii="宋体" w:hAnsi="宋体" w:cs="宋体"/>
          <w:i/>
          <w:iCs/>
          <w:strike w:val="0"/>
          <w:color w:val="auto"/>
          <w:szCs w:val="21"/>
          <w:highlight w:val="none"/>
          <w:u w:val="single"/>
          <w:lang w:eastAsia="zh-CN"/>
        </w:rPr>
        <w:t xml:space="preserve">）</w:t>
      </w:r>
      <w:r>
        <w:rPr>
          <w:rFonts w:hint="eastAsia" w:ascii="宋体" w:hAnsi="宋体" w:cs="宋体"/>
          <w:color w:val="auto"/>
          <w:szCs w:val="21"/>
          <w:highlight w:val="none"/>
        </w:rPr>
        <w:t xml:space="preserve">中标人负责设备的终身维修，更换部件时须保证与原有产品的规格、型号和结构的一致性，并不得影响已使用场所的正常工作的开展。保修期外仅收取配件费，免收交通费及修理费；中标人保证能提供设备的所有配件。保修期满后需更换配件，价格由双方协商确定。若附件中涉及零配件，易损件价格，则不得高于附件中的相应价格。</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报价应包括货物价格、运杂费（含保险费）、包装费、安装费、安装调试费、验收前保管、调试、验收合格及之前所有含税费用、验收费、各种税费、交付使用前管理费，以及伴随服务/售后服务费等为完成招标文件规定的工作内容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的一切相关费用，投标人中标后不得以任何理由进行调整，费用自行考虑均包含在投标报价中，相关费用如缺项，视为让利。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3.投标人</w:t>
      </w:r>
      <w:r>
        <w:rPr>
          <w:rFonts w:hint="eastAsia" w:ascii="宋体" w:hAnsi="宋体" w:cs="宋体"/>
          <w:color w:val="auto"/>
          <w:szCs w:val="21"/>
          <w:highlight w:val="none"/>
        </w:rPr>
        <w:t xml:space="preserve">提供详细标准配置清单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详见</w:t>
      </w:r>
      <w:r>
        <w:rPr>
          <w:rFonts w:hint="eastAsia" w:ascii="宋体" w:hAnsi="宋体" w:cs="宋体"/>
          <w:color w:val="auto"/>
          <w:sz w:val="21"/>
          <w:szCs w:val="21"/>
          <w:highlight w:val="none"/>
        </w:rPr>
        <w:t xml:space="preserve">“第六章 投标文件格式”的“配置清单”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提供质保期满后的全包质保费用，要求不得高于</w:t>
      </w:r>
      <w:r>
        <w:rPr>
          <w:rFonts w:hint="eastAsia" w:ascii="宋体" w:hAnsi="宋体" w:cs="宋体"/>
          <w:color w:val="auto"/>
          <w:szCs w:val="21"/>
          <w:highlight w:val="none"/>
          <w:lang w:val="en-US" w:eastAsia="zh-CN"/>
        </w:rPr>
        <w:t xml:space="preserve">中标价</w:t>
      </w:r>
      <w:r>
        <w:rPr>
          <w:rFonts w:hint="eastAsia"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%，是否执行由招标人确定。</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.实施要求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（1）投标人负责设备的安装和调试，并保证安装稳固，如因</w:t>
      </w:r>
      <w:r>
        <w:rPr>
          <w:rFonts w:hint="eastAsia" w:ascii="宋体" w:hAnsi="宋体" w:cs="宋体"/>
          <w:color w:val="auto"/>
          <w:szCs w:val="21"/>
          <w:highlight w:val="none"/>
          <w:lang w:val="en-US" w:eastAsia="zh-CN"/>
        </w:rPr>
        <w:t xml:space="preserve">设备</w:t>
      </w:r>
      <w:r>
        <w:rPr>
          <w:rFonts w:hint="eastAsia" w:ascii="宋体" w:hAnsi="宋体" w:cs="宋体"/>
          <w:color w:val="auto"/>
          <w:szCs w:val="21"/>
          <w:highlight w:val="none"/>
        </w:rPr>
        <w:t xml:space="preserve">倾倒掉落导致安全事故</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投标人负责处理，并由投标人承担相应的赔偿责任。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（2）调试过程中</w:t>
      </w:r>
      <w:r>
        <w:rPr>
          <w:rFonts w:hint="eastAsia" w:ascii="宋体" w:hAnsi="宋体" w:cs="宋体"/>
          <w:color w:val="auto"/>
          <w:szCs w:val="21"/>
          <w:highlight w:val="none"/>
          <w:lang w:eastAsia="zh-CN"/>
        </w:rPr>
        <w:t xml:space="preserve">需要</w:t>
      </w:r>
      <w:r>
        <w:rPr>
          <w:rFonts w:hint="eastAsia" w:ascii="宋体" w:hAnsi="宋体" w:cs="宋体"/>
          <w:color w:val="auto"/>
          <w:szCs w:val="21"/>
          <w:highlight w:val="none"/>
        </w:rPr>
        <w:t xml:space="preserve">使用的工具、设备、耗材、运输和劳务等所有费用均由投标人承担。</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（3）所有设备安装完成后，应按国家有关规范标准（国家无验收规范标准的按双方合同规定的要求）进行调试、验收。</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（4）所有设备拆箱、通电、调试等各项工作由投标人负责完成。具体实施前，应先经采购人同意且在其指定人员的参与下方可进行。调试的原始记录须经各方签字后留作验收文件。</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（5）设备由投标人运至采购人指定地点，验收交货前存放及保管概由投标人负责。</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.设备要求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（1）投标人提供的设备必须是制造厂商原装的、全新的产品。其性能及指标参数应符合国家及采购文件提出的有关技术、质量、安全标准。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（2）投标人应确保提供的设备在开箱检验时完好，无破损，箱内配置与装箱清单相符。数量、质量及性能不得低于采购文件中的相关要求。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（3）投标人提供的设备应外观整洁，设备型号、规格、制造厂商、生产（出厂）日期须准确清晰。铭牌、使用指示和警告指示均应以中、英文和通俗易懂的符号表示。</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（4）供货时所有设备</w:t>
      </w:r>
      <w:r>
        <w:rPr>
          <w:rFonts w:hint="eastAsia" w:ascii="宋体" w:hAnsi="宋体" w:cs="宋体"/>
          <w:color w:val="auto"/>
          <w:szCs w:val="21"/>
          <w:highlight w:val="none"/>
          <w:lang w:val="en-US" w:eastAsia="zh-CN"/>
        </w:rPr>
        <w:t xml:space="preserve">提供提供中文操作手册及维修手册。</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（5）所有设备配件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易损件、</w:t>
      </w:r>
      <w:r>
        <w:rPr>
          <w:rFonts w:hint="eastAsia" w:ascii="宋体" w:hAnsi="宋体" w:cs="宋体"/>
          <w:color w:val="auto"/>
          <w:szCs w:val="21"/>
          <w:highlight w:val="none"/>
        </w:rPr>
        <w:t xml:space="preserve">耗材在现场安装使用前，采购人将进行随机抽验。</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5.售后服务要求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（1）在保修期内，如有损坏或质量不合格者，中标人应及时给予修复和更换，其修理和更换应免费。正常修理周期和修理期间需提供免费测试。</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在保修期内，供应商应在接到故障通知2小时内做出有效响应，并在24小时内到达现场免费予以排除故障、修复或更换零部件。如2个工作日内不能修复必须提供备用机使用，确保采购人能正常开展工作，设备在使用寿命周期内，保证更换到原厂配件。</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（3）在保修期期满前一个月，中标人必须指派专业人员上门检测设备，确保设备的指标符合验收标准，如有问题应作为保修内容给予免费处理。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（4）在保修期外，中标人为设备提供终身维修服务，维修问题出现时，按技术参</w:t>
      </w:r>
      <w:r>
        <w:rPr>
          <w:rFonts w:hint="eastAsia" w:ascii="宋体" w:hAnsi="宋体" w:cs="宋体"/>
          <w:color w:val="auto"/>
          <w:szCs w:val="21"/>
          <w:highlight w:val="none"/>
          <w:lang w:eastAsia="zh-CN"/>
        </w:rPr>
        <w:t xml:space="preserve">数和</w:t>
      </w:r>
      <w:r>
        <w:rPr>
          <w:rFonts w:hint="eastAsia" w:ascii="宋体" w:hAnsi="宋体" w:cs="宋体"/>
          <w:color w:val="auto"/>
          <w:szCs w:val="21"/>
          <w:highlight w:val="none"/>
        </w:rPr>
        <w:t xml:space="preserve">服务要求相应条款处理。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（5）在保修期内，如果原厂方鉴定设备因为人为损坏，厂方须出具具有法定权威性的第三方检测证明，否则一律视为保修范围内处理。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（6）终身提供免费的应用咨询及技术帮助。</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6.技术培训：投标人应根据采购人的要求，上门对相关人员进行设备技术免费培训，并制定与投标文件相应的培训方案。培训对象、时间、地点由采购方确定。</w:t>
      </w:r>
      <w:r>
        <w:rPr>
          <w:rFonts w:hint="eastAsia" w:ascii="Times New Roman" w:hAnsi="Times New Roman"/>
          <w:color w:val="auto"/>
          <w:highlight w:val="none"/>
        </w:rPr>
        <w:t xml:space="preserve">提供操作和维护的培训计划。</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i/>
          <w:iCs/>
          <w:color w:val="auto"/>
          <w:szCs w:val="21"/>
          <w:highlight w:val="none"/>
          <w:u w:val="single"/>
        </w:rPr>
        <w:t xml:space="preserve">在接到采购人故障报修后，中标人需在2小时内响应，并在24小时内到达现场，2个工作日未解决故障，免费提供备用机。一切费用由中标人负责</w:t>
      </w:r>
      <w:r>
        <w:rPr>
          <w:rFonts w:hint="eastAsia" w:ascii="宋体" w:hAnsi="宋体" w:cs="宋体"/>
          <w:i/>
          <w:iCs/>
          <w:color w:val="auto"/>
          <w:szCs w:val="21"/>
          <w:highlight w:val="none"/>
          <w:u w:val="single"/>
          <w:lang w:eastAsia="zh-CN"/>
        </w:rPr>
        <w:t xml:space="preserve">。</w:t>
      </w:r>
      <w:r>
        <w:rPr>
          <w:rFonts w:hint="eastAsia" w:ascii="宋体" w:hAnsi="宋体" w:cs="宋体"/>
          <w:i/>
          <w:iCs/>
          <w:strike w:val="0"/>
          <w:color w:val="auto"/>
          <w:szCs w:val="21"/>
          <w:highlight w:val="none"/>
          <w:u w:val="single"/>
          <w:lang w:eastAsia="zh-CN"/>
        </w:rPr>
        <w:t xml:space="preserve">（</w:t>
      </w:r>
      <w:r>
        <w:rPr>
          <w:rFonts w:hint="eastAsia" w:ascii="宋体" w:hAnsi="宋体" w:cs="宋体"/>
          <w:i/>
          <w:iCs/>
          <w:strike w:val="0"/>
          <w:color w:val="auto"/>
          <w:szCs w:val="21"/>
          <w:highlight w:val="none"/>
          <w:u w:val="single"/>
          <w:lang w:val="en-US" w:eastAsia="zh-CN"/>
        </w:rPr>
        <w:t xml:space="preserve">提供承诺书加盖投标人公章， 扫描上传系统</w:t>
      </w:r>
      <w:r>
        <w:rPr>
          <w:rFonts w:hint="eastAsia" w:ascii="宋体" w:hAnsi="宋体" w:cs="宋体"/>
          <w:i/>
          <w:iCs/>
          <w:strike w:val="0"/>
          <w:color w:val="auto"/>
          <w:szCs w:val="21"/>
          <w:highlight w:val="none"/>
          <w:u w:val="single"/>
          <w:lang w:eastAsia="zh-CN"/>
        </w:rPr>
        <w:t xml:space="preserve">）</w:t>
      </w:r>
      <w:r>
        <w:rPr>
          <w:rFonts w:hint="eastAsia" w:ascii="宋体" w:hAnsi="宋体" w:cs="宋体"/>
          <w:color w:val="auto"/>
          <w:szCs w:val="21"/>
          <w:highlight w:val="none"/>
        </w:rPr>
        <w:t xml:space="preserve">，若</w:t>
      </w:r>
      <w:r>
        <w:rPr>
          <w:rFonts w:hint="eastAsia" w:ascii="宋体" w:hAnsi="宋体" w:cs="宋体"/>
          <w:color w:val="auto"/>
          <w:szCs w:val="21"/>
          <w:highlight w:val="none"/>
          <w:lang w:eastAsia="zh-CN"/>
        </w:rPr>
        <w:t xml:space="preserve">因</w:t>
      </w:r>
      <w:r>
        <w:rPr>
          <w:rFonts w:hint="eastAsia" w:ascii="宋体" w:hAnsi="宋体" w:cs="宋体"/>
          <w:color w:val="auto"/>
          <w:szCs w:val="21"/>
          <w:highlight w:val="none"/>
        </w:rPr>
        <w:t xml:space="preserve">中标人维修不及时，给采购人造成影响的，采购人有权追究其法律责任。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投标人须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（1）投标人负责保管、看护进场的设备及附配件；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（2）投标人负</w:t>
      </w:r>
      <w:r>
        <w:rPr>
          <w:rFonts w:hint="eastAsia" w:ascii="宋体" w:hAnsi="宋体" w:cs="宋体"/>
          <w:color w:val="auto"/>
          <w:szCs w:val="21"/>
          <w:highlight w:val="none"/>
          <w:lang w:eastAsia="zh-CN"/>
        </w:rPr>
        <w:t xml:space="preserve">责对</w:t>
      </w:r>
      <w:r>
        <w:rPr>
          <w:rFonts w:hint="eastAsia" w:ascii="宋体" w:hAnsi="宋体" w:cs="宋体"/>
          <w:color w:val="auto"/>
          <w:szCs w:val="21"/>
          <w:highlight w:val="none"/>
        </w:rPr>
        <w:t xml:space="preserve">设备、安装设备（工具）等提供适当的保护、包装或覆盖等处理，以免受损；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（3）投标人安装调试人员对邻近设备等造成损坏，应由投标人负责修复及承担一切费用；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（4）无论安装调试期间或保修过程中，投标人负责及时清理垃圾；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（5）投标人承担安装调试期间安装场所的安全以及设备和安装调试人员的安全责任；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的申请将不被批准。</w:t>
      </w:r>
      <w:r/>
    </w:p>
    <w:p>
      <w:pPr>
        <w:pStyle w:val="753"/>
        <w:rPr>
          <w:color w:val="auto"/>
          <w:highlight w:val="none"/>
        </w:rPr>
      </w:pPr>
      <w:r>
        <w:rPr>
          <w:rFonts w:hint="eastAsia"/>
          <w:color w:val="auto"/>
          <w:highlight w:val="none"/>
        </w:rPr>
        <w:t xml:space="preserve">第五章 评标方法及评标标准</w:t>
      </w:r>
      <w:bookmarkEnd w:id="60"/>
      <w:r/>
      <w:bookmarkEnd w:id="61"/>
      <w:r/>
      <w:r/>
    </w:p>
    <w:p>
      <w:pPr>
        <w:pStyle w:val="1017"/>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bookmarkStart w:id="62" w:name="_Toc449016388"/>
      <w:r/>
      <w:bookmarkStart w:id="63"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2"/>
      <w:r/>
      <w:bookmarkEnd w:id="63"/>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cs="宋体"/>
          <w:b/>
          <w:color w:val="auto"/>
          <w:sz w:val="21"/>
          <w:szCs w:val="21"/>
          <w:highlight w:val="none"/>
          <w:lang w:val="en-US" w:eastAsia="zh-CN"/>
        </w:rPr>
        <w:t xml:space="preserve">无</w:t>
      </w:r>
      <w:r/>
    </w:p>
    <w:tbl>
      <w:tblPr>
        <w:tblStyle w:val="763"/>
        <w:tblW w:w="0" w:type="auto"/>
        <w:tblInd w:w="11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17"/>
        <w:gridCol w:w="3343"/>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无</w:t>
            </w:r>
            <w:r/>
          </w:p>
        </w:tc>
      </w:tr>
    </w:tbl>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7"/>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63"/>
        <w:tblpPr w:horzAnchor="page" w:tblpX="1658" w:vertAnchor="text" w:tblpY="425" w:leftFromText="180" w:topFromText="0" w:rightFromText="180" w:bottomFromText="0"/>
        <w:tblW w:w="50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3"/>
        <w:gridCol w:w="6987"/>
      </w:tblGrid>
      <w:tr>
        <w:trPr>
          <w:trHeight w:val="598"/>
          <w:tblHeader/>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b/>
                <w:bCs/>
                <w:color w:val="auto"/>
                <w:szCs w:val="21"/>
                <w:highlight w:val="none"/>
              </w:rPr>
            </w:pPr>
            <w:r/>
            <w:bookmarkStart w:id="64" w:name="_Toc18779"/>
            <w:r>
              <w:rPr>
                <w:rFonts w:hint="eastAsia" w:ascii="宋体" w:hAnsi="宋体" w:cs="宋体"/>
                <w:b/>
                <w:bCs/>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评标细则</w:t>
            </w:r>
            <w:r/>
          </w:p>
        </w:tc>
      </w:tr>
      <w:tr>
        <w:trPr>
          <w:trHeight w:val="90"/>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其他投标人的价格分统一按照下列公式计算：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投标报价得分=（评标基准价／投标报价）×30×100%，结果保留两位有效小数。</w:t>
            </w:r>
            <w:r/>
          </w:p>
        </w:tc>
      </w:tr>
      <w:tr>
        <w:trPr>
          <w:trHeight w:val="1805"/>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技术参数响应情况</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评委根据招标文件第四章项目需求中【</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、技术要求】以及投标文件提供的佐证材料等进行评审：所投产品技术参数全部满足或者优于招标文件要求的得满分</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”号项指标参数为重要参数（“</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”共</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个），每有1项负偏离（不满足）扣3分，总分</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其他项作一般技术要求，每有1项负偏离（不满足）扣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分，总分</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号项指标参数须提供第三方检验报告或者技术支持资料（如厂家技术白皮书或厂家公开发行的宣传彩页等）加盖投标人公章，并同时须在《技术参数响应及偏离表》中逐条应答，未按要求提供证明材料并根据证明材料逐条应答的视为负偏离，评审时不予认可。</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（2）未标注“▲”的一般参数应在《技术参数响应及偏离表》中逐项说明偏离情况。未按要求逐条应答的视为负偏离，评审时不予认可。</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（3）技术参数建议使用明显标注，采用如箭头、标红或下划线等方式，以方便评委查看。</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设备交付验收时，招标人将对技术要求的具体描述进行逐一核实验收，如发现虚假应标，给招标人造成损失的由投标人承担一切责任。</w:t>
            </w:r>
            <w:r/>
          </w:p>
        </w:tc>
      </w:tr>
      <w:tr>
        <w:trPr>
          <w:trHeight w:val="538"/>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根据项目需求制定整体实施方案，评委依据方案的专业性和完善度进行综合评分。</w:t>
            </w:r>
            <w:r/>
          </w:p>
          <w:p>
            <w:pPr>
              <w:numPr>
                <w:ilvl w:val="0"/>
                <w:numId w:val="4"/>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实施方案明确、思路清晰、内容具体详实、便于操作，项目管理团队人员技术力量雄厚、分工设置合理、进度安排科学合理衔接顺畅的得10分；</w:t>
            </w:r>
            <w:r/>
          </w:p>
          <w:p>
            <w:pPr>
              <w:numPr>
                <w:ilvl w:val="0"/>
                <w:numId w:val="4"/>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实施方案较明确、思路较清晰、内容较具体详实、具有操作性，项目管理团队人员技术力量能够满足需求、分工设置较合理、进度安排可行衔接较顺畅的得7分；</w:t>
            </w:r>
            <w:r/>
          </w:p>
          <w:p>
            <w:pPr>
              <w:numPr>
                <w:ilvl w:val="0"/>
                <w:numId w:val="4"/>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实施方案基本明确、思路基本清晰、内容基本具体但不够详实，具有一定操作性，项目管理团队人员技术力量基本满足需求、分工设置基本合理、有大致进度安排但细节不足的得4分；</w:t>
            </w:r>
            <w:r/>
          </w:p>
          <w:p>
            <w:pPr>
              <w:numPr>
                <w:ilvl w:val="0"/>
                <w:numId w:val="4"/>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实施方案不明确、思路阐述不够清晰、无</w:t>
            </w:r>
            <w:r>
              <w:rPr>
                <w:rFonts w:hint="eastAsia" w:ascii="宋体" w:hAnsi="宋体" w:cs="宋体"/>
                <w:color w:val="auto"/>
                <w:szCs w:val="21"/>
                <w:highlight w:val="none"/>
                <w:lang w:eastAsia="zh-CN" w:bidi="ar"/>
              </w:rPr>
              <w:t xml:space="preserve">实质性</w:t>
            </w:r>
            <w:r>
              <w:rPr>
                <w:rFonts w:hint="eastAsia" w:ascii="宋体" w:hAnsi="宋体" w:cs="宋体"/>
                <w:color w:val="auto"/>
                <w:szCs w:val="21"/>
                <w:highlight w:val="none"/>
                <w:lang w:bidi="ar"/>
              </w:rPr>
              <w:t xml:space="preserve">可行内容，不具有可操作性，项目管理团队人员技术力量薄弱，分工设置不具有合理性、进度安排模糊的得1分；</w:t>
            </w:r>
            <w:r/>
          </w:p>
          <w:p>
            <w:pPr>
              <w:numPr>
                <w:ilvl w:val="0"/>
                <w:numId w:val="4"/>
              </w:num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未提供实施方案的不得分。</w:t>
            </w:r>
            <w:r/>
          </w:p>
        </w:tc>
      </w:tr>
      <w:tr>
        <w:trPr>
          <w:trHeight w:val="7660"/>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w:t>
            </w:r>
            <w:r>
              <w:rPr>
                <w:rFonts w:hint="eastAsia" w:ascii="宋体" w:hAnsi="宋体" w:cs="宋体"/>
                <w:color w:val="auto"/>
                <w:szCs w:val="21"/>
                <w:highlight w:val="none"/>
                <w:lang w:val="en-US" w:eastAsia="zh-CN"/>
              </w:rPr>
              <w:t xml:space="preserve">维护</w:t>
            </w:r>
            <w:r>
              <w:rPr>
                <w:rFonts w:hint="eastAsia" w:ascii="宋体" w:hAnsi="宋体" w:cs="宋体"/>
                <w:color w:val="auto"/>
                <w:szCs w:val="21"/>
                <w:highlight w:val="none"/>
              </w:rPr>
              <w:t xml:space="preserve">方案</w:t>
            </w:r>
            <w:r/>
          </w:p>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85"/>
              <w:jc w:val="both"/>
              <w:spacing w:beforeAutospacing="0" w:afterAutospacing="0" w:line="360" w:lineRule="auto"/>
              <w:rPr>
                <w:b/>
                <w:bCs/>
                <w:color w:val="auto"/>
                <w:highlight w:val="none"/>
              </w:rPr>
            </w:pPr>
            <w:r>
              <w:rPr>
                <w:rFonts w:hint="eastAsia" w:ascii="宋体" w:hAnsi="宋体" w:cs="宋体"/>
                <w:b/>
                <w:bCs/>
                <w:color w:val="auto"/>
                <w:sz w:val="21"/>
                <w:szCs w:val="21"/>
                <w:highlight w:val="none"/>
              </w:rPr>
              <w:t xml:space="preserve">根据本项目需求制定详细的售后维护方案，包括响应时间、维修工程师能力、备品配件、维修站点情况、能够提供的增值服务等内容，评委依据方案的专业性和完善度进行综合评分。</w:t>
            </w:r>
            <w:r/>
          </w:p>
          <w:p>
            <w:pPr>
              <w:pStyle w:val="785"/>
              <w:numPr>
                <w:ilvl w:val="0"/>
                <w:numId w:val="5"/>
              </w:numPr>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售后方案内容科学、描述详细，响应时间及相关服务承诺内容详实且合理高效，维修工程师专业素养高且有丰富经验，备品配件齐全，维修站点布局合理、设施完善，提供多样化且实用的增值服务的得10分；</w:t>
            </w:r>
            <w:r/>
          </w:p>
          <w:p>
            <w:pPr>
              <w:pStyle w:val="785"/>
              <w:numPr>
                <w:ilvl w:val="0"/>
                <w:numId w:val="5"/>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较科学、描述较详细，响应时间及相关服务承诺内容较详实、合理，维修工程师专业素养较高，有一定经验，备品配件较齐全，有维修站点、设施较完善，提供少量的增值服务、实用性一般的得7分；</w:t>
            </w:r>
            <w:r/>
          </w:p>
          <w:p>
            <w:pPr>
              <w:pStyle w:val="785"/>
              <w:numPr>
                <w:ilvl w:val="0"/>
                <w:numId w:val="5"/>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描述基本齐全，响应时间及相关服务承诺内容基本合理，针对可能发生的不同类型的故障有基本的流程和措施但不够细化、有部分故障覆盖不足，维修工程师有基本专业素养但经验不足，备品配件基本满足日常需求，有维修站点但布局一般、设施一般，无增值服务或增值服务无实用性的得4分；</w:t>
            </w:r>
            <w:r/>
          </w:p>
          <w:p>
            <w:pPr>
              <w:pStyle w:val="785"/>
              <w:numPr>
                <w:ilvl w:val="0"/>
                <w:numId w:val="5"/>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售后方案内容描述不详细，响应时间及相关服务承诺内容不明确，维修工程师专业素养不清晰，经验不足，备品配件种类少、储备不足，无维修站点，无增值服务或增值服务无实用性的得1分；</w:t>
            </w:r>
            <w:r/>
          </w:p>
          <w:p>
            <w:pPr>
              <w:numPr>
                <w:ilvl w:val="0"/>
                <w:numId w:val="5"/>
              </w:numPr>
              <w:rPr>
                <w:rFonts w:hint="eastAsia" w:ascii="宋体" w:hAnsi="宋体" w:cs="宋体"/>
                <w:bCs/>
                <w:color w:val="auto"/>
                <w:szCs w:val="21"/>
                <w:highlight w:val="none"/>
              </w:rPr>
            </w:pPr>
            <w:r>
              <w:rPr>
                <w:rFonts w:hint="eastAsia" w:ascii="宋体" w:hAnsi="宋体" w:cs="宋体"/>
                <w:color w:val="auto"/>
                <w:szCs w:val="21"/>
                <w:highlight w:val="none"/>
              </w:rPr>
              <w:t xml:space="preserve">未提供</w:t>
            </w:r>
            <w:r>
              <w:rPr>
                <w:rFonts w:hint="eastAsia" w:ascii="宋体" w:hAnsi="宋体" w:cs="宋体"/>
                <w:color w:val="auto"/>
                <w:szCs w:val="21"/>
                <w:highlight w:val="none"/>
                <w:lang w:val="en-US" w:eastAsia="zh-CN"/>
              </w:rPr>
              <w:t xml:space="preserve">售后</w:t>
            </w:r>
            <w:r>
              <w:rPr>
                <w:rFonts w:hint="eastAsia" w:ascii="宋体" w:hAnsi="宋体" w:cs="宋体"/>
                <w:color w:val="auto"/>
                <w:szCs w:val="21"/>
                <w:highlight w:val="none"/>
              </w:rPr>
              <w:t xml:space="preserve">服务方案的不得分。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培训服务</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w:t>
            </w:r>
            <w:r/>
          </w:p>
          <w:p>
            <w:pPr>
              <w:pStyle w:val="769"/>
              <w:ind w:left="0"/>
              <w:jc w:val="center"/>
              <w:spacing w:after="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根据本项目需求制定详细的培训方案，评委依据方案的专业性和完善度进行综合评分。</w:t>
            </w:r>
            <w:r/>
          </w:p>
          <w:p>
            <w:pPr>
              <w:numPr>
                <w:ilvl w:val="0"/>
                <w:numId w:val="6"/>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培训方案逻辑清晰、内容完整、灵活性大，培训人数多、</w:t>
            </w:r>
            <w:r>
              <w:rPr>
                <w:rFonts w:hint="eastAsia" w:ascii="宋体" w:hAnsi="宋体" w:cs="宋体"/>
                <w:color w:val="auto"/>
                <w:szCs w:val="21"/>
                <w:highlight w:val="none"/>
                <w:lang w:eastAsia="zh-CN"/>
              </w:rPr>
              <w:t xml:space="preserve">时间</w:t>
            </w:r>
            <w:r>
              <w:rPr>
                <w:rFonts w:hint="eastAsia" w:ascii="宋体" w:hAnsi="宋体" w:cs="宋体"/>
                <w:color w:val="auto"/>
                <w:szCs w:val="21"/>
                <w:highlight w:val="none"/>
              </w:rPr>
              <w:t xml:space="preserve">安排合理全面，培训要点难点明确分析精准，覆盖面广泛，且培训计划覆盖供货、安装服务期，具有全面的技术支持能力的得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numPr>
                <w:ilvl w:val="0"/>
                <w:numId w:val="6"/>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培训方案逻辑较清晰、内容较完整、灵活性较大、培训人数较多、</w:t>
            </w:r>
            <w:r>
              <w:rPr>
                <w:rFonts w:hint="eastAsia" w:ascii="宋体" w:hAnsi="宋体" w:cs="宋体"/>
                <w:color w:val="auto"/>
                <w:szCs w:val="21"/>
                <w:highlight w:val="none"/>
                <w:lang w:eastAsia="zh-CN"/>
              </w:rPr>
              <w:t xml:space="preserve">时间</w:t>
            </w:r>
            <w:r>
              <w:rPr>
                <w:rFonts w:hint="eastAsia" w:ascii="宋体" w:hAnsi="宋体" w:cs="宋体"/>
                <w:color w:val="auto"/>
                <w:szCs w:val="21"/>
                <w:highlight w:val="none"/>
              </w:rPr>
              <w:t xml:space="preserve">安排较合理全面，培训要点难点明确分析较精准，覆盖面较广泛，且培训计划基本覆盖供货、安装服务期，具有比较全面的技术支持能力的得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numPr>
                <w:ilvl w:val="0"/>
                <w:numId w:val="6"/>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培训方案逻辑不清晰、内容不完整，培训要点难点未有具体分析，覆盖面不广泛，且培训计划未全面覆盖供货、安装服务期，不太能体现技术支持能力的得1分；</w:t>
            </w:r>
            <w:r/>
          </w:p>
          <w:p>
            <w:pPr>
              <w:pStyle w:val="769"/>
              <w:numPr>
                <w:ilvl w:val="0"/>
                <w:numId w:val="6"/>
              </w:numPr>
              <w:ind w:left="0" w:firstLine="0"/>
              <w:spacing w:after="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val="en-US" w:eastAsia="zh-CN"/>
              </w:rPr>
              <w:t xml:space="preserve">培训</w:t>
            </w:r>
            <w:r>
              <w:rPr>
                <w:rFonts w:hint="eastAsia" w:ascii="宋体" w:hAnsi="宋体" w:eastAsia="宋体" w:cs="宋体"/>
                <w:color w:val="auto"/>
                <w:szCs w:val="21"/>
                <w:highlight w:val="none"/>
              </w:rPr>
              <w:t xml:space="preserve">服务方案的不得分。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pStyle w:val="769"/>
              <w:ind w:left="0"/>
              <w:jc w:val="center"/>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突发事件的应急响应措施方案</w:t>
            </w:r>
            <w:r/>
          </w:p>
          <w:p>
            <w:pPr>
              <w:pStyle w:val="769"/>
              <w:ind w:left="0"/>
              <w:jc w:val="center"/>
              <w:spacing w:after="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对供货过程和技术服务期间突发事件的应急响应措施方案，评委依据方案的专业性和完善度进行综合评分。</w:t>
            </w:r>
            <w:r/>
          </w:p>
          <w:p>
            <w:pPr>
              <w:pStyle w:val="785"/>
              <w:numPr>
                <w:ilvl w:val="0"/>
                <w:numId w:val="7"/>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对供货过程和技术服务期间突发事件有具体、可操作的流程和措施的得5分；</w:t>
            </w:r>
            <w:r/>
          </w:p>
          <w:p>
            <w:pPr>
              <w:pStyle w:val="785"/>
              <w:numPr>
                <w:ilvl w:val="0"/>
                <w:numId w:val="7"/>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供货过程和技术服务期间突发事件有基本的流程和措施的得3分；</w:t>
            </w:r>
            <w:r/>
          </w:p>
          <w:p>
            <w:pPr>
              <w:pStyle w:val="785"/>
              <w:numPr>
                <w:ilvl w:val="0"/>
                <w:numId w:val="7"/>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供货过程和技术服务期间突发事件有基本的流程和措施但不够细化、有部分故障覆盖不足的得1分；</w:t>
            </w:r>
            <w:r/>
          </w:p>
          <w:p>
            <w:pPr>
              <w:pStyle w:val="785"/>
              <w:numPr>
                <w:ilvl w:val="0"/>
                <w:numId w:val="7"/>
              </w:numPr>
              <w:jc w:val="both"/>
              <w:spacing w:beforeAutospacing="0" w:afterAutospacing="0" w:line="360" w:lineRule="auto"/>
              <w:rPr>
                <w:rFonts w:hint="eastAsia"/>
                <w:color w:val="auto"/>
                <w:highlight w:val="none"/>
              </w:rPr>
            </w:pPr>
            <w:r>
              <w:rPr>
                <w:rFonts w:hint="eastAsia" w:ascii="宋体" w:hAnsi="宋体" w:cs="宋体"/>
                <w:color w:val="auto"/>
                <w:sz w:val="21"/>
                <w:szCs w:val="21"/>
                <w:highlight w:val="none"/>
                <w:lang w:val="en-US" w:eastAsia="zh-CN"/>
              </w:rPr>
              <w:t xml:space="preserve">未提供方案的不得分。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6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投标人或制造商 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年1月1日以来（以合同签订时间为准），承担过与本项目类似业绩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同时提供与业绩相对应的合同用户</w:t>
            </w:r>
            <w:r>
              <w:rPr>
                <w:rFonts w:hint="eastAsia" w:ascii="宋体" w:hAnsi="宋体" w:cs="宋体"/>
                <w:color w:val="auto"/>
                <w:szCs w:val="21"/>
                <w:highlight w:val="none"/>
                <w:lang w:val="en-US" w:eastAsia="zh-CN"/>
              </w:rPr>
              <w:t xml:space="preserve">产品使用</w:t>
            </w:r>
            <w:r>
              <w:rPr>
                <w:rFonts w:hint="eastAsia" w:ascii="宋体" w:hAnsi="宋体" w:cs="宋体"/>
                <w:color w:val="auto"/>
                <w:szCs w:val="21"/>
                <w:highlight w:val="none"/>
              </w:rPr>
              <w:t xml:space="preserve">评价，每提供一个得2分，满分8分。</w:t>
            </w:r>
            <w:r/>
          </w:p>
          <w:p>
            <w:pPr>
              <w:pStyle w:val="768"/>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注：提供类似业绩合同及用户出具的相对应的</w:t>
            </w:r>
            <w:r>
              <w:rPr>
                <w:rFonts w:hint="eastAsia" w:ascii="宋体" w:hAnsi="宋体" w:cs="宋体"/>
                <w:b/>
                <w:bCs/>
                <w:color w:val="auto"/>
                <w:szCs w:val="21"/>
                <w:highlight w:val="none"/>
                <w:lang w:val="en-US" w:eastAsia="zh-CN"/>
              </w:rPr>
              <w:t xml:space="preserve">产品使用</w:t>
            </w:r>
            <w:r>
              <w:rPr>
                <w:rFonts w:hint="eastAsia" w:ascii="宋体" w:hAnsi="宋体" w:cs="宋体"/>
                <w:b/>
                <w:bCs/>
                <w:color w:val="auto"/>
                <w:szCs w:val="21"/>
                <w:highlight w:val="none"/>
              </w:rPr>
              <w:t xml:space="preserve">评价扫描件，系统上传，类似业绩合同和</w:t>
            </w:r>
            <w:r>
              <w:rPr>
                <w:rFonts w:hint="eastAsia" w:ascii="宋体" w:hAnsi="宋体" w:cs="宋体"/>
                <w:b/>
                <w:bCs/>
                <w:color w:val="auto"/>
                <w:szCs w:val="21"/>
                <w:highlight w:val="none"/>
                <w:lang w:val="en-US" w:eastAsia="zh-CN"/>
              </w:rPr>
              <w:t xml:space="preserve">产品使用</w:t>
            </w:r>
            <w:r>
              <w:rPr>
                <w:rFonts w:hint="eastAsia" w:ascii="宋体" w:hAnsi="宋体" w:cs="宋体"/>
                <w:b/>
                <w:bCs/>
                <w:color w:val="auto"/>
                <w:szCs w:val="21"/>
                <w:highlight w:val="none"/>
              </w:rPr>
              <w:t xml:space="preserve">评价缺一不可。若所投产品为进口产品，也可提供国内代理商业绩</w:t>
            </w:r>
            <w:r>
              <w:rPr>
                <w:rFonts w:hint="eastAsia" w:ascii="宋体" w:hAnsi="宋体" w:cs="宋体"/>
                <w:b/>
                <w:bCs/>
                <w:color w:val="auto"/>
                <w:szCs w:val="21"/>
                <w:highlight w:val="none"/>
                <w:lang w:val="en-US" w:eastAsia="zh-CN"/>
              </w:rPr>
              <w:t xml:space="preserve">代替合同</w:t>
            </w:r>
            <w:r>
              <w:rPr>
                <w:rFonts w:hint="eastAsia" w:ascii="宋体" w:hAnsi="宋体" w:cs="宋体"/>
                <w:b/>
                <w:bCs/>
                <w:color w:val="auto"/>
                <w:szCs w:val="21"/>
                <w:highlight w:val="none"/>
              </w:rPr>
              <w:t xml:space="preserve">。</w:t>
            </w:r>
            <w:r/>
          </w:p>
          <w:p>
            <w:pPr>
              <w:pStyle w:val="768"/>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合同至少包含签订时间、合同双方名称、产品名称、合同总价；</w:t>
            </w:r>
            <w:r/>
          </w:p>
          <w:p>
            <w:pPr>
              <w:pStyle w:val="768"/>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产品使用</w:t>
            </w:r>
            <w:r>
              <w:rPr>
                <w:rFonts w:hint="eastAsia" w:ascii="宋体" w:hAnsi="宋体" w:cs="宋体"/>
                <w:b/>
                <w:bCs/>
                <w:color w:val="auto"/>
                <w:szCs w:val="21"/>
                <w:highlight w:val="none"/>
              </w:rPr>
              <w:t xml:space="preserve">评价至少包含项目名称、时间、合同双方名称、产品名称及业主</w:t>
            </w:r>
            <w:r>
              <w:rPr>
                <w:rFonts w:hint="eastAsia" w:ascii="宋体" w:hAnsi="宋体" w:cs="宋体"/>
                <w:b/>
                <w:bCs/>
                <w:color w:val="auto"/>
                <w:szCs w:val="21"/>
                <w:highlight w:val="none"/>
                <w:lang w:val="en-US" w:eastAsia="zh-CN"/>
              </w:rPr>
              <w:t xml:space="preserve">盖章</w:t>
            </w:r>
            <w:r>
              <w:rPr>
                <w:rFonts w:hint="eastAsia" w:ascii="宋体" w:hAnsi="宋体" w:cs="宋体"/>
                <w:b/>
                <w:bCs/>
                <w:color w:val="auto"/>
                <w:szCs w:val="21"/>
                <w:highlight w:val="none"/>
              </w:rPr>
              <w:t xml:space="preserve">。合同或</w:t>
            </w:r>
            <w:r>
              <w:rPr>
                <w:rFonts w:hint="eastAsia" w:ascii="宋体" w:hAnsi="宋体" w:cs="宋体"/>
                <w:b/>
                <w:bCs/>
                <w:color w:val="auto"/>
                <w:szCs w:val="21"/>
                <w:highlight w:val="none"/>
                <w:lang w:val="en-US" w:eastAsia="zh-CN"/>
              </w:rPr>
              <w:t xml:space="preserve">产品使用</w:t>
            </w:r>
            <w:r>
              <w:rPr>
                <w:rFonts w:hint="eastAsia" w:ascii="宋体" w:hAnsi="宋体" w:cs="宋体"/>
                <w:b/>
                <w:bCs/>
                <w:color w:val="auto"/>
                <w:szCs w:val="21"/>
                <w:highlight w:val="none"/>
              </w:rPr>
              <w:t xml:space="preserve">评价要素不完整或者内容不清晰无法辨认或未按要求提供不得分。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68"/>
              <w:spacing w:line="360" w:lineRule="auto"/>
              <w:rPr>
                <w:rFonts w:hint="default" w:ascii="宋体" w:hAnsi="宋体" w:eastAsia="宋体" w:cs="宋体"/>
                <w:b/>
                <w:bCs/>
                <w:color w:val="auto"/>
                <w:szCs w:val="21"/>
                <w:highlight w:val="none"/>
                <w:lang w:val="en-US" w:eastAsia="zh-CN"/>
              </w:rPr>
            </w:pPr>
            <w:r/>
            <w:bookmarkStart w:id="93" w:name="_GoBack"/>
            <w:r>
              <w:rPr>
                <w:rFonts w:hint="eastAsia" w:ascii="宋体" w:hAnsi="宋体" w:cs="宋体"/>
                <w:color w:val="auto"/>
                <w:szCs w:val="21"/>
                <w:highlight w:val="none"/>
              </w:rPr>
              <w:t xml:space="preserve">本项目设备质量保修期至少</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年，在此基础上，投标人承诺的质保期每增加1年得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满分4</w:t>
            </w:r>
            <w:r>
              <w:rPr>
                <w:rFonts w:hint="eastAsia" w:ascii="宋体" w:hAnsi="宋体" w:cs="宋体"/>
                <w:color w:val="auto"/>
                <w:szCs w:val="21"/>
                <w:highlight w:val="none"/>
              </w:rPr>
              <w:t xml:space="preserve">分。（每次延长时间不足一年的不计分，响应投标文件最低质保期要求的不计分）</w:t>
            </w:r>
            <w:r>
              <w:rPr>
                <w:rFonts w:hint="eastAsia" w:ascii="宋体" w:hAnsi="宋体" w:cs="宋体"/>
                <w:b/>
                <w:bCs/>
                <w:color w:val="auto"/>
                <w:szCs w:val="21"/>
                <w:highlight w:val="none"/>
                <w:lang w:val="en-US" w:eastAsia="zh-CN"/>
              </w:rPr>
              <w:t xml:space="preserve">提供承诺书加盖投标人公章，上传系统，承诺书格式自拟。</w:t>
            </w:r>
            <w:bookmarkEnd w:id="93"/>
            <w:r/>
            <w:r/>
          </w:p>
        </w:tc>
      </w:tr>
    </w:tbl>
    <w:p>
      <w:pPr>
        <w:rPr>
          <w:color w:val="auto"/>
          <w:highlight w:val="none"/>
        </w:rPr>
      </w:pPr>
      <w:r>
        <w:rPr>
          <w:rFonts w:hint="eastAsia"/>
          <w:color w:val="auto"/>
          <w:highlight w:val="none"/>
        </w:rPr>
        <w:br w:type="page" w:clear="all"/>
      </w:r>
      <w:r/>
    </w:p>
    <w:p>
      <w:pPr>
        <w:pStyle w:val="753"/>
        <w:rPr>
          <w:color w:val="auto"/>
          <w:highlight w:val="none"/>
        </w:rPr>
      </w:pPr>
      <w:r>
        <w:rPr>
          <w:rFonts w:hint="eastAsia"/>
          <w:color w:val="auto"/>
          <w:highlight w:val="none"/>
        </w:rPr>
        <w:t xml:space="preserve">第六章 投标文件格式</w:t>
      </w:r>
      <w:bookmarkEnd w:id="64"/>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69"/>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i w:val="0"/>
          <w:iCs/>
          <w:color w:val="auto"/>
          <w:sz w:val="24"/>
          <w:highlight w:val="none"/>
          <w:u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val="0"/>
          <w:iCs/>
          <w:color w:val="auto"/>
          <w:sz w:val="24"/>
          <w:highlight w:val="none"/>
          <w:u w:val="non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五、投标分项报价表</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配置清单</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lang w:eastAsia="zh-CN"/>
        </w:rPr>
        <w:t xml:space="preserve">技术要求响应及偏离表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商务要求响应及偏离表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lang w:val="en-US" w:eastAsia="zh-CN"/>
        </w:rPr>
        <w:t xml:space="preserve">十</w:t>
      </w:r>
      <w:r>
        <w:rPr>
          <w:rFonts w:hint="eastAsia" w:ascii="宋体" w:hAnsi="宋体" w:cs="宋体"/>
          <w:color w:val="auto"/>
          <w:sz w:val="24"/>
          <w:highlight w:val="none"/>
        </w:rPr>
        <w:t xml:space="preserve">、其他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81"/>
        <w:rPr>
          <w:rFonts w:hint="eastAsia" w:ascii="宋体" w:hAnsi="宋体" w:cs="宋体"/>
          <w:color w:val="auto"/>
          <w:highlight w:val="none"/>
        </w:rPr>
      </w:pPr>
      <w:r>
        <w:rPr>
          <w:rFonts w:hint="eastAsia" w:ascii="宋体" w:hAnsi="宋体" w:eastAsia="宋体" w:cs="宋体"/>
          <w:color w:val="auto"/>
          <w:sz w:val="32"/>
          <w:szCs w:val="32"/>
          <w:highlight w:val="none"/>
        </w:rPr>
        <w:br w:type="page" w:clear="all"/>
      </w:r>
      <w:bookmarkStart w:id="65" w:name="_Toc5792"/>
      <w:r/>
      <w:bookmarkStart w:id="66" w:name="_Toc7268"/>
      <w:r/>
      <w:bookmarkStart w:id="67" w:name="_Toc20369"/>
      <w:r>
        <w:rPr>
          <w:rFonts w:hint="eastAsia" w:ascii="宋体" w:hAnsi="宋体" w:eastAsia="宋体" w:cs="宋体"/>
          <w:color w:val="auto"/>
          <w:sz w:val="32"/>
          <w:highlight w:val="none"/>
        </w:rPr>
        <w:t xml:space="preserve">一、</w:t>
      </w:r>
      <w:bookmarkEnd w:id="65"/>
      <w:r/>
      <w:bookmarkEnd w:id="66"/>
      <w:r/>
      <w:bookmarkEnd w:id="67"/>
      <w:r>
        <w:rPr>
          <w:rFonts w:hint="eastAsia" w:ascii="宋体" w:hAnsi="宋体" w:cs="宋体"/>
          <w:color w:val="auto"/>
          <w:sz w:val="24"/>
          <w:highlight w:val="none"/>
        </w:rPr>
        <w:t xml:space="preserve">资格审查响应对照表</w:t>
      </w:r>
      <w:r/>
    </w:p>
    <w:tbl>
      <w:tblPr>
        <w:tblStyle w:val="76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8"/>
        <w:gridCol w:w="6074"/>
        <w:gridCol w:w="39"/>
        <w:gridCol w:w="1670"/>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gridSpan w:val="2"/>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5"/>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gridSpan w:val="2"/>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2024年度或2025年度的财务报告情况；（成立不满一年无需提供）</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落实政府采购政策需满足的资格要求：无</w:t>
            </w:r>
            <w:r/>
          </w:p>
        </w:tc>
      </w:tr>
      <w:tr>
        <w:trPr>
          <w:trHeight w:val="452"/>
        </w:trPr>
        <w:tc>
          <w:tcPr>
            <w:gridSpan w:val="5"/>
            <w:tcW w:w="8519"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本项目的特定资格要求：无</w:t>
            </w:r>
            <w:r/>
          </w:p>
        </w:tc>
      </w:tr>
      <w:tr>
        <w:trPr>
          <w:trHeight w:val="452"/>
        </w:trPr>
        <w:tc>
          <w:tcPr>
            <w:gridSpan w:val="2"/>
            <w:tcBorders>
              <w:right w:val="single" w:color="auto" w:sz="4" w:space="0"/>
            </w:tcBorders>
            <w:tcW w:w="7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gridSpan w:val="2"/>
            <w:tcBorders>
              <w:left w:val="single" w:color="auto" w:sz="4" w:space="0"/>
              <w:right w:val="single" w:color="auto" w:sz="4" w:space="0"/>
            </w:tcBorders>
            <w:tcW w:w="6113" w:type="dxa"/>
            <w:vAlign w:val="center"/>
            <w:textDirection w:val="lrTb"/>
            <w:noWrap w:val="false"/>
          </w:tcPr>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（1）所投产品按国家规定须医疗器械注册证的，投标人须提供所投产品有效的《医疗器械注册证》（扫描上传系统）；</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（2）投标人为医疗器械经营企业的，须根据投标产品的类别，提供投标人有效的《医疗器械经营许可证》或者《医疗器械经营备案凭证》（扫描上传系统）；</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投标人为医疗器械生产企业的，须提供有效的《医疗器械生产许可证》（扫描上传系统）；</w:t>
            </w:r>
            <w:r/>
          </w:p>
          <w:p>
            <w:pPr>
              <w:spacing w:line="440" w:lineRule="exact"/>
              <w:rPr>
                <w:rFonts w:hint="eastAsia" w:ascii="宋体" w:hAnsi="宋体" w:cs="宋体"/>
                <w:b/>
                <w:bCs/>
                <w:color w:val="auto"/>
                <w:szCs w:val="21"/>
                <w:highlight w:val="none"/>
              </w:rPr>
            </w:pPr>
            <w:r>
              <w:rPr>
                <w:rFonts w:hint="eastAsia" w:ascii="宋体" w:hAnsi="宋体" w:cs="宋体"/>
                <w:b w:val="0"/>
                <w:bCs w:val="0"/>
                <w:color w:val="auto"/>
                <w:szCs w:val="21"/>
                <w:highlight w:val="none"/>
              </w:rPr>
              <w:t xml:space="preserve">（3）所投产品若为进口产品，须提供制造商（生产者）或代理商授权、进口产品注册证等有效证明（如为外文需提供翻译件）（扫描上传系统）；</w:t>
            </w:r>
            <w:r/>
          </w:p>
        </w:tc>
        <w:tc>
          <w:tcPr>
            <w:tcBorders>
              <w:left w:val="single" w:color="auto" w:sz="4" w:space="0"/>
            </w:tcBorders>
            <w:tcW w:w="1670"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8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法定代表人签章：</w:t>
      </w:r>
      <w:r>
        <w:rPr>
          <w:rFonts w:hint="eastAsia" w:ascii="宋体" w:hAnsi="宋体" w:cs="宋体"/>
          <w:bCs/>
          <w:color w:val="auto"/>
          <w:sz w:val="21"/>
          <w:szCs w:val="21"/>
          <w:highlight w:val="none"/>
          <w:u w:val="single"/>
        </w:rPr>
        <w:t xml:space="preserve">_______________________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    </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17"/>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1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1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1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7"/>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1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18"/>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1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1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法定代表人身份证复印件、被授权人身份证复印件</w:t>
      </w:r>
      <w:r/>
    </w:p>
    <w:p>
      <w:pPr>
        <w:pStyle w:val="981"/>
        <w:rPr>
          <w:rFonts w:hint="eastAsia" w:ascii="宋体" w:hAnsi="宋体" w:eastAsia="宋体" w:cs="宋体"/>
          <w:color w:val="auto"/>
          <w:sz w:val="32"/>
          <w:highlight w:val="none"/>
        </w:rPr>
      </w:pPr>
      <w:r/>
      <w:bookmarkStart w:id="68" w:name="_Toc20616"/>
      <w:r/>
      <w:bookmarkStart w:id="69" w:name="_Toc9345"/>
      <w:r/>
      <w:bookmarkStart w:id="70" w:name="_Toc16911"/>
      <w:r>
        <w:rPr>
          <w:rFonts w:hint="eastAsia" w:ascii="宋体" w:hAnsi="宋体" w:eastAsia="宋体" w:cs="宋体"/>
          <w:color w:val="auto"/>
          <w:sz w:val="32"/>
          <w:highlight w:val="none"/>
        </w:rPr>
        <w:t xml:space="preserve">二、符合性审查响应对照表</w:t>
      </w:r>
      <w:bookmarkEnd w:id="68"/>
      <w:r/>
      <w:bookmarkEnd w:id="69"/>
      <w:r/>
      <w:bookmarkEnd w:id="70"/>
      <w:r/>
      <w:r/>
    </w:p>
    <w:tbl>
      <w:tblPr>
        <w:tblStyle w:val="7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1"/>
        <w:rPr>
          <w:rFonts w:hint="eastAsia" w:ascii="宋体" w:hAnsi="宋体" w:eastAsia="宋体" w:cs="宋体"/>
          <w:color w:val="auto"/>
          <w:sz w:val="32"/>
          <w:highlight w:val="none"/>
        </w:rPr>
      </w:pPr>
      <w:r/>
      <w:bookmarkStart w:id="71" w:name="_Toc23068"/>
      <w:r/>
      <w:bookmarkStart w:id="72" w:name="_Toc29406"/>
      <w:r/>
      <w:bookmarkStart w:id="73" w:name="_Toc23420"/>
      <w:r>
        <w:rPr>
          <w:rFonts w:hint="eastAsia" w:ascii="宋体" w:hAnsi="宋体" w:eastAsia="宋体" w:cs="宋体"/>
          <w:color w:val="auto"/>
          <w:sz w:val="32"/>
          <w:highlight w:val="none"/>
        </w:rPr>
        <w:t xml:space="preserve">三、非实质性响应对照表</w:t>
      </w:r>
      <w:bookmarkEnd w:id="71"/>
      <w:r/>
      <w:bookmarkEnd w:id="72"/>
      <w:r/>
      <w:bookmarkEnd w:id="73"/>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《中小企业声明函（货物）》</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w:t>
      </w:r>
      <w:r>
        <w:rPr>
          <w:rFonts w:hint="eastAsia" w:ascii="宋体" w:hAnsi="宋体" w:eastAsia="宋体" w:cs="宋体"/>
          <w:color w:val="auto"/>
          <w:szCs w:val="21"/>
          <w:highlight w:val="none"/>
          <w:u w:val="single"/>
        </w:rPr>
        <w:t xml:space="preserve">业）行业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工业</w:t>
      </w:r>
      <w:r>
        <w:rPr>
          <w:rFonts w:hint="eastAsia" w:ascii="宋体" w:hAnsi="宋体" w:eastAsia="宋体" w:cs="宋体"/>
          <w:color w:val="auto"/>
          <w:szCs w:val="21"/>
          <w:highlight w:val="none"/>
          <w:u w:val="single"/>
        </w:rPr>
        <w:t xml:space="preserve">）行业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399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rPr>
          <w:rStyle w:val="1007"/>
          <w:rFonts w:hint="eastAsia" w:ascii="宋体" w:hAnsi="宋体" w:cs="宋体"/>
          <w:color w:val="auto"/>
          <w:szCs w:val="21"/>
          <w:highlight w:val="none"/>
        </w:rPr>
      </w:pPr>
      <w:r>
        <w:rPr>
          <w:rStyle w:val="1007"/>
          <w:rFonts w:hint="eastAsia" w:ascii="宋体" w:hAnsi="宋体" w:cs="宋体"/>
          <w:color w:val="auto"/>
          <w:szCs w:val="21"/>
          <w:highlight w:val="none"/>
        </w:rPr>
        <w:br w:type="page" w:clear="all"/>
      </w:r>
      <w:r/>
    </w:p>
    <w:p>
      <w:pPr>
        <w:jc w:val="center"/>
        <w:rPr>
          <w:rStyle w:val="1007"/>
          <w:rFonts w:hint="eastAsia" w:ascii="宋体" w:hAnsi="宋体" w:cs="宋体"/>
          <w:color w:val="auto"/>
          <w:szCs w:val="21"/>
          <w:highlight w:val="none"/>
        </w:rPr>
      </w:pPr>
      <w:r>
        <w:rPr>
          <w:rStyle w:val="1007"/>
          <w:rFonts w:hint="eastAsia" w:ascii="宋体" w:hAnsi="宋体" w:cs="宋体"/>
          <w:color w:val="auto"/>
          <w:szCs w:val="21"/>
          <w:highlight w:val="none"/>
        </w:rPr>
        <w:t xml:space="preserve">中小微企业划型标准</w:t>
      </w:r>
      <w:r/>
    </w:p>
    <w:p>
      <w:pPr>
        <w:pStyle w:val="1002"/>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07"/>
          <w:rFonts w:hint="eastAsia" w:ascii="宋体" w:hAnsi="宋体" w:cs="宋体"/>
          <w:color w:val="auto"/>
          <w:sz w:val="21"/>
          <w:szCs w:val="21"/>
          <w:highlight w:val="none"/>
        </w:rPr>
        <w:t xml:space="preserve">中小微企业划型标准如下：</w:t>
      </w:r>
      <w:r/>
    </w:p>
    <w:tbl>
      <w:tblPr>
        <w:tblStyle w:val="763"/>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02"/>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2"/>
              <w:ind w:firstLine="420"/>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2"/>
              <w:jc w:val="center"/>
              <w:spacing w:after="150" w:line="360" w:lineRule="auto"/>
              <w:widowControl/>
              <w:rPr>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X＜10</w:t>
            </w:r>
            <w:r/>
          </w:p>
        </w:tc>
      </w:tr>
    </w:tbl>
    <w:p>
      <w:pPr>
        <w:pStyle w:val="1002"/>
        <w:ind w:firstLine="810"/>
        <w:spacing w:before="300" w:after="452" w:line="360" w:lineRule="auto"/>
        <w:widowControl/>
        <w:rPr>
          <w:rStyle w:val="1007"/>
          <w:rFonts w:hint="eastAsia" w:ascii="宋体" w:hAnsi="宋体" w:cs="宋体"/>
          <w:color w:val="auto"/>
          <w:sz w:val="21"/>
          <w:szCs w:val="21"/>
          <w:highlight w:val="none"/>
        </w:rPr>
      </w:pPr>
      <w:r>
        <w:rPr>
          <w:rStyle w:val="1007"/>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82"/>
        <w:rPr>
          <w:rFonts w:hint="eastAsia" w:ascii="宋体" w:hAnsi="宋体" w:cs="宋体"/>
          <w:color w:val="auto"/>
          <w:highlight w:val="none"/>
        </w:rPr>
      </w:pPr>
      <w:r>
        <w:rPr>
          <w:rStyle w:val="1007"/>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JSZC-321000-SWGC-G2026-0050</w:t>
      </w:r>
      <w:r>
        <w:rPr>
          <w:rFonts w:hint="eastAsia" w:ascii="宋体" w:hAnsi="宋体"/>
          <w:color w:val="auto"/>
          <w:sz w:val="21"/>
          <w:szCs w:val="21"/>
          <w:highlight w:val="none"/>
          <w:u w:val="single"/>
        </w:rPr>
        <w:t xml:space="preserve">号 </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项目（采购包号：**）采购活动提供本单位制造的货物，或者提供其他残疾人福利性单位制造的货物（不包括使用非残疾人福利性单位注册商标的货物）。</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p>
    <w:p>
      <w:pPr>
        <w:pStyle w:val="785"/>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90"/>
          <w:rFonts w:hint="eastAsia" w:ascii="宋体" w:hAnsi="宋体" w:eastAsia="宋体" w:cs="宋体"/>
          <w:i w:val="0"/>
          <w:color w:val="auto"/>
          <w:highlight w:val="none"/>
          <w:u w:val="single"/>
          <w:shd w:val="clear" w:color="auto" w:fill="ffffff"/>
        </w:rPr>
        <w:t xml:space="preserve">（产品名称1）</w:t>
      </w:r>
      <w:r>
        <w:rPr>
          <w:rStyle w:val="790"/>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90"/>
          <w:rFonts w:hint="eastAsia" w:ascii="宋体" w:hAnsi="宋体" w:eastAsia="宋体" w:cs="宋体"/>
          <w:i w:val="0"/>
          <w:color w:val="auto"/>
          <w:highlight w:val="none"/>
          <w:u w:val="single"/>
          <w:shd w:val="clear" w:color="auto" w:fill="ffffff"/>
        </w:rPr>
        <w:t xml:space="preserve">（厂名）</w:t>
      </w:r>
      <w:r>
        <w:rPr>
          <w:rStyle w:val="790"/>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90"/>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90"/>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90"/>
          <w:rFonts w:hint="eastAsia" w:ascii="宋体" w:hAnsi="宋体" w:eastAsia="宋体" w:cs="宋体"/>
          <w:i w:val="0"/>
          <w:color w:val="auto"/>
          <w:highlight w:val="none"/>
          <w:u w:val="single"/>
          <w:shd w:val="clear" w:color="auto" w:fill="ffffff"/>
        </w:rPr>
        <w:t xml:space="preserve">（规定比例）</w:t>
      </w:r>
      <w:r>
        <w:rPr>
          <w:rStyle w:val="790"/>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9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90"/>
          <w:rFonts w:hint="eastAsia" w:ascii="宋体" w:hAnsi="宋体" w:eastAsia="宋体" w:cs="宋体"/>
          <w:i w:val="0"/>
          <w:color w:val="auto"/>
          <w:highlight w:val="none"/>
          <w:u w:val="single"/>
          <w:shd w:val="clear" w:color="auto" w:fill="ffffff"/>
        </w:rPr>
        <w:t xml:space="preserve">（关键组件）</w:t>
      </w:r>
      <w:r>
        <w:rPr>
          <w:rStyle w:val="790"/>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9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90"/>
          <w:rFonts w:hint="eastAsia" w:ascii="宋体" w:hAnsi="宋体" w:eastAsia="宋体" w:cs="宋体"/>
          <w:i w:val="0"/>
          <w:color w:val="auto"/>
          <w:highlight w:val="none"/>
          <w:u w:val="single"/>
          <w:shd w:val="clear" w:color="auto" w:fill="ffffff"/>
        </w:rPr>
        <w:t xml:space="preserve">（关键工序）</w:t>
      </w:r>
      <w:r>
        <w:rPr>
          <w:rStyle w:val="790"/>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9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90"/>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90"/>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9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90"/>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9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90"/>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9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90"/>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85"/>
        <w:ind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lang w:val="en-US" w:eastAsia="zh-CN"/>
        </w:rPr>
      </w:pPr>
      <w:r>
        <w:rPr>
          <w:rFonts w:hint="eastAsia" w:ascii="宋体" w:hAnsi="宋体" w:eastAsia="宋体" w:cs="宋体"/>
          <w:color w:val="auto"/>
          <w:sz w:val="22"/>
          <w:highlight w:val="none"/>
          <w:shd w:val="clear" w:color="auto" w:fill="ffffff"/>
          <w:lang w:val="en-US" w:eastAsia="zh-CN"/>
        </w:rPr>
        <w:t xml:space="preserve">7.如word斜线错位，请以下方图片所示为准。</w:t>
      </w:r>
      <w:r/>
    </w:p>
    <w:p>
      <w:pPr>
        <w:pStyle w:val="785"/>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highlight w:val="none"/>
          <w:shd w:val="clear" w:color="auto" w:fill="ffffff"/>
          <w:lang w:val="en-US" w:eastAsia="zh-CN"/>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9"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5"/>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451.0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4" w:name="_Toc19910"/>
      <w:r/>
      <w:bookmarkStart w:id="75" w:name="_Toc25382"/>
      <w:r>
        <w:rPr>
          <w:rFonts w:hint="eastAsia" w:ascii="宋体" w:hAnsi="宋体" w:cs="宋体"/>
          <w:b/>
          <w:bCs/>
          <w:color w:val="auto"/>
          <w:sz w:val="32"/>
          <w:szCs w:val="44"/>
          <w:highlight w:val="none"/>
        </w:rPr>
        <w:t xml:space="preserve">四、开标一览表</w:t>
      </w:r>
      <w:bookmarkEnd w:id="74"/>
      <w:r/>
      <w:bookmarkEnd w:id="75"/>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tbl>
      <w:tblPr>
        <w:tblStyle w:val="7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投标总报价</w:t>
            </w:r>
            <w:r/>
          </w:p>
        </w:tc>
      </w:tr>
      <w:tr>
        <w:trPr>
          <w:jc w:val="cente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大写：                   （人民币：元）</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小写：                   （人民币：元）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8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76" w:name="_Toc20323"/>
      <w:r/>
      <w:bookmarkStart w:id="77" w:name="_Toc17891"/>
      <w:r>
        <w:rPr>
          <w:rFonts w:hint="eastAsia" w:ascii="宋体" w:hAnsi="宋体" w:cs="宋体"/>
          <w:b/>
          <w:bCs/>
          <w:color w:val="auto"/>
          <w:sz w:val="32"/>
          <w:szCs w:val="44"/>
          <w:highlight w:val="none"/>
        </w:rPr>
        <w:t xml:space="preserve">五、投标分项报价表</w:t>
      </w:r>
      <w:bookmarkEnd w:id="76"/>
      <w:r/>
      <w:bookmarkEnd w:id="77"/>
      <w:r/>
      <w:r/>
    </w:p>
    <w:tbl>
      <w:tblPr>
        <w:tblStyle w:val="76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0"/>
        <w:gridCol w:w="668"/>
        <w:gridCol w:w="668"/>
        <w:gridCol w:w="862"/>
        <w:gridCol w:w="899"/>
        <w:gridCol w:w="1017"/>
        <w:gridCol w:w="1272"/>
        <w:gridCol w:w="850"/>
        <w:gridCol w:w="927"/>
        <w:gridCol w:w="894"/>
      </w:tblGrid>
      <w:tr>
        <w:trPr>
          <w:cantSplit/>
          <w:trHeight w:val="544"/>
        </w:trPr>
        <w:tc>
          <w:tcPr>
            <w:tcW w:w="270"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cantSplit/>
          <w:trHeight w:val="29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trHeight w:val="696"/>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2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 w:type="pct"/>
            <w:vAlign w:val="center"/>
            <w:textDirection w:val="lrTb"/>
            <w:noWrap w:val="false"/>
          </w:tcPr>
          <w:p>
            <w:pPr>
              <w:jc w:val="center"/>
              <w:spacing w:line="0" w:lineRule="atLeast"/>
              <w:rPr>
                <w:rFonts w:hint="default" w:ascii="宋体" w:hAnsi="宋体" w:eastAsia="宋体" w:cs="宋体"/>
                <w:color w:val="auto"/>
                <w:sz w:val="22"/>
                <w:szCs w:val="22"/>
                <w:highlight w:val="none"/>
                <w:shd w:val="clear" w:color="auto" w:fill="ffffff"/>
                <w:lang w:val="en-US" w:eastAsia="zh-CN" w:bidi="ar-SA"/>
              </w:rPr>
            </w:pPr>
            <w:r>
              <w:rPr>
                <w:rFonts w:hint="default" w:ascii="宋体" w:hAnsi="宋体" w:eastAsia="宋体" w:cs="宋体"/>
                <w:color w:val="auto"/>
                <w:sz w:val="22"/>
                <w:szCs w:val="22"/>
                <w:highlight w:val="none"/>
                <w:shd w:val="clear" w:color="auto" w:fill="ffffff"/>
                <w:lang w:val="en-US" w:eastAsia="zh-CN" w:bidi="ar-SA"/>
              </w:rPr>
            </w:r>
            <w:r/>
          </w:p>
        </w:tc>
        <w:tc>
          <w:tcPr>
            <w:tcW w:w="392"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06"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28"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9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74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499"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8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4"/>
        </w:trPr>
        <w:tc>
          <w:tcPr>
            <w:gridSpan w:val="10"/>
            <w:tcW w:w="5000" w:type="pct"/>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r>
        <w:trPr>
          <w:cantSplit/>
          <w:trHeight w:val="767"/>
        </w:trPr>
        <w:tc>
          <w:tcPr>
            <w:gridSpan w:val="10"/>
            <w:tcW w:w="5000" w:type="pct"/>
            <w:textDirection w:val="lrTb"/>
            <w:noWrap w:val="false"/>
          </w:tcPr>
          <w:p>
            <w:pPr>
              <w:pStyle w:val="785"/>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3.“投标分项报价表”中“投标总报价”数额应当与“开标一览表”中“投标总报价”数额一致。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5.本项目招标代理服务费应包含在投标总价中，具体计算方式详见招标文件第二章4.3条要求。</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765"/>
        <w:rPr>
          <w:rFonts w:hint="eastAsia"/>
          <w:color w:val="auto"/>
          <w:highlight w:val="none"/>
        </w:rPr>
      </w:pPr>
      <w:r>
        <w:rPr>
          <w:rFonts w:hint="eastAsia"/>
          <w:color w:val="auto"/>
          <w:highlight w:val="none"/>
        </w:rPr>
      </w:r>
      <w:r/>
    </w:p>
    <w:p>
      <w:pPr>
        <w:jc w:val="center"/>
        <w:spacing w:before="260" w:line="98" w:lineRule="atLeast"/>
        <w:rPr>
          <w:rFonts w:hint="eastAsia" w:cs="宋体" w:asciiTheme="minorEastAsia" w:hAnsiTheme="minorEastAsia" w:eastAsiaTheme="minorEastAsia"/>
          <w:color w:val="auto"/>
          <w:sz w:val="3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2"/>
          <w:highlight w:val="none"/>
        </w:rPr>
      </w:r>
      <w:r/>
    </w:p>
    <w:p>
      <w:pPr>
        <w:numPr>
          <w:ilvl w:val="0"/>
          <w:numId w:val="8"/>
        </w:numPr>
        <w:jc w:val="cente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t xml:space="preserve">配置清单</w:t>
      </w:r>
      <w:r/>
    </w:p>
    <w:p>
      <w:pPr>
        <w:numPr>
          <w:ilvl w:val="0"/>
          <w:numId w:val="0"/>
        </w:numPr>
        <w:jc w:val="both"/>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tbl>
      <w:tblPr>
        <w:tblStyle w:val="763"/>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pStyle w:val="765"/>
        <w:rPr>
          <w:rFonts w:hint="eastAsia"/>
          <w:color w:val="auto"/>
          <w:highlight w:val="none"/>
        </w:rPr>
      </w:pPr>
      <w:r>
        <w:rPr>
          <w:rFonts w:hint="eastAsia"/>
          <w:color w:val="auto"/>
          <w:highlight w:val="none"/>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注：表格格式供参考，可自拟格式。</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981"/>
        <w:rPr>
          <w:rFonts w:hint="eastAsia" w:ascii="宋体" w:hAnsi="宋体" w:eastAsia="宋体" w:cs="宋体"/>
          <w:color w:val="auto"/>
          <w:sz w:val="32"/>
          <w:highlight w:val="none"/>
          <w:lang w:eastAsia="zh-CN"/>
        </w:rPr>
      </w:pPr>
      <w:r/>
      <w:bookmarkStart w:id="78" w:name="_Toc5967"/>
      <w:r/>
      <w:bookmarkStart w:id="79" w:name="_Toc9678"/>
      <w:r/>
      <w:bookmarkStart w:id="80" w:name="_Toc16517"/>
      <w:r>
        <w:rPr>
          <w:rFonts w:hint="eastAsia" w:ascii="宋体" w:hAnsi="宋体" w:eastAsia="宋体" w:cs="宋体"/>
          <w:color w:val="auto"/>
          <w:sz w:val="32"/>
          <w:highlight w:val="none"/>
          <w:lang w:val="en-US" w:eastAsia="zh-CN"/>
        </w:rPr>
        <w:t xml:space="preserve">七</w:t>
      </w:r>
      <w:r>
        <w:rPr>
          <w:rFonts w:hint="eastAsia" w:ascii="宋体" w:hAnsi="宋体" w:eastAsia="宋体" w:cs="宋体"/>
          <w:color w:val="auto"/>
          <w:sz w:val="32"/>
          <w:highlight w:val="none"/>
        </w:rPr>
        <w:t xml:space="preserve">、</w:t>
      </w:r>
      <w:bookmarkEnd w:id="78"/>
      <w:r/>
      <w:bookmarkEnd w:id="79"/>
      <w:r/>
      <w:bookmarkEnd w:id="80"/>
      <w:r>
        <w:rPr>
          <w:rFonts w:hint="eastAsia" w:ascii="宋体" w:hAnsi="宋体" w:eastAsia="宋体" w:cs="宋体"/>
          <w:color w:val="auto"/>
          <w:sz w:val="32"/>
          <w:highlight w:val="none"/>
          <w:lang w:eastAsia="zh-CN"/>
        </w:rPr>
        <w:t xml:space="preserve">技术要求响应及偏离表</w:t>
      </w:r>
      <w:r/>
    </w:p>
    <w:tbl>
      <w:tblPr>
        <w:tblStyle w:val="7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826"/>
        <w:gridCol w:w="2991"/>
        <w:gridCol w:w="1615"/>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jc w:val="center"/>
        <w:rPr>
          <w:rFonts w:hint="eastAsia" w:ascii="宋体" w:hAnsi="宋体" w:cs="宋体"/>
          <w:b/>
          <w:bCs/>
          <w:color w:val="auto"/>
          <w:sz w:val="32"/>
          <w:szCs w:val="44"/>
          <w:highlight w:val="none"/>
        </w:rPr>
      </w:pPr>
      <w:r/>
      <w:bookmarkStart w:id="81" w:name="_Hlt26955054"/>
      <w:r/>
      <w:bookmarkEnd w:id="81"/>
      <w:r/>
      <w:bookmarkStart w:id="82" w:name="_Toc16820"/>
      <w:r/>
      <w:bookmarkStart w:id="83" w:name="_Toc32154"/>
      <w:r/>
      <w:r/>
    </w:p>
    <w:p>
      <w:pPr>
        <w:pStyle w:val="765"/>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jc w:val="center"/>
        <w:rPr>
          <w:rFonts w:hint="eastAsia" w:ascii="宋体" w:hAnsi="宋体" w:eastAsia="宋体" w:cs="宋体"/>
          <w:color w:val="auto"/>
          <w:sz w:val="32"/>
          <w:highlight w:val="none"/>
          <w:lang w:eastAsia="zh-CN"/>
        </w:rPr>
      </w:pPr>
      <w:r>
        <w:rPr>
          <w:rFonts w:hint="eastAsia" w:ascii="宋体" w:hAnsi="宋体" w:cs="宋体"/>
          <w:b/>
          <w:bCs/>
          <w:color w:val="auto"/>
          <w:sz w:val="32"/>
          <w:szCs w:val="44"/>
          <w:highlight w:val="none"/>
          <w:lang w:val="en-US" w:eastAsia="zh-CN"/>
        </w:rPr>
        <w:t xml:space="preserve">八</w:t>
      </w:r>
      <w:r>
        <w:rPr>
          <w:rFonts w:hint="eastAsia" w:ascii="宋体" w:hAnsi="宋体" w:cs="宋体"/>
          <w:b/>
          <w:bCs/>
          <w:color w:val="auto"/>
          <w:sz w:val="32"/>
          <w:szCs w:val="44"/>
          <w:highlight w:val="none"/>
        </w:rPr>
        <w:t xml:space="preserve">、</w:t>
      </w:r>
      <w:bookmarkEnd w:id="82"/>
      <w:r/>
      <w:bookmarkEnd w:id="83"/>
      <w:r>
        <w:rPr>
          <w:rFonts w:hint="eastAsia" w:ascii="宋体" w:hAnsi="宋体" w:cs="宋体"/>
          <w:b/>
          <w:bCs/>
          <w:color w:val="auto"/>
          <w:sz w:val="32"/>
          <w:szCs w:val="44"/>
          <w:highlight w:val="none"/>
          <w:lang w:eastAsia="zh-CN"/>
        </w:rPr>
        <w:t xml:space="preserve">商务要求响应及偏离表</w:t>
      </w:r>
      <w:r/>
    </w:p>
    <w:tbl>
      <w:tblPr>
        <w:tblStyle w:val="763"/>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84" w:name="_Hlt26955064"/>
            <w:r/>
            <w:bookmarkEnd w:id="84"/>
            <w:r/>
            <w:bookmarkStart w:id="85" w:name="_Hlt26782999"/>
            <w:r/>
            <w:bookmarkEnd w:id="85"/>
            <w:r/>
            <w:bookmarkStart w:id="86" w:name="_Hlt26671343"/>
            <w:r/>
            <w:bookmarkEnd w:id="86"/>
            <w:r/>
            <w:bookmarkStart w:id="87" w:name="_Hlt24879081"/>
            <w:r/>
            <w:bookmarkEnd w:id="87"/>
            <w:r/>
            <w:bookmarkStart w:id="88" w:name="_Hlt26609391"/>
            <w:r/>
            <w:bookmarkEnd w:id="88"/>
            <w:r/>
            <w:bookmarkStart w:id="89" w:name="_Hlt26580838"/>
            <w:r/>
            <w:bookmarkEnd w:id="89"/>
            <w:r/>
            <w:bookmarkStart w:id="90" w:name="_Hlt26955056"/>
            <w:r/>
            <w:bookmarkEnd w:id="90"/>
            <w:r/>
            <w:bookmarkStart w:id="91" w:name="_Hlt26671372"/>
            <w:r/>
            <w:bookmarkEnd w:id="91"/>
            <w:r>
              <w:rPr>
                <w:rFonts w:hint="eastAsia" w:ascii="宋体" w:hAnsi="宋体" w:eastAsia="宋体" w:cs="宋体"/>
                <w:color w:val="auto"/>
                <w:sz w:val="21"/>
                <w:szCs w:val="21"/>
                <w:highlight w:val="none"/>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7"/>
        <w:ind w:firstLine="480"/>
        <w:jc w:val="center"/>
        <w:rPr>
          <w:rFonts w:hint="eastAsia" w:ascii="宋体" w:hAnsi="宋体" w:cs="宋体"/>
          <w:b/>
          <w:bCs/>
          <w:color w:val="auto"/>
          <w:sz w:val="32"/>
          <w:szCs w:val="44"/>
          <w:highlight w:val="none"/>
        </w:rPr>
      </w:pPr>
      <w:r/>
      <w:bookmarkStart w:id="92" w:name="_Toc462564146"/>
      <w:r>
        <w:rPr>
          <w:rFonts w:hint="eastAsia" w:ascii="宋体" w:hAnsi="宋体" w:cs="宋体"/>
          <w:b/>
          <w:bCs/>
          <w:color w:val="auto"/>
          <w:sz w:val="32"/>
          <w:szCs w:val="44"/>
          <w:highlight w:val="none"/>
          <w:lang w:val="en-US" w:eastAsia="zh-CN"/>
        </w:rPr>
        <w:t xml:space="preserve">九</w:t>
      </w:r>
      <w:r>
        <w:rPr>
          <w:rFonts w:hint="eastAsia" w:ascii="宋体" w:hAnsi="宋体" w:cs="宋体"/>
          <w:b/>
          <w:bCs/>
          <w:color w:val="auto"/>
          <w:sz w:val="32"/>
          <w:szCs w:val="44"/>
          <w:highlight w:val="none"/>
        </w:rPr>
        <w:t xml:space="preserve">、拟投入人员一览表</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pStyle w:val="987"/>
        <w:ind w:firstLine="480"/>
        <w:jc w:val="center"/>
        <w:rPr>
          <w:rFonts w:hint="default" w:ascii="宋体" w:hAnsi="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十、其他</w:t>
      </w:r>
      <w:bookmarkEnd w:id="92"/>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65"/>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65"/>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6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763"/>
        <w:tblW w:w="39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tblGrid>
      <w:tr>
        <w:trPr>
          <w:trHeight w:val="316"/>
        </w:trPr>
        <w:tc>
          <w:tcPr>
            <w:tcW w:w="39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r>
      <w:tr>
        <w:trPr>
          <w:trHeight w:val="3810"/>
        </w:trPr>
        <w:tc>
          <w:tcPr>
            <w:tcW w:w="390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品牌（如有）：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r>
    </w:tbl>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业绩表（格式仅供参考）</w:t>
      </w:r>
      <w:r/>
    </w:p>
    <w:tbl>
      <w:tblPr>
        <w:tblStyle w:val="1053"/>
        <w:tblW w:w="475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2"/>
        <w:gridCol w:w="1008"/>
        <w:gridCol w:w="1730"/>
        <w:gridCol w:w="641"/>
        <w:gridCol w:w="870"/>
        <w:gridCol w:w="1283"/>
        <w:gridCol w:w="755"/>
        <w:gridCol w:w="1130"/>
      </w:tblGrid>
      <w:tr>
        <w:trPr>
          <w:trHeight w:val="840"/>
        </w:trPr>
        <w:tc>
          <w:tcPr>
            <w:tcBorders>
              <w:bottom w:val="single" w:color="000000" w:sz="6" w:space="0"/>
              <w:right w:val="single" w:color="000000" w:sz="6" w:space="0"/>
            </w:tcBorders>
            <w:tcMar>
              <w:left w:w="20" w:type="dxa"/>
              <w:top w:w="20" w:type="dxa"/>
              <w:right w:w="20" w:type="dxa"/>
              <w:bottom w:w="8" w:type="dxa"/>
            </w:tcMar>
            <w:tcW w:w="5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7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供货设备清单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bottom w:val="single" w:color="000000" w:sz="6" w:space="0"/>
              <w:right w:val="single" w:color="000000" w:sz="6" w:space="0"/>
            </w:tcBorders>
            <w:tcMar>
              <w:left w:w="25" w:type="dxa"/>
              <w:top w:w="20" w:type="dxa"/>
              <w:right w:w="20" w:type="dxa"/>
              <w:bottom w:w="8" w:type="dxa"/>
            </w:tcMar>
            <w:tcW w:w="6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bottom w:val="single" w:color="000000" w:sz="6" w:space="0"/>
              <w:right w:val="single" w:color="000000" w:sz="6" w:space="0"/>
            </w:tcBorders>
            <w:tcMar>
              <w:left w:w="25" w:type="dxa"/>
              <w:top w:w="20" w:type="dxa"/>
              <w:right w:w="20" w:type="dxa"/>
              <w:bottom w:w="8" w:type="dxa"/>
            </w:tcMar>
            <w:tcW w:w="8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c>
          <w:tcPr>
            <w:tcBorders>
              <w:bottom w:val="single" w:color="000000" w:sz="6" w:space="0"/>
              <w:right w:val="single" w:color="000000" w:sz="6" w:space="0"/>
            </w:tcBorders>
            <w:tcMar>
              <w:left w:w="25" w:type="dxa"/>
              <w:top w:w="20" w:type="dxa"/>
              <w:right w:w="20" w:type="dxa"/>
              <w:bottom w:w="8" w:type="dxa"/>
            </w:tcMar>
            <w:tcW w:w="12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 名称</w:t>
            </w:r>
            <w:r/>
          </w:p>
        </w:tc>
        <w:tc>
          <w:tcPr>
            <w:tcBorders>
              <w:bottom w:val="single" w:color="000000" w:sz="6" w:space="0"/>
            </w:tcBorders>
            <w:tcMar>
              <w:left w:w="25" w:type="dxa"/>
              <w:top w:w="20" w:type="dxa"/>
              <w:right w:w="20" w:type="dxa"/>
              <w:bottom w:w="8" w:type="dxa"/>
            </w:tcMar>
            <w:tcW w:w="1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1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00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4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7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83"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1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00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4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7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83"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联合体协议（如有）</w:t>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（联合体中各供应商全称）在此达成以下协议：</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、我们</w:t>
      </w:r>
      <w:r>
        <w:rPr>
          <w:rFonts w:hint="eastAsia" w:ascii="宋体" w:hAnsi="宋体"/>
          <w:color w:val="auto"/>
          <w:sz w:val="21"/>
          <w:szCs w:val="21"/>
          <w:highlight w:val="none"/>
          <w:u w:val="single"/>
        </w:rPr>
        <w:t xml:space="preserve"> （供应商1），（供应商2） ，</w:t>
      </w:r>
      <w:r>
        <w:rPr>
          <w:rFonts w:ascii="宋体" w:hAnsi="宋体"/>
          <w:color w:val="auto"/>
          <w:sz w:val="21"/>
          <w:szCs w:val="21"/>
          <w:highlight w:val="none"/>
          <w:u w:val="single"/>
        </w:rPr>
        <w:t xml:space="preserve">……</w:t>
      </w:r>
      <w:r>
        <w:rPr>
          <w:rFonts w:hint="eastAsia" w:ascii="宋体" w:hAnsi="宋体"/>
          <w:color w:val="auto"/>
          <w:sz w:val="21"/>
          <w:szCs w:val="21"/>
          <w:highlight w:val="none"/>
        </w:rPr>
        <w:t xml:space="preserve">自愿组成联合体，参加江苏苏维工程管理有限公司组织的采购编号为</w:t>
      </w:r>
      <w:r>
        <w:rPr>
          <w:rFonts w:hint="eastAsia" w:ascii="宋体" w:hAnsi="宋体"/>
          <w:color w:val="auto"/>
          <w:sz w:val="21"/>
          <w:szCs w:val="21"/>
          <w:highlight w:val="none"/>
          <w:u w:val="single"/>
        </w:rPr>
        <w:t xml:space="preserve">（编号全称），（项目全称）</w:t>
      </w:r>
      <w:r>
        <w:rPr>
          <w:rFonts w:hint="eastAsia" w:ascii="宋体" w:hAnsi="宋体"/>
          <w:color w:val="auto"/>
          <w:sz w:val="21"/>
          <w:szCs w:val="21"/>
          <w:highlight w:val="none"/>
        </w:rPr>
        <w:t xml:space="preserve">项目（采购包号：**）的政府采购活动，我联合体指定</w:t>
      </w:r>
      <w:r>
        <w:rPr>
          <w:rFonts w:hint="eastAsia" w:ascii="宋体" w:hAnsi="宋体"/>
          <w:color w:val="auto"/>
          <w:sz w:val="21"/>
          <w:szCs w:val="21"/>
          <w:highlight w:val="none"/>
          <w:u w:val="single"/>
        </w:rPr>
        <w:t xml:space="preserve">（供应商*）</w:t>
      </w:r>
      <w:r>
        <w:rPr>
          <w:rFonts w:hint="eastAsia" w:ascii="宋体" w:hAnsi="宋体"/>
          <w:color w:val="auto"/>
          <w:sz w:val="21"/>
          <w:szCs w:val="21"/>
          <w:highlight w:val="none"/>
        </w:rPr>
        <w:t xml:space="preserve">为牵头单位（牵头单位必须为联合体成员）。</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、若我们联合中标、成交，（供应商单位</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全称）实施项目中（工作内容）部分工作，并承担相应的责任。（供应商单位</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、其中</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（小型、微型企业/残疾人福利性单位/监狱企业全称）为</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（小型、微型企业/残疾人福利性单位/监狱企业）企业，且我们约定该公司/单位所承担的合同金额将占本项目合同总金额的</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56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p>
      <w:pPr>
        <w:ind w:firstLine="646"/>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联合体中各供应商全称（公章）：</w:t>
      </w:r>
      <w:r>
        <w:rPr>
          <w:rFonts w:ascii="宋体" w:hAnsi="宋体"/>
          <w:color w:val="auto"/>
          <w:sz w:val="21"/>
          <w:szCs w:val="21"/>
          <w:highlight w:val="none"/>
        </w:rPr>
        <w:t xml:space="preserve">     </w:t>
      </w:r>
      <w:r/>
    </w:p>
    <w:p>
      <w:pPr>
        <w:ind w:firstLine="646"/>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日期：</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备注：本招标文件中要求加盖CA电子签章的地方，仅需加盖牵头单位的CA电子签章。</w:t>
      </w:r>
      <w:r/>
    </w:p>
    <w:p>
      <w:pPr>
        <w:jc w:val="left"/>
        <w:spacing w:line="500" w:lineRule="atLeast"/>
        <w:rPr>
          <w:rFonts w:ascii="宋体" w:hAnsi="宋体" w:cs="宋体"/>
          <w:b/>
          <w:bCs/>
          <w:color w:val="auto"/>
          <w:highlight w:val="none"/>
        </w:rPr>
      </w:pPr>
      <w:r>
        <w:rPr>
          <w:rFonts w:ascii="宋体" w:hAnsi="宋体" w:cs="宋体"/>
          <w:b/>
          <w:bCs/>
          <w:color w:val="auto"/>
          <w:highlight w:val="none"/>
        </w:rPr>
      </w:r>
      <w:r/>
    </w:p>
    <w:p>
      <w:pPr>
        <w:pStyle w:val="765"/>
        <w:rPr>
          <w:rFonts w:hint="eastAsia"/>
          <w:color w:val="auto"/>
          <w:highlight w:val="none"/>
        </w:rPr>
      </w:pPr>
      <w:r>
        <w:rPr>
          <w:rFonts w:hint="eastAsia"/>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35253" cy="1729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pPr>
    <w:r>
      <w:rPr>
        <w:rFonts w:hint="eastAsia"/>
        <w:lang w:eastAsia="zh-CN"/>
      </w:rPr>
      <w:t xml:space="preserve">JSZC-321000-SWGC-G2026-0050</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pPr>
    <w:r>
      <w:rPr>
        <w:rFonts w:hint="eastAsia"/>
        <w:lang w:eastAsia="zh-CN"/>
      </w:rPr>
      <w:t xml:space="preserve">JSZC-321000-SWGC-G2026-0050</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isLgl w:val="false"/>
      <w:suff w:val="space"/>
      <w:lvlText w:val="(%1)"/>
      <w:lvlJc w:val="left"/>
      <w:pPr>
        <w:ind w:left="0" w:firstLine="0"/>
      </w:pPr>
      <w:rPr>
        <w:rFonts w:hint="default" w:ascii="宋体" w:hAnsi="宋体" w:eastAsia="宋体" w:cs="宋体"/>
        <w:color w:val="auto"/>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hint="default" w:ascii="宋体" w:hAnsi="宋体" w:eastAsia="宋体" w:cs="宋体"/>
        <w:color w:val="auto"/>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5"/>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link w:val="832"/>
    <w:uiPriority w:val="9"/>
    <w:qFormat/>
    <w:pPr>
      <w:jc w:val="center"/>
      <w:keepLines/>
      <w:keepNext/>
      <w:spacing w:line="360" w:lineRule="auto"/>
      <w:outlineLvl w:val="0"/>
    </w:pPr>
    <w:rPr>
      <w:rFonts w:ascii="Arial" w:hAnsi="Arial" w:cs="Arial"/>
      <w:b/>
      <w:sz w:val="30"/>
      <w:szCs w:val="40"/>
    </w:rPr>
  </w:style>
  <w:style w:type="paragraph" w:styleId="754">
    <w:name w:val="Heading 2"/>
    <w:basedOn w:val="752"/>
    <w:next w:val="752"/>
    <w:link w:val="833"/>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34"/>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35"/>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36"/>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37"/>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38"/>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39"/>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40"/>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Body Text First Indent"/>
    <w:basedOn w:val="765"/>
    <w:uiPriority w:val="0"/>
    <w:unhideWhenUsed/>
    <w:qFormat/>
    <w:pPr>
      <w:ind w:firstLine="420"/>
    </w:pPr>
    <w:rPr>
      <w:szCs w:val="21"/>
    </w:rPr>
  </w:style>
  <w:style w:type="paragraph" w:styleId="765">
    <w:name w:val="Body Text"/>
    <w:basedOn w:val="752"/>
    <w:uiPriority w:val="0"/>
    <w:qFormat/>
    <w:pPr>
      <w:spacing w:after="120"/>
    </w:pPr>
    <w:rPr>
      <w:rFonts w:ascii="Times New Roman" w:hAnsi="Times New Roman"/>
    </w:rPr>
  </w:style>
  <w:style w:type="paragraph" w:styleId="766">
    <w:name w:val="toc 7"/>
    <w:basedOn w:val="752"/>
    <w:next w:val="752"/>
    <w:uiPriority w:val="39"/>
    <w:unhideWhenUsed/>
    <w:qFormat/>
    <w:pPr>
      <w:ind w:left="1701"/>
      <w:spacing w:after="57"/>
    </w:pPr>
  </w:style>
  <w:style w:type="paragraph" w:styleId="767">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2"/>
    <w:link w:val="1050"/>
    <w:uiPriority w:val="99"/>
    <w:unhideWhenUsed/>
    <w:qFormat/>
    <w:pPr>
      <w:jc w:val="left"/>
    </w:pPr>
  </w:style>
  <w:style w:type="paragraph" w:styleId="769">
    <w:name w:val="Body Text Indent"/>
    <w:basedOn w:val="752"/>
    <w:next w:val="752"/>
    <w:uiPriority w:val="0"/>
    <w:qFormat/>
    <w:pPr>
      <w:ind w:left="420"/>
      <w:spacing w:after="120"/>
    </w:pPr>
    <w:rPr>
      <w:rFonts w:ascii="等线" w:hAnsi="等线" w:eastAsia="等线"/>
    </w:rPr>
  </w:style>
  <w:style w:type="paragraph" w:styleId="770">
    <w:name w:val="toc 5"/>
    <w:basedOn w:val="752"/>
    <w:next w:val="752"/>
    <w:uiPriority w:val="39"/>
    <w:unhideWhenUsed/>
    <w:qFormat/>
    <w:pPr>
      <w:ind w:left="1134"/>
      <w:spacing w:after="57"/>
    </w:pPr>
  </w:style>
  <w:style w:type="paragraph" w:styleId="771">
    <w:name w:val="toc 3"/>
    <w:basedOn w:val="752"/>
    <w:next w:val="752"/>
    <w:uiPriority w:val="39"/>
    <w:unhideWhenUsed/>
    <w:qFormat/>
    <w:pPr>
      <w:ind w:left="567"/>
      <w:spacing w:after="57"/>
    </w:pPr>
  </w:style>
  <w:style w:type="paragraph" w:styleId="772">
    <w:name w:val="Plain Text"/>
    <w:basedOn w:val="752"/>
    <w:uiPriority w:val="0"/>
    <w:qFormat/>
    <w:rPr>
      <w:rFonts w:ascii="宋体" w:hAnsi="Courier New"/>
      <w:sz w:val="20"/>
      <w:szCs w:val="21"/>
    </w:rPr>
  </w:style>
  <w:style w:type="paragraph" w:styleId="773">
    <w:name w:val="toc 8"/>
    <w:basedOn w:val="752"/>
    <w:next w:val="752"/>
    <w:uiPriority w:val="39"/>
    <w:unhideWhenUsed/>
    <w:qFormat/>
    <w:pPr>
      <w:ind w:left="1984"/>
      <w:spacing w:after="57"/>
    </w:pPr>
  </w:style>
  <w:style w:type="paragraph" w:styleId="774">
    <w:name w:val="endnote text"/>
    <w:basedOn w:val="752"/>
    <w:link w:val="978"/>
    <w:uiPriority w:val="99"/>
    <w:semiHidden/>
    <w:unhideWhenUsed/>
    <w:qFormat/>
    <w:rPr>
      <w:sz w:val="20"/>
    </w:rPr>
  </w:style>
  <w:style w:type="paragraph" w:styleId="775">
    <w:name w:val="Footer"/>
    <w:basedOn w:val="752"/>
    <w:link w:val="851"/>
    <w:uiPriority w:val="99"/>
    <w:unhideWhenUsed/>
    <w:qFormat/>
    <w:pPr>
      <w:tabs>
        <w:tab w:val="center" w:pos="7143" w:leader="none"/>
        <w:tab w:val="right" w:pos="14287" w:leader="none"/>
      </w:tabs>
    </w:pPr>
  </w:style>
  <w:style w:type="paragraph" w:styleId="776">
    <w:name w:val="Header"/>
    <w:basedOn w:val="752"/>
    <w:link w:val="849"/>
    <w:uiPriority w:val="99"/>
    <w:unhideWhenUsed/>
    <w:qFormat/>
    <w:pPr>
      <w:tabs>
        <w:tab w:val="center" w:pos="7143" w:leader="none"/>
        <w:tab w:val="right" w:pos="14287" w:leader="none"/>
      </w:tabs>
    </w:pPr>
  </w:style>
  <w:style w:type="paragraph" w:styleId="777">
    <w:name w:val="toc 1"/>
    <w:basedOn w:val="752"/>
    <w:next w:val="752"/>
    <w:uiPriority w:val="39"/>
    <w:unhideWhenUsed/>
    <w:qFormat/>
    <w:pPr>
      <w:spacing w:after="57"/>
    </w:pPr>
  </w:style>
  <w:style w:type="paragraph" w:styleId="778">
    <w:name w:val="toc 4"/>
    <w:basedOn w:val="752"/>
    <w:next w:val="752"/>
    <w:uiPriority w:val="39"/>
    <w:unhideWhenUsed/>
    <w:qFormat/>
    <w:pPr>
      <w:ind w:left="850"/>
      <w:spacing w:after="57"/>
    </w:pPr>
  </w:style>
  <w:style w:type="paragraph" w:styleId="779">
    <w:name w:val="Subtitle"/>
    <w:basedOn w:val="752"/>
    <w:next w:val="752"/>
    <w:link w:val="844"/>
    <w:uiPriority w:val="11"/>
    <w:qFormat/>
    <w:pPr>
      <w:spacing w:before="200" w:after="200"/>
    </w:pPr>
    <w:rPr>
      <w:sz w:val="24"/>
      <w:szCs w:val="24"/>
    </w:rPr>
  </w:style>
  <w:style w:type="paragraph" w:styleId="780">
    <w:name w:val="footnote text"/>
    <w:basedOn w:val="752"/>
    <w:link w:val="977"/>
    <w:uiPriority w:val="99"/>
    <w:semiHidden/>
    <w:unhideWhenUsed/>
    <w:qFormat/>
    <w:pPr>
      <w:spacing w:after="40"/>
    </w:pPr>
    <w:rPr>
      <w:sz w:val="18"/>
    </w:rPr>
  </w:style>
  <w:style w:type="paragraph" w:styleId="781">
    <w:name w:val="toc 6"/>
    <w:basedOn w:val="752"/>
    <w:next w:val="752"/>
    <w:uiPriority w:val="39"/>
    <w:unhideWhenUsed/>
    <w:qFormat/>
    <w:pPr>
      <w:ind w:left="1417"/>
      <w:spacing w:after="57"/>
    </w:pPr>
  </w:style>
  <w:style w:type="paragraph" w:styleId="782">
    <w:name w:val="table of figures"/>
    <w:basedOn w:val="752"/>
    <w:next w:val="752"/>
    <w:uiPriority w:val="99"/>
    <w:unhideWhenUsed/>
    <w:qFormat/>
  </w:style>
  <w:style w:type="paragraph" w:styleId="783">
    <w:name w:val="toc 2"/>
    <w:basedOn w:val="752"/>
    <w:next w:val="752"/>
    <w:uiPriority w:val="39"/>
    <w:unhideWhenUsed/>
    <w:qFormat/>
    <w:pPr>
      <w:ind w:left="283"/>
      <w:spacing w:after="57"/>
    </w:pPr>
  </w:style>
  <w:style w:type="paragraph" w:styleId="784">
    <w:name w:val="toc 9"/>
    <w:basedOn w:val="752"/>
    <w:next w:val="752"/>
    <w:uiPriority w:val="39"/>
    <w:unhideWhenUsed/>
    <w:qFormat/>
    <w:pPr>
      <w:ind w:left="2268"/>
      <w:spacing w:after="57"/>
    </w:pPr>
  </w:style>
  <w:style w:type="paragraph" w:styleId="785">
    <w:name w:val="Normal (Web)"/>
    <w:basedOn w:val="752"/>
    <w:uiPriority w:val="99"/>
    <w:semiHidden/>
    <w:unhideWhenUsed/>
    <w:qFormat/>
    <w:pPr>
      <w:jc w:val="left"/>
      <w:spacing w:beforeAutospacing="1" w:afterAutospacing="1"/>
    </w:pPr>
    <w:rPr>
      <w:sz w:val="24"/>
    </w:rPr>
  </w:style>
  <w:style w:type="paragraph" w:styleId="786">
    <w:name w:val="Title"/>
    <w:basedOn w:val="752"/>
    <w:next w:val="752"/>
    <w:link w:val="843"/>
    <w:uiPriority w:val="10"/>
    <w:qFormat/>
    <w:pPr>
      <w:contextualSpacing/>
      <w:spacing w:before="300" w:after="200"/>
    </w:pPr>
    <w:rPr>
      <w:sz w:val="48"/>
      <w:szCs w:val="48"/>
    </w:rPr>
  </w:style>
  <w:style w:type="paragraph" w:styleId="787">
    <w:name w:val="annotation subject"/>
    <w:basedOn w:val="768"/>
    <w:next w:val="768"/>
    <w:link w:val="1051"/>
    <w:uiPriority w:val="99"/>
    <w:semiHidden/>
    <w:unhideWhenUsed/>
    <w:qFormat/>
    <w:rPr>
      <w:b/>
      <w:bCs/>
    </w:r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Emphasis"/>
    <w:uiPriority w:val="0"/>
    <w:qFormat/>
    <w:rPr>
      <w:i/>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annotation reference"/>
    <w:basedOn w:val="762"/>
    <w:uiPriority w:val="0"/>
    <w:qFormat/>
    <w:rPr>
      <w:sz w:val="21"/>
      <w:szCs w:val="21"/>
    </w:rPr>
  </w:style>
  <w:style w:type="character" w:styleId="793">
    <w:name w:val="footnote reference"/>
    <w:uiPriority w:val="99"/>
    <w:unhideWhenUsed/>
    <w:qFormat/>
    <w:rPr>
      <w:vertAlign w:val="superscript"/>
    </w:rPr>
  </w:style>
  <w:style w:type="character" w:styleId="794" w:customStyle="1">
    <w:name w:val="Heading 1 Char"/>
    <w:basedOn w:val="762"/>
    <w:uiPriority w:val="9"/>
    <w:qFormat/>
    <w:rPr>
      <w:rFonts w:ascii="Arial" w:hAnsi="Arial" w:eastAsia="Arial" w:cs="Arial"/>
      <w:sz w:val="40"/>
      <w:szCs w:val="40"/>
    </w:rPr>
  </w:style>
  <w:style w:type="character" w:styleId="795" w:customStyle="1">
    <w:name w:val="Heading 2 Char"/>
    <w:basedOn w:val="762"/>
    <w:uiPriority w:val="9"/>
    <w:qFormat/>
    <w:rPr>
      <w:rFonts w:ascii="Arial" w:hAnsi="Arial" w:eastAsia="Arial" w:cs="Arial"/>
      <w:sz w:val="34"/>
    </w:rPr>
  </w:style>
  <w:style w:type="character" w:styleId="796" w:customStyle="1">
    <w:name w:val="Heading 3 Char"/>
    <w:basedOn w:val="762"/>
    <w:uiPriority w:val="9"/>
    <w:qFormat/>
    <w:rPr>
      <w:rFonts w:ascii="Arial" w:hAnsi="Arial" w:eastAsia="Arial" w:cs="Arial"/>
      <w:sz w:val="30"/>
      <w:szCs w:val="30"/>
    </w:rPr>
  </w:style>
  <w:style w:type="character" w:styleId="797" w:customStyle="1">
    <w:name w:val="Heading 4 Char"/>
    <w:basedOn w:val="762"/>
    <w:uiPriority w:val="9"/>
    <w:qFormat/>
    <w:rPr>
      <w:rFonts w:ascii="Arial" w:hAnsi="Arial" w:eastAsia="Arial" w:cs="Arial"/>
      <w:b/>
      <w:bCs/>
      <w:sz w:val="26"/>
      <w:szCs w:val="26"/>
    </w:rPr>
  </w:style>
  <w:style w:type="character" w:styleId="798" w:customStyle="1">
    <w:name w:val="Heading 5 Char"/>
    <w:basedOn w:val="762"/>
    <w:uiPriority w:val="9"/>
    <w:qFormat/>
    <w:rPr>
      <w:rFonts w:ascii="Arial" w:hAnsi="Arial" w:eastAsia="Arial" w:cs="Arial"/>
      <w:b/>
      <w:bCs/>
      <w:sz w:val="24"/>
      <w:szCs w:val="24"/>
    </w:rPr>
  </w:style>
  <w:style w:type="character" w:styleId="799" w:customStyle="1">
    <w:name w:val="Heading 6 Char"/>
    <w:basedOn w:val="762"/>
    <w:uiPriority w:val="9"/>
    <w:qFormat/>
    <w:rPr>
      <w:rFonts w:ascii="Arial" w:hAnsi="Arial" w:eastAsia="Arial" w:cs="Arial"/>
      <w:b/>
      <w:bCs/>
      <w:sz w:val="22"/>
      <w:szCs w:val="22"/>
    </w:rPr>
  </w:style>
  <w:style w:type="character" w:styleId="800" w:customStyle="1">
    <w:name w:val="Heading 7 Char"/>
    <w:basedOn w:val="762"/>
    <w:uiPriority w:val="9"/>
    <w:qFormat/>
    <w:rPr>
      <w:rFonts w:ascii="Arial" w:hAnsi="Arial" w:eastAsia="Arial" w:cs="Arial"/>
      <w:b/>
      <w:bCs/>
      <w:i/>
      <w:iCs/>
      <w:sz w:val="22"/>
      <w:szCs w:val="22"/>
    </w:rPr>
  </w:style>
  <w:style w:type="character" w:styleId="801" w:customStyle="1">
    <w:name w:val="Heading 8 Char"/>
    <w:basedOn w:val="762"/>
    <w:uiPriority w:val="9"/>
    <w:qFormat/>
    <w:rPr>
      <w:rFonts w:ascii="Arial" w:hAnsi="Arial" w:eastAsia="Arial" w:cs="Arial"/>
      <w:i/>
      <w:iCs/>
      <w:sz w:val="22"/>
      <w:szCs w:val="22"/>
    </w:rPr>
  </w:style>
  <w:style w:type="character" w:styleId="802" w:customStyle="1">
    <w:name w:val="Heading 9 Char"/>
    <w:basedOn w:val="762"/>
    <w:uiPriority w:val="9"/>
    <w:qFormat/>
    <w:rPr>
      <w:rFonts w:ascii="Arial" w:hAnsi="Arial" w:eastAsia="Arial" w:cs="Arial"/>
      <w:i/>
      <w:iCs/>
      <w:sz w:val="21"/>
      <w:szCs w:val="21"/>
    </w:rPr>
  </w:style>
  <w:style w:type="character" w:styleId="803" w:customStyle="1">
    <w:name w:val="Title Char"/>
    <w:basedOn w:val="762"/>
    <w:uiPriority w:val="10"/>
    <w:qFormat/>
    <w:rPr>
      <w:sz w:val="48"/>
      <w:szCs w:val="48"/>
    </w:rPr>
  </w:style>
  <w:style w:type="character" w:styleId="804" w:customStyle="1">
    <w:name w:val="Subtitle Char"/>
    <w:basedOn w:val="762"/>
    <w:uiPriority w:val="11"/>
    <w:qFormat/>
    <w:rPr>
      <w:sz w:val="24"/>
      <w:szCs w:val="24"/>
    </w:rPr>
  </w:style>
  <w:style w:type="character" w:styleId="805" w:customStyle="1">
    <w:name w:val="Quote Char"/>
    <w:uiPriority w:val="29"/>
    <w:qFormat/>
    <w:rPr>
      <w:i/>
    </w:rPr>
  </w:style>
  <w:style w:type="character" w:styleId="806" w:customStyle="1">
    <w:name w:val="Intense Quote Char"/>
    <w:uiPriority w:val="30"/>
    <w:qFormat/>
    <w:rPr>
      <w:i/>
    </w:rPr>
  </w:style>
  <w:style w:type="character" w:styleId="807" w:customStyle="1">
    <w:name w:val="Header Char"/>
    <w:basedOn w:val="762"/>
    <w:uiPriority w:val="99"/>
    <w:qFormat/>
  </w:style>
  <w:style w:type="character" w:styleId="808" w:customStyle="1">
    <w:name w:val="Caption Char"/>
    <w:uiPriority w:val="99"/>
    <w:qFormat/>
  </w:style>
  <w:style w:type="table" w:styleId="809"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Default"/>
    <w:next w:val="752"/>
    <w:uiPriority w:val="0"/>
    <w:qFormat/>
    <w:pPr>
      <w:widowControl w:val="off"/>
    </w:pPr>
    <w:rPr>
      <w:rFonts w:hint="default" w:ascii="黑体" w:hAnsi="Times New Roman" w:eastAsia="黑体" w:cs="Times New Roman"/>
      <w:lang w:val="en-US" w:eastAsia="zh-CN" w:bidi="ar-SA"/>
    </w:rPr>
  </w:style>
  <w:style w:type="character" w:styleId="832" w:customStyle="1">
    <w:name w:val="标题 1 字符"/>
    <w:link w:val="753"/>
    <w:uiPriority w:val="9"/>
    <w:qFormat/>
    <w:rPr>
      <w:rFonts w:ascii="Arial" w:hAnsi="Arial" w:eastAsia="宋体" w:cs="Arial"/>
      <w:b/>
      <w:sz w:val="30"/>
      <w:szCs w:val="40"/>
    </w:rPr>
  </w:style>
  <w:style w:type="character" w:styleId="833" w:customStyle="1">
    <w:name w:val="标题 2 字符"/>
    <w:link w:val="754"/>
    <w:uiPriority w:val="9"/>
    <w:qFormat/>
    <w:rPr>
      <w:rFonts w:ascii="Arial" w:hAnsi="Arial" w:eastAsia="Arial" w:cs="Arial"/>
      <w:sz w:val="34"/>
    </w:rPr>
  </w:style>
  <w:style w:type="character" w:styleId="834" w:customStyle="1">
    <w:name w:val="标题 3 字符"/>
    <w:link w:val="755"/>
    <w:uiPriority w:val="9"/>
    <w:qFormat/>
    <w:rPr>
      <w:rFonts w:ascii="Arial" w:hAnsi="Arial" w:eastAsia="Arial" w:cs="Arial"/>
      <w:sz w:val="30"/>
      <w:szCs w:val="30"/>
    </w:rPr>
  </w:style>
  <w:style w:type="character" w:styleId="835" w:customStyle="1">
    <w:name w:val="标题 4 字符"/>
    <w:link w:val="756"/>
    <w:uiPriority w:val="9"/>
    <w:qFormat/>
    <w:rPr>
      <w:rFonts w:ascii="Arial" w:hAnsi="Arial" w:eastAsia="Arial" w:cs="Arial"/>
      <w:b/>
      <w:bCs/>
      <w:sz w:val="26"/>
      <w:szCs w:val="26"/>
    </w:rPr>
  </w:style>
  <w:style w:type="character" w:styleId="836" w:customStyle="1">
    <w:name w:val="标题 5 字符"/>
    <w:link w:val="757"/>
    <w:uiPriority w:val="9"/>
    <w:qFormat/>
    <w:rPr>
      <w:rFonts w:ascii="Arial" w:hAnsi="Arial" w:eastAsia="Arial" w:cs="Arial"/>
      <w:b/>
      <w:bCs/>
      <w:sz w:val="24"/>
      <w:szCs w:val="24"/>
    </w:rPr>
  </w:style>
  <w:style w:type="character" w:styleId="837" w:customStyle="1">
    <w:name w:val="标题 6 字符"/>
    <w:link w:val="758"/>
    <w:uiPriority w:val="9"/>
    <w:qFormat/>
    <w:rPr>
      <w:rFonts w:ascii="Arial" w:hAnsi="Arial" w:eastAsia="Arial" w:cs="Arial"/>
      <w:b/>
      <w:bCs/>
      <w:sz w:val="22"/>
      <w:szCs w:val="22"/>
    </w:rPr>
  </w:style>
  <w:style w:type="character" w:styleId="838" w:customStyle="1">
    <w:name w:val="标题 7 字符"/>
    <w:link w:val="759"/>
    <w:uiPriority w:val="9"/>
    <w:qFormat/>
    <w:rPr>
      <w:rFonts w:ascii="Arial" w:hAnsi="Arial" w:eastAsia="Arial" w:cs="Arial"/>
      <w:b/>
      <w:bCs/>
      <w:i/>
      <w:iCs/>
      <w:sz w:val="22"/>
      <w:szCs w:val="22"/>
    </w:rPr>
  </w:style>
  <w:style w:type="character" w:styleId="839" w:customStyle="1">
    <w:name w:val="标题 8 字符"/>
    <w:link w:val="760"/>
    <w:uiPriority w:val="9"/>
    <w:qFormat/>
    <w:rPr>
      <w:rFonts w:ascii="Arial" w:hAnsi="Arial" w:eastAsia="Arial" w:cs="Arial"/>
      <w:i/>
      <w:iCs/>
      <w:sz w:val="22"/>
      <w:szCs w:val="22"/>
    </w:rPr>
  </w:style>
  <w:style w:type="character" w:styleId="840" w:customStyle="1">
    <w:name w:val="标题 9 字符"/>
    <w:link w:val="761"/>
    <w:uiPriority w:val="9"/>
    <w:qFormat/>
    <w:rPr>
      <w:rFonts w:ascii="Arial" w:hAnsi="Arial" w:eastAsia="Arial" w:cs="Arial"/>
      <w:i/>
      <w:iCs/>
      <w:sz w:val="21"/>
      <w:szCs w:val="21"/>
    </w:rPr>
  </w:style>
  <w:style w:type="paragraph" w:styleId="841">
    <w:name w:val="List Paragraph"/>
    <w:basedOn w:val="752"/>
    <w:uiPriority w:val="34"/>
    <w:qFormat/>
    <w:pPr>
      <w:contextualSpacing/>
      <w:ind w:left="720"/>
    </w:pPr>
  </w:style>
  <w:style w:type="paragraph" w:styleId="842">
    <w:name w:val="No Spacing"/>
    <w:uiPriority w:val="1"/>
    <w:qFormat/>
    <w:rPr>
      <w:rFonts w:hint="default" w:ascii="Times New Roman" w:hAnsi="Times New Roman" w:eastAsia="宋体" w:cs="Times New Roman"/>
      <w:lang w:val="en-US" w:eastAsia="zh-CN" w:bidi="ar-SA"/>
    </w:rPr>
  </w:style>
  <w:style w:type="character" w:styleId="843" w:customStyle="1">
    <w:name w:val="标题 字符"/>
    <w:link w:val="786"/>
    <w:uiPriority w:val="10"/>
    <w:qFormat/>
    <w:rPr>
      <w:sz w:val="48"/>
      <w:szCs w:val="48"/>
    </w:rPr>
  </w:style>
  <w:style w:type="character" w:styleId="844" w:customStyle="1">
    <w:name w:val="副标题 字符"/>
    <w:link w:val="779"/>
    <w:uiPriority w:val="11"/>
    <w:qFormat/>
    <w:rPr>
      <w:sz w:val="24"/>
      <w:szCs w:val="24"/>
    </w:rPr>
  </w:style>
  <w:style w:type="paragraph" w:styleId="845">
    <w:name w:val="Quote"/>
    <w:basedOn w:val="752"/>
    <w:next w:val="752"/>
    <w:link w:val="846"/>
    <w:uiPriority w:val="29"/>
    <w:qFormat/>
    <w:pPr>
      <w:ind w:left="720" w:right="720"/>
    </w:pPr>
    <w:rPr>
      <w:i/>
    </w:rPr>
  </w:style>
  <w:style w:type="character" w:styleId="846" w:customStyle="1">
    <w:name w:val="引用 字符"/>
    <w:link w:val="845"/>
    <w:uiPriority w:val="29"/>
    <w:qFormat/>
    <w:rPr>
      <w:i/>
    </w:rPr>
  </w:style>
  <w:style w:type="paragraph" w:styleId="847">
    <w:name w:val="Intense Quote"/>
    <w:basedOn w:val="752"/>
    <w:next w:val="752"/>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character" w:styleId="849" w:customStyle="1">
    <w:name w:val="页眉 字符"/>
    <w:link w:val="776"/>
    <w:uiPriority w:val="99"/>
    <w:qFormat/>
  </w:style>
  <w:style w:type="character" w:styleId="850" w:customStyle="1">
    <w:name w:val="Footer Char"/>
    <w:uiPriority w:val="99"/>
    <w:qFormat/>
  </w:style>
  <w:style w:type="character" w:styleId="851" w:customStyle="1">
    <w:name w:val="页脚 字符"/>
    <w:link w:val="775"/>
    <w:uiPriority w:val="99"/>
    <w:qFormat/>
  </w:style>
  <w:style w:type="table" w:styleId="8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脚注文本 字符"/>
    <w:link w:val="780"/>
    <w:uiPriority w:val="99"/>
    <w:qFormat/>
    <w:rPr>
      <w:sz w:val="18"/>
    </w:rPr>
  </w:style>
  <w:style w:type="character" w:styleId="978" w:customStyle="1">
    <w:name w:val="尾注文本 字符"/>
    <w:link w:val="774"/>
    <w:uiPriority w:val="99"/>
    <w:qFormat/>
    <w:rPr>
      <w:sz w:val="20"/>
    </w:rPr>
  </w:style>
  <w:style w:type="paragraph" w:styleId="979" w:customStyle="1">
    <w:name w:val="TOC 标题1"/>
    <w:uiPriority w:val="39"/>
    <w:unhideWhenUsed/>
    <w:qFormat/>
    <w:rPr>
      <w:rFonts w:hint="default" w:ascii="Times New Roman" w:hAnsi="Times New Roman" w:eastAsia="宋体" w:cs="Times New Roman"/>
      <w:lang w:val="en-US" w:eastAsia="zh-CN" w:bidi="ar-SA"/>
    </w:rPr>
  </w:style>
  <w:style w:type="paragraph" w:styleId="980" w:customStyle="1">
    <w:name w:val="标题 11"/>
    <w:basedOn w:val="752"/>
    <w:next w:val="752"/>
    <w:uiPriority w:val="9"/>
    <w:qFormat/>
    <w:pPr>
      <w:keepLines/>
      <w:keepNext/>
      <w:spacing w:before="340" w:after="330" w:line="578" w:lineRule="auto"/>
      <w:outlineLvl w:val="0"/>
    </w:pPr>
    <w:rPr>
      <w:b/>
      <w:bCs/>
      <w:sz w:val="44"/>
      <w:szCs w:val="44"/>
    </w:rPr>
  </w:style>
  <w:style w:type="paragraph" w:styleId="981" w:customStyle="1">
    <w:name w:val="标题 21"/>
    <w:basedOn w:val="752"/>
    <w:next w:val="7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2" w:customStyle="1">
    <w:name w:val="标题 31"/>
    <w:basedOn w:val="752"/>
    <w:next w:val="752"/>
    <w:uiPriority w:val="0"/>
    <w:qFormat/>
    <w:pPr>
      <w:keepLines/>
      <w:keepNext/>
      <w:spacing w:before="260" w:after="260" w:line="416" w:lineRule="auto"/>
      <w:outlineLvl w:val="2"/>
    </w:pPr>
    <w:rPr>
      <w:b/>
      <w:bCs/>
      <w:sz w:val="32"/>
      <w:szCs w:val="32"/>
    </w:rPr>
  </w:style>
  <w:style w:type="character" w:styleId="983" w:customStyle="1">
    <w:name w:val="默认段落字体1"/>
    <w:uiPriority w:val="1"/>
    <w:unhideWhenUsed/>
    <w:qFormat/>
  </w:style>
  <w:style w:type="table" w:styleId="984" w:customStyle="1">
    <w:name w:val="普通表格1"/>
    <w:uiPriority w:val="99"/>
    <w:unhideWhenUsed/>
    <w:qFormat/>
    <w:tblPr>
      <w:tblCellMar>
        <w:left w:w="0" w:type="dxa"/>
        <w:top w:w="0" w:type="dxa"/>
        <w:right w:w="0" w:type="dxa"/>
        <w:bottom w:w="0" w:type="dxa"/>
      </w:tblCellMar>
    </w:tblPr>
  </w:style>
  <w:style w:type="paragraph" w:styleId="985" w:customStyle="1">
    <w:name w:val="正文文本缩进1"/>
    <w:basedOn w:val="752"/>
    <w:next w:val="986"/>
    <w:uiPriority w:val="0"/>
    <w:qFormat/>
    <w:pPr>
      <w:ind w:left="420"/>
      <w:spacing w:after="120"/>
    </w:pPr>
    <w:rPr>
      <w:rFonts w:ascii="等线" w:hAnsi="等线" w:eastAsia="等线"/>
    </w:rPr>
  </w:style>
  <w:style w:type="paragraph" w:styleId="986" w:customStyle="1">
    <w:name w:val="寄信人地址1"/>
    <w:basedOn w:val="752"/>
    <w:uiPriority w:val="99"/>
    <w:unhideWhenUsed/>
    <w:qFormat/>
    <w:rPr>
      <w:rFonts w:ascii="Arial" w:hAnsi="Arial"/>
    </w:rPr>
  </w:style>
  <w:style w:type="paragraph" w:styleId="987" w:customStyle="1">
    <w:name w:val="正文缩进1"/>
    <w:basedOn w:val="752"/>
    <w:uiPriority w:val="0"/>
    <w:unhideWhenUsed/>
    <w:qFormat/>
    <w:pPr>
      <w:ind w:firstLine="420"/>
    </w:pPr>
  </w:style>
  <w:style w:type="paragraph" w:styleId="988" w:customStyle="1">
    <w:name w:val="批注文字1"/>
    <w:basedOn w:val="752"/>
    <w:link w:val="989"/>
    <w:uiPriority w:val="0"/>
    <w:qFormat/>
    <w:pPr>
      <w:jc w:val="left"/>
    </w:pPr>
  </w:style>
  <w:style w:type="character" w:styleId="989" w:customStyle="1">
    <w:name w:val="批注文字 Char"/>
    <w:link w:val="988"/>
    <w:uiPriority w:val="0"/>
    <w:qFormat/>
    <w:rPr>
      <w:rFonts w:ascii="Calibri" w:hAnsi="Calibri"/>
      <w:sz w:val="21"/>
      <w:szCs w:val="22"/>
    </w:rPr>
  </w:style>
  <w:style w:type="paragraph" w:styleId="990" w:customStyle="1">
    <w:name w:val="正文文本11"/>
    <w:basedOn w:val="752"/>
    <w:next w:val="991"/>
    <w:uiPriority w:val="0"/>
    <w:qFormat/>
    <w:rPr>
      <w:rFonts w:ascii="楷体_GB2312" w:hAnsi="Arial" w:eastAsia="楷体_GB2312"/>
      <w:sz w:val="28"/>
      <w:szCs w:val="28"/>
    </w:rPr>
  </w:style>
  <w:style w:type="paragraph" w:styleId="991" w:customStyle="1">
    <w:name w:val="标题1"/>
    <w:basedOn w:val="752"/>
    <w:next w:val="752"/>
    <w:uiPriority w:val="0"/>
    <w:qFormat/>
    <w:pPr>
      <w:jc w:val="center"/>
      <w:spacing w:before="240" w:after="60" w:line="360" w:lineRule="auto"/>
      <w:outlineLvl w:val="0"/>
    </w:pPr>
    <w:rPr>
      <w:rFonts w:ascii="宋体" w:hAnsi="宋体"/>
      <w:b/>
      <w:bCs/>
      <w:sz w:val="32"/>
      <w:szCs w:val="32"/>
    </w:rPr>
  </w:style>
  <w:style w:type="paragraph" w:styleId="992" w:customStyle="1">
    <w:name w:val="纯文本1"/>
    <w:basedOn w:val="752"/>
    <w:uiPriority w:val="99"/>
    <w:qFormat/>
    <w:rPr>
      <w:rFonts w:ascii="宋体" w:hAnsi="Courier New"/>
      <w:sz w:val="20"/>
      <w:szCs w:val="21"/>
    </w:rPr>
  </w:style>
  <w:style w:type="paragraph" w:styleId="993" w:customStyle="1">
    <w:name w:val="正文文本缩进 21"/>
    <w:basedOn w:val="752"/>
    <w:uiPriority w:val="0"/>
    <w:qFormat/>
    <w:pPr>
      <w:ind w:left="640"/>
      <w:spacing w:after="120" w:line="480" w:lineRule="auto"/>
    </w:pPr>
    <w:rPr>
      <w:rFonts w:eastAsia="仿宋_GB2312"/>
      <w:sz w:val="32"/>
      <w:szCs w:val="28"/>
    </w:rPr>
  </w:style>
  <w:style w:type="paragraph" w:styleId="994" w:customStyle="1">
    <w:name w:val="批注框文本1"/>
    <w:basedOn w:val="752"/>
    <w:link w:val="995"/>
    <w:uiPriority w:val="0"/>
    <w:qFormat/>
    <w:rPr>
      <w:sz w:val="18"/>
      <w:szCs w:val="18"/>
    </w:rPr>
  </w:style>
  <w:style w:type="character" w:styleId="995" w:customStyle="1">
    <w:name w:val="批注框文本 Char"/>
    <w:link w:val="994"/>
    <w:uiPriority w:val="0"/>
    <w:qFormat/>
    <w:rPr>
      <w:sz w:val="18"/>
      <w:szCs w:val="18"/>
    </w:rPr>
  </w:style>
  <w:style w:type="paragraph" w:styleId="996" w:customStyle="1">
    <w:name w:val="页脚1"/>
    <w:basedOn w:val="752"/>
    <w:uiPriority w:val="99"/>
    <w:unhideWhenUsed/>
    <w:qFormat/>
    <w:pPr>
      <w:jc w:val="left"/>
      <w:tabs>
        <w:tab w:val="center" w:pos="4153" w:leader="none"/>
        <w:tab w:val="right" w:pos="8306" w:leader="none"/>
      </w:tabs>
    </w:pPr>
    <w:rPr>
      <w:sz w:val="18"/>
      <w:szCs w:val="18"/>
    </w:rPr>
  </w:style>
  <w:style w:type="paragraph" w:styleId="997" w:customStyle="1">
    <w:name w:val="页眉1"/>
    <w:basedOn w:val="75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8" w:customStyle="1">
    <w:name w:val="目录 11"/>
    <w:basedOn w:val="752"/>
    <w:next w:val="752"/>
    <w:uiPriority w:val="39"/>
    <w:unhideWhenUsed/>
    <w:qFormat/>
  </w:style>
  <w:style w:type="paragraph" w:styleId="999" w:customStyle="1">
    <w:name w:val="目录 21"/>
    <w:basedOn w:val="752"/>
    <w:next w:val="752"/>
    <w:uiPriority w:val="0"/>
    <w:qFormat/>
    <w:pPr>
      <w:ind w:left="420"/>
    </w:pPr>
  </w:style>
  <w:style w:type="paragraph" w:styleId="1000" w:customStyle="1">
    <w:name w:val="正文文本 21"/>
    <w:basedOn w:val="752"/>
    <w:uiPriority w:val="0"/>
    <w:qFormat/>
    <w:pPr>
      <w:spacing w:after="120" w:line="480" w:lineRule="auto"/>
    </w:pPr>
  </w:style>
  <w:style w:type="paragraph" w:styleId="1001" w:customStyle="1">
    <w:name w:val="信息标题1"/>
    <w:basedOn w:val="75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2" w:customStyle="1">
    <w:name w:val="普通(网站)1"/>
    <w:basedOn w:val="752"/>
    <w:uiPriority w:val="0"/>
    <w:qFormat/>
    <w:rPr>
      <w:rFonts w:ascii="Times New Roman" w:hAnsi="Times New Roman"/>
      <w:sz w:val="24"/>
    </w:rPr>
  </w:style>
  <w:style w:type="paragraph" w:styleId="1003" w:customStyle="1">
    <w:name w:val="批注主题1"/>
    <w:basedOn w:val="988"/>
    <w:next w:val="988"/>
    <w:link w:val="1004"/>
    <w:uiPriority w:val="0"/>
    <w:qFormat/>
    <w:rPr>
      <w:b/>
      <w:bCs/>
    </w:rPr>
  </w:style>
  <w:style w:type="character" w:styleId="1004" w:customStyle="1">
    <w:name w:val="批注主题 Char"/>
    <w:link w:val="1003"/>
    <w:uiPriority w:val="0"/>
    <w:qFormat/>
    <w:rPr>
      <w:rFonts w:ascii="Calibri" w:hAnsi="Calibri"/>
      <w:b/>
      <w:bCs/>
      <w:sz w:val="21"/>
      <w:szCs w:val="22"/>
    </w:rPr>
  </w:style>
  <w:style w:type="paragraph" w:styleId="1005" w:customStyle="1">
    <w:name w:val="正文首行缩进 21"/>
    <w:basedOn w:val="985"/>
    <w:next w:val="752"/>
    <w:uiPriority w:val="0"/>
    <w:qFormat/>
    <w:pPr>
      <w:ind w:firstLine="420"/>
      <w:spacing w:before="100" w:beforeAutospacing="1"/>
    </w:pPr>
    <w:rPr>
      <w:rFonts w:ascii="Times New Roman" w:hAnsi="Times New Roman" w:eastAsia="宋体"/>
      <w:sz w:val="20"/>
      <w:szCs w:val="21"/>
    </w:rPr>
  </w:style>
  <w:style w:type="table" w:styleId="1006" w:customStyle="1">
    <w:name w:val="网格型1"/>
    <w:basedOn w:val="984"/>
    <w:uiPriority w:val="0"/>
    <w:qFormat/>
    <w:pPr>
      <w:jc w:val="both"/>
      <w:widowControl w:val="off"/>
    </w:pPr>
    <w:tblPr/>
  </w:style>
  <w:style w:type="character" w:styleId="1007" w:customStyle="1">
    <w:name w:val="要点1"/>
    <w:uiPriority w:val="0"/>
    <w:qFormat/>
    <w:rPr>
      <w:b/>
    </w:rPr>
  </w:style>
  <w:style w:type="character" w:styleId="1008" w:customStyle="1">
    <w:name w:val="强调1"/>
    <w:uiPriority w:val="0"/>
    <w:qFormat/>
    <w:rPr>
      <w:i/>
    </w:rPr>
  </w:style>
  <w:style w:type="character" w:styleId="1009" w:customStyle="1">
    <w:name w:val="超链接1"/>
    <w:uiPriority w:val="0"/>
    <w:qFormat/>
    <w:rPr>
      <w:color w:val="0000ff"/>
      <w:u w:val="single"/>
    </w:rPr>
  </w:style>
  <w:style w:type="character" w:styleId="1010" w:customStyle="1">
    <w:name w:val="批注引用1"/>
    <w:uiPriority w:val="0"/>
    <w:qFormat/>
    <w:rPr>
      <w:sz w:val="21"/>
      <w:szCs w:val="21"/>
    </w:rPr>
  </w:style>
  <w:style w:type="paragraph" w:styleId="1011" w:customStyle="1">
    <w:name w:val="正文（缩进）"/>
    <w:basedOn w:val="752"/>
    <w:uiPriority w:val="0"/>
    <w:qFormat/>
    <w:pPr>
      <w:ind w:firstLine="480"/>
      <w:spacing w:before="156" w:after="156"/>
    </w:pPr>
  </w:style>
  <w:style w:type="paragraph" w:styleId="1012" w:customStyle="1">
    <w:name w:val="正文1"/>
    <w:basedOn w:val="752"/>
    <w:next w:val="1013"/>
    <w:uiPriority w:val="0"/>
    <w:qFormat/>
    <w:pPr>
      <w:jc w:val="left"/>
      <w:spacing w:line="360" w:lineRule="atLeast"/>
    </w:pPr>
    <w:rPr>
      <w:rFonts w:ascii="宋体" w:cs="Arial"/>
      <w:sz w:val="24"/>
      <w:szCs w:val="20"/>
    </w:rPr>
  </w:style>
  <w:style w:type="paragraph" w:styleId="1013" w:customStyle="1">
    <w:name w:val="正文文本1"/>
    <w:basedOn w:val="1012"/>
    <w:next w:val="1014"/>
    <w:uiPriority w:val="0"/>
    <w:qFormat/>
    <w:pPr>
      <w:spacing w:after="120"/>
    </w:pPr>
    <w:rPr>
      <w:lang w:eastAsia="en-US"/>
    </w:rPr>
  </w:style>
  <w:style w:type="paragraph" w:styleId="1014" w:customStyle="1">
    <w:name w:val="一级条标题"/>
    <w:basedOn w:val="1015"/>
    <w:next w:val="10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5"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6" w:customStyle="1">
    <w:name w:val="段"/>
    <w:basedOn w:val="1012"/>
    <w:next w:val="752"/>
    <w:uiPriority w:val="0"/>
    <w:qFormat/>
    <w:pPr>
      <w:ind w:firstLine="200"/>
      <w:widowControl/>
    </w:pPr>
    <w:rPr>
      <w:sz w:val="20"/>
    </w:rPr>
  </w:style>
  <w:style w:type="paragraph" w:styleId="1017"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1018" w:customStyle="1">
    <w:name w:val="Char"/>
    <w:basedOn w:val="752"/>
    <w:uiPriority w:val="0"/>
    <w:qFormat/>
    <w:pPr>
      <w:ind w:firstLine="200"/>
      <w:tabs>
        <w:tab w:val="left" w:pos="360" w:leader="none"/>
      </w:tabs>
    </w:pPr>
    <w:rPr>
      <w:rFonts w:ascii="Times New Roman" w:hAnsi="Times New Roman"/>
      <w:sz w:val="28"/>
      <w:szCs w:val="30"/>
    </w:rPr>
  </w:style>
  <w:style w:type="paragraph" w:styleId="1019" w:customStyle="1">
    <w:name w:val="Table Paragraph"/>
    <w:basedOn w:val="752"/>
    <w:uiPriority w:val="1"/>
    <w:qFormat/>
    <w:rPr>
      <w:rFonts w:ascii="Noto Sans CJK JP Regular" w:hAnsi="Noto Sans CJK JP Regular" w:eastAsia="Noto Sans CJK JP Regular" w:cs="Noto Sans CJK JP Regular"/>
    </w:rPr>
  </w:style>
  <w:style w:type="paragraph" w:styleId="1020" w:customStyle="1">
    <w:name w:val="正文（1）"/>
    <w:basedOn w:val="752"/>
    <w:uiPriority w:val="0"/>
    <w:qFormat/>
    <w:pPr>
      <w:numPr>
        <w:ilvl w:val="0"/>
        <w:numId w:val="1"/>
      </w:numPr>
      <w:ind w:firstLine="200"/>
    </w:pPr>
    <w:rPr>
      <w:szCs w:val="24"/>
    </w:rPr>
  </w:style>
  <w:style w:type="paragraph" w:styleId="1021" w:customStyle="1">
    <w:name w:val="朱-正文"/>
    <w:basedOn w:val="752"/>
    <w:uiPriority w:val="0"/>
    <w:qFormat/>
    <w:pPr>
      <w:ind w:firstLine="200"/>
    </w:pPr>
    <w:rPr>
      <w:rFonts w:ascii="Times New Roman"/>
      <w:color w:val="000000"/>
      <w:szCs w:val="24"/>
      <w:lang w:val="en-GB"/>
    </w:rPr>
  </w:style>
  <w:style w:type="paragraph" w:styleId="1022" w:customStyle="1">
    <w:name w:val="GP正文(首行缩进)"/>
    <w:basedOn w:val="752"/>
    <w:uiPriority w:val="0"/>
    <w:qFormat/>
    <w:pPr>
      <w:ind w:firstLine="480"/>
      <w:jc w:val="left"/>
    </w:pPr>
    <w:rPr>
      <w:rFonts w:ascii="Times New Roman" w:hAnsi="宋体"/>
      <w:sz w:val="24"/>
      <w:szCs w:val="24"/>
    </w:rPr>
  </w:style>
  <w:style w:type="character" w:styleId="1023" w:customStyle="1">
    <w:name w:val="font71"/>
    <w:uiPriority w:val="0"/>
    <w:qFormat/>
    <w:rPr>
      <w:rFonts w:hint="eastAsia" w:ascii="宋体" w:hAnsi="宋体" w:eastAsia="宋体" w:cs="宋体"/>
      <w:color w:val="ff0000"/>
      <w:sz w:val="21"/>
      <w:szCs w:val="21"/>
      <w:u w:val="none"/>
    </w:rPr>
  </w:style>
  <w:style w:type="character" w:styleId="1024" w:customStyle="1">
    <w:name w:val="font41"/>
    <w:uiPriority w:val="0"/>
    <w:qFormat/>
    <w:rPr>
      <w:rFonts w:hint="eastAsia" w:ascii="宋体" w:hAnsi="宋体" w:eastAsia="宋体" w:cs="宋体"/>
      <w:color w:val="000000"/>
      <w:sz w:val="21"/>
      <w:szCs w:val="21"/>
      <w:u w:val="none"/>
    </w:rPr>
  </w:style>
  <w:style w:type="paragraph" w:styleId="1025" w:customStyle="1">
    <w:name w:val="列出段落"/>
    <w:basedOn w:val="752"/>
    <w:uiPriority w:val="0"/>
    <w:qFormat/>
    <w:pPr>
      <w:ind w:firstLine="420"/>
    </w:pPr>
  </w:style>
  <w:style w:type="paragraph" w:styleId="1026" w:customStyle="1">
    <w:name w:val="列出段落2"/>
    <w:basedOn w:val="752"/>
    <w:uiPriority w:val="34"/>
    <w:qFormat/>
    <w:pPr>
      <w:ind w:firstLine="420"/>
    </w:pPr>
    <w:rPr>
      <w:rFonts w:ascii="宋体"/>
      <w:color w:val="404040"/>
    </w:rPr>
  </w:style>
  <w:style w:type="paragraph" w:styleId="1027" w:customStyle="1">
    <w:name w:val="列表段落1"/>
    <w:basedOn w:val="752"/>
    <w:uiPriority w:val="0"/>
    <w:qFormat/>
    <w:pPr>
      <w:ind w:firstLine="200"/>
    </w:pPr>
    <w:rPr>
      <w:rFonts w:cs="宋体"/>
    </w:rPr>
  </w:style>
  <w:style w:type="character" w:styleId="1028" w:customStyle="1">
    <w:name w:val="font51"/>
    <w:uiPriority w:val="0"/>
    <w:qFormat/>
    <w:rPr>
      <w:rFonts w:hint="eastAsia" w:ascii="宋体" w:hAnsi="宋体" w:eastAsia="宋体" w:cs="宋体"/>
      <w:color w:val="000000"/>
      <w:sz w:val="24"/>
      <w:szCs w:val="24"/>
      <w:u w:val="none"/>
      <w:vertAlign w:val="subscript"/>
    </w:rPr>
  </w:style>
  <w:style w:type="character" w:styleId="1029" w:customStyle="1">
    <w:name w:val="font61"/>
    <w:uiPriority w:val="0"/>
    <w:qFormat/>
    <w:rPr>
      <w:rFonts w:hint="eastAsia" w:ascii="宋体" w:hAnsi="宋体" w:eastAsia="宋体" w:cs="宋体"/>
      <w:color w:val="000000"/>
      <w:sz w:val="24"/>
      <w:szCs w:val="24"/>
      <w:u w:val="none"/>
    </w:rPr>
  </w:style>
  <w:style w:type="character" w:styleId="1030" w:customStyle="1">
    <w:name w:val="font01"/>
    <w:uiPriority w:val="0"/>
    <w:qFormat/>
    <w:rPr>
      <w:rFonts w:hint="eastAsia" w:ascii="宋体" w:hAnsi="宋体" w:eastAsia="宋体" w:cs="宋体"/>
      <w:color w:val="000000"/>
      <w:sz w:val="24"/>
      <w:szCs w:val="24"/>
      <w:u w:val="none"/>
    </w:rPr>
  </w:style>
  <w:style w:type="character" w:styleId="1031" w:customStyle="1">
    <w:name w:val="font81"/>
    <w:uiPriority w:val="0"/>
    <w:qFormat/>
    <w:rPr>
      <w:rFonts w:ascii="微软雅黑" w:hAnsi="微软雅黑" w:eastAsia="微软雅黑" w:cs="微软雅黑"/>
      <w:color w:val="000000"/>
      <w:sz w:val="24"/>
      <w:szCs w:val="24"/>
      <w:u w:val="none"/>
    </w:rPr>
  </w:style>
  <w:style w:type="character" w:styleId="1032" w:customStyle="1">
    <w:name w:val="font91"/>
    <w:uiPriority w:val="0"/>
    <w:qFormat/>
    <w:rPr>
      <w:rFonts w:ascii="Segoe UI Symbol" w:hAnsi="Segoe UI Symbol" w:eastAsia="Segoe UI Symbol" w:cs="Segoe UI Symbol"/>
      <w:color w:val="000000"/>
      <w:sz w:val="24"/>
      <w:szCs w:val="24"/>
      <w:u w:val="none"/>
    </w:rPr>
  </w:style>
  <w:style w:type="character" w:styleId="1033" w:customStyle="1">
    <w:name w:val="font101"/>
    <w:uiPriority w:val="0"/>
    <w:qFormat/>
    <w:rPr>
      <w:rFonts w:ascii="Calibri" w:hAnsi="Calibri" w:cs="Calibri"/>
      <w:color w:val="000000"/>
      <w:sz w:val="24"/>
      <w:szCs w:val="24"/>
      <w:u w:val="none"/>
    </w:rPr>
  </w:style>
  <w:style w:type="paragraph" w:styleId="1034"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35" w:customStyle="1">
    <w:name w:val="TableEmphasis"/>
    <w:basedOn w:val="752"/>
    <w:uiPriority w:val="0"/>
    <w:qFormat/>
    <w:rPr>
      <w:rFonts w:ascii="Times New Roman" w:hAnsi="Times New Roman" w:eastAsia="Times New Roman"/>
      <w:b/>
      <w:bCs/>
      <w:color w:val="3333ff"/>
      <w:sz w:val="16"/>
      <w:szCs w:val="18"/>
    </w:rPr>
  </w:style>
  <w:style w:type="paragraph" w:styleId="1036" w:customStyle="1">
    <w:name w:val="修订1"/>
    <w:uiPriority w:val="99"/>
    <w:unhideWhenUsed/>
    <w:qFormat/>
    <w:rPr>
      <w:rFonts w:hint="default" w:ascii="Calibri" w:hAnsi="Calibri" w:eastAsia="宋体" w:cs="Times New Roman"/>
      <w:sz w:val="21"/>
      <w:szCs w:val="22"/>
      <w:lang w:val="en-US" w:eastAsia="zh-CN" w:bidi="ar-SA"/>
    </w:rPr>
  </w:style>
  <w:style w:type="paragraph" w:styleId="1037" w:customStyle="1">
    <w:name w:val="修订2"/>
    <w:uiPriority w:val="99"/>
    <w:semiHidden/>
    <w:qFormat/>
    <w:rPr>
      <w:rFonts w:hint="default" w:ascii="Calibri" w:hAnsi="Calibri" w:eastAsia="宋体" w:cs="Times New Roman"/>
      <w:sz w:val="21"/>
      <w:szCs w:val="22"/>
      <w:lang w:val="en-US" w:eastAsia="zh-CN" w:bidi="ar-SA"/>
    </w:rPr>
  </w:style>
  <w:style w:type="character" w:styleId="1038" w:customStyle="1">
    <w:name w:val="font11"/>
    <w:uiPriority w:val="0"/>
    <w:qFormat/>
    <w:rPr>
      <w:rFonts w:hint="eastAsia" w:ascii="宋体" w:hAnsi="宋体" w:eastAsia="宋体" w:cs="宋体"/>
      <w:color w:val="000000"/>
      <w:sz w:val="24"/>
      <w:szCs w:val="24"/>
      <w:u w:val="none"/>
    </w:rPr>
  </w:style>
  <w:style w:type="character" w:styleId="1039" w:customStyle="1">
    <w:name w:val="font21"/>
    <w:uiPriority w:val="0"/>
    <w:qFormat/>
    <w:rPr>
      <w:rFonts w:ascii="Segoe UI Symbol" w:hAnsi="Segoe UI Symbol" w:eastAsia="Segoe UI Symbol" w:cs="Segoe UI Symbol"/>
      <w:color w:val="000000"/>
      <w:sz w:val="24"/>
      <w:szCs w:val="24"/>
      <w:u w:val="none"/>
    </w:rPr>
  </w:style>
  <w:style w:type="character" w:styleId="1040" w:customStyle="1">
    <w:name w:val="NormalCharacter1"/>
    <w:uiPriority w:val="0"/>
    <w:semiHidden/>
    <w:qFormat/>
  </w:style>
  <w:style w:type="character" w:styleId="1041" w:customStyle="1">
    <w:name w:val="font31"/>
    <w:uiPriority w:val="0"/>
    <w:qFormat/>
    <w:rPr>
      <w:rFonts w:hint="eastAsia" w:ascii="宋体" w:hAnsi="宋体" w:eastAsia="宋体" w:cs="宋体"/>
      <w:color w:val="000000"/>
      <w:sz w:val="21"/>
      <w:szCs w:val="21"/>
      <w:u w:val="none"/>
    </w:rPr>
  </w:style>
  <w:style w:type="paragraph" w:styleId="1042" w:customStyle="1">
    <w:name w:val="无间隔1"/>
    <w:uiPriority w:val="1"/>
    <w:qFormat/>
    <w:rPr>
      <w:rFonts w:hint="default" w:ascii="Times New Roman" w:hAnsi="Times New Roman" w:eastAsia="宋体" w:cs="Times New Roman"/>
      <w:lang w:val="en-US" w:eastAsia="zh-CN" w:bidi="ar-SA"/>
    </w:rPr>
  </w:style>
  <w:style w:type="paragraph" w:styleId="1043" w:customStyle="1">
    <w:name w:val="索引 41"/>
    <w:basedOn w:val="752"/>
    <w:next w:val="752"/>
    <w:uiPriority w:val="99"/>
    <w:unhideWhenUsed/>
    <w:qFormat/>
    <w:pPr>
      <w:ind w:left="600"/>
    </w:pPr>
    <w:rPr>
      <w:rFonts w:ascii="Verdana" w:hAnsi="Verdana" w:eastAsia="微软雅黑"/>
      <w:szCs w:val="20"/>
    </w:rPr>
  </w:style>
  <w:style w:type="paragraph" w:styleId="1044" w:customStyle="1">
    <w:name w:val="首行缩进"/>
    <w:basedOn w:val="752"/>
    <w:uiPriority w:val="0"/>
    <w:qFormat/>
    <w:pPr>
      <w:ind w:firstLine="420"/>
      <w:spacing w:line="360" w:lineRule="auto"/>
    </w:pPr>
  </w:style>
  <w:style w:type="paragraph" w:styleId="1045" w:customStyle="1">
    <w:name w:val="表格文字"/>
    <w:basedOn w:val="752"/>
    <w:uiPriority w:val="0"/>
    <w:qFormat/>
    <w:rPr>
      <w:rFonts w:cs="宋体"/>
      <w:spacing w:val="2"/>
      <w:szCs w:val="21"/>
      <w:lang w:eastAsia="en-US"/>
    </w:rPr>
  </w:style>
  <w:style w:type="paragraph" w:styleId="1046"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47" w:customStyle="1">
    <w:name w:val="修订4"/>
    <w:hidden/>
    <w:uiPriority w:val="99"/>
    <w:unhideWhenUsed/>
    <w:qFormat/>
    <w:rPr>
      <w:rFonts w:hint="default" w:ascii="Calibri" w:hAnsi="Calibri" w:eastAsia="宋体" w:cs="Times New Roman"/>
      <w:sz w:val="21"/>
      <w:szCs w:val="22"/>
      <w:lang w:val="en-US" w:eastAsia="zh-CN" w:bidi="ar-SA"/>
    </w:rPr>
  </w:style>
  <w:style w:type="paragraph" w:styleId="1048" w:customStyle="1">
    <w:name w:val="修订5"/>
    <w:hidden/>
    <w:uiPriority w:val="99"/>
    <w:unhideWhenUsed/>
    <w:qFormat/>
    <w:rPr>
      <w:rFonts w:hint="default" w:ascii="Calibri" w:hAnsi="Calibri" w:eastAsia="宋体" w:cs="Times New Roman"/>
      <w:sz w:val="21"/>
      <w:szCs w:val="22"/>
      <w:lang w:val="en-US" w:eastAsia="zh-CN" w:bidi="ar-SA"/>
    </w:rPr>
  </w:style>
  <w:style w:type="paragraph" w:styleId="1049" w:customStyle="1">
    <w:name w:val="修订6"/>
    <w:hidden/>
    <w:uiPriority w:val="99"/>
    <w:unhideWhenUsed/>
    <w:qFormat/>
    <w:rPr>
      <w:rFonts w:hint="default" w:ascii="Calibri" w:hAnsi="Calibri" w:eastAsia="宋体" w:cs="Times New Roman"/>
      <w:sz w:val="21"/>
      <w:szCs w:val="22"/>
      <w:lang w:val="en-US" w:eastAsia="zh-CN" w:bidi="ar-SA"/>
    </w:rPr>
  </w:style>
  <w:style w:type="character" w:styleId="1050" w:customStyle="1">
    <w:name w:val="批注文字 字符"/>
    <w:basedOn w:val="762"/>
    <w:link w:val="768"/>
    <w:uiPriority w:val="99"/>
    <w:qFormat/>
    <w:rPr>
      <w:rFonts w:ascii="Calibri" w:hAnsi="Calibri"/>
      <w:sz w:val="21"/>
      <w:szCs w:val="22"/>
    </w:rPr>
  </w:style>
  <w:style w:type="character" w:styleId="1051" w:customStyle="1">
    <w:name w:val="批注主题 字符"/>
    <w:basedOn w:val="1050"/>
    <w:link w:val="787"/>
    <w:uiPriority w:val="99"/>
    <w:semiHidden/>
    <w:qFormat/>
    <w:rPr>
      <w:rFonts w:ascii="Calibri" w:hAnsi="Calibri"/>
      <w:b/>
      <w:bCs/>
      <w:sz w:val="21"/>
      <w:szCs w:val="22"/>
    </w:rPr>
  </w:style>
  <w:style w:type="paragraph" w:styleId="1052" w:customStyle="1">
    <w:name w:val="Revision"/>
    <w:hidden/>
    <w:uiPriority w:val="99"/>
    <w:unhideWhenUsed/>
    <w:qFormat/>
    <w:rPr>
      <w:rFonts w:hint="default" w:ascii="Calibri" w:hAnsi="Calibri" w:eastAsia="宋体" w:cs="Times New Roman"/>
      <w:sz w:val="21"/>
      <w:szCs w:val="22"/>
      <w:lang w:val="en-US" w:eastAsia="zh-CN" w:bidi="ar-SA"/>
    </w:rPr>
  </w:style>
  <w:style w:type="table" w:styleId="1053" w:customStyle="1">
    <w:name w:val="table"/>
    <w:basedOn w:val="763"/>
    <w:uiPriority w:val="0"/>
    <w:qFormat/>
    <w:rPr>
      <w:rFonts w:eastAsiaTheme="minorEastAsia"/>
    </w:rPr>
    <w:tbl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80</cp:revision>
  <dcterms:created xsi:type="dcterms:W3CDTF">2024-11-07T06:15:00Z</dcterms:created>
  <dcterms:modified xsi:type="dcterms:W3CDTF">2026-04-21T07:54:01Z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3741AD966EFD4BE1886CED3A929FAB0D_13</vt:lpwstr>
  </property>
  <property fmtid="{D5CDD505-2E9C-101B-9397-08002B2CF9AE}" pid="4" name="KSOTemplateDocerSaveRecord">
    <vt:lpwstr>eyJoZGlkIjoiMmU0ZDNiZGQ3MGE0MGI4YjY5ZGRmN2U5ZDI5YWYzMTEiLCJ1c2VySWQiOiI0NjY3MzgyMDAifQ==</vt:lpwstr>
  </property>
</Properties>
</file>