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1"/>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sz w:val="84"/>
          <w:szCs w:val="84"/>
        </w:rPr>
        <w:t xml:space="preserve">招 标 文 件</w:t>
      </w:r>
      <w:r/>
    </w:p>
    <w:p>
      <w:pPr>
        <w:ind w:firstLine="1325"/>
        <w:rPr>
          <w:rFonts w:hint="default"/>
          <w:b/>
          <w:sz w:val="44"/>
          <w:szCs w:val="44"/>
        </w:rPr>
      </w:pPr>
      <w:r>
        <w:rPr>
          <w:rFonts w:hint="default"/>
          <w:b/>
          <w:sz w:val="44"/>
          <w:szCs w:val="44"/>
        </w:rPr>
      </w:r>
      <w:r/>
    </w:p>
    <w:p>
      <w:pPr>
        <w:ind w:firstLine="1325"/>
        <w:rPr>
          <w:rFonts w:hint="default"/>
          <w:b/>
          <w:sz w:val="44"/>
          <w:szCs w:val="44"/>
        </w:rPr>
      </w:pPr>
      <w:r>
        <w:rPr>
          <w:rFonts w:hint="default"/>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常熟市第二人民医院（台山路院区）停车场经营管理服务</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JSZC-320581-CSXC-G2026-0020</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75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5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5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5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5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5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jc w:val="center"/>
        <w:rPr>
          <w:rFonts w:hint="eastAsia"/>
          <w:b/>
          <w:sz w:val="44"/>
          <w:szCs w:val="44"/>
        </w:rPr>
      </w:pPr>
      <w:r>
        <w:rPr>
          <w:rFonts w:hint="eastAsia"/>
          <w:b/>
          <w:sz w:val="44"/>
          <w:szCs w:val="44"/>
        </w:rPr>
        <w:t xml:space="preserve">江苏协诚工程咨询有限公司</w:t>
      </w:r>
      <w:r/>
    </w:p>
    <w:p>
      <w:pPr>
        <w:jc w:val="center"/>
        <w:rPr>
          <w:rFonts w:hint="eastAsia"/>
          <w:b/>
          <w:sz w:val="44"/>
          <w:szCs w:val="44"/>
        </w:rPr>
      </w:pPr>
      <w:r>
        <w:rPr>
          <w:rFonts w:hint="eastAsia"/>
          <w:b/>
          <w:sz w:val="44"/>
          <w:szCs w:val="44"/>
          <w:lang w:val="en-US" w:eastAsia="zh-CN"/>
        </w:rPr>
        <w:t xml:space="preserve">2026</w:t>
      </w:r>
      <w:r>
        <w:rPr>
          <w:rFonts w:hint="eastAsia"/>
          <w:b/>
          <w:sz w:val="44"/>
          <w:szCs w:val="44"/>
        </w:rPr>
        <w:t xml:space="preserve">年</w:t>
      </w:r>
      <w:r>
        <w:rPr>
          <w:rFonts w:hint="eastAsia"/>
          <w:b/>
          <w:sz w:val="44"/>
          <w:szCs w:val="44"/>
          <w:lang w:val="en-US" w:eastAsia="zh-CN"/>
        </w:rPr>
        <w:t xml:space="preserve">4</w:t>
      </w:r>
      <w:r>
        <w:rPr>
          <w:rFonts w:hint="eastAsia"/>
          <w:b/>
          <w:sz w:val="44"/>
          <w:szCs w:val="44"/>
        </w:rPr>
        <w:t xml:space="preserve">月</w:t>
      </w:r>
      <w:r>
        <w:rPr>
          <w:rFonts w:hint="eastAsia"/>
          <w:b/>
          <w:sz w:val="44"/>
          <w:szCs w:val="44"/>
          <w:lang w:val="en-US" w:eastAsia="zh-CN"/>
        </w:rPr>
        <w:t xml:space="preserve">29</w:t>
      </w:r>
      <w:bookmarkStart w:id="301" w:name="_GoBack"/>
      <w:r/>
      <w:bookmarkEnd w:id="301"/>
      <w:r>
        <w:rPr>
          <w:rFonts w:hint="eastAsia"/>
          <w:b/>
          <w:sz w:val="44"/>
          <w:szCs w:val="44"/>
        </w:rPr>
        <w:t xml:space="preserve">日</w:t>
      </w:r>
      <w:r/>
    </w:p>
    <w:p>
      <w:pPr>
        <w:pStyle w:val="751"/>
        <w:jc w:val="center"/>
        <w:keepLines w:val="0"/>
        <w:keepNext w:val="0"/>
        <w:pageBreakBefore w:val="0"/>
        <w:spacing w:before="0" w:beforeAutospacing="0" w:after="0" w:afterAutospacing="0" w:line="460" w:lineRule="exact"/>
        <w:widowControl w:val="off"/>
        <w:rPr>
          <w:rFonts w:hint="eastAsia"/>
          <w:b/>
          <w:bCs/>
          <w:sz w:val="44"/>
          <w:szCs w:val="44"/>
          <w:lang w:val="en-US" w:eastAsia="zh-CN"/>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0"/>
          <w:footnotePr/>
          <w:endnotePr/>
          <w:type w:val="nextPage"/>
          <w:pgSz w:w="11907" w:h="16839" w:orient="portrait"/>
          <w:pgMar w:top="1440" w:right="1077" w:bottom="1440" w:left="1077" w:header="0" w:footer="0" w:gutter="0"/>
          <w:pgNumType w:start="1"/>
          <w:cols w:num="1" w:sep="0" w:space="720" w:equalWidth="1"/>
          <w:docGrid w:linePitch="360"/>
          <w:titlePg/>
        </w:sectPr>
        <w:suppressLineNumbers w:val="0"/>
      </w:pPr>
      <w:r>
        <w:rPr>
          <w:rFonts w:hint="eastAsia"/>
          <w:b/>
          <w:bCs/>
          <w:sz w:val="44"/>
          <w:szCs w:val="44"/>
          <w:lang w:val="en-US" w:eastAsia="zh-CN"/>
        </w:rPr>
      </w:r>
      <w:r/>
    </w:p>
    <w:p>
      <w:pPr>
        <w:pStyle w:val="751"/>
        <w:jc w:val="center"/>
        <w:keepLines w:val="0"/>
        <w:keepNext w:val="0"/>
        <w:pageBreakBefore w:val="0"/>
        <w:spacing w:before="0" w:beforeAutospacing="0" w:after="0" w:afterAutospacing="0" w:line="460" w:lineRule="exact"/>
        <w:widowControl w:val="off"/>
        <w:rPr>
          <w:rFonts w:hint="eastAsia" w:eastAsiaTheme="minorEastAsia"/>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sz w:val="44"/>
          <w:szCs w:val="44"/>
          <w:lang w:val="en-US" w:eastAsia="zh-CN"/>
        </w:rPr>
        <w:t xml:space="preserve">目   录</w:t>
      </w:r>
      <w:r/>
    </w:p>
    <w:p>
      <w:pPr>
        <w:pStyle w:val="749"/>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TOC \o "1-3" \h \u </w:instrText>
      </w:r>
      <w:r>
        <w:rPr>
          <w:rFonts w:hint="default" w:ascii="Times New Roman" w:hAnsi="Times New Roman" w:eastAsia="宋体" w:cs="Times New Roman"/>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_Toc28016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_Toc28016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9"/>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_Toc1243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_Toc1243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_Toc4584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_Toc4584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_Toc30533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_Toc30533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_Toc20050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三、投标文件的编制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_Toc20050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_Toc28075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四、投标文件的递交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_Toc28075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_Toc13396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_Toc13396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_Toc31663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六、定标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_Toc31663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_Toc30541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_Toc30541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9"/>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_Toc25681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_Toc25681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9"/>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_Toc16091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_Toc16091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9"/>
        <w:keepLines w:val="0"/>
        <w:keepNext w:val="0"/>
        <w:pageBreakBefore w:val="0"/>
        <w:spacing w:line="460" w:lineRule="exact"/>
        <w:widowControl w:val="off"/>
        <w:tabs>
          <w:tab w:val="right" w:pos="9753" w:leader="dot"/>
        </w:tabs>
        <w:rPr>
          <w:rFonts w:hint="eastAsia" w:ascii="宋体" w:hAnsi="宋体" w:eastAsia="宋体" w:cs="宋体"/>
          <w:b/>
          <w:bCs/>
          <w:sz w:val="24"/>
          <w:szCs w:val="24"/>
        </w:rPr>
      </w:pP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\l _Toc18158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第五章  评审因素和评分标准</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_Toc18158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r/>
    </w:p>
    <w:p>
      <w:pPr>
        <w:pStyle w:val="749"/>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_Toc12876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_Toc12876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_Toc17757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附件1 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_Toc17757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_Toc11484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 服务要求响应及偏离表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_Toc11484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_Toc29629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 商务要求响应及偏离表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_Toc29629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_Toc18611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 具备履行合同所必需的</w:t>
      </w:r>
      <w:r>
        <w:rPr>
          <w:rFonts w:hint="eastAsia" w:ascii="宋体" w:hAnsi="宋体" w:eastAsia="宋体" w:cs="宋体"/>
          <w:bCs/>
          <w:sz w:val="24"/>
          <w:szCs w:val="24"/>
          <w:lang w:val="en-US" w:eastAsia="zh-CN"/>
        </w:rPr>
        <w:t xml:space="preserve">设备</w:t>
      </w:r>
      <w:r>
        <w:rPr>
          <w:rFonts w:hint="eastAsia" w:ascii="宋体" w:hAnsi="宋体" w:eastAsia="宋体" w:cs="宋体"/>
          <w:bCs/>
          <w:sz w:val="24"/>
          <w:szCs w:val="24"/>
        </w:rPr>
        <w:t xml:space="preserve">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_Toc18611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_Toc10227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 参加政府采购活动前 3 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_Toc10227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_Toc7934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 法人授权书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_Toc7934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_Toc11759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 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_Toc11759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_Toc19861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 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_Toc19861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_Toc20265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 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_Toc20265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_Toc5899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 实质性要求响应及偏离表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_Toc5899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_Toc20215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rPr>
        <w:t xml:space="preserve"> 人员一览表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_Toc20215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_Toc19120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 项目服务方案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_Toc19120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50"/>
        <w:keepLines w:val="0"/>
        <w:keepNext w:val="0"/>
        <w:pageBreakBefore w:val="0"/>
        <w:spacing w:line="460" w:lineRule="exact"/>
        <w:widowControl w:val="off"/>
        <w:tabs>
          <w:tab w:val="right" w:pos="9753" w:leader="dot"/>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_Toc9730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附件13 </w:t>
      </w:r>
      <w:r>
        <w:rPr>
          <w:rFonts w:hint="eastAsia" w:ascii="宋体" w:hAnsi="宋体" w:eastAsia="宋体" w:cs="宋体"/>
          <w:bCs/>
          <w:sz w:val="24"/>
          <w:szCs w:val="24"/>
        </w:rPr>
        <w:t xml:space="preserve">业绩一览表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_Toc9730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keepLines w:val="0"/>
        <w:keepNext w:val="0"/>
        <w:pageBreakBefore w:val="0"/>
        <w:spacing w:line="460" w:lineRule="exact"/>
        <w:widowControl w:val="off"/>
      </w:pPr>
      <w:r>
        <w:rPr>
          <w:rFonts w:hint="default" w:ascii="Times New Roman" w:hAnsi="Times New Roman" w:eastAsia="宋体" w:cs="Times New Roman"/>
          <w:szCs w:val="24"/>
        </w:rPr>
        <w:fldChar w:fldCharType="end"/>
      </w:r>
      <w:r/>
    </w:p>
    <w:p>
      <w:pPr>
        <w:numPr>
          <w:ilvl w:val="0"/>
          <w:numId w:val="0"/>
        </w:numPr>
        <w:keepLines w:val="0"/>
        <w:keepNext w:val="0"/>
        <w:pageBreakBefore w:val="0"/>
        <w:spacing w:before="0" w:beforeAutospacing="0" w:after="0" w:afterAutospacing="0" w:line="360" w:lineRule="exact"/>
        <w:widowControl/>
        <w:rPr>
          <w:rFonts w:hint="eastAsia" w:ascii="黑体" w:hAnsi="宋体" w:eastAsia="黑体" w:cs="黑体"/>
          <w:color w:val="000000"/>
          <w:sz w:val="44"/>
          <w:szCs w:val="44"/>
        </w:rPr>
        <w:suppressLineNumbers w:val="0"/>
      </w:pPr>
      <w:r>
        <w:rPr>
          <w:rFonts w:hint="eastAsia" w:ascii="黑体" w:hAnsi="宋体" w:eastAsia="黑体" w:cs="黑体"/>
          <w:color w:val="000000"/>
          <w:sz w:val="44"/>
          <w:szCs w:val="44"/>
        </w:rPr>
        <w:br w:type="page" w:clear="all"/>
      </w:r>
      <w:r/>
    </w:p>
    <w:p>
      <w:pPr>
        <w:pStyle w:val="751"/>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11844"/>
      <w:r/>
      <w:bookmarkStart w:id="1" w:name="_Toc2801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r/>
      <w:bookmarkEnd w:id="1"/>
      <w:r/>
      <w:r/>
    </w:p>
    <w:p>
      <w:pPr>
        <w:pStyle w:val="75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ascii="宋体" w:hAnsi="宋体" w:eastAsia="宋体" w:cs="宋体"/>
          <w:sz w:val="24"/>
          <w:szCs w:val="24"/>
          <w:lang w:eastAsia="zh-CN"/>
        </w:rPr>
        <w:t xml:space="preserve">常熟市第二人民医院</w:t>
      </w:r>
      <w:r>
        <w:rPr>
          <w:rFonts w:hint="eastAsia" w:ascii="宋体" w:hAnsi="宋体" w:eastAsia="宋体" w:cs="宋体"/>
          <w:color w:val="000000"/>
          <w:sz w:val="24"/>
          <w:szCs w:val="24"/>
        </w:rPr>
        <w:t xml:space="preserve">的委托，</w:t>
      </w:r>
      <w:r>
        <w:rPr>
          <w:rFonts w:hint="eastAsia" w:ascii="宋体" w:hAnsi="宋体" w:eastAsia="宋体" w:cs="宋体"/>
          <w:sz w:val="24"/>
          <w:szCs w:val="24"/>
        </w:rPr>
        <w:t xml:space="preserve">江苏协诚工程咨询有限公司</w:t>
      </w:r>
      <w:r>
        <w:rPr>
          <w:rFonts w:hint="eastAsia" w:ascii="宋体" w:hAnsi="宋体" w:eastAsia="宋体" w:cs="宋体"/>
          <w:color w:val="000000"/>
          <w:sz w:val="24"/>
          <w:szCs w:val="24"/>
        </w:rPr>
        <w:t xml:space="preserve">就</w:t>
      </w:r>
      <w:r>
        <w:rPr>
          <w:rFonts w:hint="eastAsia" w:ascii="宋体" w:hAnsi="宋体" w:eastAsia="宋体" w:cs="宋体"/>
          <w:i w:val="0"/>
          <w:iCs w:val="0"/>
          <w:caps w:val="0"/>
          <w:color w:val="333333"/>
          <w:spacing w:val="0"/>
          <w:sz w:val="24"/>
          <w:szCs w:val="24"/>
          <w:shd w:val="clear" w:color="auto" w:fill="ffffff"/>
          <w:lang w:eastAsia="zh-CN"/>
        </w:rPr>
        <w:t xml:space="preserve">常熟市第二人民医院（台山路院区）停车场经营管理服务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JSZC-320581-CSXC-G2026-0020</w:t>
      </w:r>
      <w:r>
        <w:rPr>
          <w:rFonts w:hint="eastAsia" w:ascii="宋体" w:hAnsi="宋体" w:eastAsia="宋体" w:cs="宋体"/>
          <w:color w:val="000000"/>
          <w:sz w:val="24"/>
          <w:szCs w:val="24"/>
        </w:rPr>
        <w:t xml:space="preserve">)项目进行公开招标采购，欢迎符合条件的投标人投标。</w:t>
      </w:r>
      <w:r/>
    </w:p>
    <w:p>
      <w:pPr>
        <w:pStyle w:val="751"/>
        <w:jc w:val="both"/>
        <w:keepLines w:val="0"/>
        <w:keepNext w:val="0"/>
        <w:pageBreakBefore w:val="0"/>
        <w:spacing w:before="0" w:beforeAutospacing="0" w:after="0" w:afterAutospacing="0" w:line="440" w:lineRule="exact"/>
        <w:widowControl w:val="off"/>
        <w:rPr>
          <w:rFonts w:hint="eastAsia" w:ascii="宋体" w:hAnsi="宋体" w:eastAsia="宋体" w:cs="宋体"/>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75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color w:val="000000"/>
          <w:sz w:val="24"/>
          <w:szCs w:val="24"/>
          <w:u w:val="single"/>
          <w:lang w:eastAsia="zh-CN"/>
        </w:rPr>
        <w:t xml:space="preserve">常熟市第二人民医院（台山路院区）停车场经营管理服务</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none"/>
        </w:rPr>
        <w:t xml:space="preserve">“苏采云政府采购一体化平台</w:t>
      </w:r>
      <w:r>
        <w:rPr>
          <w:rFonts w:hint="eastAsia" w:ascii="宋体" w:hAnsi="宋体" w:eastAsia="宋体" w:cs="宋体"/>
          <w:color w:val="000000"/>
          <w:sz w:val="24"/>
          <w:szCs w:val="24"/>
          <w:u w:val="none"/>
          <w:lang w:eastAsia="zh-CN"/>
        </w:rPr>
        <w:t xml:space="preserve">”</w:t>
      </w:r>
      <w:r>
        <w:rPr>
          <w:rFonts w:hint="eastAsia" w:ascii="宋体" w:hAnsi="宋体" w:eastAsia="宋体" w:cs="宋体"/>
          <w:sz w:val="24"/>
          <w:szCs w:val="24"/>
        </w:rPr>
        <w:t xml:space="preserve">中参与项目获取采购文件</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21</w:t>
      </w:r>
      <w:r>
        <w:rPr>
          <w:rFonts w:hint="eastAsia" w:ascii="宋体" w:hAnsi="宋体" w:eastAsia="宋体" w:cs="宋体"/>
          <w:color w:val="000000"/>
          <w:sz w:val="24"/>
          <w:szCs w:val="24"/>
          <w:highlight w:val="none"/>
          <w:u w:val="single"/>
        </w:rPr>
        <w:t xml:space="preserve">日13点</w:t>
      </w:r>
      <w:r>
        <w:rPr>
          <w:rFonts w:hint="eastAsia" w:ascii="宋体" w:hAnsi="宋体" w:eastAsia="宋体" w:cs="宋体"/>
          <w:color w:val="000000"/>
          <w:sz w:val="24"/>
          <w:szCs w:val="24"/>
          <w:u w:val="single"/>
        </w:rPr>
        <w:t xml:space="preserve">00分</w:t>
      </w:r>
      <w:r>
        <w:rPr>
          <w:rFonts w:hint="eastAsia" w:ascii="宋体" w:hAnsi="宋体" w:eastAsia="宋体" w:cs="宋体"/>
          <w:color w:val="000000"/>
          <w:sz w:val="24"/>
          <w:szCs w:val="24"/>
        </w:rPr>
        <w:t xml:space="preserve">前递交投标文件。</w:t>
      </w:r>
      <w:r/>
    </w:p>
    <w:p>
      <w:pPr>
        <w:pStyle w:val="75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2" w:name="_Toc35393621"/>
      <w:r/>
      <w:bookmarkStart w:id="3" w:name="_Toc35393790"/>
      <w:r/>
      <w:bookmarkStart w:id="4" w:name="_Toc28359002"/>
      <w:r/>
      <w:bookmarkStart w:id="5" w:name="_Toc28359079"/>
      <w:r/>
      <w:bookmarkStart w:id="6" w:name="_Toc38985263"/>
      <w:r/>
      <w:bookmarkStart w:id="7" w:name="_Hlk24379207"/>
      <w:r>
        <w:rPr>
          <w:rFonts w:hint="eastAsia" w:ascii="宋体" w:hAnsi="宋体" w:eastAsia="宋体" w:cs="宋体"/>
          <w:b/>
          <w:bCs/>
          <w:color w:val="000000"/>
          <w:sz w:val="24"/>
          <w:szCs w:val="24"/>
        </w:rPr>
        <w:t xml:space="preserve">一、项目基本情况</w:t>
      </w:r>
      <w:bookmarkEnd w:id="2"/>
      <w:r/>
      <w:bookmarkEnd w:id="3"/>
      <w:r/>
      <w:bookmarkEnd w:id="4"/>
      <w:r/>
      <w:bookmarkEnd w:id="5"/>
      <w:r/>
      <w:bookmarkEnd w:id="6"/>
      <w:r/>
      <w:bookmarkEnd w:id="7"/>
      <w:r/>
      <w:r/>
    </w:p>
    <w:p>
      <w:pPr>
        <w:pStyle w:val="75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JSZC-320581-CSXC-G2026-0020</w:t>
      </w:r>
      <w:r/>
    </w:p>
    <w:p>
      <w:pPr>
        <w:pStyle w:val="75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shd w:val="clear" w:color="auto" w:fill="ffffff"/>
          <w:lang w:eastAsia="zh-CN"/>
        </w:rPr>
        <w:t xml:space="preserve">常熟市第二人民医院（台山路院区）停车场经营管理服务</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3、采购方式：公开招标</w:t>
      </w:r>
      <w:r/>
    </w:p>
    <w:p>
      <w:pPr>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预算金额：人民币</w:t>
      </w:r>
      <w:r>
        <w:rPr>
          <w:rFonts w:hint="eastAsia" w:ascii="宋体" w:hAnsi="宋体" w:eastAsia="宋体" w:cs="宋体"/>
          <w:color w:val="000000"/>
          <w:sz w:val="24"/>
          <w:szCs w:val="24"/>
          <w:highlight w:val="none"/>
          <w:lang w:val="en-US" w:eastAsia="zh-CN"/>
        </w:rPr>
        <w:t xml:space="preserve">1960000.00</w:t>
      </w:r>
      <w:r>
        <w:rPr>
          <w:rFonts w:hint="eastAsia" w:ascii="宋体" w:hAnsi="宋体" w:eastAsia="宋体" w:cs="宋体"/>
          <w:color w:val="000000"/>
          <w:sz w:val="24"/>
          <w:szCs w:val="24"/>
          <w:highlight w:val="none"/>
        </w:rPr>
        <w:t xml:space="preserve">元</w:t>
      </w:r>
      <w:r/>
    </w:p>
    <w:p>
      <w:pPr>
        <w:ind w:firstLine="480"/>
        <w:pageBreakBefore w:val="0"/>
        <w:spacing w:line="440" w:lineRule="exact"/>
        <w:rPr>
          <w:rFonts w:hint="eastAsia" w:ascii="宋体" w:hAnsi="宋体" w:eastAsia="宋体" w:cs="宋体"/>
          <w:color w:val="000000"/>
          <w:sz w:val="24"/>
          <w:szCs w:val="24"/>
          <w:highlight w:val="none"/>
        </w:rPr>
      </w:pPr>
      <w:r/>
      <w:bookmarkStart w:id="8" w:name="_Toc35393622"/>
      <w:r/>
      <w:bookmarkStart w:id="9" w:name="_Toc35393791"/>
      <w:r/>
      <w:bookmarkStart w:id="10" w:name="_Toc28359003"/>
      <w:r/>
      <w:bookmarkStart w:id="11" w:name="_Toc28359080"/>
      <w:r/>
      <w:bookmarkStart w:id="12" w:name="_Toc38985264"/>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、采购需求概况：</w:t>
      </w:r>
      <w:r>
        <w:rPr>
          <w:rFonts w:hint="eastAsia" w:ascii="宋体" w:hAnsi="宋体" w:eastAsia="宋体" w:cs="宋体"/>
          <w:sz w:val="24"/>
          <w:szCs w:val="24"/>
          <w:highlight w:val="none"/>
          <w:lang w:eastAsia="zh-CN"/>
        </w:rPr>
        <w:t xml:space="preserve">常熟市第二人民医院</w:t>
      </w:r>
      <w:r>
        <w:rPr>
          <w:rFonts w:hint="eastAsia" w:ascii="宋体" w:hAnsi="宋体" w:eastAsia="宋体" w:cs="宋体"/>
          <w:sz w:val="24"/>
          <w:szCs w:val="24"/>
          <w:highlight w:val="none"/>
        </w:rPr>
        <w:t xml:space="preserve">所需的</w:t>
      </w:r>
      <w:r>
        <w:rPr>
          <w:rFonts w:hint="eastAsia" w:ascii="宋体" w:hAnsi="宋体" w:eastAsia="宋体" w:cs="宋体"/>
          <w:sz w:val="24"/>
          <w:szCs w:val="24"/>
          <w:highlight w:val="none"/>
          <w:lang w:eastAsia="zh-CN"/>
        </w:rPr>
        <w:t xml:space="preserve">常熟市第二人民医院（台山路院区）停车场经营管理服务</w:t>
      </w:r>
      <w:r>
        <w:rPr>
          <w:rFonts w:hint="eastAsia" w:ascii="宋体" w:hAnsi="宋体" w:eastAsia="宋体" w:cs="宋体"/>
          <w:sz w:val="24"/>
          <w:szCs w:val="24"/>
          <w:highlight w:val="none"/>
        </w:rPr>
        <w:t xml:space="preserve">。</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、服务完成期限：</w:t>
      </w:r>
      <w:r>
        <w:rPr>
          <w:rFonts w:hint="eastAsia" w:ascii="宋体" w:hAnsi="宋体" w:eastAsia="宋体" w:cs="宋体"/>
          <w:color w:val="000000"/>
          <w:sz w:val="24"/>
          <w:szCs w:val="24"/>
          <w:highlight w:val="none"/>
          <w:lang w:eastAsia="zh-CN"/>
        </w:rPr>
        <w:t xml:space="preserve">自合同签订之</w:t>
      </w:r>
      <w:r>
        <w:rPr>
          <w:rFonts w:hint="eastAsia" w:ascii="宋体" w:hAnsi="宋体" w:eastAsia="宋体" w:cs="宋体"/>
          <w:color w:val="000000"/>
          <w:sz w:val="24"/>
          <w:szCs w:val="24"/>
          <w:highlight w:val="none"/>
          <w:lang w:val="en-US" w:eastAsia="zh-CN"/>
        </w:rPr>
        <w:t xml:space="preserve">日起2</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rPr>
        <w:t xml:space="preserve">。</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、本项目不接受联合体投标。</w:t>
      </w:r>
      <w:r/>
    </w:p>
    <w:p>
      <w:pPr>
        <w:pStyle w:val="75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二、申请人的资格要求：</w:t>
      </w:r>
      <w:bookmarkEnd w:id="8"/>
      <w:r/>
      <w:bookmarkEnd w:id="9"/>
      <w:r/>
      <w:bookmarkEnd w:id="10"/>
      <w:r/>
      <w:bookmarkEnd w:id="11"/>
      <w:r/>
      <w:bookmarkEnd w:id="12"/>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1、满足《中华人民共和国政府采购法》第二十二条规定：</w:t>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（1）具有独立承担民事责任的能力。（提供法人或者其他组织的营业执照等证明文件）</w:t>
      </w:r>
      <w:r/>
    </w:p>
    <w:p>
      <w:pPr>
        <w:ind w:firstLine="480"/>
        <w:spacing w:line="440" w:lineRule="exact"/>
        <w:rPr>
          <w:rFonts w:hint="eastAsia" w:ascii="宋体" w:hAnsi="宋体" w:eastAsia="宋体" w:cs="宋体"/>
          <w:b w:val="0"/>
          <w:bCs w:val="0"/>
          <w:color w:val="333333"/>
          <w:sz w:val="24"/>
          <w:szCs w:val="24"/>
          <w:highlight w:val="none"/>
        </w:rPr>
      </w:pPr>
      <w:r>
        <w:rPr>
          <w:rFonts w:hint="eastAsia" w:ascii="宋体" w:hAnsi="宋体" w:eastAsia="宋体" w:cs="宋体"/>
          <w:color w:val="333333"/>
          <w:sz w:val="24"/>
          <w:szCs w:val="24"/>
          <w:highlight w:val="none"/>
        </w:rPr>
        <w:t xml:space="preserve">（2）具有良好的商业信誉和健全的财务会计制度。</w:t>
      </w:r>
      <w:r>
        <w:rPr>
          <w:rFonts w:hint="eastAsia" w:ascii="宋体" w:hAnsi="宋体" w:eastAsia="宋体" w:cs="宋体"/>
          <w:color w:val="333333"/>
          <w:sz w:val="24"/>
          <w:szCs w:val="24"/>
          <w:highlight w:val="none"/>
          <w:lang w:eastAsia="zh-CN"/>
        </w:rPr>
        <w:t xml:space="preserve">（</w:t>
      </w:r>
      <w:r>
        <w:rPr>
          <w:rFonts w:hint="eastAsia" w:ascii="宋体" w:hAnsi="宋体" w:eastAsia="宋体" w:cs="宋体"/>
          <w:sz w:val="24"/>
        </w:rPr>
        <w:t xml:space="preserve">提供最近一期经会计事务所审计的财务报告（成立不满一年需提供资产负债表和利润表）或银行（金融机构）出具的资信证明</w:t>
      </w:r>
      <w:r>
        <w:rPr>
          <w:rFonts w:hint="eastAsia" w:ascii="宋体" w:hAnsi="宋体" w:eastAsia="宋体" w:cs="宋体"/>
          <w:b w:val="0"/>
          <w:bCs w:val="0"/>
          <w:sz w:val="24"/>
        </w:rPr>
        <w:t xml:space="preserve">（距开标时间六个月内开具的资信证明）</w:t>
      </w:r>
      <w:r>
        <w:rPr>
          <w:rFonts w:hint="eastAsia" w:ascii="宋体" w:hAnsi="宋体" w:eastAsia="宋体" w:cs="宋体"/>
          <w:color w:val="333333"/>
          <w:sz w:val="24"/>
          <w:szCs w:val="24"/>
          <w:highlight w:val="none"/>
          <w:lang w:eastAsia="zh-CN"/>
        </w:rPr>
        <w:t xml:space="preserve">）</w:t>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（3）具有履行合同所必需的设备和专业技术能力。（提供具有履行合同所必需的设备和专业技术能力的声明函）</w:t>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（5）参加采购活动前三年内，在经营活动中没有重大违法记录。</w:t>
      </w:r>
      <w:r>
        <w:rPr>
          <w:rFonts w:hint="eastAsia" w:ascii="宋体" w:hAnsi="宋体" w:eastAsia="宋体" w:cs="宋体"/>
          <w:color w:val="333333"/>
          <w:sz w:val="24"/>
          <w:szCs w:val="24"/>
          <w:highlight w:val="none"/>
          <w:lang w:eastAsia="zh-CN"/>
        </w:rPr>
        <w:t xml:space="preserve">（</w:t>
      </w:r>
      <w:r>
        <w:rPr>
          <w:rFonts w:hint="eastAsia" w:ascii="宋体" w:hAnsi="宋体" w:eastAsia="宋体" w:cs="宋体"/>
          <w:color w:val="333333"/>
          <w:sz w:val="24"/>
          <w:szCs w:val="24"/>
          <w:highlight w:val="none"/>
        </w:rPr>
        <w:t xml:space="preserve">参加政府采购活动前3年内在经营活动中没有重大违法记录的书面声明</w:t>
      </w:r>
      <w:r>
        <w:rPr>
          <w:rFonts w:hint="eastAsia" w:ascii="宋体" w:hAnsi="宋体" w:eastAsia="宋体" w:cs="宋体"/>
          <w:color w:val="333333"/>
          <w:sz w:val="24"/>
          <w:szCs w:val="24"/>
          <w:highlight w:val="none"/>
          <w:lang w:eastAsia="zh-CN"/>
        </w:rPr>
        <w:t xml:space="preserve">）</w:t>
      </w:r>
      <w:r/>
    </w:p>
    <w:p>
      <w:pPr>
        <w:ind w:firstLine="480"/>
        <w:spacing w:after="0" w:line="440" w:lineRule="exact"/>
        <w:widowControl w:val="off"/>
        <w:rPr>
          <w:rStyle w:val="752"/>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sz w:val="24"/>
          <w:szCs w:val="24"/>
        </w:rPr>
        <w:t xml:space="preserve">2、</w:t>
      </w:r>
      <w:r>
        <w:rPr>
          <w:rFonts w:hint="eastAsia" w:ascii="宋体" w:hAnsi="宋体" w:eastAsia="宋体" w:cs="宋体"/>
          <w:sz w:val="24"/>
          <w:szCs w:val="24"/>
        </w:rPr>
        <w:t xml:space="preserve">落实政府采购政策需满足的资格要求：</w:t>
      </w:r>
      <w:r>
        <w:rPr>
          <w:rFonts w:hint="eastAsia" w:ascii="宋体" w:hAnsi="宋体" w:eastAsia="宋体" w:cs="宋体"/>
          <w:b/>
          <w:bCs/>
          <w:sz w:val="24"/>
          <w:szCs w:val="24"/>
          <w:highlight w:val="none"/>
        </w:rPr>
        <w:t xml:space="preserve">本项目专门面向中小企业采购</w:t>
      </w:r>
      <w:r>
        <w:rPr>
          <w:rFonts w:hint="eastAsia" w:ascii="宋体" w:hAnsi="宋体" w:eastAsia="宋体" w:cs="宋体"/>
          <w:b/>
          <w:bCs/>
          <w:sz w:val="24"/>
          <w:szCs w:val="24"/>
          <w:highlight w:val="none"/>
          <w:lang w:eastAsia="zh-CN"/>
        </w:rPr>
        <w:t xml:space="preserve">，</w:t>
      </w:r>
      <w:r>
        <w:rPr>
          <w:rStyle w:val="752"/>
          <w:rFonts w:hint="eastAsia" w:ascii="宋体" w:hAnsi="宋体" w:eastAsia="宋体" w:cs="宋体"/>
          <w:i w:val="0"/>
          <w:iCs w:val="0"/>
          <w:caps w:val="0"/>
          <w:color w:val="000000"/>
          <w:spacing w:val="0"/>
          <w:sz w:val="24"/>
          <w:szCs w:val="24"/>
          <w:highlight w:val="none"/>
          <w:shd w:val="clear" w:color="auto" w:fill="ffffff"/>
        </w:rPr>
        <w:t xml:space="preserve">所属行业为</w:t>
      </w:r>
      <w:r>
        <w:rPr>
          <w:rStyle w:val="752"/>
          <w:rFonts w:hint="eastAsia" w:ascii="宋体" w:hAnsi="宋体" w:eastAsia="宋体" w:cs="宋体"/>
          <w:i w:val="0"/>
          <w:iCs w:val="0"/>
          <w:caps w:val="0"/>
          <w:color w:val="000000"/>
          <w:spacing w:val="0"/>
          <w:sz w:val="24"/>
          <w:szCs w:val="24"/>
          <w:highlight w:val="none"/>
          <w:shd w:val="clear" w:color="auto" w:fill="ffffff"/>
          <w:lang w:val="en-US" w:eastAsia="zh-CN"/>
        </w:rPr>
        <w:t xml:space="preserve">其他未列明行业</w:t>
      </w:r>
      <w:r>
        <w:rPr>
          <w:rStyle w:val="752"/>
          <w:rFonts w:hint="eastAsia" w:ascii="宋体" w:hAnsi="宋体" w:eastAsia="宋体" w:cs="宋体"/>
          <w:i w:val="0"/>
          <w:iCs w:val="0"/>
          <w:caps w:val="0"/>
          <w:color w:val="000000"/>
          <w:spacing w:val="0"/>
          <w:sz w:val="24"/>
          <w:szCs w:val="24"/>
          <w:highlight w:val="none"/>
          <w:shd w:val="clear" w:color="auto" w:fill="ffffff"/>
        </w:rPr>
        <w:t xml:space="preserve">，投标时须提供《中小企业声明函》</w:t>
      </w:r>
      <w:r/>
    </w:p>
    <w:p>
      <w:pPr>
        <w:ind w:firstLine="482"/>
        <w:spacing w:after="0" w:line="440" w:lineRule="exact"/>
        <w:widowControl w:val="off"/>
        <w:rPr>
          <w:rFonts w:hint="eastAsia" w:ascii="宋体" w:hAnsi="宋体" w:eastAsia="宋体" w:cs="宋体"/>
          <w:sz w:val="24"/>
          <w:szCs w:val="24"/>
        </w:rPr>
      </w:pPr>
      <w:r>
        <w:rPr>
          <w:rFonts w:hint="eastAsia" w:ascii="宋体" w:hAnsi="宋体" w:eastAsia="宋体" w:cs="宋体"/>
          <w:b/>
          <w:bCs/>
          <w:sz w:val="24"/>
          <w:szCs w:val="24"/>
          <w:highlight w:val="none"/>
        </w:rPr>
        <w:t xml:space="preserve">注：对残疾人福利性单位、监狱企业视同小型、微型企业，但须按要求提供有关声明函或证明文件。</w:t>
      </w:r>
      <w:r/>
    </w:p>
    <w:p>
      <w:pPr>
        <w:numPr>
          <w:ilvl w:val="0"/>
          <w:numId w:val="1"/>
        </w:numPr>
        <w:ind w:firstLine="480"/>
        <w:spacing w:after="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本项目的特定资格要求：</w:t>
      </w:r>
      <w:r>
        <w:rPr>
          <w:rFonts w:hint="eastAsia" w:ascii="宋体" w:hAnsi="宋体" w:eastAsia="宋体" w:cs="宋体"/>
          <w:sz w:val="24"/>
          <w:szCs w:val="24"/>
          <w:highlight w:val="none"/>
          <w:lang w:val="en-US" w:eastAsia="zh-CN"/>
        </w:rPr>
        <w:t xml:space="preserve">无。</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4、其他要求：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（1）根据政府采购法及相关法规，将对</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进行信用查询。</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（2）单位负责人为同一人或者存在直接控股、管理关系的不同供应商，不得参加同一合同项下的政府采购活动。</w:t>
      </w:r>
      <w:r/>
    </w:p>
    <w:p>
      <w:pPr>
        <w:pStyle w:val="75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三、获取招标文件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1、时间：自公告发布之日起</w:t>
      </w:r>
      <w:r>
        <w:rPr>
          <w:rFonts w:hint="eastAsia" w:ascii="宋体" w:hAnsi="宋体" w:eastAsia="宋体" w:cs="宋体"/>
          <w:sz w:val="24"/>
          <w:szCs w:val="24"/>
          <w:highlight w:val="none"/>
        </w:rPr>
        <w:t xml:space="preserve">5个工作日</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2、方式：在“苏采云政府采购一体化平台”自行免费下载招标文件。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（1）参与采购活动：</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（2）电子投标准备：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pStyle w:val="75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宋体" w:hAnsi="宋体" w:eastAsia="宋体" w:cs="宋体"/>
          <w:sz w:val="24"/>
          <w:szCs w:val="24"/>
        </w:rPr>
      </w:pPr>
      <w:r/>
      <w:bookmarkStart w:id="13" w:name="_Toc28359084"/>
      <w:r/>
      <w:bookmarkStart w:id="14" w:name="_Toc35393794"/>
      <w:r/>
      <w:bookmarkStart w:id="15" w:name="_Toc28359007"/>
      <w:r/>
      <w:bookmarkStart w:id="16" w:name="_Toc35393625"/>
      <w:r/>
      <w:bookmarkStart w:id="17" w:name="_Toc38985267"/>
      <w:r>
        <w:rPr>
          <w:rFonts w:hint="eastAsia" w:ascii="宋体" w:hAnsi="宋体" w:eastAsia="宋体" w:cs="宋体"/>
          <w:sz w:val="24"/>
          <w:szCs w:val="24"/>
        </w:rPr>
        <w:t xml:space="preserve">1、截止时间：</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日13点00分（北京时间）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2、开标地点：苏采云系统网上开标大厅</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3、本项目采用电子化采购形式，</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应当按照《苏采云系统供应商操作手册》规定，须在投标截止时间前制作并上传电子响应文件至“苏采云”系统，否则视为放弃参加该采购项目。</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应充分考虑到网络环境、网络带宽等风险因素，如因</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自身原因造成的电子响应文件上传不成功由</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自行承担全部责任。</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4、本项目采用不见面开标，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登录“苏采云”系统在平台首页点击“开标大厅”，进入江苏省政府采购一体化不见面开标（采购）大厅，在今日项目列表，点击选择对应项目，进入不见面开标系统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并按系统提示完成开标流程。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请</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确保电脑、系统及其他设备（视频输入输出设备等）无误，且开启直至项目结束始终保持系统在线状态。</w:t>
      </w:r>
      <w:r/>
    </w:p>
    <w:p>
      <w:pPr>
        <w:pStyle w:val="75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五、公告期限</w:t>
      </w:r>
      <w:bookmarkEnd w:id="13"/>
      <w:r/>
      <w:bookmarkEnd w:id="14"/>
      <w:r/>
      <w:bookmarkEnd w:id="15"/>
      <w:r/>
      <w:bookmarkEnd w:id="16"/>
      <w:r/>
      <w:bookmarkEnd w:id="17"/>
      <w:r/>
      <w:r/>
    </w:p>
    <w:p>
      <w:pPr>
        <w:ind w:firstLine="480"/>
        <w:spacing w:line="460" w:lineRule="exact"/>
        <w:rPr>
          <w:rFonts w:hint="eastAsia" w:ascii="宋体" w:hAnsi="宋体" w:eastAsia="宋体" w:cs="宋体"/>
          <w:sz w:val="24"/>
          <w:szCs w:val="24"/>
        </w:rPr>
      </w:pPr>
      <w:r/>
      <w:bookmarkStart w:id="18" w:name="_Toc38985269"/>
      <w:r/>
      <w:bookmarkStart w:id="19" w:name="_Toc28359008"/>
      <w:r/>
      <w:bookmarkStart w:id="20" w:name="_Toc35393627"/>
      <w:r/>
      <w:bookmarkStart w:id="21" w:name="_Toc28359085"/>
      <w:r/>
      <w:bookmarkStart w:id="22" w:name="_Toc35393796"/>
      <w:r>
        <w:rPr>
          <w:rFonts w:hint="eastAsia" w:ascii="宋体" w:hAnsi="宋体" w:eastAsia="宋体" w:cs="宋体"/>
          <w:sz w:val="24"/>
          <w:szCs w:val="24"/>
        </w:rPr>
        <w:t xml:space="preserve">公告期限：自本公告发布之日起5个工作日。</w:t>
      </w:r>
      <w:r/>
    </w:p>
    <w:p>
      <w:pPr>
        <w:spacing w:line="440" w:lineRule="exact"/>
        <w:rPr>
          <w:rFonts w:hint="eastAsia" w:ascii="宋体" w:hAnsi="宋体" w:eastAsia="宋体" w:cs="宋体"/>
          <w:b/>
          <w:sz w:val="24"/>
          <w:szCs w:val="21"/>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1"/>
        </w:rPr>
        <w:t xml:space="preserve">其他补充事宜</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宋体" w:hAnsi="宋体" w:eastAsia="宋体" w:cs="宋体"/>
          <w:color w:val="000000"/>
          <w:sz w:val="24"/>
          <w:szCs w:val="24"/>
        </w:rPr>
        <w:t xml:space="preserve">投标人</w:t>
      </w:r>
      <w:r>
        <w:rPr>
          <w:rFonts w:hint="eastAsia" w:ascii="宋体" w:hAnsi="宋体" w:eastAsia="宋体" w:cs="宋体"/>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2、</w:t>
      </w: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在“苏采云”系统操作过程中如有疑问，请按以下方式联系：</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4、本次采购项目有关时间要求均以北京时间为标准，使用24小时制。</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5、本次招标不收取投标保证金。</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6、公告媒体：苏州市政府采购网、江苏政府采购网</w:t>
      </w:r>
      <w:r/>
    </w:p>
    <w:p>
      <w:pPr>
        <w:pStyle w:val="75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七、本次招标联系方式</w:t>
      </w:r>
      <w:bookmarkEnd w:id="18"/>
      <w:r/>
      <w:bookmarkEnd w:id="19"/>
      <w:r/>
      <w:bookmarkEnd w:id="20"/>
      <w:r/>
      <w:bookmarkEnd w:id="21"/>
      <w:r/>
      <w:bookmarkEnd w:id="22"/>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常熟市第二人民医院</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常熟市海虞南路68号</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联系方式：0512-52277982（陈雪锋）</w:t>
      </w:r>
      <w:r/>
    </w:p>
    <w:p>
      <w:pPr>
        <w:ind w:firstLine="48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名    称：江苏协诚工程咨询有限公司</w:t>
      </w:r>
      <w:r/>
    </w:p>
    <w:p>
      <w:pPr>
        <w:ind w:firstLine="48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    址：常熟市泰慈新村4号（衡丰家园北门对面）</w:t>
      </w:r>
      <w:r/>
    </w:p>
    <w:p>
      <w:pPr>
        <w:ind w:firstLine="48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联系方式：0512-52213738（</w:t>
      </w:r>
      <w:r>
        <w:rPr>
          <w:rFonts w:hint="eastAsia" w:ascii="宋体" w:hAnsi="宋体" w:eastAsia="宋体" w:cs="宋体"/>
          <w:sz w:val="24"/>
          <w:szCs w:val="24"/>
          <w:lang w:val="en-US" w:eastAsia="zh-CN"/>
        </w:rPr>
        <w:t xml:space="preserve">朱淑燕、杨雯</w:t>
      </w:r>
      <w:r>
        <w:rPr>
          <w:rFonts w:hint="eastAsia" w:ascii="宋体" w:hAnsi="宋体" w:eastAsia="宋体" w:cs="宋体"/>
          <w:sz w:val="24"/>
          <w:szCs w:val="24"/>
        </w:rPr>
        <w:t xml:space="preserve">）</w:t>
      </w:r>
      <w:r/>
    </w:p>
    <w:p>
      <w:pPr>
        <w:ind w:firstLine="48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after="0" w:line="4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朱淑燕、杨雯</w:t>
      </w:r>
      <w:r/>
    </w:p>
    <w:p>
      <w:pPr>
        <w:ind w:firstLine="48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    话：0512-52213738</w:t>
      </w:r>
      <w:r/>
    </w:p>
    <w:p>
      <w:pPr>
        <w:pStyle w:val="751"/>
        <w:ind w:right="8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751"/>
        <w:ind w:left="0" w:firstLine="2429"/>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3" w:name="_Toc120614211"/>
      <w:r/>
      <w:bookmarkStart w:id="24" w:name="_Toc28607"/>
      <w:r/>
      <w:bookmarkStart w:id="25" w:name="_Toc1243"/>
      <w:r>
        <w:rPr>
          <w:rFonts w:hint="eastAsia" w:ascii="黑体" w:hAnsi="宋体" w:eastAsia="黑体" w:cs="黑体"/>
          <w:b/>
          <w:bCs/>
          <w:color w:val="000000"/>
          <w:sz w:val="44"/>
          <w:szCs w:val="44"/>
        </w:rPr>
        <w:t xml:space="preserve">第二章 </w:t>
      </w:r>
      <w:bookmarkEnd w:id="23"/>
      <w:r/>
      <w:bookmarkStart w:id="26" w:name="_Toc513029202"/>
      <w:r/>
      <w:bookmarkStart w:id="27" w:name="_Toc16938518"/>
      <w:r/>
      <w:bookmarkStart w:id="28" w:name="_Toc120614213"/>
      <w:r/>
      <w:bookmarkStart w:id="29" w:name="_Toc20823274"/>
      <w:r>
        <w:rPr>
          <w:rFonts w:hint="eastAsia" w:ascii="黑体" w:hAnsi="宋体" w:eastAsia="黑体" w:cs="黑体"/>
          <w:b/>
          <w:bCs/>
          <w:color w:val="000000"/>
          <w:sz w:val="44"/>
          <w:szCs w:val="44"/>
          <w:lang w:val="en-US" w:eastAsia="zh-CN"/>
        </w:rPr>
        <w:t xml:space="preserve"> </w:t>
      </w:r>
      <w:r>
        <w:rPr>
          <w:rFonts w:hint="eastAsia" w:ascii="黑体" w:hAnsi="宋体" w:eastAsia="黑体" w:cs="黑体"/>
          <w:b/>
          <w:bCs/>
          <w:color w:val="000000"/>
          <w:sz w:val="44"/>
          <w:szCs w:val="44"/>
        </w:rPr>
        <w:t xml:space="preserve">投标人须知</w:t>
      </w:r>
      <w:bookmarkEnd w:id="24"/>
      <w:r/>
      <w:bookmarkEnd w:id="25"/>
      <w:r/>
      <w:bookmarkEnd w:id="26"/>
      <w:r/>
      <w:bookmarkEnd w:id="27"/>
      <w:r/>
      <w:bookmarkEnd w:id="28"/>
      <w:r/>
      <w:bookmarkEnd w:id="29"/>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30" w:name="_Toc4584"/>
      <w:r/>
      <w:bookmarkStart w:id="31" w:name="_Toc158042189"/>
      <w:r/>
      <w:bookmarkStart w:id="32" w:name="_Toc16938519"/>
      <w:r/>
      <w:bookmarkStart w:id="33" w:name="_Toc120614214"/>
      <w:r/>
      <w:bookmarkStart w:id="34" w:name="_Toc20823275"/>
      <w:r/>
      <w:bookmarkStart w:id="35" w:name="_Toc513029203"/>
      <w:r/>
      <w:bookmarkStart w:id="36" w:name="_Toc27918"/>
      <w:r/>
      <w:bookmarkStart w:id="37" w:name="_Toc666"/>
      <w:r/>
      <w:bookmarkStart w:id="38" w:name="_Hlt26670486"/>
      <w:r/>
      <w:bookmarkStart w:id="39" w:name="_Hlt26954852"/>
      <w:r/>
      <w:bookmarkStart w:id="40" w:name="_Hlt26954846"/>
      <w:r/>
      <w:bookmarkStart w:id="41" w:name="_Hlt26954840"/>
      <w:r/>
      <w:bookmarkStart w:id="42" w:name="_Hlt26954844"/>
      <w:r/>
      <w:bookmarkStart w:id="43" w:name="_Hlt26668975"/>
      <w:r/>
      <w:bookmarkStart w:id="44" w:name="_Hlt26954842"/>
      <w:r/>
      <w:bookmarkStart w:id="45" w:name="_Toc513029226"/>
      <w:r/>
      <w:bookmarkStart w:id="46" w:name="_Hlt26954848"/>
      <w:r/>
      <w:bookmarkStart w:id="47" w:name="_Hlt26954731"/>
      <w:r/>
      <w:bookmarkStart w:id="48" w:name="_Hlt26954850"/>
      <w:r/>
      <w:bookmarkStart w:id="49" w:name="_Hlt26954739"/>
      <w:r/>
      <w:bookmarkStart w:id="50" w:name="_Hlt26954838"/>
      <w:r/>
      <w:bookmarkStart w:id="51" w:name="_Hlt26668983"/>
      <w:r/>
      <w:bookmarkStart w:id="52" w:name="_Hlt26670403"/>
      <w:r/>
      <w:bookmarkStart w:id="53" w:name="_Hlt26670399"/>
      <w:r/>
      <w:bookmarkStart w:id="54" w:name="_Hlt16619475"/>
      <w:r/>
      <w:bookmarkStart w:id="55" w:name="_Hlt26954734"/>
      <w:r/>
      <w:bookmarkStart w:id="56" w:name="_Hlt26670489"/>
      <w:r/>
      <w:bookmarkStart w:id="57" w:name="_Hlt26670373"/>
      <w:r/>
      <w:bookmarkStart w:id="58" w:name="_Hlt26670482"/>
      <w:r/>
      <w:bookmarkStart w:id="59" w:name="_Hlt26670360"/>
      <w:r/>
      <w:bookmarkStart w:id="60" w:name="_Hlt26670425"/>
      <w:r>
        <w:rPr>
          <w:rFonts w:hint="eastAsia" w:asciiTheme="minorEastAsia" w:hAnsiTheme="minorEastAsia" w:eastAsiaTheme="minorEastAsia" w:cstheme="minorEastAsia"/>
          <w:b/>
          <w:bCs/>
          <w:sz w:val="28"/>
          <w:szCs w:val="28"/>
        </w:rPr>
        <w:t xml:space="preserve">一、总则</w:t>
      </w:r>
      <w:bookmarkEnd w:id="30"/>
      <w:r/>
      <w:bookmarkEnd w:id="31"/>
      <w:r/>
      <w:bookmarkEnd w:id="32"/>
      <w:r/>
      <w:bookmarkEnd w:id="33"/>
      <w:r/>
      <w:bookmarkEnd w:id="34"/>
      <w:r/>
      <w:bookmarkEnd w:id="35"/>
      <w:r/>
      <w:bookmarkEnd w:id="36"/>
      <w:r/>
      <w:bookmarkEnd w:id="37"/>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1" w:name="_Toc458694821"/>
      <w:r/>
      <w:bookmarkStart w:id="62" w:name="_Toc20823276"/>
      <w:r/>
      <w:bookmarkStart w:id="63" w:name="_Toc513029204"/>
      <w:r/>
      <w:bookmarkStart w:id="64" w:name="_Toc16938520"/>
      <w:r>
        <w:rPr>
          <w:rFonts w:hint="eastAsia" w:asciiTheme="minorEastAsia" w:hAnsiTheme="minorEastAsia" w:eastAsiaTheme="minorEastAsia" w:cstheme="minorEastAsia"/>
          <w:b/>
          <w:bCs/>
          <w:sz w:val="28"/>
          <w:szCs w:val="28"/>
        </w:rPr>
        <w:t xml:space="preserve">1</w:t>
      </w:r>
      <w:bookmarkEnd w:id="61"/>
      <w:r>
        <w:rPr>
          <w:rFonts w:hint="eastAsia" w:asciiTheme="minorEastAsia" w:hAnsiTheme="minorEastAsia" w:eastAsiaTheme="minorEastAsia" w:cstheme="minorEastAsia"/>
          <w:b/>
          <w:bCs/>
          <w:sz w:val="28"/>
          <w:szCs w:val="28"/>
        </w:rPr>
        <w:t xml:space="preserve">、采购方式</w:t>
      </w:r>
      <w:bookmarkEnd w:id="62"/>
      <w:r/>
      <w:bookmarkEnd w:id="63"/>
      <w:r/>
      <w:bookmarkEnd w:id="64"/>
      <w:r>
        <w:rPr>
          <w:rFonts w:hint="eastAsia" w:asciiTheme="minorEastAsia" w:hAnsiTheme="minorEastAsia" w:eastAsiaTheme="minorEastAsia" w:cstheme="minorEastAsia"/>
          <w:b/>
          <w:bCs/>
          <w:sz w:val="28"/>
          <w:szCs w:val="28"/>
        </w:rPr>
        <w:t xml:space="preserve">及适用法律</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2、定义</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5" w:name="_Toc20823277"/>
      <w:r/>
      <w:bookmarkStart w:id="66" w:name="_Toc16938521"/>
      <w:r/>
      <w:bookmarkStart w:id="67" w:name="_Toc513029205"/>
      <w:r>
        <w:rPr>
          <w:rFonts w:hint="eastAsia" w:asciiTheme="minorEastAsia" w:hAnsiTheme="minorEastAsia" w:eastAsiaTheme="minorEastAsia" w:cstheme="minorEastAsia"/>
          <w:b/>
          <w:bCs/>
          <w:sz w:val="28"/>
          <w:szCs w:val="28"/>
        </w:rPr>
        <w:t xml:space="preserve">3、合格的投标人</w:t>
      </w:r>
      <w:bookmarkEnd w:id="65"/>
      <w:r/>
      <w:bookmarkEnd w:id="66"/>
      <w:r/>
      <w:bookmarkEnd w:id="67"/>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满足招标公告中</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8" w:name="_Toc462564067"/>
      <w:r/>
      <w:bookmarkStart w:id="69" w:name="_Toc513029207"/>
      <w:r/>
      <w:bookmarkStart w:id="70" w:name="_Toc20823279"/>
      <w:r/>
      <w:bookmarkStart w:id="71" w:name="_Toc16938523"/>
      <w:r>
        <w:rPr>
          <w:rFonts w:hint="eastAsia" w:asciiTheme="minorEastAsia" w:hAnsiTheme="minorEastAsia" w:eastAsiaTheme="minorEastAsia" w:cstheme="minorEastAsia"/>
          <w:b/>
          <w:bCs/>
          <w:sz w:val="28"/>
          <w:szCs w:val="28"/>
        </w:rPr>
        <w:t xml:space="preserve">4、投标费用</w:t>
      </w:r>
      <w:bookmarkEnd w:id="68"/>
      <w:r/>
      <w:bookmarkEnd w:id="69"/>
      <w:r/>
      <w:bookmarkEnd w:id="70"/>
      <w:r/>
      <w:bookmarkEnd w:id="71"/>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本次招标不收取采购文件工本费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4.3采购代理服务费用：</w:t>
      </w:r>
      <w:r>
        <w:rPr>
          <w:rFonts w:hint="eastAsia" w:asciiTheme="minorEastAsia" w:hAnsiTheme="minorEastAsia" w:cstheme="minorEastAsia"/>
          <w:sz w:val="24"/>
          <w:szCs w:val="24"/>
          <w:highlight w:val="none"/>
          <w:lang w:val="en-US" w:eastAsia="zh-CN"/>
        </w:rPr>
        <w:t xml:space="preserve">本项目代理服务费由采购人支付，</w:t>
      </w:r>
      <w:r>
        <w:rPr>
          <w:rFonts w:hint="eastAsia" w:asciiTheme="minorEastAsia" w:hAnsiTheme="minorEastAsia" w:eastAsiaTheme="minorEastAsia" w:cstheme="minorEastAsia"/>
          <w:sz w:val="24"/>
          <w:szCs w:val="24"/>
          <w:highlight w:val="none"/>
        </w:rPr>
        <w:t xml:space="preserve">代理服务费</w:t>
      </w:r>
      <w:r>
        <w:rPr>
          <w:rFonts w:hint="eastAsia" w:asciiTheme="minorEastAsia" w:hAnsiTheme="minorEastAsia" w:cstheme="minorEastAsia"/>
          <w:sz w:val="24"/>
          <w:szCs w:val="24"/>
          <w:highlight w:val="none"/>
          <w:lang w:val="en-US" w:eastAsia="zh-CN"/>
        </w:rPr>
        <w:t xml:space="preserve">为</w:t>
      </w:r>
      <w:r>
        <w:rPr>
          <w:rFonts w:hint="eastAsia" w:asciiTheme="minorEastAsia" w:hAnsiTheme="minorEastAsia" w:eastAsiaTheme="minorEastAsia" w:cstheme="minorEastAsia"/>
          <w:sz w:val="24"/>
          <w:szCs w:val="24"/>
          <w:highlight w:val="none"/>
        </w:rPr>
        <w:t xml:space="preserve">15876.00</w:t>
      </w:r>
      <w:r>
        <w:rPr>
          <w:rFonts w:hint="eastAsia" w:asciiTheme="minorEastAsia" w:hAnsiTheme="minorEastAsia" w:cstheme="minorEastAsia"/>
          <w:sz w:val="24"/>
          <w:szCs w:val="24"/>
          <w:highlight w:val="none"/>
          <w:lang w:val="en-US" w:eastAsia="zh-CN"/>
        </w:rPr>
        <w:t xml:space="preserve">元整。</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5、招标文件的约束力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72" w:name="_Toc25744"/>
      <w:r/>
      <w:bookmarkStart w:id="73" w:name="_Toc158042190"/>
      <w:r/>
      <w:bookmarkStart w:id="74" w:name="_Toc513029209"/>
      <w:r/>
      <w:bookmarkStart w:id="75" w:name="_Toc16938525"/>
      <w:r/>
      <w:bookmarkStart w:id="76" w:name="_Toc120614215"/>
      <w:r/>
      <w:bookmarkStart w:id="77" w:name="_Toc30533"/>
      <w:r/>
      <w:bookmarkStart w:id="78" w:name="_Toc30059"/>
      <w:r/>
      <w:bookmarkStart w:id="79" w:name="_Toc20823281"/>
      <w:r>
        <w:rPr>
          <w:rFonts w:hint="eastAsia" w:asciiTheme="minorEastAsia" w:hAnsiTheme="minorEastAsia" w:eastAsiaTheme="minorEastAsia" w:cstheme="minorEastAsia"/>
          <w:b/>
          <w:bCs/>
          <w:sz w:val="28"/>
          <w:szCs w:val="28"/>
        </w:rPr>
        <w:t xml:space="preserve">二、招标文件</w:t>
      </w:r>
      <w:bookmarkEnd w:id="72"/>
      <w:r/>
      <w:bookmarkEnd w:id="73"/>
      <w:r/>
      <w:bookmarkEnd w:id="74"/>
      <w:r/>
      <w:bookmarkEnd w:id="75"/>
      <w:r/>
      <w:bookmarkEnd w:id="76"/>
      <w:r/>
      <w:bookmarkEnd w:id="77"/>
      <w:r/>
      <w:bookmarkEnd w:id="78"/>
      <w:r/>
      <w:bookmarkEnd w:id="7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80" w:name="_Toc20823282"/>
      <w:r/>
      <w:bookmarkStart w:id="81" w:name="_Toc16938526"/>
      <w:r/>
      <w:bookmarkStart w:id="82" w:name="_Toc513029210"/>
      <w:r>
        <w:rPr>
          <w:rFonts w:hint="eastAsia" w:asciiTheme="minorEastAsia" w:hAnsiTheme="minorEastAsia" w:eastAsiaTheme="minorEastAsia" w:cstheme="minorEastAsia"/>
          <w:b/>
          <w:bCs/>
          <w:sz w:val="28"/>
          <w:szCs w:val="28"/>
        </w:rPr>
        <w:t xml:space="preserve">6、招标文件构成</w:t>
      </w:r>
      <w:bookmarkEnd w:id="80"/>
      <w:r/>
      <w:bookmarkEnd w:id="81"/>
      <w:r/>
      <w:bookmarkEnd w:id="82"/>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招标文件由以下部分组成：</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480"/>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（5）评</w:t>
      </w:r>
      <w:r>
        <w:rPr>
          <w:rFonts w:hint="eastAsia" w:asciiTheme="minorEastAsia" w:hAnsiTheme="minorEastAsia" w:cstheme="minorEastAsia"/>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83" w:name="_Toc16938527"/>
      <w:r/>
      <w:bookmarkStart w:id="84" w:name="_Toc462564070"/>
      <w:r/>
      <w:bookmarkStart w:id="85" w:name="_Toc20823283"/>
      <w:r/>
      <w:bookmarkStart w:id="86" w:name="_Toc513029211"/>
      <w:r>
        <w:rPr>
          <w:rFonts w:hint="eastAsia" w:asciiTheme="minorEastAsia" w:hAnsiTheme="minorEastAsia" w:eastAsiaTheme="minorEastAsia" w:cstheme="minorEastAsia"/>
          <w:b/>
          <w:bCs/>
          <w:sz w:val="28"/>
          <w:szCs w:val="28"/>
        </w:rPr>
        <w:t xml:space="preserve">7、招标文件的澄清、修改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 有关澄清或者修改的内容将作为招标文件的组成部分，对所有投标人具有约束力。</w:t>
      </w:r>
      <w:bookmarkEnd w:id="83"/>
      <w:bookmarkEnd w:id="84"/>
      <w:bookmarkEnd w:id="85"/>
      <w:bookmarkEnd w:id="86"/>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87" w:name="_Toc20050"/>
      <w:r/>
      <w:bookmarkStart w:id="88" w:name="_Toc513029213"/>
      <w:r/>
      <w:bookmarkStart w:id="89" w:name="_Toc462564072"/>
      <w:r/>
      <w:bookmarkStart w:id="90" w:name="_Toc19911"/>
      <w:r/>
      <w:bookmarkStart w:id="91" w:name="_Toc20823285"/>
      <w:r/>
      <w:bookmarkStart w:id="92" w:name="_Toc24040"/>
      <w:r/>
      <w:bookmarkStart w:id="93" w:name="_Toc158042191"/>
      <w:r/>
      <w:bookmarkStart w:id="94" w:name="_Toc16938529"/>
      <w:r/>
      <w:bookmarkStart w:id="95" w:name="_Toc120614216"/>
      <w:r>
        <w:rPr>
          <w:rFonts w:hint="eastAsia" w:asciiTheme="minorEastAsia" w:hAnsiTheme="minorEastAsia" w:eastAsiaTheme="minorEastAsia" w:cstheme="minorEastAsia"/>
          <w:b/>
          <w:bCs/>
          <w:sz w:val="28"/>
          <w:szCs w:val="28"/>
        </w:rPr>
        <w:t xml:space="preserve">三、投标文件的编制</w:t>
      </w:r>
      <w:bookmarkEnd w:id="87"/>
      <w:r/>
      <w:bookmarkEnd w:id="88"/>
      <w:r/>
      <w:bookmarkEnd w:id="89"/>
      <w:r/>
      <w:bookmarkEnd w:id="90"/>
      <w:r/>
      <w:bookmarkEnd w:id="91"/>
      <w:r/>
      <w:bookmarkEnd w:id="92"/>
      <w:r/>
      <w:bookmarkEnd w:id="93"/>
      <w:r/>
      <w:bookmarkEnd w:id="94"/>
      <w:r/>
      <w:bookmarkEnd w:id="95"/>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6" w:name="_Toc16938530"/>
      <w:r/>
      <w:bookmarkStart w:id="97" w:name="_Toc20823286"/>
      <w:r/>
      <w:bookmarkStart w:id="98" w:name="_Toc462564073"/>
      <w:r/>
      <w:bookmarkStart w:id="99" w:name="_Toc513029214"/>
      <w:r>
        <w:rPr>
          <w:rFonts w:hint="eastAsia" w:asciiTheme="minorEastAsia" w:hAnsiTheme="minorEastAsia" w:eastAsiaTheme="minorEastAsia" w:cstheme="minorEastAsia"/>
          <w:b/>
          <w:bCs/>
          <w:sz w:val="28"/>
          <w:szCs w:val="28"/>
        </w:rPr>
        <w:t xml:space="preserve">8、投标文件的语言及度量衡单位</w:t>
      </w:r>
      <w:bookmarkEnd w:id="96"/>
      <w:r/>
      <w:bookmarkEnd w:id="97"/>
      <w:r/>
      <w:bookmarkEnd w:id="98"/>
      <w:r/>
      <w:bookmarkEnd w:id="99"/>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 xml:space="preserve">简体中文</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0" w:name="_Toc20823287"/>
      <w:r/>
      <w:bookmarkStart w:id="101" w:name="_Toc513029215"/>
      <w:r/>
      <w:bookmarkStart w:id="102" w:name="_Toc16938531"/>
      <w:r/>
      <w:bookmarkStart w:id="103" w:name="_Toc462564074"/>
      <w:r>
        <w:rPr>
          <w:rFonts w:hint="eastAsia" w:asciiTheme="minorEastAsia" w:hAnsiTheme="minorEastAsia" w:eastAsiaTheme="minorEastAsia" w:cstheme="minorEastAsia"/>
          <w:b/>
          <w:bCs/>
          <w:sz w:val="28"/>
          <w:szCs w:val="28"/>
        </w:rPr>
        <w:t xml:space="preserve">9、投标文件构成</w:t>
      </w:r>
      <w:bookmarkEnd w:id="100"/>
      <w:r/>
      <w:bookmarkEnd w:id="101"/>
      <w:r/>
      <w:bookmarkEnd w:id="102"/>
      <w:r/>
      <w:bookmarkEnd w:id="103"/>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9.1 投标人编写的投标文件</w:t>
      </w:r>
      <w:r>
        <w:rPr>
          <w:rFonts w:hint="eastAsia" w:asciiTheme="minorEastAsia" w:hAnsiTheme="minorEastAsia" w:eastAsiaTheme="minorEastAsia" w:cstheme="minorEastAsia"/>
          <w:sz w:val="24"/>
          <w:szCs w:val="24"/>
          <w:highlight w:val="none"/>
        </w:rPr>
        <w:t xml:space="preserve">应包括资格证明文件、开标一览表、</w:t>
      </w:r>
      <w:r>
        <w:rPr>
          <w:rFonts w:hint="eastAsia" w:asciiTheme="minorEastAsia" w:hAnsiTheme="minorEastAsia" w:cstheme="minorEastAsia"/>
          <w:sz w:val="24"/>
          <w:szCs w:val="24"/>
          <w:highlight w:val="none"/>
          <w:lang w:val="en-US" w:eastAsia="zh-CN"/>
        </w:rPr>
        <w:t xml:space="preserve">投入费用明细表</w:t>
      </w:r>
      <w:r>
        <w:rPr>
          <w:rFonts w:hint="eastAsia" w:asciiTheme="minorEastAsia" w:hAnsiTheme="minorEastAsia" w:eastAsiaTheme="minorEastAsia" w:cstheme="minorEastAsia"/>
          <w:sz w:val="24"/>
          <w:szCs w:val="24"/>
          <w:highlight w:val="none"/>
        </w:rPr>
        <w:t xml:space="preserve">、投标函、</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（或商务）要求响应及偏离表、项目</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方案、</w:t>
      </w:r>
      <w:r>
        <w:rPr>
          <w:rFonts w:hint="eastAsia" w:asciiTheme="minorEastAsia" w:hAnsiTheme="minorEastAsia" w:cstheme="minorEastAsia"/>
          <w:sz w:val="24"/>
          <w:szCs w:val="24"/>
          <w:highlight w:val="none"/>
          <w:lang w:val="en-US" w:eastAsia="zh-CN"/>
        </w:rPr>
        <w:t xml:space="preserve">人员一览表、</w:t>
      </w:r>
      <w:r>
        <w:rPr>
          <w:rFonts w:hint="eastAsia" w:asciiTheme="minorEastAsia" w:hAnsiTheme="minorEastAsia" w:eastAsiaTheme="minorEastAsia" w:cstheme="minorEastAsia"/>
          <w:sz w:val="24"/>
          <w:szCs w:val="24"/>
          <w:highlight w:val="none"/>
        </w:rPr>
        <w:t xml:space="preserve">其他证明文件等部分。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4" w:name="_Toc49090509"/>
      <w:r/>
      <w:bookmarkStart w:id="105" w:name="_Toc513029219"/>
      <w:r/>
      <w:bookmarkStart w:id="106" w:name="_Toc14577357"/>
      <w:r/>
      <w:bookmarkStart w:id="107" w:name="_Toc513029216"/>
      <w:r/>
      <w:bookmarkStart w:id="108" w:name="_Toc14577354"/>
      <w:r/>
      <w:bookmarkStart w:id="109" w:name="_Toc49090507"/>
      <w:r/>
      <w:bookmarkStart w:id="110" w:name="_Toc49090508"/>
      <w:r/>
      <w:bookmarkStart w:id="111" w:name="_Toc14577355"/>
      <w:r>
        <w:rPr>
          <w:rFonts w:hint="eastAsia" w:asciiTheme="minorEastAsia" w:hAnsiTheme="minorEastAsia" w:eastAsiaTheme="minorEastAsia" w:cstheme="minorEastAsia"/>
          <w:b/>
          <w:bCs/>
          <w:sz w:val="28"/>
          <w:szCs w:val="28"/>
        </w:rPr>
        <w:t xml:space="preserve">10、证明投标人及投标标的符合招标文件规定的文件</w:t>
      </w:r>
      <w:bookmarkEnd w:id="104"/>
      <w:r/>
      <w:bookmarkEnd w:id="105"/>
      <w:r/>
      <w:bookmarkEnd w:id="106"/>
      <w:r/>
      <w:bookmarkEnd w:id="107"/>
      <w:bookmarkEnd w:id="108"/>
      <w:bookmarkEnd w:id="109"/>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招标文件对证明文件无明确形式要求的，证明文件可以以文字资料、图纸和数据等形式提交。</w:t>
      </w:r>
      <w:bookmarkEnd w:id="110"/>
      <w:bookmarkEnd w:id="111"/>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11、投标函和开标一览表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投标人应按照招标文件中提供的格式完整、正确填写投标函、开标一览表。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11.2 对于采用货币报价的项目，开标一览表中的投标总报价应与</w:t>
      </w:r>
      <w:r>
        <w:rPr>
          <w:rFonts w:hint="eastAsia" w:asciiTheme="minorEastAsia" w:hAnsiTheme="minorEastAsia" w:cstheme="minorEastAsia"/>
          <w:sz w:val="24"/>
          <w:szCs w:val="24"/>
          <w:lang w:val="en-US" w:eastAsia="zh-CN"/>
        </w:rPr>
        <w:t xml:space="preserve">投入费用明细表</w:t>
      </w:r>
      <w:r>
        <w:rPr>
          <w:rFonts w:hint="eastAsia" w:asciiTheme="minorEastAsia" w:hAnsiTheme="minorEastAsia" w:eastAsiaTheme="minorEastAsia" w:cstheme="minorEastAsia"/>
          <w:sz w:val="24"/>
          <w:szCs w:val="24"/>
        </w:rPr>
        <w:t xml:space="preserve">中</w:t>
      </w:r>
      <w:r>
        <w:rPr>
          <w:rFonts w:hint="eastAsia" w:asciiTheme="minorEastAsia" w:hAnsiTheme="minorEastAsia" w:cstheme="minorEastAsia"/>
          <w:sz w:val="24"/>
          <w:szCs w:val="24"/>
          <w:lang w:val="en-US" w:eastAsia="zh-CN"/>
        </w:rPr>
        <w:t xml:space="preserve">的</w:t>
      </w:r>
      <w:r>
        <w:rPr>
          <w:rFonts w:hint="eastAsia" w:asciiTheme="minorEastAsia" w:hAnsiTheme="minorEastAsia" w:cstheme="minorEastAsia"/>
          <w:sz w:val="24"/>
          <w:szCs w:val="24"/>
          <w:highlight w:val="none"/>
          <w:lang w:val="en-US" w:eastAsia="zh-CN"/>
        </w:rPr>
        <w:t xml:space="preserve">合计费用</w:t>
      </w:r>
      <w:r>
        <w:rPr>
          <w:rFonts w:hint="eastAsia" w:asciiTheme="minorEastAsia" w:hAnsiTheme="minorEastAsia" w:eastAsiaTheme="minorEastAsia" w:cstheme="minorEastAsia"/>
          <w:sz w:val="24"/>
          <w:szCs w:val="24"/>
          <w:highlight w:val="none"/>
        </w:rPr>
        <w:t xml:space="preserve">一致，如不一致不作为无效投标处理，但评标时按开标一览表中价格为准。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 xml:space="preserve">12、</w:t>
      </w:r>
      <w:r>
        <w:rPr>
          <w:rFonts w:hint="eastAsia" w:asciiTheme="minorEastAsia" w:hAnsiTheme="minorEastAsia" w:cstheme="minorEastAsia"/>
          <w:b/>
          <w:bCs/>
          <w:sz w:val="28"/>
          <w:szCs w:val="28"/>
          <w:lang w:val="en-US" w:eastAsia="zh-CN"/>
        </w:rPr>
        <w:t xml:space="preserve">投入费用明细表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投标人应按照招标文件规定格式填报投入</w:t>
      </w:r>
      <w:r>
        <w:rPr>
          <w:rFonts w:hint="eastAsia" w:asciiTheme="minorEastAsia" w:hAnsiTheme="minorEastAsia" w:cstheme="minorEastAsia"/>
          <w:sz w:val="24"/>
          <w:szCs w:val="24"/>
          <w:lang w:val="en-US" w:eastAsia="zh-CN"/>
        </w:rPr>
        <w:t xml:space="preserve">费用</w:t>
      </w:r>
      <w:r>
        <w:rPr>
          <w:rFonts w:hint="eastAsia" w:asciiTheme="minorEastAsia" w:hAnsiTheme="minorEastAsia" w:eastAsiaTheme="minorEastAsia" w:cstheme="minorEastAsia"/>
          <w:sz w:val="24"/>
          <w:szCs w:val="24"/>
        </w:rPr>
        <w:t xml:space="preserve">明细表。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投标货币。投标文件中的单价和总价无特殊规定的采用人民币报价，以元为单位标注。招标文件中另有规定的按规定执行。</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2" w:name="_Hlk155763835"/>
      <w:r>
        <w:rPr>
          <w:rFonts w:hint="eastAsia" w:asciiTheme="minorEastAsia" w:hAnsiTheme="minorEastAsia" w:eastAsiaTheme="minorEastAsia" w:cstheme="minorEastAsia"/>
          <w:b/>
          <w:bCs/>
          <w:sz w:val="28"/>
          <w:szCs w:val="28"/>
        </w:rPr>
        <w:t xml:space="preserve">13、服务、商务要求响应及偏离表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12"/>
      <w:r>
        <w:rPr>
          <w:rFonts w:hint="eastAsia" w:asciiTheme="minorEastAsia" w:hAnsiTheme="minorEastAsia" w:eastAsiaTheme="minorEastAsia" w:cstheme="minorEastAsia"/>
          <w:sz w:val="24"/>
          <w:szCs w:val="24"/>
          <w:lang w:val="zh-CN"/>
        </w:rPr>
        <w:t xml:space="preserve">（如有）</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14、项目服务方案、人员一览表、业绩情况</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投标人需根据招标文件要求提供有关项目服务方案和人员一览表等</w:t>
      </w:r>
      <w:r>
        <w:rPr>
          <w:rFonts w:hint="eastAsia" w:asciiTheme="minorEastAsia" w:hAnsiTheme="minorEastAsia" w:cstheme="minorEastAsia"/>
          <w:sz w:val="24"/>
          <w:szCs w:val="24"/>
          <w:lang w:val="en-US" w:eastAsia="zh-CN"/>
        </w:rPr>
        <w:t xml:space="preserve">进行说明</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投标人需根据招标文件要求提供实施的类似项目业绩情况。</w:t>
      </w:r>
      <w:bookmarkStart w:id="113" w:name="_Toc49090510"/>
      <w:r/>
      <w:bookmarkStart w:id="114" w:name="_Toc1457735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15、其他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 投标人需根据招标文件要求提供的其他证明材料。</w:t>
      </w:r>
      <w:bookmarkEnd w:id="113"/>
      <w:bookmarkEnd w:id="114"/>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5" w:name="_Toc49090511"/>
      <w:r/>
      <w:bookmarkStart w:id="116" w:name="_Toc14577360"/>
      <w:r>
        <w:rPr>
          <w:rFonts w:hint="eastAsia" w:asciiTheme="minorEastAsia" w:hAnsiTheme="minorEastAsia" w:eastAsiaTheme="minorEastAsia" w:cstheme="minorEastAsia"/>
          <w:b/>
          <w:bCs/>
          <w:sz w:val="28"/>
          <w:szCs w:val="28"/>
        </w:rPr>
        <w:t xml:space="preserve">16、投标有效期</w:t>
      </w:r>
      <w:bookmarkEnd w:id="115"/>
      <w:r/>
      <w:bookmarkEnd w:id="11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17、投标有效期的延长</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17" w:name="_Toc513029224"/>
      <w:r/>
      <w:bookmarkStart w:id="118" w:name="_Toc158042192"/>
      <w:r/>
      <w:bookmarkStart w:id="119" w:name="_Toc2252"/>
      <w:r/>
      <w:bookmarkStart w:id="120" w:name="_Toc13920"/>
      <w:r/>
      <w:bookmarkStart w:id="121" w:name="_Toc28075"/>
      <w:r/>
      <w:bookmarkStart w:id="122" w:name="_Toc20823296"/>
      <w:r/>
      <w:bookmarkStart w:id="123" w:name="_Toc120614217"/>
      <w:r/>
      <w:bookmarkStart w:id="124" w:name="_Toc16938540"/>
      <w:r>
        <w:rPr>
          <w:rFonts w:hint="eastAsia" w:asciiTheme="minorEastAsia" w:hAnsiTheme="minorEastAsia" w:eastAsiaTheme="minorEastAsia" w:cstheme="minorEastAsia"/>
          <w:b/>
          <w:bCs/>
          <w:sz w:val="28"/>
          <w:szCs w:val="28"/>
        </w:rPr>
        <w:t xml:space="preserve">四、投标文件的递交</w:t>
      </w:r>
      <w:bookmarkEnd w:id="117"/>
      <w:r/>
      <w:bookmarkEnd w:id="118"/>
      <w:r/>
      <w:bookmarkEnd w:id="119"/>
      <w:r/>
      <w:bookmarkEnd w:id="120"/>
      <w:r/>
      <w:bookmarkEnd w:id="121"/>
      <w:r/>
      <w:bookmarkEnd w:id="122"/>
      <w:r/>
      <w:bookmarkEnd w:id="123"/>
      <w:r/>
      <w:bookmarkEnd w:id="124"/>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5" w:name="_Toc513029225"/>
      <w:r/>
      <w:bookmarkStart w:id="126" w:name="_Toc16938541"/>
      <w:r/>
      <w:bookmarkStart w:id="127" w:name="_Toc20823297"/>
      <w:r/>
      <w:bookmarkStart w:id="128" w:name="_Toc462564084"/>
      <w:r>
        <w:rPr>
          <w:rFonts w:hint="eastAsia" w:asciiTheme="minorEastAsia" w:hAnsiTheme="minorEastAsia" w:eastAsiaTheme="minorEastAsia" w:cstheme="minorEastAsia"/>
          <w:b/>
          <w:bCs/>
          <w:sz w:val="28"/>
          <w:szCs w:val="28"/>
        </w:rPr>
        <w:t xml:space="preserve">18、电子投标文件</w:t>
      </w:r>
      <w:bookmarkEnd w:id="125"/>
      <w:r/>
      <w:bookmarkEnd w:id="126"/>
      <w:r/>
      <w:bookmarkEnd w:id="127"/>
      <w:r/>
      <w:bookmarkEnd w:id="128"/>
      <w:r>
        <w:rPr>
          <w:rFonts w:hint="eastAsia" w:asciiTheme="minorEastAsia" w:hAnsiTheme="minorEastAsia" w:eastAsiaTheme="minorEastAsia" w:cstheme="minorEastAsia"/>
          <w:b/>
          <w:bCs/>
          <w:sz w:val="28"/>
          <w:szCs w:val="28"/>
        </w:rPr>
        <w:t xml:space="preserve">的递交</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投标人应当按照《苏采云系统供应商操作手册》规定，在投标截止时间前制作并上传电子投标文件。</w:t>
      </w:r>
      <w:bookmarkStart w:id="129" w:name="_Toc16938542"/>
      <w:r/>
      <w:bookmarkStart w:id="130" w:name="_Toc20823298"/>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19、投标截止日期</w:t>
      </w:r>
      <w:bookmarkEnd w:id="129"/>
      <w:r/>
      <w:bookmarkEnd w:id="130"/>
      <w:r/>
      <w:r/>
    </w:p>
    <w:p>
      <w:pPr>
        <w:ind w:firstLine="480"/>
        <w:keepLines w:val="0"/>
        <w:keepNext w:val="0"/>
        <w:pageBreakBefore w:val="0"/>
        <w:spacing w:line="440" w:lineRule="exact"/>
        <w:widowControl w:val="off"/>
        <w:rPr>
          <w:rFonts w:hint="eastAsia"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1" w:name="_Toc16938543"/>
      <w:r/>
      <w:bookmarkStart w:id="132" w:name="_Toc20823299"/>
      <w:r/>
      <w:bookmarkStart w:id="133" w:name="_Toc513029227"/>
      <w:r>
        <w:rPr>
          <w:rFonts w:hint="eastAsia" w:asciiTheme="minorEastAsia" w:hAnsiTheme="minorEastAsia" w:eastAsiaTheme="minorEastAsia" w:cstheme="minorEastAsia"/>
          <w:b/>
          <w:bCs/>
          <w:sz w:val="28"/>
          <w:szCs w:val="28"/>
        </w:rPr>
        <w:t xml:space="preserve">20、投标文件</w:t>
      </w:r>
      <w:bookmarkEnd w:id="131"/>
      <w:r/>
      <w:bookmarkEnd w:id="132"/>
      <w:r/>
      <w:bookmarkEnd w:id="133"/>
      <w:r>
        <w:rPr>
          <w:rFonts w:hint="eastAsia" w:asciiTheme="minorEastAsia" w:hAnsiTheme="minorEastAsia" w:eastAsiaTheme="minorEastAsia" w:cstheme="minorEastAsia"/>
          <w:b/>
          <w:bCs/>
          <w:sz w:val="28"/>
          <w:szCs w:val="28"/>
        </w:rPr>
        <w:t xml:space="preserve">的拒收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4" w:name="_Toc513029228"/>
      <w:r/>
      <w:bookmarkStart w:id="135" w:name="_Toc20823300"/>
      <w:r/>
      <w:bookmarkStart w:id="136" w:name="_Toc16938544"/>
      <w:r>
        <w:rPr>
          <w:rFonts w:hint="eastAsia" w:asciiTheme="minorEastAsia" w:hAnsiTheme="minorEastAsia" w:eastAsiaTheme="minorEastAsia" w:cstheme="minorEastAsia"/>
          <w:b/>
          <w:bCs/>
          <w:sz w:val="28"/>
          <w:szCs w:val="28"/>
        </w:rPr>
        <w:t xml:space="preserve">21、投标文件的撤回和修改</w:t>
      </w:r>
      <w:bookmarkEnd w:id="134"/>
      <w:r/>
      <w:bookmarkEnd w:id="135"/>
      <w:r/>
      <w:bookmarkEnd w:id="13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21.1.1 电子投标文件的撤回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投标文件的修改</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37" w:name="_Toc13396"/>
      <w:r/>
      <w:bookmarkStart w:id="138" w:name="_Toc16938545"/>
      <w:r/>
      <w:bookmarkStart w:id="139" w:name="_Toc18422"/>
      <w:r/>
      <w:bookmarkStart w:id="140" w:name="_Toc20823301"/>
      <w:r/>
      <w:bookmarkStart w:id="141" w:name="_Toc158042193"/>
      <w:r/>
      <w:bookmarkStart w:id="142" w:name="_Toc29470"/>
      <w:r/>
      <w:bookmarkStart w:id="143" w:name="_Toc513029229"/>
      <w:r/>
      <w:bookmarkStart w:id="144" w:name="_Toc120614218"/>
      <w:r>
        <w:rPr>
          <w:rFonts w:hint="eastAsia" w:asciiTheme="minorEastAsia" w:hAnsiTheme="minorEastAsia" w:eastAsiaTheme="minorEastAsia" w:cstheme="minorEastAsia"/>
          <w:b/>
          <w:bCs/>
          <w:sz w:val="28"/>
          <w:szCs w:val="28"/>
        </w:rPr>
        <w:t xml:space="preserve">五、开标与评标</w:t>
      </w:r>
      <w:bookmarkEnd w:id="137"/>
      <w:r/>
      <w:bookmarkEnd w:id="138"/>
      <w:r/>
      <w:bookmarkEnd w:id="139"/>
      <w:r/>
      <w:bookmarkEnd w:id="140"/>
      <w:r/>
      <w:bookmarkEnd w:id="141"/>
      <w:r/>
      <w:bookmarkEnd w:id="142"/>
      <w:r/>
      <w:bookmarkEnd w:id="143"/>
      <w:r/>
      <w:bookmarkEnd w:id="144"/>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5" w:name="_Toc16938546"/>
      <w:r/>
      <w:bookmarkStart w:id="146" w:name="_Toc20823302"/>
      <w:r/>
      <w:bookmarkStart w:id="147" w:name="_Toc513029230"/>
      <w:r>
        <w:rPr>
          <w:rFonts w:hint="eastAsia" w:asciiTheme="minorEastAsia" w:hAnsiTheme="minorEastAsia" w:eastAsiaTheme="minorEastAsia" w:cstheme="minorEastAsia"/>
          <w:b/>
          <w:bCs/>
          <w:sz w:val="28"/>
          <w:szCs w:val="28"/>
        </w:rPr>
        <w:t xml:space="preserve">22、开标</w:t>
      </w:r>
      <w:bookmarkEnd w:id="145"/>
      <w:r/>
      <w:bookmarkEnd w:id="146"/>
      <w:r/>
      <w:bookmarkEnd w:id="147"/>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投标人在开标过程中涉及到的投标文件解密、开标结果确认等工作，应按照《苏采云系统供应商操作手册》规定执行。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8" w:name="_Toc20823303"/>
      <w:r/>
      <w:bookmarkStart w:id="149" w:name="_Toc16938547"/>
      <w:r/>
      <w:bookmarkStart w:id="150" w:name="_Toc513029231"/>
      <w:r>
        <w:rPr>
          <w:rFonts w:hint="eastAsia" w:asciiTheme="minorEastAsia" w:hAnsiTheme="minorEastAsia" w:eastAsiaTheme="minorEastAsia" w:cstheme="minorEastAsia"/>
          <w:b/>
          <w:bCs/>
          <w:sz w:val="28"/>
          <w:szCs w:val="28"/>
        </w:rPr>
        <w:t xml:space="preserve">23、评标委员会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评委会独立工作，负责评审所有投标文件并确定中标侯选人。</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24．评标过程的保密与公正</w:t>
      </w:r>
      <w:bookmarkEnd w:id="148"/>
      <w:bookmarkEnd w:id="149"/>
      <w:bookmarkEnd w:id="150"/>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51" w:name="_Toc20823304"/>
      <w:r/>
      <w:bookmarkStart w:id="152" w:name="_Toc513029232"/>
      <w:r/>
      <w:bookmarkStart w:id="153" w:name="_Toc16938548"/>
      <w:r>
        <w:rPr>
          <w:rFonts w:hint="eastAsia" w:asciiTheme="minorEastAsia" w:hAnsiTheme="minorEastAsia" w:eastAsiaTheme="minorEastAsia" w:cstheme="minorEastAsia"/>
          <w:b/>
          <w:bCs/>
          <w:sz w:val="28"/>
          <w:szCs w:val="28"/>
        </w:rPr>
        <w:t xml:space="preserve">25．投标文件的澄清</w:t>
      </w:r>
      <w:bookmarkEnd w:id="151"/>
      <w:r/>
      <w:bookmarkEnd w:id="152"/>
      <w:r/>
      <w:bookmarkEnd w:id="153"/>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4" w:name="_Toc16938549"/>
      <w:r/>
      <w:bookmarkStart w:id="155" w:name="_Toc513029233"/>
      <w:r/>
      <w:bookmarkStart w:id="156" w:name="_Toc20823305"/>
      <w:r>
        <w:rPr>
          <w:rFonts w:hint="eastAsia" w:asciiTheme="minorEastAsia" w:hAnsiTheme="minorEastAsia" w:eastAsiaTheme="minorEastAsia" w:cstheme="minorEastAsia"/>
          <w:sz w:val="24"/>
          <w:szCs w:val="24"/>
        </w:rPr>
        <w:t xml:space="preserve">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需要</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进行澄清、说明和补正的，评委会将通过苏采云系统向</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 接到评委会澄清、说明和补正要求的投标人如未按规定做出澄清、说明和补正，其风险由投标人自行承担。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26、对投标文件的初审</w:t>
      </w:r>
      <w:bookmarkEnd w:id="154"/>
      <w:r/>
      <w:bookmarkEnd w:id="155"/>
      <w:r/>
      <w:bookmarkEnd w:id="15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采购人在进行资格性审查的同时，将在“信用中国”网站（www.creditchina.gov.cn）等查询投标人的信用记录，以确定投标人是否具备投标资格,查询结果留存并归档。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接受联合体的项目，两个以上的自然人、法人或者其他组织组成一个联合体，以一个</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的身份共同参加政府采购活动的,联合体成员中任何一方存在不良信用记录的，视同联合体存在不良应用记录。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7" w:name="_Toc16938550"/>
      <w:r/>
      <w:bookmarkStart w:id="158" w:name="_Toc20823306"/>
      <w:r/>
      <w:bookmarkStart w:id="159" w:name="_Toc513029234"/>
      <w:r>
        <w:rPr>
          <w:rFonts w:hint="eastAsia" w:asciiTheme="minorEastAsia" w:hAnsiTheme="minorEastAsia" w:eastAsiaTheme="minorEastAsia" w:cstheme="minorEastAsia"/>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26.7投标人在开、评标全过程中应保持通讯畅通，及时登录苏采云系统查阅、答复相关信息，并安排专人与代理机构及评委会联系。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27、</w:t>
      </w:r>
      <w:bookmarkEnd w:id="157"/>
      <w:r/>
      <w:bookmarkEnd w:id="158"/>
      <w:r/>
      <w:bookmarkEnd w:id="159"/>
      <w:r>
        <w:rPr>
          <w:rFonts w:hint="eastAsia" w:asciiTheme="minorEastAsia" w:hAnsiTheme="minorEastAsia" w:eastAsiaTheme="minorEastAsia" w:cstheme="minorEastAsia"/>
          <w:b/>
          <w:bCs/>
          <w:sz w:val="28"/>
          <w:szCs w:val="28"/>
        </w:rPr>
        <w:t xml:space="preserve">无效投标条款和废标条款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60" w:name="_Toc513029235"/>
      <w:r/>
      <w:bookmarkStart w:id="161" w:name="_Toc16938551"/>
      <w:r/>
      <w:bookmarkStart w:id="162" w:name="_Toc20823307"/>
      <w:r>
        <w:rPr>
          <w:rFonts w:hint="eastAsia" w:asciiTheme="minorEastAsia" w:hAnsiTheme="minorEastAsia" w:eastAsiaTheme="minorEastAsia" w:cstheme="minorEastAsia"/>
          <w:sz w:val="24"/>
          <w:szCs w:val="24"/>
        </w:rPr>
        <w:t xml:space="preserve">27.1无效投标条款</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未通过符合性审查的。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27.1.7</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不符合招标文件中规定的实质性要求和条件的</w:t>
      </w:r>
      <w:r>
        <w:rPr>
          <w:rFonts w:hint="eastAsia" w:asciiTheme="minorEastAsia" w:hAnsiTheme="minorEastAsia" w:eastAsiaTheme="minorEastAsia" w:cstheme="minorEastAsia"/>
          <w:i/>
          <w:iCs/>
          <w:sz w:val="24"/>
          <w:szCs w:val="24"/>
        </w:rPr>
        <w:t xml:space="preserve">（本招标文件中斜体且有下划线部分为实质性要求和条件）。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27.1.9 投标文件含有采购人不能接受的附加条件的。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27.1.10</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27.1.12 投标文件未按照招标文件要求加盖CA电子公章的。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符合专业条件的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或者对招标文件作实质响应的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因重大变故，采购任务取消的。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27.2.5 因苏采云系统系统故障原因造成开标不成功的。</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 投标截止时间结束后参加投标的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如出现投标截止时间结束后参加投标的</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或者在评标期间对招标文件做出实质响应的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家情况，按政府采购相关规定执行。</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63" w:name="_Toc32056"/>
      <w:r/>
      <w:bookmarkStart w:id="164" w:name="_Toc158042194"/>
      <w:r/>
      <w:bookmarkStart w:id="165" w:name="_Toc120614219"/>
      <w:r/>
      <w:bookmarkStart w:id="166" w:name="_Toc13988"/>
      <w:r/>
      <w:bookmarkStart w:id="167" w:name="_Toc31663"/>
      <w:r>
        <w:rPr>
          <w:rFonts w:hint="eastAsia" w:asciiTheme="minorEastAsia" w:hAnsiTheme="minorEastAsia" w:eastAsiaTheme="minorEastAsia" w:cstheme="minorEastAsia"/>
          <w:b/>
          <w:bCs/>
          <w:sz w:val="28"/>
          <w:szCs w:val="28"/>
        </w:rPr>
        <w:t xml:space="preserve">六、</w:t>
      </w:r>
      <w:bookmarkEnd w:id="160"/>
      <w:r/>
      <w:bookmarkEnd w:id="161"/>
      <w:r/>
      <w:bookmarkEnd w:id="162"/>
      <w:r>
        <w:rPr>
          <w:rFonts w:hint="eastAsia" w:asciiTheme="minorEastAsia" w:hAnsiTheme="minorEastAsia" w:eastAsiaTheme="minorEastAsia" w:cstheme="minorEastAsia"/>
          <w:b/>
          <w:bCs/>
          <w:sz w:val="28"/>
          <w:szCs w:val="28"/>
        </w:rPr>
        <w:t xml:space="preserve">定标</w:t>
      </w:r>
      <w:bookmarkEnd w:id="163"/>
      <w:r/>
      <w:bookmarkEnd w:id="164"/>
      <w:r/>
      <w:bookmarkEnd w:id="165"/>
      <w:r/>
      <w:bookmarkEnd w:id="166"/>
      <w:r/>
      <w:bookmarkEnd w:id="167"/>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68" w:name="_Toc513029238"/>
      <w:r/>
      <w:bookmarkStart w:id="169" w:name="_Toc16938554"/>
      <w:r/>
      <w:bookmarkStart w:id="170" w:name="_Toc20823310"/>
      <w:r>
        <w:rPr>
          <w:rFonts w:hint="eastAsia" w:asciiTheme="minorEastAsia" w:hAnsiTheme="minorEastAsia" w:eastAsiaTheme="minorEastAsia" w:cstheme="minorEastAsia"/>
          <w:b/>
          <w:bCs/>
          <w:sz w:val="28"/>
          <w:szCs w:val="28"/>
        </w:rPr>
        <w:t xml:space="preserve">28、</w:t>
      </w:r>
      <w:bookmarkEnd w:id="168"/>
      <w:r>
        <w:rPr>
          <w:rFonts w:hint="eastAsia" w:asciiTheme="minorEastAsia" w:hAnsiTheme="minorEastAsia" w:eastAsiaTheme="minorEastAsia" w:cstheme="minorEastAsia"/>
          <w:b/>
          <w:bCs/>
          <w:sz w:val="28"/>
          <w:szCs w:val="28"/>
        </w:rPr>
        <w:t xml:space="preserve">确定</w:t>
      </w:r>
      <w:bookmarkEnd w:id="169"/>
      <w:r/>
      <w:bookmarkEnd w:id="170"/>
      <w:r>
        <w:rPr>
          <w:rFonts w:hint="eastAsia" w:asciiTheme="minorEastAsia" w:hAnsiTheme="minorEastAsia" w:eastAsiaTheme="minorEastAsia" w:cstheme="minorEastAsia"/>
          <w:b/>
          <w:bCs/>
          <w:sz w:val="28"/>
          <w:szCs w:val="28"/>
        </w:rPr>
        <w:t xml:space="preserve">中标单位</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中标候选人的选取原则和数量见招标文件第五章规定。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 采购人应根据评委会推荐的中标候选人确定中标人。</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28.4.1提供虚假材料谋取中标的。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28.4.4与采购人或者其他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恶意串通的。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28.4.5采取不正当手段诋毁、排挤其他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71" w:name="_Toc200451960"/>
      <w:r>
        <w:rPr>
          <w:rFonts w:hint="eastAsia" w:asciiTheme="minorEastAsia" w:hAnsiTheme="minorEastAsia" w:eastAsiaTheme="minorEastAsia" w:cstheme="minorEastAsia"/>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28.5.4不同投标人的投标文件异常一致或者投标报价呈规律性差异；</w:t>
      </w:r>
      <w:bookmarkEnd w:id="171"/>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29</w:t>
      </w:r>
      <w:r>
        <w:rPr>
          <w:rFonts w:hint="eastAsia" w:asciiTheme="minorEastAsia" w:hAnsiTheme="minorEastAsia" w:eastAsiaTheme="minorEastAsia" w:cstheme="minorEastAsia"/>
          <w:b/>
          <w:bCs/>
          <w:sz w:val="28"/>
          <w:szCs w:val="28"/>
        </w:rPr>
        <w:t xml:space="preserve">、中标通知书</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中标通知书将是合同的一个组成部分。对采购人和中标</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均具有法律效力。中标通知书发出后，采购人改变中标结果的，或者中标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放弃中标项目的，应当依法承担法律责任。</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72" w:name="_Toc30541"/>
      <w:r/>
      <w:bookmarkStart w:id="173" w:name="_Toc158042195"/>
      <w:r/>
      <w:bookmarkStart w:id="174" w:name="_Toc31453"/>
      <w:r/>
      <w:bookmarkStart w:id="175" w:name="_Toc23104"/>
      <w:r/>
      <w:bookmarkStart w:id="176" w:name="_Toc120614220"/>
      <w:r/>
      <w:bookmarkStart w:id="177" w:name="_Toc513029236"/>
      <w:r/>
      <w:bookmarkStart w:id="178" w:name="_Toc20823308"/>
      <w:r/>
      <w:bookmarkStart w:id="179" w:name="_Toc16938552"/>
      <w:r>
        <w:rPr>
          <w:rFonts w:hint="eastAsia" w:asciiTheme="minorEastAsia" w:hAnsiTheme="minorEastAsia" w:eastAsiaTheme="minorEastAsia" w:cstheme="minorEastAsia"/>
          <w:b/>
          <w:bCs/>
          <w:sz w:val="28"/>
          <w:szCs w:val="28"/>
        </w:rPr>
        <w:t xml:space="preserve">七、授予合同</w:t>
      </w:r>
      <w:bookmarkEnd w:id="172"/>
      <w:r/>
      <w:bookmarkEnd w:id="173"/>
      <w:r/>
      <w:bookmarkEnd w:id="174"/>
      <w:r/>
      <w:bookmarkEnd w:id="175"/>
      <w:r/>
      <w:bookmarkEnd w:id="176"/>
      <w:r/>
      <w:bookmarkEnd w:id="177"/>
      <w:bookmarkEnd w:id="178"/>
      <w:bookmarkEnd w:id="179"/>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80" w:name="_Toc16938553"/>
      <w:r/>
      <w:bookmarkStart w:id="181" w:name="_Toc20823309"/>
      <w:r/>
      <w:bookmarkStart w:id="182" w:name="_Toc513029237"/>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0</w:t>
      </w:r>
      <w:r>
        <w:rPr>
          <w:rFonts w:hint="eastAsia" w:asciiTheme="minorEastAsia" w:hAnsiTheme="minorEastAsia" w:eastAsiaTheme="minorEastAsia" w:cstheme="minorEastAsia"/>
          <w:b/>
          <w:bCs/>
          <w:sz w:val="28"/>
          <w:szCs w:val="28"/>
        </w:rPr>
        <w:t xml:space="preserve">、签订合同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1</w:t>
      </w:r>
      <w:r>
        <w:rPr>
          <w:rFonts w:hint="eastAsia" w:asciiTheme="minorEastAsia" w:hAnsiTheme="minorEastAsia" w:eastAsiaTheme="minorEastAsia" w:cstheme="minorEastAsia"/>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80"/>
      <w:bookmarkEnd w:id="181"/>
      <w:bookmarkEnd w:id="182"/>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2</w:t>
      </w:r>
      <w:r>
        <w:rPr>
          <w:rFonts w:hint="eastAsia" w:asciiTheme="minorEastAsia" w:hAnsiTheme="minorEastAsia" w:eastAsiaTheme="minorEastAsia" w:cstheme="minorEastAsia"/>
          <w:b/>
          <w:bCs/>
          <w:sz w:val="28"/>
          <w:szCs w:val="28"/>
        </w:rPr>
        <w:t xml:space="preserve">、政府采购信用融资政策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.1 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可凭政府采购合同办理融资贷款，详情请见苏州市政府采购网“政府采购合同信用融资”专栏。</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51"/>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83" w:name="_Toc2206"/>
      <w:r/>
      <w:bookmarkStart w:id="184" w:name="_Toc25681"/>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合同文本</w:t>
      </w:r>
      <w:bookmarkEnd w:id="183"/>
      <w:r/>
      <w:bookmarkEnd w:id="184"/>
      <w:r/>
      <w:r/>
    </w:p>
    <w:p>
      <w:pPr>
        <w:jc w:val="center"/>
        <w:spacing w:line="660" w:lineRule="exact"/>
        <w:rPr>
          <w:rFonts w:hint="eastAsia" w:ascii="宋体" w:hAnsi="宋体" w:eastAsia="宋体" w:cs="宋体"/>
          <w:b/>
          <w:bCs w:val="0"/>
          <w:color w:val="000000"/>
          <w:sz w:val="36"/>
          <w:szCs w:val="36"/>
        </w:rPr>
      </w:pPr>
      <w:r/>
      <w:bookmarkStart w:id="185" w:name="_Toc479757211"/>
      <w:r/>
      <w:bookmarkStart w:id="186" w:name="_Hlt16619350"/>
      <w:r/>
      <w:bookmarkStart w:id="187" w:name="_Toc20823346"/>
      <w:r/>
      <w:bookmarkStart w:id="188" w:name="_Toc120614244"/>
      <w:r/>
      <w:bookmarkStart w:id="189" w:name="_Toc462564139"/>
      <w:r/>
      <w:bookmarkStart w:id="190" w:name="_Toc16938590"/>
      <w:r/>
      <w:bookmarkStart w:id="191" w:name="_Hlt16619369"/>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cs="宋体"/>
          <w:bCs/>
          <w:color w:val="000000"/>
          <w:sz w:val="24"/>
          <w:szCs w:val="24"/>
        </w:rPr>
      </w:pPr>
      <w:r>
        <w:rPr>
          <w:rFonts w:hint="eastAsia" w:cs="宋体"/>
          <w:bCs/>
          <w:color w:val="000000"/>
          <w:sz w:val="24"/>
          <w:szCs w:val="24"/>
        </w:rPr>
        <w:t xml:space="preserve">                                     编号：</w:t>
      </w:r>
      <w:r/>
    </w:p>
    <w:p>
      <w:pPr>
        <w:jc w:val="center"/>
        <w:spacing w:line="440" w:lineRule="exact"/>
        <w:rPr>
          <w:rFonts w:cs="宋体"/>
          <w:bCs/>
          <w:color w:val="000000"/>
          <w:sz w:val="24"/>
          <w:szCs w:val="24"/>
        </w:rPr>
      </w:pPr>
      <w:r>
        <w:rPr>
          <w:rFonts w:hint="eastAsia"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lang w:val="en-US" w:eastAsia="zh-CN"/>
        </w:rPr>
        <w:t xml:space="preserve">   常熟市第二人民医院   </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p>
    <w:p>
      <w:pPr>
        <w:ind w:firstLine="240"/>
        <w:spacing w:after="0" w:line="44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如无可不填写</w:t>
      </w:r>
      <w:r>
        <w:rPr>
          <w:rFonts w:hint="eastAsia" w:ascii="宋体" w:hAnsi="宋体" w:eastAsia="宋体" w:cs="宋体"/>
          <w:bCs/>
          <w:color w:val="000000"/>
          <w:sz w:val="24"/>
          <w:szCs w:val="24"/>
          <w:lang w:eastAsia="zh-CN"/>
        </w:rPr>
        <w:t xml:space="preserve">）</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常熟市第二人民医院（台山路院区）停车场经营管理服务</w:t>
      </w:r>
      <w:r>
        <w:rPr>
          <w:rFonts w:hint="eastAsia" w:ascii="宋体" w:hAnsi="宋体" w:eastAsia="宋体" w:cs="宋体"/>
          <w:bCs/>
          <w:color w:val="000000"/>
          <w:sz w:val="24"/>
          <w:szCs w:val="24"/>
        </w:rPr>
        <w:t xml:space="preserve"> 项目（项目编号： </w:t>
      </w:r>
      <w:r>
        <w:rPr>
          <w:rFonts w:hint="eastAsia" w:ascii="宋体" w:hAnsi="宋体" w:eastAsia="宋体" w:cs="宋体"/>
          <w:bCs/>
          <w:color w:val="000000"/>
          <w:sz w:val="24"/>
          <w:szCs w:val="24"/>
          <w:u w:val="single"/>
          <w:lang w:eastAsia="zh-CN"/>
        </w:rPr>
        <w:t xml:space="preserve">JSZC-320581-CSXC-G2026-0020</w:t>
      </w:r>
      <w:r>
        <w:rPr>
          <w:rFonts w:hint="eastAsia" w:ascii="宋体" w:hAnsi="宋体" w:eastAsia="宋体" w:cs="宋体"/>
          <w:bCs/>
          <w:color w:val="000000"/>
          <w:sz w:val="24"/>
          <w:szCs w:val="24"/>
        </w:rPr>
        <w:t xml:space="preserve"> ）政府采购结果签订本合同。</w:t>
      </w:r>
      <w:r/>
    </w:p>
    <w:p>
      <w:pPr>
        <w:spacing w:after="0" w:line="440" w:lineRule="exact"/>
        <w:widowControl w:val="off"/>
        <w:rPr>
          <w:rFonts w:hint="eastAsia" w:ascii="宋体" w:hAnsi="宋体" w:eastAsia="宋体" w:cs="宋体"/>
          <w:b/>
          <w:bCs w:val="0"/>
          <w:color w:val="000000"/>
          <w:sz w:val="24"/>
          <w:szCs w:val="24"/>
        </w:rPr>
      </w:pPr>
      <w:r/>
      <w:bookmarkStart w:id="192" w:name="_Toc2918"/>
      <w:r/>
      <w:bookmarkStart w:id="193" w:name="_Toc22185"/>
      <w:r/>
      <w:bookmarkStart w:id="194" w:name="_Toc18585"/>
      <w:r/>
      <w:bookmarkStart w:id="195" w:name="_Toc6773"/>
      <w:r/>
      <w:bookmarkStart w:id="196" w:name="_Toc6311"/>
      <w:r>
        <w:rPr>
          <w:rFonts w:hint="eastAsia" w:ascii="宋体" w:hAnsi="宋体" w:eastAsia="宋体" w:cs="宋体"/>
          <w:b/>
          <w:bCs w:val="0"/>
          <w:color w:val="000000"/>
          <w:sz w:val="24"/>
          <w:szCs w:val="24"/>
        </w:rPr>
        <w:t xml:space="preserve">第一条 定义</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1.1合同：甲乙双方签署的，与本项目相关的合同书、附件、附录、其他文件以及政府采购程序中的全部文件。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1.2甲方：购买本合同项下服务的国家机关、事业单位、团体组织。</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1.3乙方：提供本合同项下服务的法人、其他组织或自然人。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1.4服务：提供本合同规定的乙方承担的</w:t>
      </w:r>
      <w:r>
        <w:rPr>
          <w:rFonts w:hint="eastAsia" w:ascii="宋体" w:hAnsi="宋体" w:eastAsia="宋体" w:cs="宋体"/>
          <w:bCs/>
          <w:color w:val="000000"/>
          <w:sz w:val="24"/>
          <w:szCs w:val="24"/>
          <w:u w:val="single"/>
          <w:lang w:eastAsia="zh-CN"/>
        </w:rPr>
        <w:t xml:space="preserve">常熟市第二人民医院（台山路院区）停车场经营管理服务</w:t>
      </w:r>
      <w:r>
        <w:rPr>
          <w:rFonts w:hint="eastAsia" w:ascii="宋体" w:hAnsi="宋体" w:eastAsia="宋体" w:cs="宋体"/>
          <w:bCs/>
          <w:color w:val="000000"/>
          <w:sz w:val="24"/>
          <w:szCs w:val="24"/>
        </w:rPr>
        <w:t xml:space="preserve">及相关工作。</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第二条 组成本合同的文件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2.1下列文件是组成本合同的不可分割的部分：</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①中标或成交通知书；</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②招标文件、竞争性谈判文件、询价文件、单一来源谈判记录、竞争性磋商文件等（以下统称“采购文件”）；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③乙方的投标文件或响应文件；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④乙方在报价过程中所作的其它承诺、声明、书面澄清等。</w:t>
      </w:r>
      <w:r/>
    </w:p>
    <w:p>
      <w:pPr>
        <w:ind w:firstLine="560"/>
        <w:spacing w:after="0" w:line="440" w:lineRule="exact"/>
        <w:widowControl w:val="off"/>
        <w:rPr>
          <w:rFonts w:hint="eastAsia" w:ascii="宋体" w:hAnsi="宋体" w:eastAsia="宋体" w:cs="宋体"/>
          <w:bCs/>
          <w:color w:val="000000"/>
          <w:sz w:val="24"/>
          <w:szCs w:val="24"/>
        </w:rPr>
      </w:pPr>
      <w:r/>
      <w:bookmarkStart w:id="197" w:name="_Hlk144021334"/>
      <w:r>
        <w:rPr>
          <w:rFonts w:hint="eastAsia" w:ascii="宋体" w:hAnsi="宋体" w:eastAsia="宋体" w:cs="宋体"/>
          <w:bCs/>
          <w:color w:val="000000"/>
          <w:sz w:val="24"/>
          <w:szCs w:val="24"/>
        </w:rPr>
        <w:t xml:space="preserve">2.2上述文件之间如果出现不一致的，以甲方文件确定的内容为准，但乙方文件的内容对甲方更有利的，适用乙方文件。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192"/>
      <w:bookmarkEnd w:id="193"/>
      <w:bookmarkEnd w:id="194"/>
      <w:bookmarkEnd w:id="195"/>
      <w:bookmarkEnd w:id="196"/>
      <w:bookmarkEnd w:id="197"/>
      <w:r/>
    </w:p>
    <w:p>
      <w:pPr>
        <w:spacing w:after="0" w:line="440" w:lineRule="exact"/>
        <w:widowControl w:val="off"/>
        <w:rPr>
          <w:rFonts w:hint="eastAsia" w:ascii="宋体" w:hAnsi="宋体" w:eastAsia="宋体" w:cs="宋体"/>
          <w:b/>
          <w:bCs w:val="0"/>
          <w:color w:val="000000"/>
          <w:sz w:val="24"/>
          <w:szCs w:val="24"/>
        </w:rPr>
      </w:pPr>
      <w:r/>
      <w:bookmarkStart w:id="198" w:name="_Toc21124"/>
      <w:r/>
      <w:bookmarkStart w:id="199" w:name="_Toc5635"/>
      <w:r/>
      <w:bookmarkStart w:id="200" w:name="_Toc4929"/>
      <w:r/>
      <w:bookmarkStart w:id="201" w:name="_Toc1386"/>
      <w:r/>
      <w:bookmarkStart w:id="202" w:name="_Toc13918"/>
      <w:r>
        <w:rPr>
          <w:rFonts w:hint="eastAsia" w:ascii="宋体" w:hAnsi="宋体" w:eastAsia="宋体" w:cs="宋体"/>
          <w:b/>
          <w:bCs w:val="0"/>
          <w:color w:val="000000"/>
          <w:sz w:val="24"/>
          <w:szCs w:val="24"/>
        </w:rPr>
        <w:t xml:space="preserve">第三条 合同内容</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3.1服务内容：常熟市第二人民医院所需的常熟市第二人民医院（台山路院区）停车场经营管理服务。</w:t>
      </w:r>
      <w:r/>
    </w:p>
    <w:p>
      <w:pPr>
        <w:ind w:right="-27" w:firstLine="480"/>
        <w:spacing w:line="440" w:lineRule="exact"/>
        <w:tabs>
          <w:tab w:val="left" w:pos="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3.2服务期限：自合同签订之日起2年。</w:t>
      </w:r>
      <w:r/>
    </w:p>
    <w:p>
      <w:pPr>
        <w:ind w:right="-27" w:firstLine="480"/>
        <w:spacing w:line="440" w:lineRule="exact"/>
        <w:tabs>
          <w:tab w:val="left" w:pos="0" w:leader="none"/>
        </w:tabs>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3</w:t>
      </w:r>
      <w:r>
        <w:rPr>
          <w:rFonts w:ascii="宋体" w:hAnsi="宋体" w:cs="宋体"/>
          <w:bCs/>
          <w:color w:val="000000"/>
          <w:sz w:val="24"/>
          <w:szCs w:val="24"/>
        </w:rPr>
        <w:t xml:space="preserve">.3</w:t>
      </w:r>
      <w:r>
        <w:rPr>
          <w:rFonts w:hint="eastAsia" w:ascii="宋体" w:hAnsi="宋体" w:cs="宋体"/>
          <w:bCs/>
          <w:color w:val="000000"/>
          <w:sz w:val="24"/>
          <w:szCs w:val="24"/>
        </w:rPr>
        <w:t xml:space="preserve">乙方承诺上述服务由乙方自行完成，不转包予第三方完成。</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第四条 合同价</w:t>
      </w:r>
      <w:r/>
    </w:p>
    <w:p>
      <w:pPr>
        <w:ind w:firstLine="480"/>
        <w:spacing w:line="440" w:lineRule="exact"/>
        <w:rPr>
          <w:rFonts w:hint="eastAsia"/>
          <w:sz w:val="24"/>
          <w:highlight w:val="none"/>
        </w:rPr>
      </w:pPr>
      <w:r>
        <w:rPr>
          <w:rFonts w:hint="eastAsia"/>
          <w:sz w:val="24"/>
          <w:highlight w:val="none"/>
        </w:rPr>
        <w:t xml:space="preserve">本合同项下</w:t>
      </w:r>
      <w:r>
        <w:rPr>
          <w:rFonts w:hint="eastAsia"/>
          <w:color w:val="000000"/>
          <w:sz w:val="24"/>
          <w:szCs w:val="24"/>
          <w:highlight w:val="none"/>
        </w:rPr>
        <w:t xml:space="preserve">二年</w:t>
      </w:r>
      <w:r>
        <w:rPr>
          <w:rFonts w:hint="eastAsia" w:asciiTheme="minorEastAsia" w:hAnsiTheme="minorEastAsia" w:cstheme="minorEastAsia"/>
          <w:i w:val="0"/>
          <w:iCs w:val="0"/>
          <w:caps w:val="0"/>
          <w:color w:val="333333"/>
          <w:spacing w:val="0"/>
          <w:sz w:val="24"/>
          <w:szCs w:val="24"/>
          <w:shd w:val="clear" w:color="auto" w:fill="ffffff"/>
          <w:lang w:eastAsia="zh-CN"/>
        </w:rPr>
        <w:t xml:space="preserve">常熟市第二人民医院（台山路院区）停车场经营管理服务</w:t>
      </w:r>
      <w:r>
        <w:rPr>
          <w:rFonts w:hint="eastAsia"/>
          <w:sz w:val="24"/>
          <w:highlight w:val="none"/>
        </w:rPr>
        <w:t xml:space="preserve">（合同总价）为人民币</w:t>
      </w:r>
      <w:r>
        <w:rPr>
          <w:rFonts w:hint="eastAsia"/>
          <w:sz w:val="24"/>
          <w:highlight w:val="none"/>
          <w:u w:val="single"/>
        </w:rPr>
        <w:t xml:space="preserve">           </w:t>
      </w:r>
      <w:r>
        <w:rPr>
          <w:rFonts w:hint="eastAsia"/>
          <w:sz w:val="24"/>
          <w:highlight w:val="none"/>
        </w:rPr>
        <w:t xml:space="preserve">元整（大写）。</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第五条 支付结算</w:t>
      </w:r>
      <w:bookmarkEnd w:id="198"/>
      <w:bookmarkEnd w:id="199"/>
      <w:bookmarkEnd w:id="200"/>
      <w:bookmarkEnd w:id="201"/>
      <w:bookmarkEnd w:id="202"/>
      <w:r/>
    </w:p>
    <w:p>
      <w:pPr>
        <w:ind w:firstLine="720"/>
        <w:spacing w:after="0" w:line="440" w:lineRule="exact"/>
        <w:widowControl w:val="off"/>
        <w:rPr>
          <w:rFonts w:hint="eastAsia" w:ascii="宋体" w:hAnsi="宋体" w:eastAsia="宋体" w:cs="宋体"/>
          <w:b w:val="0"/>
          <w:bCs/>
          <w:i w:val="0"/>
          <w:iCs/>
          <w:sz w:val="24"/>
          <w:szCs w:val="24"/>
          <w:highlight w:val="none"/>
          <w:u w:val="none"/>
        </w:rPr>
      </w:pPr>
      <w:r>
        <w:rPr>
          <w:rFonts w:hint="eastAsia" w:ascii="宋体" w:hAnsi="宋体" w:eastAsia="宋体" w:cs="宋体"/>
          <w:b w:val="0"/>
          <w:bCs/>
          <w:i w:val="0"/>
          <w:iCs/>
          <w:sz w:val="24"/>
          <w:szCs w:val="24"/>
          <w:highlight w:val="none"/>
          <w:u w:val="none"/>
          <w:lang w:val="en-US" w:eastAsia="zh-CN"/>
        </w:rPr>
        <w:t xml:space="preserve">5</w:t>
      </w:r>
      <w:r>
        <w:rPr>
          <w:rFonts w:hint="eastAsia" w:ascii="宋体" w:hAnsi="宋体" w:eastAsia="宋体" w:cs="宋体"/>
          <w:b w:val="0"/>
          <w:bCs/>
          <w:i w:val="0"/>
          <w:iCs/>
          <w:sz w:val="24"/>
          <w:szCs w:val="24"/>
          <w:highlight w:val="none"/>
          <w:u w:val="none"/>
        </w:rPr>
        <w:t xml:space="preserve">.1、</w:t>
      </w:r>
      <w:r>
        <w:rPr>
          <w:rFonts w:hint="eastAsia" w:ascii="宋体" w:hAnsi="宋体" w:eastAsia="宋体" w:cs="宋体"/>
          <w:bCs/>
          <w:i w:val="0"/>
          <w:iCs w:val="0"/>
          <w:sz w:val="24"/>
          <w:highlight w:val="none"/>
          <w:u w:val="none"/>
          <w:lang w:val="en-US" w:eastAsia="zh-CN"/>
        </w:rPr>
        <w:t xml:space="preserve">合同签订后三十个工作日内，</w:t>
      </w:r>
      <w:r>
        <w:rPr>
          <w:rFonts w:hint="eastAsia" w:ascii="宋体" w:hAnsi="宋体" w:eastAsia="宋体" w:cs="宋体"/>
          <w:b w:val="0"/>
          <w:bCs/>
          <w:i w:val="0"/>
          <w:iCs/>
          <w:sz w:val="24"/>
          <w:szCs w:val="24"/>
          <w:highlight w:val="none"/>
          <w:u w:val="none"/>
          <w:lang w:val="en-US" w:eastAsia="zh-CN"/>
        </w:rPr>
        <w:t xml:space="preserve">甲方向乙方</w:t>
      </w:r>
      <w:r>
        <w:rPr>
          <w:rFonts w:hint="eastAsia" w:ascii="宋体" w:hAnsi="宋体" w:eastAsia="宋体" w:cs="宋体"/>
          <w:bCs/>
          <w:i w:val="0"/>
          <w:iCs w:val="0"/>
          <w:sz w:val="24"/>
          <w:highlight w:val="none"/>
          <w:u w:val="none"/>
          <w:lang w:val="en-US" w:eastAsia="zh-CN"/>
        </w:rPr>
        <w:t xml:space="preserve">支付合同金额的10%作为预付款</w:t>
      </w:r>
      <w:r>
        <w:rPr>
          <w:rFonts w:hint="eastAsia" w:ascii="宋体" w:hAnsi="宋体" w:eastAsia="宋体" w:cs="宋体"/>
          <w:b w:val="0"/>
          <w:bCs/>
          <w:i w:val="0"/>
          <w:iCs/>
          <w:sz w:val="24"/>
          <w:szCs w:val="24"/>
          <w:highlight w:val="none"/>
          <w:u w:val="none"/>
        </w:rPr>
        <w:t xml:space="preserve">。</w:t>
      </w:r>
      <w:r/>
    </w:p>
    <w:p>
      <w:pPr>
        <w:ind w:firstLine="720"/>
        <w:spacing w:after="0" w:line="440" w:lineRule="exact"/>
        <w:widowControl w:val="off"/>
        <w:rPr>
          <w:rFonts w:hint="eastAsia" w:ascii="宋体" w:hAnsi="宋体" w:eastAsia="宋体" w:cs="宋体"/>
          <w:b w:val="0"/>
          <w:bCs/>
          <w:i w:val="0"/>
          <w:iCs/>
          <w:sz w:val="24"/>
          <w:szCs w:val="24"/>
          <w:highlight w:val="none"/>
          <w:u w:val="none"/>
        </w:rPr>
      </w:pPr>
      <w:r>
        <w:rPr>
          <w:rFonts w:hint="eastAsia" w:ascii="宋体" w:hAnsi="宋体" w:eastAsia="宋体" w:cs="宋体"/>
          <w:b w:val="0"/>
          <w:bCs/>
          <w:i w:val="0"/>
          <w:iCs/>
          <w:sz w:val="24"/>
          <w:szCs w:val="24"/>
          <w:highlight w:val="none"/>
          <w:u w:val="none"/>
          <w:lang w:val="en-US" w:eastAsia="zh-CN"/>
        </w:rPr>
        <w:t xml:space="preserve">5</w:t>
      </w:r>
      <w:r>
        <w:rPr>
          <w:rFonts w:hint="eastAsia" w:ascii="宋体" w:hAnsi="宋体" w:eastAsia="宋体" w:cs="宋体"/>
          <w:b w:val="0"/>
          <w:bCs/>
          <w:i w:val="0"/>
          <w:iCs/>
          <w:sz w:val="24"/>
          <w:szCs w:val="24"/>
          <w:highlight w:val="none"/>
          <w:u w:val="none"/>
        </w:rPr>
        <w:t xml:space="preserve">.</w:t>
      </w:r>
      <w:r>
        <w:rPr>
          <w:rFonts w:hint="eastAsia" w:ascii="宋体" w:hAnsi="宋体" w:eastAsia="宋体" w:cs="宋体"/>
          <w:b w:val="0"/>
          <w:bCs/>
          <w:i w:val="0"/>
          <w:iCs/>
          <w:sz w:val="24"/>
          <w:szCs w:val="24"/>
          <w:highlight w:val="none"/>
          <w:u w:val="none"/>
          <w:lang w:val="en-US" w:eastAsia="zh-CN"/>
        </w:rPr>
        <w:t xml:space="preserve">2</w:t>
      </w:r>
      <w:r>
        <w:rPr>
          <w:rFonts w:hint="eastAsia" w:ascii="宋体" w:hAnsi="宋体" w:eastAsia="宋体" w:cs="宋体"/>
          <w:b w:val="0"/>
          <w:bCs/>
          <w:i w:val="0"/>
          <w:iCs/>
          <w:sz w:val="24"/>
          <w:szCs w:val="24"/>
          <w:highlight w:val="none"/>
          <w:u w:val="none"/>
        </w:rPr>
        <w:t xml:space="preserve">、服务费用按季度</w:t>
      </w:r>
      <w:r>
        <w:rPr>
          <w:rFonts w:hint="eastAsia" w:ascii="宋体" w:hAnsi="宋体" w:eastAsia="宋体" w:cs="宋体"/>
          <w:b w:val="0"/>
          <w:bCs/>
          <w:i w:val="0"/>
          <w:iCs/>
          <w:sz w:val="24"/>
          <w:szCs w:val="24"/>
          <w:highlight w:val="none"/>
          <w:u w:val="none"/>
          <w:lang w:eastAsia="zh-CN"/>
        </w:rPr>
        <w:t xml:space="preserve">（</w:t>
      </w:r>
      <w:r>
        <w:rPr>
          <w:rFonts w:hint="eastAsia" w:ascii="宋体" w:hAnsi="宋体" w:eastAsia="宋体" w:cs="宋体"/>
          <w:b w:val="0"/>
          <w:bCs/>
          <w:i w:val="0"/>
          <w:iCs/>
          <w:sz w:val="24"/>
          <w:szCs w:val="24"/>
          <w:highlight w:val="none"/>
          <w:u w:val="none"/>
          <w:lang w:val="en-US" w:eastAsia="zh-CN"/>
        </w:rPr>
        <w:t xml:space="preserve">以三个月为一个结算周期</w:t>
      </w:r>
      <w:r>
        <w:rPr>
          <w:rFonts w:hint="eastAsia" w:ascii="宋体" w:hAnsi="宋体" w:eastAsia="宋体" w:cs="宋体"/>
          <w:b w:val="0"/>
          <w:bCs/>
          <w:i w:val="0"/>
          <w:iCs/>
          <w:sz w:val="24"/>
          <w:szCs w:val="24"/>
          <w:highlight w:val="none"/>
          <w:u w:val="none"/>
          <w:lang w:eastAsia="zh-CN"/>
        </w:rPr>
        <w:t xml:space="preserve">）</w:t>
      </w:r>
      <w:r>
        <w:rPr>
          <w:rFonts w:hint="eastAsia" w:ascii="宋体" w:hAnsi="宋体" w:eastAsia="宋体" w:cs="宋体"/>
          <w:b w:val="0"/>
          <w:bCs/>
          <w:i w:val="0"/>
          <w:iCs/>
          <w:sz w:val="24"/>
          <w:szCs w:val="24"/>
          <w:highlight w:val="none"/>
          <w:u w:val="none"/>
        </w:rPr>
        <w:t xml:space="preserve">考核结算。</w:t>
      </w:r>
      <w:r/>
    </w:p>
    <w:p>
      <w:pPr>
        <w:ind w:firstLine="720"/>
        <w:spacing w:after="0" w:line="440" w:lineRule="exact"/>
        <w:widowControl w:val="off"/>
        <w:rPr>
          <w:rFonts w:hint="eastAsia" w:ascii="宋体" w:hAnsi="宋体" w:eastAsia="宋体" w:cs="宋体"/>
          <w:b w:val="0"/>
          <w:bCs/>
          <w:i w:val="0"/>
          <w:iCs/>
          <w:sz w:val="24"/>
          <w:szCs w:val="24"/>
          <w:highlight w:val="none"/>
          <w:u w:val="none"/>
        </w:rPr>
      </w:pPr>
      <w:r>
        <w:rPr>
          <w:rFonts w:hint="eastAsia" w:ascii="宋体" w:hAnsi="宋体" w:eastAsia="宋体" w:cs="宋体"/>
          <w:b w:val="0"/>
          <w:bCs/>
          <w:i w:val="0"/>
          <w:iCs/>
          <w:sz w:val="24"/>
          <w:szCs w:val="24"/>
          <w:highlight w:val="none"/>
          <w:u w:val="none"/>
          <w:lang w:val="en-US" w:eastAsia="zh-CN"/>
        </w:rPr>
        <w:t xml:space="preserve">5</w:t>
      </w:r>
      <w:r>
        <w:rPr>
          <w:rFonts w:hint="eastAsia" w:ascii="宋体" w:hAnsi="宋体" w:eastAsia="宋体" w:cs="宋体"/>
          <w:b w:val="0"/>
          <w:bCs/>
          <w:i w:val="0"/>
          <w:iCs/>
          <w:sz w:val="24"/>
          <w:szCs w:val="24"/>
          <w:highlight w:val="none"/>
          <w:u w:val="none"/>
        </w:rPr>
        <w:t xml:space="preserve">.</w:t>
      </w:r>
      <w:r>
        <w:rPr>
          <w:rFonts w:hint="eastAsia" w:ascii="宋体" w:hAnsi="宋体" w:eastAsia="宋体" w:cs="宋体"/>
          <w:b w:val="0"/>
          <w:bCs/>
          <w:i w:val="0"/>
          <w:iCs/>
          <w:sz w:val="24"/>
          <w:szCs w:val="24"/>
          <w:highlight w:val="none"/>
          <w:u w:val="none"/>
          <w:lang w:val="en-US" w:eastAsia="zh-CN"/>
        </w:rPr>
        <w:t xml:space="preserve">3</w:t>
      </w:r>
      <w:r>
        <w:rPr>
          <w:rFonts w:hint="eastAsia" w:ascii="宋体" w:hAnsi="宋体" w:eastAsia="宋体" w:cs="宋体"/>
          <w:b w:val="0"/>
          <w:bCs/>
          <w:i w:val="0"/>
          <w:iCs/>
          <w:sz w:val="24"/>
          <w:szCs w:val="24"/>
          <w:highlight w:val="none"/>
          <w:u w:val="none"/>
        </w:rPr>
        <w:t xml:space="preserve">、服务期开始之日起每</w:t>
      </w:r>
      <w:r>
        <w:rPr>
          <w:rFonts w:hint="eastAsia" w:ascii="宋体" w:hAnsi="宋体" w:eastAsia="宋体" w:cs="宋体"/>
          <w:b w:val="0"/>
          <w:bCs/>
          <w:i w:val="0"/>
          <w:iCs/>
          <w:sz w:val="24"/>
          <w:szCs w:val="24"/>
          <w:highlight w:val="none"/>
          <w:u w:val="none"/>
          <w:lang w:val="en-US" w:eastAsia="zh-CN"/>
        </w:rPr>
        <w:t xml:space="preserve">三个月</w:t>
      </w:r>
      <w:r>
        <w:rPr>
          <w:rFonts w:hint="eastAsia" w:ascii="宋体" w:hAnsi="宋体" w:eastAsia="宋体" w:cs="宋体"/>
          <w:b w:val="0"/>
          <w:bCs/>
          <w:i w:val="0"/>
          <w:iCs/>
          <w:sz w:val="24"/>
          <w:szCs w:val="24"/>
          <w:highlight w:val="none"/>
          <w:u w:val="none"/>
        </w:rPr>
        <w:t xml:space="preserve">之后的一个月内，</w:t>
      </w:r>
      <w:r>
        <w:rPr>
          <w:rFonts w:hint="eastAsia" w:ascii="宋体" w:hAnsi="宋体" w:eastAsia="宋体" w:cs="宋体"/>
          <w:b w:val="0"/>
          <w:bCs/>
          <w:i w:val="0"/>
          <w:iCs/>
          <w:sz w:val="24"/>
          <w:szCs w:val="24"/>
          <w:highlight w:val="none"/>
          <w:u w:val="none"/>
          <w:lang w:val="en-US" w:eastAsia="zh-CN"/>
        </w:rPr>
        <w:t xml:space="preserve">甲方向乙方</w:t>
      </w:r>
      <w:r>
        <w:rPr>
          <w:rFonts w:hint="eastAsia" w:ascii="宋体" w:hAnsi="宋体" w:eastAsia="宋体" w:cs="宋体"/>
          <w:b w:val="0"/>
          <w:bCs/>
          <w:i w:val="0"/>
          <w:iCs/>
          <w:sz w:val="24"/>
          <w:szCs w:val="24"/>
          <w:highlight w:val="none"/>
          <w:u w:val="none"/>
        </w:rPr>
        <w:t xml:space="preserve">支付上个季度的服务费用（按服务总费用的</w:t>
      </w:r>
      <w:r>
        <w:rPr>
          <w:rFonts w:hint="eastAsia" w:ascii="宋体" w:hAnsi="宋体" w:eastAsia="宋体" w:cs="宋体"/>
          <w:b w:val="0"/>
          <w:bCs/>
          <w:i w:val="0"/>
          <w:iCs/>
          <w:sz w:val="24"/>
          <w:szCs w:val="24"/>
          <w:highlight w:val="none"/>
          <w:u w:val="none"/>
          <w:lang w:val="en-US" w:eastAsia="zh-CN"/>
        </w:rPr>
        <w:t xml:space="preserve">11.25</w:t>
      </w:r>
      <w:r>
        <w:rPr>
          <w:rFonts w:hint="eastAsia" w:ascii="宋体" w:hAnsi="宋体" w:eastAsia="宋体" w:cs="宋体"/>
          <w:b w:val="0"/>
          <w:bCs/>
          <w:i w:val="0"/>
          <w:iCs/>
          <w:sz w:val="24"/>
          <w:szCs w:val="24"/>
          <w:highlight w:val="none"/>
          <w:u w:val="none"/>
        </w:rPr>
        <w:t xml:space="preserve">%计算）；考核办法详见工作考核标准。</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季度考核得分≥90分：不扣除当季度服务费用。</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85分≤季度考核得分＜90分：每低于90分1分，扣减服务费用500元；</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80分≤季度考核得分＜85分：每低于85分1分，扣减服务费用1000元；</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70分≤季度考核得分＜80分：每低于80分1分，扣减服务费用1500元并按照乙方要求限期全面整改；</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季度考核得分＜70分：甲方有权单方解除本服务合约。</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5.4、</w:t>
      </w:r>
      <w:r>
        <w:rPr>
          <w:rFonts w:hint="eastAsia" w:ascii="宋体" w:hAnsi="宋体" w:eastAsia="宋体" w:cs="宋体"/>
          <w:b w:val="0"/>
          <w:bCs/>
          <w:i w:val="0"/>
          <w:iCs/>
          <w:sz w:val="24"/>
          <w:szCs w:val="24"/>
          <w:highlight w:val="none"/>
          <w:u w:val="none"/>
        </w:rPr>
        <w:t xml:space="preserve">本项目所有停车费收入每月</w:t>
      </w:r>
      <w:r>
        <w:rPr>
          <w:rFonts w:hint="eastAsia" w:ascii="宋体" w:hAnsi="宋体" w:eastAsia="宋体" w:cs="宋体"/>
          <w:b w:val="0"/>
          <w:bCs/>
          <w:i w:val="0"/>
          <w:iCs/>
          <w:sz w:val="24"/>
          <w:szCs w:val="24"/>
          <w:highlight w:val="none"/>
          <w:u w:val="none"/>
          <w:lang w:val="en-US" w:eastAsia="zh-CN"/>
        </w:rPr>
        <w:t xml:space="preserve">经由</w:t>
      </w:r>
      <w:r>
        <w:rPr>
          <w:rFonts w:hint="eastAsia" w:ascii="宋体" w:hAnsi="宋体" w:eastAsia="宋体" w:cs="宋体"/>
          <w:b w:val="0"/>
          <w:bCs/>
          <w:i w:val="0"/>
          <w:iCs/>
          <w:sz w:val="24"/>
          <w:szCs w:val="24"/>
          <w:highlight w:val="none"/>
          <w:u w:val="none"/>
        </w:rPr>
        <w:t xml:space="preserve">采购人</w:t>
      </w:r>
      <w:r>
        <w:rPr>
          <w:rFonts w:hint="eastAsia" w:ascii="宋体" w:hAnsi="宋体" w:eastAsia="宋体" w:cs="宋体"/>
          <w:b w:val="0"/>
          <w:bCs/>
          <w:i w:val="0"/>
          <w:iCs/>
          <w:sz w:val="24"/>
          <w:szCs w:val="24"/>
          <w:highlight w:val="none"/>
          <w:u w:val="none"/>
          <w:lang w:val="en-US" w:eastAsia="zh-CN"/>
        </w:rPr>
        <w:t xml:space="preserve">与中标人通过对账单形式确认无误</w:t>
      </w:r>
      <w:r>
        <w:rPr>
          <w:rFonts w:hint="eastAsia" w:ascii="宋体" w:hAnsi="宋体" w:eastAsia="宋体" w:cs="宋体"/>
          <w:b w:val="0"/>
          <w:bCs/>
          <w:i w:val="0"/>
          <w:iCs/>
          <w:sz w:val="24"/>
          <w:szCs w:val="24"/>
          <w:highlight w:val="none"/>
          <w:u w:val="none"/>
        </w:rPr>
        <w:t xml:space="preserve">后</w:t>
      </w:r>
      <w:r>
        <w:rPr>
          <w:rFonts w:hint="eastAsia" w:ascii="宋体" w:hAnsi="宋体" w:eastAsia="宋体" w:cs="宋体"/>
          <w:b w:val="0"/>
          <w:bCs/>
          <w:i w:val="0"/>
          <w:iCs/>
          <w:sz w:val="24"/>
          <w:szCs w:val="24"/>
          <w:highlight w:val="none"/>
          <w:u w:val="none"/>
          <w:lang w:eastAsia="zh-CN"/>
        </w:rPr>
        <w:t xml:space="preserve">，</w:t>
      </w:r>
      <w:r>
        <w:rPr>
          <w:rFonts w:hint="eastAsia" w:ascii="宋体" w:hAnsi="宋体" w:eastAsia="宋体" w:cs="宋体"/>
          <w:b w:val="0"/>
          <w:bCs/>
          <w:i w:val="0"/>
          <w:iCs/>
          <w:sz w:val="24"/>
          <w:szCs w:val="24"/>
          <w:highlight w:val="none"/>
          <w:u w:val="none"/>
          <w:lang w:val="en-US" w:eastAsia="zh-CN"/>
        </w:rPr>
        <w:t xml:space="preserve">由中标人</w:t>
      </w:r>
      <w:r>
        <w:rPr>
          <w:rFonts w:hint="eastAsia" w:ascii="宋体" w:hAnsi="宋体" w:eastAsia="宋体" w:cs="宋体"/>
          <w:b w:val="0"/>
          <w:bCs/>
          <w:i w:val="0"/>
          <w:iCs/>
          <w:sz w:val="24"/>
          <w:szCs w:val="24"/>
          <w:highlight w:val="none"/>
          <w:u w:val="none"/>
        </w:rPr>
        <w:t xml:space="preserve">上交财政非税专户，车主可通过微信公众号自行申请开具非税发票</w:t>
      </w:r>
      <w:r>
        <w:rPr>
          <w:rFonts w:hint="eastAsia" w:ascii="宋体" w:hAnsi="宋体" w:eastAsia="宋体" w:cs="宋体"/>
          <w:b w:val="0"/>
          <w:bCs/>
          <w:i w:val="0"/>
          <w:iCs/>
          <w:sz w:val="24"/>
          <w:szCs w:val="24"/>
          <w:highlight w:val="none"/>
          <w:u w:val="none"/>
          <w:lang w:val="en-US" w:eastAsia="zh-CN"/>
        </w:rPr>
        <w:t xml:space="preserve">。</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（1）财政非税专户账户信息</w:t>
      </w:r>
      <w:r/>
    </w:p>
    <w:p>
      <w:pPr>
        <w:ind w:firstLine="787"/>
        <w:spacing w:after="0" w:line="440" w:lineRule="exact"/>
        <w:widowControl w:val="off"/>
        <w:rPr>
          <w:rFonts w:hint="eastAsia"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lang w:val="en-US" w:eastAsia="zh-CN"/>
        </w:rPr>
        <w:t xml:space="preserve">名称:常熟市财政局(预算外资金)</w:t>
      </w:r>
      <w:r/>
    </w:p>
    <w:p>
      <w:pPr>
        <w:ind w:firstLine="787"/>
        <w:spacing w:after="0" w:line="440" w:lineRule="exact"/>
        <w:widowControl w:val="off"/>
        <w:rPr>
          <w:rFonts w:hint="default"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lang w:val="en-US" w:eastAsia="zh-CN"/>
        </w:rPr>
        <w:t xml:space="preserve">账号:10523501040006855</w:t>
      </w:r>
      <w:r/>
    </w:p>
    <w:p>
      <w:pPr>
        <w:ind w:firstLine="787"/>
        <w:spacing w:after="0" w:line="440" w:lineRule="exact"/>
        <w:widowControl w:val="off"/>
        <w:rPr>
          <w:rFonts w:hint="eastAsia" w:ascii="宋体" w:hAnsi="宋体" w:eastAsia="宋体" w:cs="宋体"/>
          <w:highlight w:val="none"/>
        </w:rPr>
      </w:pPr>
      <w:r>
        <w:rPr>
          <w:rFonts w:hint="eastAsia" w:ascii="宋体" w:hAnsi="宋体" w:eastAsia="宋体" w:cs="宋体"/>
          <w:bCs w:val="0"/>
          <w:sz w:val="24"/>
          <w:szCs w:val="24"/>
          <w:highlight w:val="none"/>
          <w:lang w:val="en-US" w:eastAsia="zh-CN"/>
        </w:rPr>
        <w:t xml:space="preserve">开户行:</w:t>
      </w:r>
      <w:r>
        <w:rPr>
          <w:rFonts w:hint="eastAsia" w:ascii="宋体" w:hAnsi="宋体" w:eastAsia="宋体" w:cs="宋体"/>
          <w:bCs w:val="0"/>
          <w:sz w:val="24"/>
          <w:szCs w:val="24"/>
          <w:highlight w:val="none"/>
          <w:lang w:val="en-US" w:eastAsia="zh-CN" w:bidi="ar-SA"/>
        </w:rPr>
        <w:t xml:space="preserve">中国农业银行常熟分行营业部</w:t>
      </w:r>
      <w:r/>
    </w:p>
    <w:p>
      <w:pPr>
        <w:ind w:firstLine="723"/>
        <w:spacing w:line="450" w:lineRule="exact"/>
        <w:rPr>
          <w:rFonts w:hint="eastAsia"/>
          <w:i w:val="0"/>
          <w:iCs/>
          <w:sz w:val="24"/>
          <w:highlight w:val="none"/>
          <w:u w:val="none"/>
        </w:rPr>
      </w:pPr>
      <w:r>
        <w:rPr>
          <w:b/>
          <w:bCs/>
          <w:i w:val="0"/>
          <w:iCs/>
          <w:sz w:val="24"/>
          <w:szCs w:val="24"/>
          <w:highlight w:val="none"/>
          <w:u w:val="none"/>
        </w:rPr>
        <w:t xml:space="preserve">注：</w:t>
      </w:r>
      <w:r>
        <w:rPr>
          <w:rFonts w:hint="eastAsia"/>
          <w:b/>
          <w:bCs/>
          <w:i w:val="0"/>
          <w:iCs/>
          <w:sz w:val="24"/>
          <w:szCs w:val="24"/>
          <w:highlight w:val="none"/>
          <w:u w:val="none"/>
        </w:rPr>
        <w:t xml:space="preserve">①</w:t>
      </w:r>
      <w:r>
        <w:rPr>
          <w:rFonts w:hint="eastAsia" w:cs="宋体"/>
          <w:b/>
          <w:bCs/>
          <w:i w:val="0"/>
          <w:iCs/>
          <w:sz w:val="24"/>
          <w:szCs w:val="24"/>
          <w:highlight w:val="none"/>
          <w:u w:val="none"/>
        </w:rPr>
        <w:t xml:space="preserve">在签订合同时，</w:t>
      </w:r>
      <w:r>
        <w:rPr>
          <w:rFonts w:hint="eastAsia" w:cs="宋体"/>
          <w:b/>
          <w:bCs/>
          <w:i w:val="0"/>
          <w:iCs/>
          <w:sz w:val="24"/>
          <w:szCs w:val="24"/>
          <w:highlight w:val="none"/>
          <w:u w:val="none"/>
          <w:lang w:val="en-US" w:eastAsia="zh-CN"/>
        </w:rPr>
        <w:t xml:space="preserve">乙方</w:t>
      </w:r>
      <w:r>
        <w:rPr>
          <w:rFonts w:hint="eastAsia" w:cs="宋体"/>
          <w:b/>
          <w:bCs/>
          <w:i w:val="0"/>
          <w:iCs/>
          <w:sz w:val="24"/>
          <w:szCs w:val="24"/>
          <w:highlight w:val="none"/>
          <w:u w:val="none"/>
        </w:rPr>
        <w:t xml:space="preserve">明确表示无需预付款或者主动要求降低预付款比例的，可不适用上述第</w:t>
      </w:r>
      <w:r>
        <w:rPr>
          <w:rFonts w:hint="eastAsia" w:ascii="宋体" w:hAnsi="宋体" w:eastAsia="宋体" w:cs="宋体"/>
          <w:b/>
          <w:bCs/>
          <w:i w:val="0"/>
          <w:iCs/>
          <w:sz w:val="24"/>
          <w:szCs w:val="24"/>
          <w:highlight w:val="none"/>
          <w:u w:val="none"/>
          <w:lang w:val="en-US" w:eastAsia="zh-CN"/>
        </w:rPr>
        <w:t xml:space="preserve">5.1</w:t>
      </w:r>
      <w:r>
        <w:rPr>
          <w:rFonts w:hint="eastAsia" w:cs="宋体"/>
          <w:b/>
          <w:bCs/>
          <w:i w:val="0"/>
          <w:iCs/>
          <w:sz w:val="24"/>
          <w:szCs w:val="24"/>
          <w:highlight w:val="none"/>
          <w:u w:val="none"/>
        </w:rPr>
        <w:t xml:space="preserve">条规定。②</w:t>
      </w:r>
      <w:r>
        <w:rPr>
          <w:rFonts w:hint="eastAsia" w:cs="宋体"/>
          <w:b/>
          <w:bCs/>
          <w:i w:val="0"/>
          <w:iCs/>
          <w:sz w:val="24"/>
          <w:szCs w:val="24"/>
          <w:highlight w:val="none"/>
          <w:u w:val="none"/>
          <w:lang w:val="zh-CN"/>
        </w:rPr>
        <w:t xml:space="preserve">以上每次付款前，</w:t>
      </w:r>
      <w:r>
        <w:rPr>
          <w:rFonts w:hint="eastAsia" w:cs="宋体"/>
          <w:b/>
          <w:bCs/>
          <w:i w:val="0"/>
          <w:iCs/>
          <w:sz w:val="24"/>
          <w:szCs w:val="24"/>
          <w:highlight w:val="none"/>
          <w:u w:val="none"/>
          <w:lang w:val="en-US" w:eastAsia="zh-CN"/>
        </w:rPr>
        <w:t xml:space="preserve">乙方</w:t>
      </w:r>
      <w:r>
        <w:rPr>
          <w:rFonts w:hint="eastAsia" w:cs="宋体"/>
          <w:b/>
          <w:bCs/>
          <w:i w:val="0"/>
          <w:iCs/>
          <w:sz w:val="24"/>
          <w:szCs w:val="24"/>
          <w:highlight w:val="none"/>
          <w:u w:val="none"/>
          <w:lang w:val="zh-CN"/>
        </w:rPr>
        <w:t xml:space="preserve">均应提供符合</w:t>
      </w:r>
      <w:r>
        <w:rPr>
          <w:rFonts w:hint="eastAsia" w:cs="宋体"/>
          <w:b/>
          <w:bCs/>
          <w:i w:val="0"/>
          <w:iCs/>
          <w:sz w:val="24"/>
          <w:szCs w:val="24"/>
          <w:highlight w:val="none"/>
          <w:u w:val="none"/>
          <w:lang w:val="en-US" w:eastAsia="zh-CN"/>
        </w:rPr>
        <w:t xml:space="preserve">甲方</w:t>
      </w:r>
      <w:r>
        <w:rPr>
          <w:rFonts w:hint="eastAsia" w:cs="宋体"/>
          <w:b/>
          <w:bCs/>
          <w:i w:val="0"/>
          <w:iCs/>
          <w:sz w:val="24"/>
          <w:szCs w:val="24"/>
          <w:highlight w:val="none"/>
          <w:u w:val="none"/>
          <w:lang w:val="zh-CN"/>
        </w:rPr>
        <w:t xml:space="preserve">要求的同等金额的合法有效发票。否则，</w:t>
      </w:r>
      <w:r>
        <w:rPr>
          <w:rFonts w:hint="eastAsia" w:cs="宋体"/>
          <w:b/>
          <w:bCs/>
          <w:i w:val="0"/>
          <w:iCs/>
          <w:sz w:val="24"/>
          <w:szCs w:val="24"/>
          <w:highlight w:val="none"/>
          <w:u w:val="none"/>
          <w:lang w:val="en-US" w:eastAsia="zh-CN"/>
        </w:rPr>
        <w:t xml:space="preserve">甲方有</w:t>
      </w:r>
      <w:r>
        <w:rPr>
          <w:rFonts w:hint="eastAsia" w:cs="宋体"/>
          <w:b/>
          <w:bCs/>
          <w:i w:val="0"/>
          <w:iCs/>
          <w:sz w:val="24"/>
          <w:szCs w:val="24"/>
          <w:highlight w:val="none"/>
          <w:u w:val="none"/>
          <w:lang w:val="zh-CN"/>
        </w:rPr>
        <w:t xml:space="preserve">权顺延付款时间，且不承担任何违约及/或赔偿责任。</w:t>
      </w:r>
      <w:r>
        <w:rPr>
          <w:rFonts w:hint="eastAsia" w:cs="宋体"/>
          <w:b/>
          <w:bCs/>
          <w:i w:val="0"/>
          <w:iCs/>
          <w:sz w:val="24"/>
          <w:szCs w:val="24"/>
          <w:highlight w:val="none"/>
          <w:u w:val="none"/>
        </w:rPr>
        <w:t xml:space="preserve">③</w:t>
      </w:r>
      <w:r>
        <w:rPr>
          <w:rFonts w:hint="eastAsia"/>
          <w:b/>
          <w:bCs/>
          <w:i w:val="0"/>
          <w:iCs/>
          <w:sz w:val="24"/>
          <w:szCs w:val="24"/>
          <w:highlight w:val="none"/>
          <w:u w:val="none"/>
        </w:rPr>
        <w:t xml:space="preserve">本项目支付方式包括但不限于：数字人民币、现金、银行汇票、转账支票等。</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color w:val="000000"/>
          <w:sz w:val="24"/>
          <w:szCs w:val="24"/>
        </w:rPr>
        <w:t xml:space="preserve">第六条 验收办法</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6.1甲方依法组织履约验收工作。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6.3对于实际使用人和甲方分离的项目，甲方邀请实际使用人参与验收。</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6.4如有必要，甲方邀请参加本项目的其他供应商或第三方专业机构及专家参与验收，相关意见将作为验收书的参考资料。</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Cs/>
          <w:color w:val="000000"/>
          <w:sz w:val="24"/>
          <w:szCs w:val="24"/>
          <w:lang w:val="en-US" w:eastAsia="zh-CN"/>
        </w:rPr>
        <w:t xml:space="preserve">6.6 验收合格的项目,甲方根据采购合同的约定及时向乙方支付合同款项。验收不合格的项目，甲方依法及时处理。</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w:t>
      </w: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7.1甲方权利义务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.1.1 甲方权利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.1.2甲方义务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7.2乙方权利义务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.2.1乙方权利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firstLine="799"/>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.2.2除其他有关条款的约定外，乙方</w:t>
      </w:r>
      <w:r>
        <w:rPr>
          <w:rFonts w:hint="eastAsia" w:ascii="宋体" w:hAnsi="宋体" w:eastAsia="宋体" w:cs="宋体"/>
          <w:bCs/>
          <w:color w:val="000000"/>
          <w:sz w:val="24"/>
          <w:szCs w:val="24"/>
          <w:highlight w:val="none"/>
        </w:rPr>
        <w:t xml:space="preserve">义务还包括：</w:t>
      </w:r>
      <w:r/>
    </w:p>
    <w:p>
      <w:pPr>
        <w:ind w:firstLine="560"/>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1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不达标的，视为乙方丧失提供服务的能力。</w:t>
      </w:r>
      <w:r/>
    </w:p>
    <w:p>
      <w:pPr>
        <w:ind w:firstLine="560"/>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2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乙方应安排身体健康、品性良好的服务人员为甲方提供服务。</w:t>
      </w:r>
      <w:r/>
    </w:p>
    <w:p>
      <w:pPr>
        <w:ind w:firstLine="560"/>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3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乙方应保证服务人员的稳定，未经甲方同意，不得变更服务人员。</w:t>
      </w:r>
      <w:r/>
    </w:p>
    <w:p>
      <w:pPr>
        <w:ind w:firstLine="560"/>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4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lang w:val="en-US" w:eastAsia="zh-CN"/>
        </w:rPr>
        <w:t xml:space="preserve">分钟</w:t>
      </w:r>
      <w:r>
        <w:rPr>
          <w:rFonts w:hint="eastAsia" w:ascii="宋体" w:hAnsi="宋体" w:eastAsia="宋体" w:cs="宋体"/>
          <w:bCs/>
          <w:color w:val="000000"/>
          <w:sz w:val="24"/>
          <w:szCs w:val="24"/>
          <w:highlight w:val="none"/>
        </w:rPr>
        <w:t xml:space="preserve">内派员到场。</w:t>
      </w:r>
      <w:r/>
    </w:p>
    <w:p>
      <w:pPr>
        <w:ind w:firstLine="560"/>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5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⑤</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定期组织服务人员进行培训学习，不断提高服务人员业务技能。</w:t>
      </w:r>
      <w:r/>
    </w:p>
    <w:p>
      <w:pPr>
        <w:ind w:firstLine="560"/>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6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⑥</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乙方做好安全生产工作，对在工作中出现的服务人员的人身安全承担责任，并对由于服务人员的原因导致的第三人的人身财产损失承担赔偿责任。</w:t>
      </w:r>
      <w:r/>
    </w:p>
    <w:p>
      <w:pPr>
        <w:ind w:firstLine="560"/>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7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⑦</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8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⑧</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法规、政策规定由乙方承担的其他责任。</w:t>
      </w:r>
      <w:r/>
    </w:p>
    <w:p>
      <w:pPr>
        <w:spacing w:after="0"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条 质量保证</w:t>
      </w:r>
      <w:r/>
    </w:p>
    <w:p>
      <w:pPr>
        <w:ind w:firstLine="560"/>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乙方各项服务承诺指标及所采取的措施按照采购文件要求及相应文件的承诺予以确定。</w:t>
      </w:r>
      <w:bookmarkStart w:id="203" w:name="_Toc2375"/>
      <w:r/>
      <w:bookmarkStart w:id="204" w:name="_Toc8586"/>
      <w:r/>
      <w:bookmarkStart w:id="205" w:name="_Toc24662"/>
      <w:r/>
      <w:bookmarkStart w:id="206" w:name="_Toc3079"/>
      <w:r/>
      <w:bookmarkStart w:id="207" w:name="_Toc5698"/>
      <w:r/>
      <w:r/>
    </w:p>
    <w:p>
      <w:pPr>
        <w:spacing w:after="0"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条 违约责任</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 xml:space="preserve">0.5 ％</w:t>
      </w:r>
      <w:r>
        <w:rPr>
          <w:rFonts w:hint="eastAsia" w:ascii="宋体" w:hAnsi="宋体" w:eastAsia="宋体" w:cs="宋体"/>
          <w:bCs/>
          <w:color w:val="000000"/>
          <w:sz w:val="24"/>
          <w:szCs w:val="24"/>
          <w:lang w:val="en-US" w:eastAsia="zh-CN"/>
        </w:rPr>
        <w:t xml:space="preserve">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 xml:space="preserve">。</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 xml:space="preserve">的违约金：</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日内）恢复的；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 xml:space="preserve">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9.2.4乙方人员不能响应甲方紧急服务需求的；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9.2.6乙方及其服务人员虚报服务内容、服务时间等，骗取甲方服务费用的；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的违约金。</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after="0"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条 合同的解除</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出现下列情形之一的，甲方有权解除本合同：</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10.1乙方单位总体服务能力发生下降，专业技术人员减员或资质不达标的；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10.2乙方人员无故未能按约到甲方提供服务，服务期限内达到</w:t>
      </w:r>
      <w:r>
        <w:rPr>
          <w:rFonts w:hint="eastAsia" w:ascii="宋体" w:hAnsi="宋体" w:eastAsia="宋体" w:cs="宋体"/>
          <w:bCs/>
          <w:color w:val="000000"/>
          <w:sz w:val="24"/>
          <w:szCs w:val="24"/>
          <w:highlight w:val="none"/>
          <w:u w:val="single"/>
          <w:lang w:val="en-US" w:eastAsia="zh-CN"/>
        </w:rPr>
        <w:t xml:space="preserve"> 2 </w:t>
      </w:r>
      <w:r>
        <w:rPr>
          <w:rFonts w:hint="eastAsia" w:ascii="宋体" w:hAnsi="宋体" w:eastAsia="宋体" w:cs="宋体"/>
          <w:bCs/>
          <w:color w:val="000000"/>
          <w:sz w:val="24"/>
          <w:szCs w:val="24"/>
          <w:highlight w:val="none"/>
          <w:lang w:val="en-US" w:eastAsia="zh-CN"/>
        </w:rPr>
        <w:t xml:space="preserve">人次的；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10.3乙方人员不能响应甲方紧急服务需求的，经甲方指出后未能改正的；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10.4因乙方服务人员原因在服务期间给甲方造成不良影响的，服务期限内达到</w:t>
      </w:r>
      <w:r>
        <w:rPr>
          <w:rFonts w:hint="eastAsia" w:ascii="宋体" w:hAnsi="宋体" w:eastAsia="宋体" w:cs="宋体"/>
          <w:bCs/>
          <w:color w:val="000000"/>
          <w:sz w:val="24"/>
          <w:szCs w:val="24"/>
          <w:highlight w:val="none"/>
          <w:u w:val="single"/>
          <w:lang w:val="en-US" w:eastAsia="zh-CN"/>
        </w:rPr>
        <w:t xml:space="preserve"> 1 </w:t>
      </w:r>
      <w:r>
        <w:rPr>
          <w:rFonts w:hint="eastAsia" w:ascii="宋体" w:hAnsi="宋体" w:eastAsia="宋体" w:cs="宋体"/>
          <w:bCs/>
          <w:color w:val="000000"/>
          <w:sz w:val="24"/>
          <w:szCs w:val="24"/>
          <w:highlight w:val="none"/>
          <w:lang w:val="en-US" w:eastAsia="zh-CN"/>
        </w:rPr>
        <w:t xml:space="preserve">次的；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10.5乙方及其服务人员虚报服务内容、服务时间等，骗取甲方服务费用的；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10.6因乙方不当服务或服务人员违法，给甲方造成严重不良影响的；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10.7乙方一年内因生产安全事故受到行政处罚达到1次的，或者因为乙方发生生产安全事故、环境损害事故，给甲方造成重大不良影响的或导致甲方受到行政处罚的。</w:t>
      </w:r>
      <w:r/>
    </w:p>
    <w:p>
      <w:pPr>
        <w:spacing w:after="0"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条 不可抗力</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11.1不可抗力，是指不能预见、不能避免并不能克服的客观情况，如战争、动乱、洪水、地震、风暴等。</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11.3发生不可抗力事件，任何一方均不对因不可抗力无法履行或迟延履行本合同义务而使另一方蒙受的任何损失承担责任，法律另有规定的除外。</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11.4合同各方应根据不可抗力对本合同履行的影响程度，协商确定是否终止或是继续履行本合同。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条 合同的变更、中止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条 合同的终止</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 本合同因下列原因而终止：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rPr>
        <w:t xml:space="preserve">.1.1 本合同正常履行完毕；</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rPr>
        <w:t xml:space="preserve">.1.2 因不可抗力导致本合同无法履行或履行不必要；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rPr>
        <w:t xml:space="preserve">.1.3 任何一方行使解除权解除本合同；</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rPr>
        <w:t xml:space="preserve">.1.4 合同的继续履行将损害国家利益和社会公共利益且不宜变更、中止的。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13.2除上述情形外，甲乙双方不得擅自终止合同。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条 合同的转让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 xml:space="preserve">履约保证金</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第十六条 争议解决方式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16.1在执行本合同过程中所发生的或与本合同有关的一切争端，甲乙双方友好协商解决。如协商不能解决，则全部争端由甲方所在地人民法院管辖。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16.2如因乙方违约，导致甲方起诉的，甲方由此产生的诉讼费用、律师费用、差旅费用等，均由乙方承担。</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第十七条 通知与送达</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17.1甲乙双方因履行本合同需要向对方发送通知、文件、资料的，均以下列联系信息确定内容进行：</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17.1.1甲方联系信息：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17.1.2乙方联系信息：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17.2双方确认前述联系信息作为解决争议时接受人民法院诉讼文书的送达地址和联系方式。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17.3任何一方改变前述联系信息的，应在发生变更后的3天内告知对方并做好通知到达对方前可能存在的邮件的接收。如未通知的，视为没有变更。</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合同在双方加盖公章或双方法定代表人、授权代表签字后生效。</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 本合同一式五份，以简体中文书写，甲方两份、乙方两份、江苏协诚工程咨询有限公司一份。</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 本合同应按照中华人民共和国的现行法律进行解释。</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ascii="宋体" w:hAnsi="宋体" w:eastAsia="宋体" w:cs="宋体"/>
          <w:bCs/>
          <w:color w:val="000000"/>
          <w:sz w:val="24"/>
          <w:szCs w:val="24"/>
        </w:rPr>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olor w:val="000000"/>
          <w:sz w:val="24"/>
          <w:szCs w:val="24"/>
        </w:rPr>
        <w:t xml:space="preserve">法定（授权）代表人（签字）：             法定（授权）代表人（签字）：</w:t>
      </w:r>
      <w:r/>
    </w:p>
    <w:p>
      <w:pPr>
        <w:ind w:firstLine="7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r/>
    </w:p>
    <w:p>
      <w:pPr>
        <w:ind w:firstLine="620"/>
        <w:jc w:val="left"/>
        <w:keepLines w:val="0"/>
        <w:keepNext w:val="0"/>
        <w:pageBreakBefore w:val="0"/>
        <w:spacing w:line="440" w:lineRule="exact"/>
        <w:widowControl/>
        <w:rPr>
          <w:rFonts w:ascii="宋体" w:hAnsi="宋体" w:eastAsia="宋体" w:cs="宋体"/>
          <w:bCs/>
          <w:color w:val="000000"/>
          <w:sz w:val="24"/>
          <w:szCs w:val="24"/>
        </w:rPr>
        <w:sectPr>
          <w:footerReference w:type="default" r:id="rId11"/>
          <w:footerReference w:type="first" r:id="rId12"/>
          <w:footnotePr/>
          <w:endnotePr/>
          <w:type w:val="nextPage"/>
          <w:pgSz w:w="11907" w:h="16839" w:orient="portrait"/>
          <w:pgMar w:top="1440" w:right="1077" w:bottom="1440" w:left="1077" w:header="0" w:footer="0" w:gutter="0"/>
          <w:pgNumType w:start="1"/>
          <w:cols w:num="1" w:sep="0" w:space="720" w:equalWidth="1"/>
          <w:docGrid w:linePitch="360"/>
          <w:titlePg/>
        </w:sectPr>
      </w:pPr>
      <w:r>
        <w:rPr>
          <w:rFonts w:ascii="宋体" w:hAnsi="宋体" w:eastAsia="宋体" w:cs="宋体"/>
          <w:bCs/>
          <w:color w:val="000000"/>
          <w:sz w:val="24"/>
          <w:szCs w:val="24"/>
        </w:rPr>
      </w:r>
      <w:bookmarkEnd w:id="203"/>
      <w:bookmarkEnd w:id="204"/>
      <w:bookmarkEnd w:id="205"/>
      <w:bookmarkEnd w:id="206"/>
      <w:bookmarkEnd w:id="207"/>
      <w:r/>
    </w:p>
    <w:p>
      <w:pPr>
        <w:pStyle w:val="751"/>
        <w:jc w:val="center"/>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08" w:name="_Toc16091"/>
      <w:r/>
      <w:bookmarkStart w:id="209" w:name="_Toc28287"/>
      <w:r>
        <w:rPr>
          <w:rFonts w:hint="eastAsia" w:ascii="黑体" w:hAnsi="宋体" w:eastAsia="黑体" w:cs="黑体"/>
          <w:color w:val="000000"/>
          <w:sz w:val="44"/>
          <w:szCs w:val="44"/>
        </w:rPr>
        <w:t xml:space="preserve">第</w:t>
      </w:r>
      <w:bookmarkEnd w:id="185"/>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采购需求</w:t>
      </w:r>
      <w:bookmarkEnd w:id="186"/>
      <w:r/>
      <w:bookmarkEnd w:id="187"/>
      <w:r/>
      <w:bookmarkEnd w:id="188"/>
      <w:r/>
      <w:bookmarkEnd w:id="189"/>
      <w:r/>
      <w:bookmarkEnd w:id="190"/>
      <w:r/>
      <w:bookmarkEnd w:id="208"/>
      <w:r/>
      <w:bookmarkEnd w:id="209"/>
      <w:r/>
      <w:r/>
    </w:p>
    <w:p>
      <w:pPr>
        <w:spacing w:line="460" w:lineRule="exact"/>
        <w:rPr>
          <w:rFonts w:hint="eastAsia" w:ascii="宋体" w:hAnsi="宋体" w:eastAsia="宋体" w:cs="Times New Roman"/>
          <w:b/>
          <w:bCs/>
          <w:sz w:val="28"/>
          <w:szCs w:val="28"/>
          <w:lang w:eastAsia="zh-CN"/>
        </w:rPr>
      </w:pPr>
      <w:r/>
      <w:bookmarkStart w:id="210" w:name="_Hlk91086560"/>
      <w:r/>
      <w:bookmarkStart w:id="211" w:name="_Toc120614281"/>
      <w:r>
        <w:rPr>
          <w:rFonts w:hint="eastAsia" w:ascii="宋体" w:hAnsi="宋体" w:eastAsia="宋体" w:cs="Times New Roman"/>
          <w:b/>
          <w:bCs/>
          <w:sz w:val="28"/>
          <w:szCs w:val="28"/>
        </w:rPr>
        <w:t xml:space="preserve">项目名称：</w:t>
      </w:r>
      <w:r>
        <w:rPr>
          <w:rFonts w:hint="eastAsia" w:ascii="宋体" w:hAnsi="宋体" w:eastAsia="宋体" w:cs="Times New Roman"/>
          <w:b/>
          <w:bCs/>
          <w:sz w:val="28"/>
          <w:szCs w:val="28"/>
          <w:lang w:eastAsia="zh-CN"/>
        </w:rPr>
        <w:t xml:space="preserve">常熟市第二人民医院（台山路院区）停车场经营管理服务</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项目编号：</w:t>
      </w:r>
      <w:r>
        <w:rPr>
          <w:rFonts w:hint="eastAsia" w:ascii="宋体" w:hAnsi="宋体" w:eastAsia="宋体" w:cs="Times New Roman"/>
          <w:b/>
          <w:bCs/>
          <w:sz w:val="28"/>
          <w:szCs w:val="28"/>
          <w:lang w:eastAsia="zh-CN"/>
        </w:rPr>
        <w:t xml:space="preserve">JSZC-320581-CSXC-G2026-0020</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采</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 xml:space="preserve">购</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 xml:space="preserve">人：</w:t>
      </w:r>
      <w:r>
        <w:rPr>
          <w:rFonts w:hint="eastAsia" w:ascii="宋体" w:hAnsi="宋体" w:eastAsia="宋体" w:cs="Times New Roman"/>
          <w:b/>
          <w:bCs/>
          <w:sz w:val="28"/>
          <w:szCs w:val="28"/>
          <w:lang w:eastAsia="zh-CN"/>
        </w:rPr>
        <w:t xml:space="preserve">常熟市第二人民医院</w:t>
      </w:r>
      <w:r/>
    </w:p>
    <w:p>
      <w:pPr>
        <w:spacing w:line="440" w:lineRule="exact"/>
        <w:rPr>
          <w:rFonts w:cs="宋体"/>
          <w:b/>
          <w:sz w:val="28"/>
          <w:szCs w:val="28"/>
          <w:lang w:val="zh-CN"/>
        </w:rPr>
        <w:outlineLvl w:val="9"/>
      </w:pPr>
      <w:r>
        <w:rPr>
          <w:rFonts w:hint="eastAsia" w:cs="宋体"/>
          <w:b/>
          <w:sz w:val="28"/>
          <w:szCs w:val="28"/>
          <w:lang w:val="zh-CN"/>
        </w:rPr>
        <w:t xml:space="preserve">一、</w:t>
      </w:r>
      <w:r>
        <w:rPr>
          <w:rFonts w:hint="eastAsia"/>
          <w:b/>
          <w:bCs/>
          <w:sz w:val="28"/>
          <w:szCs w:val="28"/>
          <w:lang w:val="zh-CN"/>
        </w:rPr>
        <w:t xml:space="preserve">项目说明</w:t>
      </w:r>
      <w:r/>
    </w:p>
    <w:p>
      <w:pPr>
        <w:ind w:firstLine="480"/>
        <w:spacing w:line="440" w:lineRule="exact"/>
        <w:rPr>
          <w:rFonts w:hint="eastAsia" w:ascii="宋体" w:hAnsi="宋体" w:eastAsia="宋体" w:cs="宋体"/>
          <w:sz w:val="24"/>
          <w:szCs w:val="24"/>
        </w:rPr>
      </w:pPr>
      <w:r/>
      <w:bookmarkStart w:id="212" w:name="_Hlk126939852"/>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本项目采购内容为：</w:t>
      </w:r>
      <w:r>
        <w:rPr>
          <w:rFonts w:hint="eastAsia" w:ascii="宋体" w:hAnsi="宋体" w:eastAsia="宋体" w:cs="宋体"/>
          <w:sz w:val="24"/>
        </w:rPr>
        <w:t xml:space="preserve">常熟市第二人民医院台山路院区共有地面停车场出入口4个、9条通道，地下停车场1个</w:t>
      </w:r>
      <w:r>
        <w:rPr>
          <w:rFonts w:hint="eastAsia" w:ascii="宋体" w:hAnsi="宋体" w:eastAsia="宋体" w:cs="宋体"/>
          <w:sz w:val="24"/>
          <w:highlight w:val="none"/>
        </w:rPr>
        <w:t xml:space="preserve">、9条通道；配有划线车位约1701个，其中地面约331个，地库约1370个。目前约有511个车位供给社会车辆来院使用，停车场2025年全年总计提供约148万车次停车服务，日均车流量约3600辆。</w:t>
      </w:r>
      <w:r/>
    </w:p>
    <w:p>
      <w:pPr>
        <w:ind w:firstLine="480"/>
        <w:keepLines w:val="0"/>
        <w:keepNext w:val="0"/>
        <w:pageBreakBefore w:val="0"/>
        <w:spacing w:line="440" w:lineRule="exact"/>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2、投标人如需现场进行踏勘的，相关费用由投标人自行承担。投标人在投标时应充分考虑</w:t>
      </w:r>
      <w:r>
        <w:rPr>
          <w:rFonts w:hint="eastAsia" w:ascii="宋体" w:hAnsi="宋体" w:eastAsia="宋体" w:cs="宋体"/>
          <w:bCs/>
          <w:sz w:val="24"/>
          <w:szCs w:val="24"/>
          <w:highlight w:val="none"/>
          <w:lang w:val="en-US" w:eastAsia="zh-CN"/>
        </w:rPr>
        <w:t xml:space="preserve">现场实际情况，采购人不负担因投标人对项目现场情况考虑不周而产生的其他任何费用。</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3、服务期限：</w:t>
      </w:r>
      <w:r>
        <w:rPr>
          <w:rFonts w:hint="eastAsia" w:ascii="宋体" w:hAnsi="宋体" w:eastAsia="宋体" w:cs="宋体"/>
          <w:sz w:val="24"/>
          <w:szCs w:val="24"/>
          <w:highlight w:val="none"/>
          <w:lang w:eastAsia="zh-CN"/>
        </w:rPr>
        <w:t xml:space="preserve">自合同签订之日起2年</w:t>
      </w:r>
      <w:r>
        <w:rPr>
          <w:rFonts w:hint="eastAsia" w:ascii="宋体" w:hAnsi="宋体" w:eastAsia="宋体" w:cs="宋体"/>
          <w:sz w:val="24"/>
          <w:szCs w:val="24"/>
          <w:highlight w:val="none"/>
        </w:rPr>
        <w:t xml:space="preserve">。</w:t>
      </w:r>
      <w:r/>
    </w:p>
    <w:p>
      <w:pPr>
        <w:ind w:firstLine="480"/>
        <w:keepLines w:val="0"/>
        <w:keepNext w:val="0"/>
        <w:pageBreakBefore w:val="0"/>
        <w:spacing w:line="440" w:lineRule="exact"/>
        <w:widowControl/>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服务地点：</w:t>
      </w:r>
      <w:r>
        <w:rPr>
          <w:rFonts w:hint="eastAsia" w:ascii="宋体" w:hAnsi="宋体" w:eastAsia="宋体" w:cs="宋体"/>
          <w:sz w:val="24"/>
          <w:szCs w:val="24"/>
          <w:highlight w:val="none"/>
        </w:rPr>
        <w:t xml:space="preserve">常熟市</w:t>
      </w:r>
      <w:r>
        <w:rPr>
          <w:rFonts w:hint="eastAsia" w:ascii="宋体" w:hAnsi="宋体" w:eastAsia="宋体" w:cs="宋体"/>
          <w:sz w:val="24"/>
          <w:szCs w:val="24"/>
          <w:highlight w:val="none"/>
          <w:lang w:val="en-US" w:eastAsia="zh-CN"/>
        </w:rPr>
        <w:t xml:space="preserve">台山路18号。</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投标人负责的事项</w:t>
      </w:r>
      <w:r>
        <w:rPr>
          <w:rFonts w:hint="eastAsia" w:ascii="宋体" w:hAnsi="宋体" w:eastAsia="宋体" w:cs="宋体"/>
          <w:sz w:val="24"/>
          <w:highlight w:val="none"/>
        </w:rPr>
        <w:t xml:space="preserve">：</w:t>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w:t>
      </w:r>
      <w:r>
        <w:rPr>
          <w:rFonts w:hint="eastAsia" w:ascii="宋体" w:hAnsi="宋体" w:eastAsia="宋体" w:cs="宋体"/>
          <w:sz w:val="24"/>
          <w:szCs w:val="24"/>
          <w:highlight w:val="none"/>
        </w:rPr>
        <w:t xml:space="preserve">提供</w:t>
      </w:r>
      <w:r>
        <w:rPr>
          <w:rFonts w:hint="eastAsia" w:ascii="宋体" w:hAnsi="宋体" w:eastAsia="宋体" w:cs="宋体"/>
          <w:sz w:val="24"/>
          <w:highlight w:val="none"/>
        </w:rPr>
        <w:t xml:space="preserve">收费服务。</w:t>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w:t>
      </w:r>
      <w:r>
        <w:rPr>
          <w:rFonts w:hint="eastAsia" w:ascii="宋体" w:hAnsi="宋体" w:eastAsia="宋体" w:cs="宋体"/>
          <w:sz w:val="24"/>
          <w:szCs w:val="24"/>
          <w:highlight w:val="none"/>
        </w:rPr>
        <w:t xml:space="preserve">提供</w:t>
      </w:r>
      <w:r>
        <w:rPr>
          <w:rFonts w:hint="eastAsia" w:ascii="宋体" w:hAnsi="宋体" w:eastAsia="宋体" w:cs="宋体"/>
          <w:sz w:val="24"/>
          <w:highlight w:val="none"/>
        </w:rPr>
        <w:t xml:space="preserve">停车场管理服务：</w:t>
      </w:r>
      <w:r/>
    </w:p>
    <w:p>
      <w:pPr>
        <w:ind w:firstLine="96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.2.1</w:t>
      </w:r>
      <w:r>
        <w:rPr>
          <w:rFonts w:hint="eastAsia" w:ascii="宋体" w:hAnsi="宋体" w:eastAsia="宋体" w:cs="宋体"/>
          <w:sz w:val="24"/>
          <w:szCs w:val="24"/>
          <w:highlight w:val="none"/>
        </w:rPr>
        <w:t xml:space="preserve">对停车场做好常态化巡查工作，如发现设施（包括：</w:t>
      </w:r>
      <w:r>
        <w:rPr>
          <w:rFonts w:hint="eastAsia" w:ascii="宋体" w:hAnsi="宋体" w:eastAsia="宋体" w:cs="宋体"/>
          <w:sz w:val="24"/>
          <w:szCs w:val="24"/>
          <w:highlight w:val="none"/>
          <w:lang w:val="en-US" w:eastAsia="zh-CN"/>
        </w:rPr>
        <w:t xml:space="preserve">易损零部件，如弹簧、一体机电源、监控电源、开关电源、遥控器、网线电源线、空气开关、光纤续接盒、地感车辆检测器、一体机玻璃、一体机补光灯、一体机喇叭、防撞柱、减速带</w:t>
      </w:r>
      <w:r>
        <w:rPr>
          <w:rFonts w:hint="eastAsia" w:ascii="宋体" w:hAnsi="宋体" w:eastAsia="宋体" w:cs="宋体"/>
          <w:sz w:val="24"/>
          <w:szCs w:val="24"/>
          <w:highlight w:val="none"/>
        </w:rPr>
        <w:t xml:space="preserve">）有损坏，进行维修。</w:t>
      </w:r>
      <w:r/>
    </w:p>
    <w:p>
      <w:pPr>
        <w:ind w:firstLine="96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.2.2做好停车场台账工作，每月向采购人提供停车场费用财务报表等。</w:t>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w:t>
      </w:r>
      <w:r>
        <w:rPr>
          <w:rFonts w:hint="eastAsia" w:ascii="宋体" w:hAnsi="宋体" w:eastAsia="宋体" w:cs="宋体"/>
          <w:sz w:val="24"/>
          <w:szCs w:val="24"/>
          <w:highlight w:val="none"/>
        </w:rPr>
        <w:t xml:space="preserve">提供</w:t>
      </w:r>
      <w:r>
        <w:rPr>
          <w:rFonts w:hint="eastAsia" w:ascii="宋体" w:hAnsi="宋体" w:eastAsia="宋体" w:cs="宋体"/>
          <w:sz w:val="24"/>
          <w:highlight w:val="none"/>
        </w:rPr>
        <w:t xml:space="preserve">停车场收费人员管理服务。</w:t>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.4</w:t>
      </w:r>
      <w:r>
        <w:rPr>
          <w:rFonts w:hint="eastAsia" w:ascii="宋体" w:hAnsi="宋体" w:eastAsia="宋体" w:cs="宋体"/>
          <w:sz w:val="24"/>
          <w:szCs w:val="24"/>
          <w:highlight w:val="none"/>
        </w:rPr>
        <w:t xml:space="preserve">提供</w:t>
      </w:r>
      <w:r>
        <w:rPr>
          <w:rFonts w:hint="eastAsia" w:ascii="宋体" w:hAnsi="宋体" w:eastAsia="宋体" w:cs="宋体"/>
          <w:sz w:val="24"/>
          <w:highlight w:val="none"/>
        </w:rPr>
        <w:t xml:space="preserve">停车场车辆引导管理服务。</w:t>
      </w:r>
      <w:r/>
    </w:p>
    <w:p>
      <w:pPr>
        <w:ind w:firstLine="720"/>
        <w:spacing w:line="420" w:lineRule="exact"/>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.5</w:t>
      </w:r>
      <w:r>
        <w:rPr>
          <w:rFonts w:hint="eastAsia" w:ascii="宋体" w:hAnsi="宋体" w:eastAsia="宋体" w:cs="宋体"/>
          <w:sz w:val="24"/>
          <w:szCs w:val="24"/>
          <w:highlight w:val="none"/>
        </w:rPr>
        <w:t xml:space="preserve">提供软件系统优化及提升服务，达到采购人管理需求。</w:t>
      </w:r>
      <w:r/>
    </w:p>
    <w:p>
      <w:pPr>
        <w:ind w:firstLine="72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5.6提供</w:t>
      </w:r>
      <w:r>
        <w:rPr>
          <w:rFonts w:hint="eastAsia" w:ascii="宋体" w:hAnsi="宋体" w:eastAsia="宋体" w:cs="宋体"/>
          <w:sz w:val="24"/>
          <w:highlight w:val="none"/>
        </w:rPr>
        <w:t xml:space="preserve">24小时客服、电子支付</w:t>
      </w:r>
      <w:r>
        <w:rPr>
          <w:rFonts w:hint="eastAsia" w:ascii="宋体" w:hAnsi="宋体" w:eastAsia="宋体" w:cs="宋体"/>
          <w:sz w:val="24"/>
          <w:highlight w:val="none"/>
          <w:lang w:val="en-US" w:eastAsia="zh-CN"/>
        </w:rPr>
        <w:t xml:space="preserve">功能</w:t>
      </w:r>
      <w:r>
        <w:rPr>
          <w:rFonts w:hint="eastAsia" w:ascii="宋体" w:hAnsi="宋体" w:eastAsia="宋体" w:cs="宋体"/>
          <w:sz w:val="24"/>
          <w:highlight w:val="none"/>
        </w:rPr>
        <w:t xml:space="preserve">、电子卡券</w:t>
      </w:r>
      <w:r>
        <w:rPr>
          <w:rFonts w:hint="eastAsia" w:ascii="宋体" w:hAnsi="宋体" w:eastAsia="宋体" w:cs="宋体"/>
          <w:sz w:val="24"/>
          <w:highlight w:val="none"/>
          <w:lang w:val="en-US" w:eastAsia="zh-CN"/>
        </w:rPr>
        <w:t xml:space="preserve">功能</w:t>
      </w:r>
      <w:r>
        <w:rPr>
          <w:rFonts w:hint="eastAsia" w:ascii="宋体" w:hAnsi="宋体" w:eastAsia="宋体" w:cs="宋体"/>
          <w:sz w:val="24"/>
          <w:highlight w:val="none"/>
        </w:rPr>
        <w:t xml:space="preserve">、电子非税票据</w:t>
      </w:r>
      <w:r>
        <w:rPr>
          <w:rFonts w:hint="eastAsia" w:ascii="宋体" w:hAnsi="宋体" w:eastAsia="宋体" w:cs="宋体"/>
          <w:sz w:val="24"/>
          <w:highlight w:val="none"/>
          <w:lang w:val="en-US" w:eastAsia="zh-CN"/>
        </w:rPr>
        <w:t xml:space="preserve">功能</w:t>
      </w:r>
      <w:r>
        <w:rPr>
          <w:rFonts w:hint="eastAsia" w:ascii="宋体" w:hAnsi="宋体" w:eastAsia="宋体" w:cs="宋体"/>
          <w:sz w:val="24"/>
          <w:highlight w:val="none"/>
        </w:rPr>
        <w:t xml:space="preserve">、场中场功能、无感支付</w:t>
      </w:r>
      <w:r>
        <w:rPr>
          <w:rFonts w:hint="eastAsia" w:ascii="宋体" w:hAnsi="宋体" w:eastAsia="宋体" w:cs="宋体"/>
          <w:sz w:val="24"/>
          <w:highlight w:val="none"/>
          <w:lang w:val="en-US" w:eastAsia="zh-CN"/>
        </w:rPr>
        <w:t xml:space="preserve">功能</w:t>
      </w:r>
      <w:r>
        <w:rPr>
          <w:rFonts w:hint="eastAsia" w:ascii="宋体" w:hAnsi="宋体" w:eastAsia="宋体" w:cs="宋体"/>
          <w:sz w:val="24"/>
          <w:highlight w:val="none"/>
        </w:rPr>
        <w:t xml:space="preserve">、网络</w:t>
      </w:r>
      <w:r>
        <w:rPr>
          <w:rFonts w:hint="eastAsia" w:ascii="宋体" w:hAnsi="宋体" w:eastAsia="宋体" w:cs="宋体"/>
          <w:sz w:val="24"/>
          <w:highlight w:val="none"/>
          <w:lang w:val="en-US" w:eastAsia="zh-CN"/>
        </w:rPr>
        <w:t xml:space="preserve">功能</w:t>
      </w:r>
      <w:r>
        <w:rPr>
          <w:rFonts w:hint="eastAsia" w:ascii="宋体" w:hAnsi="宋体" w:eastAsia="宋体" w:cs="宋体"/>
          <w:sz w:val="24"/>
          <w:szCs w:val="24"/>
          <w:highlight w:val="none"/>
        </w:rPr>
        <w:t xml:space="preserve">，达到采购人管理需求。</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、采购人负责的事项：</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.1负责对服务过程进行监督、检查、</w:t>
      </w:r>
      <w:r>
        <w:rPr>
          <w:rFonts w:hint="eastAsia" w:ascii="宋体" w:hAnsi="宋体" w:eastAsia="宋体" w:cs="宋体"/>
          <w:color w:val="000000"/>
          <w:sz w:val="24"/>
          <w:szCs w:val="24"/>
        </w:rPr>
        <w:t xml:space="preserve">协调</w:t>
      </w:r>
      <w:r>
        <w:rPr>
          <w:rFonts w:hint="eastAsia" w:ascii="宋体" w:hAnsi="宋体" w:eastAsia="宋体" w:cs="宋体"/>
          <w:sz w:val="24"/>
          <w:szCs w:val="24"/>
        </w:rPr>
        <w:t xml:space="preserve">。</w:t>
      </w:r>
      <w:r/>
    </w:p>
    <w:p>
      <w:pPr>
        <w:ind w:firstLine="7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.2负责对本项目服务质量进行检查考核。</w:t>
      </w:r>
      <w:r/>
    </w:p>
    <w:p>
      <w:pPr>
        <w:ind w:firstLine="7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负责</w:t>
      </w:r>
      <w:r>
        <w:rPr>
          <w:rFonts w:hint="eastAsia" w:ascii="宋体" w:hAnsi="宋体" w:eastAsia="宋体" w:cs="宋体"/>
          <w:sz w:val="24"/>
          <w:highlight w:val="none"/>
          <w:lang w:val="en-US" w:eastAsia="zh-CN"/>
        </w:rPr>
        <w:t xml:space="preserve">单次维修费用大于500元的</w:t>
      </w:r>
      <w:r>
        <w:rPr>
          <w:rFonts w:hint="eastAsia" w:ascii="宋体" w:hAnsi="宋体" w:eastAsia="宋体" w:cs="宋体"/>
          <w:sz w:val="24"/>
          <w:szCs w:val="24"/>
          <w:highlight w:val="none"/>
          <w:lang w:val="en-US" w:eastAsia="zh-CN"/>
        </w:rPr>
        <w:t xml:space="preserve">整修</w:t>
      </w:r>
      <w:r>
        <w:rPr>
          <w:rFonts w:hint="eastAsia" w:ascii="宋体" w:hAnsi="宋体" w:eastAsia="宋体" w:cs="宋体"/>
          <w:sz w:val="24"/>
          <w:szCs w:val="24"/>
          <w:highlight w:val="none"/>
        </w:rPr>
        <w:t xml:space="preserve">。</w:t>
      </w:r>
      <w:r/>
    </w:p>
    <w:p>
      <w:pPr>
        <w:ind w:firstLine="24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、付款方式：</w:t>
      </w:r>
      <w:r/>
    </w:p>
    <w:p>
      <w:pPr>
        <w:ind w:firstLine="720"/>
        <w:spacing w:after="0" w:line="440" w:lineRule="exact"/>
        <w:widowControl w:val="off"/>
        <w:rPr>
          <w:rFonts w:hint="eastAsia" w:ascii="宋体" w:hAnsi="宋体" w:eastAsia="宋体" w:cs="宋体"/>
          <w:b w:val="0"/>
          <w:bCs/>
          <w:i w:val="0"/>
          <w:iCs/>
          <w:sz w:val="24"/>
          <w:szCs w:val="24"/>
          <w:highlight w:val="none"/>
          <w:u w:val="none"/>
        </w:rPr>
      </w:pPr>
      <w:r>
        <w:rPr>
          <w:rFonts w:hint="eastAsia" w:ascii="宋体" w:hAnsi="宋体" w:eastAsia="宋体" w:cs="宋体"/>
          <w:b w:val="0"/>
          <w:bCs/>
          <w:i w:val="0"/>
          <w:iCs/>
          <w:sz w:val="24"/>
          <w:szCs w:val="24"/>
          <w:highlight w:val="none"/>
          <w:u w:val="none"/>
          <w:lang w:val="en-US" w:eastAsia="zh-CN"/>
        </w:rPr>
        <w:t xml:space="preserve">7</w:t>
      </w:r>
      <w:r>
        <w:rPr>
          <w:rFonts w:hint="eastAsia" w:ascii="宋体" w:hAnsi="宋体" w:eastAsia="宋体" w:cs="宋体"/>
          <w:b w:val="0"/>
          <w:bCs/>
          <w:i w:val="0"/>
          <w:iCs/>
          <w:sz w:val="24"/>
          <w:szCs w:val="24"/>
          <w:highlight w:val="none"/>
          <w:u w:val="none"/>
        </w:rPr>
        <w:t xml:space="preserve">.1、</w:t>
      </w:r>
      <w:r>
        <w:rPr>
          <w:rFonts w:hint="eastAsia" w:ascii="宋体" w:hAnsi="宋体" w:eastAsia="宋体" w:cs="宋体"/>
          <w:bCs/>
          <w:i w:val="0"/>
          <w:iCs w:val="0"/>
          <w:sz w:val="24"/>
          <w:highlight w:val="none"/>
          <w:u w:val="none"/>
          <w:lang w:val="en-US" w:eastAsia="zh-CN"/>
        </w:rPr>
        <w:t xml:space="preserve">合同签订后三十个工作日内，</w:t>
      </w:r>
      <w:r>
        <w:rPr>
          <w:rFonts w:hint="eastAsia" w:ascii="宋体" w:hAnsi="宋体" w:eastAsia="宋体" w:cs="宋体"/>
          <w:b w:val="0"/>
          <w:bCs/>
          <w:i w:val="0"/>
          <w:iCs/>
          <w:sz w:val="24"/>
          <w:szCs w:val="24"/>
          <w:highlight w:val="none"/>
          <w:u w:val="none"/>
          <w:lang w:val="en-US" w:eastAsia="zh-CN"/>
        </w:rPr>
        <w:t xml:space="preserve">采购人向中标人</w:t>
      </w:r>
      <w:r>
        <w:rPr>
          <w:rFonts w:hint="eastAsia" w:ascii="宋体" w:hAnsi="宋体" w:eastAsia="宋体" w:cs="宋体"/>
          <w:bCs/>
          <w:i w:val="0"/>
          <w:iCs w:val="0"/>
          <w:sz w:val="24"/>
          <w:highlight w:val="none"/>
          <w:u w:val="none"/>
          <w:lang w:val="en-US" w:eastAsia="zh-CN"/>
        </w:rPr>
        <w:t xml:space="preserve">支付合同金额的10%作为预付款</w:t>
      </w:r>
      <w:r>
        <w:rPr>
          <w:rFonts w:hint="eastAsia" w:ascii="宋体" w:hAnsi="宋体" w:eastAsia="宋体" w:cs="宋体"/>
          <w:b w:val="0"/>
          <w:bCs/>
          <w:i w:val="0"/>
          <w:iCs/>
          <w:sz w:val="24"/>
          <w:szCs w:val="24"/>
          <w:highlight w:val="none"/>
          <w:u w:val="none"/>
        </w:rPr>
        <w:t xml:space="preserve">。</w:t>
      </w:r>
      <w:r/>
    </w:p>
    <w:p>
      <w:pPr>
        <w:ind w:firstLine="720"/>
        <w:spacing w:after="0" w:line="440" w:lineRule="exact"/>
        <w:widowControl w:val="off"/>
        <w:rPr>
          <w:rFonts w:hint="eastAsia" w:ascii="宋体" w:hAnsi="宋体" w:eastAsia="宋体" w:cs="宋体"/>
          <w:b w:val="0"/>
          <w:bCs/>
          <w:i w:val="0"/>
          <w:iCs/>
          <w:sz w:val="24"/>
          <w:szCs w:val="24"/>
          <w:highlight w:val="none"/>
          <w:u w:val="none"/>
        </w:rPr>
      </w:pPr>
      <w:r>
        <w:rPr>
          <w:rFonts w:hint="eastAsia" w:ascii="宋体" w:hAnsi="宋体" w:eastAsia="宋体" w:cs="宋体"/>
          <w:b w:val="0"/>
          <w:bCs/>
          <w:i w:val="0"/>
          <w:iCs/>
          <w:sz w:val="24"/>
          <w:szCs w:val="24"/>
          <w:highlight w:val="none"/>
          <w:u w:val="none"/>
          <w:lang w:val="en-US" w:eastAsia="zh-CN"/>
        </w:rPr>
        <w:t xml:space="preserve">7</w:t>
      </w:r>
      <w:r>
        <w:rPr>
          <w:rFonts w:hint="eastAsia" w:ascii="宋体" w:hAnsi="宋体" w:eastAsia="宋体" w:cs="宋体"/>
          <w:b w:val="0"/>
          <w:bCs/>
          <w:i w:val="0"/>
          <w:iCs/>
          <w:sz w:val="24"/>
          <w:szCs w:val="24"/>
          <w:highlight w:val="none"/>
          <w:u w:val="none"/>
        </w:rPr>
        <w:t xml:space="preserve">.</w:t>
      </w:r>
      <w:r>
        <w:rPr>
          <w:rFonts w:hint="eastAsia" w:ascii="宋体" w:hAnsi="宋体" w:eastAsia="宋体" w:cs="宋体"/>
          <w:b w:val="0"/>
          <w:bCs/>
          <w:i w:val="0"/>
          <w:iCs/>
          <w:sz w:val="24"/>
          <w:szCs w:val="24"/>
          <w:highlight w:val="none"/>
          <w:u w:val="none"/>
          <w:lang w:val="en-US" w:eastAsia="zh-CN"/>
        </w:rPr>
        <w:t xml:space="preserve">2</w:t>
      </w:r>
      <w:r>
        <w:rPr>
          <w:rFonts w:hint="eastAsia" w:ascii="宋体" w:hAnsi="宋体" w:eastAsia="宋体" w:cs="宋体"/>
          <w:b w:val="0"/>
          <w:bCs/>
          <w:i w:val="0"/>
          <w:iCs/>
          <w:sz w:val="24"/>
          <w:szCs w:val="24"/>
          <w:highlight w:val="none"/>
          <w:u w:val="none"/>
        </w:rPr>
        <w:t xml:space="preserve">、服务费用按季度</w:t>
      </w:r>
      <w:r>
        <w:rPr>
          <w:rFonts w:hint="eastAsia" w:ascii="宋体" w:hAnsi="宋体" w:eastAsia="宋体" w:cs="宋体"/>
          <w:b w:val="0"/>
          <w:bCs/>
          <w:i w:val="0"/>
          <w:iCs/>
          <w:sz w:val="24"/>
          <w:szCs w:val="24"/>
          <w:highlight w:val="none"/>
          <w:u w:val="none"/>
          <w:lang w:eastAsia="zh-CN"/>
        </w:rPr>
        <w:t xml:space="preserve">（</w:t>
      </w:r>
      <w:r>
        <w:rPr>
          <w:rFonts w:hint="eastAsia" w:ascii="宋体" w:hAnsi="宋体" w:eastAsia="宋体" w:cs="宋体"/>
          <w:b w:val="0"/>
          <w:bCs/>
          <w:i w:val="0"/>
          <w:iCs/>
          <w:sz w:val="24"/>
          <w:szCs w:val="24"/>
          <w:highlight w:val="none"/>
          <w:u w:val="none"/>
          <w:lang w:val="en-US" w:eastAsia="zh-CN"/>
        </w:rPr>
        <w:t xml:space="preserve">以三个月为一个结算周期</w:t>
      </w:r>
      <w:r>
        <w:rPr>
          <w:rFonts w:hint="eastAsia" w:ascii="宋体" w:hAnsi="宋体" w:eastAsia="宋体" w:cs="宋体"/>
          <w:b w:val="0"/>
          <w:bCs/>
          <w:i w:val="0"/>
          <w:iCs/>
          <w:sz w:val="24"/>
          <w:szCs w:val="24"/>
          <w:highlight w:val="none"/>
          <w:u w:val="none"/>
          <w:lang w:eastAsia="zh-CN"/>
        </w:rPr>
        <w:t xml:space="preserve">）</w:t>
      </w:r>
      <w:r>
        <w:rPr>
          <w:rFonts w:hint="eastAsia" w:ascii="宋体" w:hAnsi="宋体" w:eastAsia="宋体" w:cs="宋体"/>
          <w:b w:val="0"/>
          <w:bCs/>
          <w:i w:val="0"/>
          <w:iCs/>
          <w:sz w:val="24"/>
          <w:szCs w:val="24"/>
          <w:highlight w:val="none"/>
          <w:u w:val="none"/>
        </w:rPr>
        <w:t xml:space="preserve">考核结算。</w:t>
      </w:r>
      <w:r/>
    </w:p>
    <w:p>
      <w:pPr>
        <w:ind w:firstLine="720"/>
        <w:spacing w:after="0" w:line="440" w:lineRule="exact"/>
        <w:widowControl w:val="off"/>
        <w:rPr>
          <w:rFonts w:hint="eastAsia" w:ascii="宋体" w:hAnsi="宋体" w:eastAsia="宋体" w:cs="宋体"/>
          <w:b w:val="0"/>
          <w:bCs/>
          <w:i w:val="0"/>
          <w:iCs/>
          <w:sz w:val="24"/>
          <w:szCs w:val="24"/>
          <w:highlight w:val="none"/>
          <w:u w:val="none"/>
        </w:rPr>
      </w:pPr>
      <w:r>
        <w:rPr>
          <w:rFonts w:hint="eastAsia" w:ascii="宋体" w:hAnsi="宋体" w:eastAsia="宋体" w:cs="宋体"/>
          <w:b w:val="0"/>
          <w:bCs/>
          <w:i w:val="0"/>
          <w:iCs/>
          <w:sz w:val="24"/>
          <w:szCs w:val="24"/>
          <w:highlight w:val="none"/>
          <w:u w:val="none"/>
          <w:lang w:val="en-US" w:eastAsia="zh-CN"/>
        </w:rPr>
        <w:t xml:space="preserve">7</w:t>
      </w:r>
      <w:r>
        <w:rPr>
          <w:rFonts w:hint="eastAsia" w:ascii="宋体" w:hAnsi="宋体" w:eastAsia="宋体" w:cs="宋体"/>
          <w:b w:val="0"/>
          <w:bCs/>
          <w:i w:val="0"/>
          <w:iCs/>
          <w:sz w:val="24"/>
          <w:szCs w:val="24"/>
          <w:highlight w:val="none"/>
          <w:u w:val="none"/>
        </w:rPr>
        <w:t xml:space="preserve">.</w:t>
      </w:r>
      <w:r>
        <w:rPr>
          <w:rFonts w:hint="eastAsia" w:ascii="宋体" w:hAnsi="宋体" w:eastAsia="宋体" w:cs="宋体"/>
          <w:b w:val="0"/>
          <w:bCs/>
          <w:i w:val="0"/>
          <w:iCs/>
          <w:sz w:val="24"/>
          <w:szCs w:val="24"/>
          <w:highlight w:val="none"/>
          <w:u w:val="none"/>
          <w:lang w:val="en-US" w:eastAsia="zh-CN"/>
        </w:rPr>
        <w:t xml:space="preserve">3</w:t>
      </w:r>
      <w:r>
        <w:rPr>
          <w:rFonts w:hint="eastAsia" w:ascii="宋体" w:hAnsi="宋体" w:eastAsia="宋体" w:cs="宋体"/>
          <w:b w:val="0"/>
          <w:bCs/>
          <w:i w:val="0"/>
          <w:iCs/>
          <w:sz w:val="24"/>
          <w:szCs w:val="24"/>
          <w:highlight w:val="none"/>
          <w:u w:val="none"/>
        </w:rPr>
        <w:t xml:space="preserve">、服务期开始之日起每</w:t>
      </w:r>
      <w:r>
        <w:rPr>
          <w:rFonts w:hint="eastAsia" w:ascii="宋体" w:hAnsi="宋体" w:eastAsia="宋体" w:cs="宋体"/>
          <w:b w:val="0"/>
          <w:bCs/>
          <w:i w:val="0"/>
          <w:iCs/>
          <w:sz w:val="24"/>
          <w:szCs w:val="24"/>
          <w:highlight w:val="none"/>
          <w:u w:val="none"/>
          <w:lang w:val="en-US" w:eastAsia="zh-CN"/>
        </w:rPr>
        <w:t xml:space="preserve">三个月</w:t>
      </w:r>
      <w:r>
        <w:rPr>
          <w:rFonts w:hint="eastAsia" w:ascii="宋体" w:hAnsi="宋体" w:eastAsia="宋体" w:cs="宋体"/>
          <w:b w:val="0"/>
          <w:bCs/>
          <w:i w:val="0"/>
          <w:iCs/>
          <w:sz w:val="24"/>
          <w:szCs w:val="24"/>
          <w:highlight w:val="none"/>
          <w:u w:val="none"/>
        </w:rPr>
        <w:t xml:space="preserve">之后的一个月内，</w:t>
      </w:r>
      <w:r>
        <w:rPr>
          <w:rFonts w:hint="eastAsia" w:ascii="宋体" w:hAnsi="宋体" w:eastAsia="宋体" w:cs="宋体"/>
          <w:b w:val="0"/>
          <w:bCs/>
          <w:i w:val="0"/>
          <w:iCs/>
          <w:sz w:val="24"/>
          <w:szCs w:val="24"/>
          <w:highlight w:val="none"/>
          <w:u w:val="none"/>
          <w:lang w:val="en-US" w:eastAsia="zh-CN"/>
        </w:rPr>
        <w:t xml:space="preserve">采购人向中标人</w:t>
      </w:r>
      <w:r>
        <w:rPr>
          <w:rFonts w:hint="eastAsia" w:ascii="宋体" w:hAnsi="宋体" w:eastAsia="宋体" w:cs="宋体"/>
          <w:b w:val="0"/>
          <w:bCs/>
          <w:i w:val="0"/>
          <w:iCs/>
          <w:sz w:val="24"/>
          <w:szCs w:val="24"/>
          <w:highlight w:val="none"/>
          <w:u w:val="none"/>
        </w:rPr>
        <w:t xml:space="preserve">支付上个季度的服务费用（按服务总费用的</w:t>
      </w:r>
      <w:r>
        <w:rPr>
          <w:rFonts w:hint="eastAsia" w:ascii="宋体" w:hAnsi="宋体" w:eastAsia="宋体" w:cs="宋体"/>
          <w:b w:val="0"/>
          <w:bCs/>
          <w:i w:val="0"/>
          <w:iCs/>
          <w:sz w:val="24"/>
          <w:szCs w:val="24"/>
          <w:highlight w:val="none"/>
          <w:u w:val="none"/>
          <w:lang w:val="en-US" w:eastAsia="zh-CN"/>
        </w:rPr>
        <w:t xml:space="preserve">11.25</w:t>
      </w:r>
      <w:r>
        <w:rPr>
          <w:rFonts w:hint="eastAsia" w:ascii="宋体" w:hAnsi="宋体" w:eastAsia="宋体" w:cs="宋体"/>
          <w:b w:val="0"/>
          <w:bCs/>
          <w:i w:val="0"/>
          <w:iCs/>
          <w:sz w:val="24"/>
          <w:szCs w:val="24"/>
          <w:highlight w:val="none"/>
          <w:u w:val="none"/>
        </w:rPr>
        <w:t xml:space="preserve">%计算）；考核办法详见工作考核标准。</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季度考核得分≥90分：不扣除当季度服务费用。</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85分≤季度考核得分＜90分：每低于90分1分，扣减服务费用500元；</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80分≤季度考核得分＜85分：每低于85分1分，扣减服务费用1000元；</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70分≤季度考核得分＜80分：每低于80分1分，扣减服务费用1500元并按照采购人要求限期全面整改；</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季度考核得分＜70分：采购人有权单方解除本服务合约。</w:t>
      </w:r>
      <w:r/>
    </w:p>
    <w:p>
      <w:pPr>
        <w:ind w:firstLine="480"/>
        <w:spacing w:after="0" w:line="440" w:lineRule="exact"/>
        <w:widowControl w:val="off"/>
        <w:rPr>
          <w:rFonts w:hint="default"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7.4、</w:t>
      </w:r>
      <w:r>
        <w:rPr>
          <w:rFonts w:hint="eastAsia" w:ascii="宋体" w:hAnsi="宋体" w:eastAsia="宋体" w:cs="宋体"/>
          <w:b w:val="0"/>
          <w:bCs/>
          <w:i w:val="0"/>
          <w:iCs/>
          <w:sz w:val="24"/>
          <w:szCs w:val="24"/>
          <w:highlight w:val="none"/>
          <w:u w:val="none"/>
        </w:rPr>
        <w:t xml:space="preserve">本项目所有停车费收入每月</w:t>
      </w:r>
      <w:r>
        <w:rPr>
          <w:rFonts w:hint="eastAsia" w:ascii="宋体" w:hAnsi="宋体" w:eastAsia="宋体" w:cs="宋体"/>
          <w:b w:val="0"/>
          <w:bCs/>
          <w:i w:val="0"/>
          <w:iCs/>
          <w:sz w:val="24"/>
          <w:szCs w:val="24"/>
          <w:highlight w:val="none"/>
          <w:u w:val="none"/>
          <w:lang w:val="en-US" w:eastAsia="zh-CN"/>
        </w:rPr>
        <w:t xml:space="preserve">经由</w:t>
      </w:r>
      <w:r>
        <w:rPr>
          <w:rFonts w:hint="eastAsia" w:ascii="宋体" w:hAnsi="宋体" w:eastAsia="宋体" w:cs="宋体"/>
          <w:b w:val="0"/>
          <w:bCs/>
          <w:i w:val="0"/>
          <w:iCs/>
          <w:sz w:val="24"/>
          <w:szCs w:val="24"/>
          <w:highlight w:val="none"/>
          <w:u w:val="none"/>
        </w:rPr>
        <w:t xml:space="preserve">采购人</w:t>
      </w:r>
      <w:r>
        <w:rPr>
          <w:rFonts w:hint="eastAsia" w:ascii="宋体" w:hAnsi="宋体" w:eastAsia="宋体" w:cs="宋体"/>
          <w:b w:val="0"/>
          <w:bCs/>
          <w:i w:val="0"/>
          <w:iCs/>
          <w:sz w:val="24"/>
          <w:szCs w:val="24"/>
          <w:highlight w:val="none"/>
          <w:u w:val="none"/>
          <w:lang w:val="en-US" w:eastAsia="zh-CN"/>
        </w:rPr>
        <w:t xml:space="preserve">与中标人通过对账单形式确认无误</w:t>
      </w:r>
      <w:r>
        <w:rPr>
          <w:rFonts w:hint="eastAsia" w:ascii="宋体" w:hAnsi="宋体" w:eastAsia="宋体" w:cs="宋体"/>
          <w:b w:val="0"/>
          <w:bCs/>
          <w:i w:val="0"/>
          <w:iCs/>
          <w:sz w:val="24"/>
          <w:szCs w:val="24"/>
          <w:highlight w:val="none"/>
          <w:u w:val="none"/>
        </w:rPr>
        <w:t xml:space="preserve">后</w:t>
      </w:r>
      <w:r>
        <w:rPr>
          <w:rFonts w:hint="eastAsia" w:ascii="宋体" w:hAnsi="宋体" w:eastAsia="宋体" w:cs="宋体"/>
          <w:b w:val="0"/>
          <w:bCs/>
          <w:i w:val="0"/>
          <w:iCs/>
          <w:sz w:val="24"/>
          <w:szCs w:val="24"/>
          <w:highlight w:val="none"/>
          <w:u w:val="none"/>
          <w:lang w:eastAsia="zh-CN"/>
        </w:rPr>
        <w:t xml:space="preserve">，</w:t>
      </w:r>
      <w:r>
        <w:rPr>
          <w:rFonts w:hint="eastAsia" w:ascii="宋体" w:hAnsi="宋体" w:eastAsia="宋体" w:cs="宋体"/>
          <w:b w:val="0"/>
          <w:bCs/>
          <w:i w:val="0"/>
          <w:iCs/>
          <w:sz w:val="24"/>
          <w:szCs w:val="24"/>
          <w:highlight w:val="none"/>
          <w:u w:val="none"/>
          <w:lang w:val="en-US" w:eastAsia="zh-CN"/>
        </w:rPr>
        <w:t xml:space="preserve">由中标人</w:t>
      </w:r>
      <w:r>
        <w:rPr>
          <w:rFonts w:hint="eastAsia" w:ascii="宋体" w:hAnsi="宋体" w:eastAsia="宋体" w:cs="宋体"/>
          <w:b w:val="0"/>
          <w:bCs/>
          <w:i w:val="0"/>
          <w:iCs/>
          <w:sz w:val="24"/>
          <w:szCs w:val="24"/>
          <w:highlight w:val="none"/>
          <w:u w:val="none"/>
        </w:rPr>
        <w:t xml:space="preserve">上交财政非税专户，车主可通过微信公众号自行申请开具非税发票。</w:t>
      </w:r>
      <w:r/>
    </w:p>
    <w:p>
      <w:pPr>
        <w:ind w:firstLine="720"/>
        <w:spacing w:after="0" w:line="44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（1）财政非税专户账户信息</w:t>
      </w:r>
      <w:r/>
    </w:p>
    <w:p>
      <w:pPr>
        <w:ind w:firstLine="787"/>
        <w:spacing w:after="0" w:line="440" w:lineRule="exact"/>
        <w:widowControl w:val="off"/>
        <w:rPr>
          <w:rFonts w:hint="eastAsia"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lang w:val="en-US" w:eastAsia="zh-CN"/>
        </w:rPr>
        <w:t xml:space="preserve">名称:常熟市财政局(预算外资金)</w:t>
      </w:r>
      <w:r/>
    </w:p>
    <w:p>
      <w:pPr>
        <w:ind w:firstLine="787"/>
        <w:spacing w:after="0" w:line="440" w:lineRule="exact"/>
        <w:widowControl w:val="off"/>
        <w:rPr>
          <w:rFonts w:hint="default"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lang w:val="en-US" w:eastAsia="zh-CN"/>
        </w:rPr>
        <w:t xml:space="preserve">账号:10523501040006855</w:t>
      </w:r>
      <w:r/>
    </w:p>
    <w:p>
      <w:pPr>
        <w:ind w:firstLine="787"/>
        <w:spacing w:after="0" w:line="440" w:lineRule="exact"/>
        <w:widowControl w:val="off"/>
        <w:rPr>
          <w:rFonts w:hint="eastAsia" w:ascii="宋体" w:hAnsi="宋体" w:eastAsia="宋体" w:cs="宋体"/>
          <w:highlight w:val="none"/>
        </w:rPr>
      </w:pPr>
      <w:r>
        <w:rPr>
          <w:rFonts w:hint="eastAsia" w:ascii="宋体" w:hAnsi="宋体" w:eastAsia="宋体" w:cs="宋体"/>
          <w:bCs w:val="0"/>
          <w:sz w:val="24"/>
          <w:szCs w:val="24"/>
          <w:highlight w:val="none"/>
          <w:lang w:val="en-US" w:eastAsia="zh-CN"/>
        </w:rPr>
        <w:t xml:space="preserve">开户行:</w:t>
      </w:r>
      <w:r>
        <w:rPr>
          <w:rFonts w:hint="eastAsia" w:ascii="宋体" w:hAnsi="宋体" w:eastAsia="宋体" w:cs="宋体"/>
          <w:bCs w:val="0"/>
          <w:sz w:val="24"/>
          <w:szCs w:val="24"/>
          <w:highlight w:val="none"/>
          <w:lang w:val="en-US" w:eastAsia="zh-CN" w:bidi="ar-SA"/>
        </w:rPr>
        <w:t xml:space="preserve">中国农业银行常熟分行营业部</w:t>
      </w:r>
      <w:r/>
    </w:p>
    <w:p>
      <w:pPr>
        <w:ind w:firstLine="723"/>
        <w:spacing w:line="450" w:lineRule="exact"/>
        <w:rPr>
          <w:rFonts w:hint="eastAsia"/>
          <w:i w:val="0"/>
          <w:iCs/>
          <w:sz w:val="24"/>
          <w:highlight w:val="none"/>
          <w:u w:val="none"/>
        </w:rPr>
      </w:pPr>
      <w:r>
        <w:rPr>
          <w:b/>
          <w:bCs/>
          <w:i w:val="0"/>
          <w:iCs/>
          <w:sz w:val="24"/>
          <w:szCs w:val="24"/>
          <w:highlight w:val="none"/>
          <w:u w:val="none"/>
        </w:rPr>
        <w:t xml:space="preserve">注：</w:t>
      </w:r>
      <w:r>
        <w:rPr>
          <w:rFonts w:hint="eastAsia"/>
          <w:b/>
          <w:bCs/>
          <w:i w:val="0"/>
          <w:iCs/>
          <w:sz w:val="24"/>
          <w:szCs w:val="24"/>
          <w:highlight w:val="none"/>
          <w:u w:val="none"/>
        </w:rPr>
        <w:t xml:space="preserve">①</w:t>
      </w:r>
      <w:r>
        <w:rPr>
          <w:rFonts w:hint="eastAsia" w:cs="宋体"/>
          <w:b/>
          <w:bCs/>
          <w:i w:val="0"/>
          <w:iCs/>
          <w:sz w:val="24"/>
          <w:szCs w:val="24"/>
          <w:highlight w:val="none"/>
          <w:u w:val="none"/>
        </w:rPr>
        <w:t xml:space="preserve">在签订合同时，中标人明确表示无需预付款或者主动要求降低预付款比例的，可不适用上述第</w:t>
      </w:r>
      <w:r>
        <w:rPr>
          <w:rFonts w:hint="eastAsia" w:ascii="宋体" w:hAnsi="宋体" w:eastAsia="宋体" w:cs="宋体"/>
          <w:b/>
          <w:bCs/>
          <w:i w:val="0"/>
          <w:iCs/>
          <w:sz w:val="24"/>
          <w:szCs w:val="24"/>
          <w:highlight w:val="none"/>
          <w:u w:val="none"/>
          <w:lang w:val="en-US" w:eastAsia="zh-CN"/>
        </w:rPr>
        <w:t xml:space="preserve">7.1</w:t>
      </w:r>
      <w:r>
        <w:rPr>
          <w:rFonts w:hint="eastAsia" w:cs="宋体"/>
          <w:b/>
          <w:bCs/>
          <w:i w:val="0"/>
          <w:iCs/>
          <w:sz w:val="24"/>
          <w:szCs w:val="24"/>
          <w:highlight w:val="none"/>
          <w:u w:val="none"/>
        </w:rPr>
        <w:t xml:space="preserve">条规定。②</w:t>
      </w:r>
      <w:r>
        <w:rPr>
          <w:rFonts w:hint="eastAsia" w:cs="宋体"/>
          <w:b/>
          <w:bCs/>
          <w:i w:val="0"/>
          <w:iCs/>
          <w:sz w:val="24"/>
          <w:szCs w:val="24"/>
          <w:highlight w:val="none"/>
          <w:u w:val="none"/>
          <w:lang w:val="zh-CN"/>
        </w:rPr>
        <w:t xml:space="preserve">以上每次付款前，</w:t>
      </w:r>
      <w:r>
        <w:rPr>
          <w:rFonts w:hint="eastAsia" w:cs="宋体"/>
          <w:b/>
          <w:bCs/>
          <w:i w:val="0"/>
          <w:iCs/>
          <w:sz w:val="24"/>
          <w:szCs w:val="24"/>
          <w:highlight w:val="none"/>
          <w:u w:val="none"/>
        </w:rPr>
        <w:t xml:space="preserve">中标人</w:t>
      </w:r>
      <w:r>
        <w:rPr>
          <w:rFonts w:hint="eastAsia" w:cs="宋体"/>
          <w:b/>
          <w:bCs/>
          <w:i w:val="0"/>
          <w:iCs/>
          <w:sz w:val="24"/>
          <w:szCs w:val="24"/>
          <w:highlight w:val="none"/>
          <w:u w:val="none"/>
          <w:lang w:val="zh-CN"/>
        </w:rPr>
        <w:t xml:space="preserve">均应提供符合</w:t>
      </w:r>
      <w:r>
        <w:rPr>
          <w:rFonts w:hint="eastAsia" w:cs="宋体"/>
          <w:b/>
          <w:bCs/>
          <w:i w:val="0"/>
          <w:iCs/>
          <w:sz w:val="24"/>
          <w:szCs w:val="24"/>
          <w:highlight w:val="none"/>
          <w:u w:val="none"/>
        </w:rPr>
        <w:t xml:space="preserve">采购人</w:t>
      </w:r>
      <w:r>
        <w:rPr>
          <w:rFonts w:hint="eastAsia" w:cs="宋体"/>
          <w:b/>
          <w:bCs/>
          <w:i w:val="0"/>
          <w:iCs/>
          <w:sz w:val="24"/>
          <w:szCs w:val="24"/>
          <w:highlight w:val="none"/>
          <w:u w:val="none"/>
          <w:lang w:val="zh-CN"/>
        </w:rPr>
        <w:t xml:space="preserve">要求的同等金额的合法有效发票。否则，采购人有权顺延付款时间，且不承担任何违约及/或赔偿责任。</w:t>
      </w:r>
      <w:r>
        <w:rPr>
          <w:rFonts w:hint="eastAsia" w:cs="宋体"/>
          <w:b/>
          <w:bCs/>
          <w:i w:val="0"/>
          <w:iCs/>
          <w:sz w:val="24"/>
          <w:szCs w:val="24"/>
          <w:highlight w:val="none"/>
          <w:u w:val="none"/>
        </w:rPr>
        <w:t xml:space="preserve">③</w:t>
      </w:r>
      <w:r>
        <w:rPr>
          <w:rFonts w:hint="eastAsia"/>
          <w:b/>
          <w:bCs/>
          <w:i w:val="0"/>
          <w:iCs/>
          <w:sz w:val="24"/>
          <w:szCs w:val="24"/>
          <w:highlight w:val="none"/>
          <w:u w:val="none"/>
        </w:rPr>
        <w:t xml:space="preserve">本项目支付方式包括但不限于：数字人民币、现金、银行汇票、转账支票等。④投标人不满足本项目付款方式的，将作无效投标处理。</w:t>
      </w:r>
      <w:r/>
    </w:p>
    <w:p>
      <w:pPr>
        <w:ind w:firstLine="482"/>
        <w:spacing w:line="440" w:lineRule="exact"/>
        <w:rPr>
          <w:rFonts w:ascii="宋体" w:hAnsi="宋体" w:cs="宋体"/>
          <w:b/>
          <w:bCs/>
          <w:sz w:val="24"/>
          <w:szCs w:val="24"/>
          <w:highlight w:val="none"/>
        </w:rPr>
      </w:pPr>
      <w:r>
        <w:rPr>
          <w:rFonts w:hint="eastAsia" w:asciiTheme="minorEastAsia" w:hAnsiTheme="minorEastAsia" w:cstheme="minorEastAsia"/>
          <w:b/>
          <w:bCs w:val="0"/>
          <w:sz w:val="24"/>
          <w:szCs w:val="24"/>
          <w:highlight w:val="none"/>
          <w:lang w:val="en-US" w:eastAsia="zh-CN"/>
        </w:rPr>
        <w:t xml:space="preserve">8</w:t>
      </w:r>
      <w:r>
        <w:rPr>
          <w:rFonts w:hint="eastAsia" w:asciiTheme="minorEastAsia" w:hAnsiTheme="minorEastAsia" w:eastAsiaTheme="minorEastAsia" w:cstheme="minorEastAsia"/>
          <w:b/>
          <w:bCs w:val="0"/>
          <w:sz w:val="24"/>
          <w:szCs w:val="24"/>
          <w:highlight w:val="none"/>
        </w:rPr>
        <w:t xml:space="preserve">、本项目采购预算为人民币</w:t>
      </w:r>
      <w:r>
        <w:rPr>
          <w:rFonts w:hint="eastAsia" w:asciiTheme="minorEastAsia" w:hAnsiTheme="minorEastAsia" w:eastAsiaTheme="minorEastAsia" w:cstheme="minorEastAsia"/>
          <w:b/>
          <w:bCs w:val="0"/>
          <w:sz w:val="24"/>
          <w:szCs w:val="24"/>
          <w:highlight w:val="none"/>
          <w:lang w:val="en-US" w:eastAsia="zh-CN"/>
        </w:rPr>
        <w:t xml:space="preserve">19600</w:t>
      </w:r>
      <w:r>
        <w:rPr>
          <w:rFonts w:hint="eastAsia" w:asciiTheme="minorEastAsia" w:hAnsiTheme="minorEastAsia" w:eastAsiaTheme="minorEastAsia" w:cstheme="minorEastAsia"/>
          <w:b/>
          <w:bCs w:val="0"/>
          <w:sz w:val="24"/>
          <w:szCs w:val="24"/>
          <w:highlight w:val="none"/>
        </w:rPr>
        <w:t xml:space="preserve">00.00元整（人民</w:t>
      </w:r>
      <w:r>
        <w:rPr>
          <w:rFonts w:hint="eastAsia" w:asciiTheme="minorEastAsia" w:hAnsiTheme="minorEastAsia" w:cstheme="minorEastAsia"/>
          <w:b/>
          <w:bCs w:val="0"/>
          <w:sz w:val="24"/>
          <w:szCs w:val="24"/>
          <w:highlight w:val="none"/>
          <w:lang w:val="en-US" w:eastAsia="zh-CN"/>
        </w:rPr>
        <w:t xml:space="preserve">壹佰玖拾陆万</w:t>
      </w:r>
      <w:r>
        <w:rPr>
          <w:rFonts w:hint="eastAsia" w:asciiTheme="minorEastAsia" w:hAnsiTheme="minorEastAsia" w:eastAsiaTheme="minorEastAsia" w:cstheme="minorEastAsia"/>
          <w:b/>
          <w:bCs w:val="0"/>
          <w:sz w:val="24"/>
          <w:szCs w:val="24"/>
          <w:highlight w:val="none"/>
        </w:rPr>
        <w:t xml:space="preserve">元整）。</w:t>
      </w:r>
      <w:bookmarkEnd w:id="212"/>
      <w:r>
        <w:rPr>
          <w:rFonts w:hint="eastAsia" w:ascii="宋体" w:hAnsi="宋体" w:eastAsia="宋体" w:cs="宋体"/>
          <w:b/>
          <w:bCs/>
          <w:iCs/>
          <w:color w:val="auto"/>
          <w:sz w:val="24"/>
          <w:szCs w:val="24"/>
          <w:highlight w:val="none"/>
          <w:u w:val="none"/>
        </w:rPr>
        <w:t xml:space="preserve">投标总</w:t>
      </w:r>
      <w:r>
        <w:rPr>
          <w:rFonts w:hint="eastAsia" w:ascii="宋体" w:hAnsi="宋体" w:eastAsia="宋体" w:cs="宋体"/>
          <w:b/>
          <w:bCs/>
          <w:iCs/>
          <w:color w:val="auto"/>
          <w:sz w:val="24"/>
          <w:szCs w:val="24"/>
          <w:highlight w:val="none"/>
          <w:u w:val="none"/>
          <w:lang w:val="en-US" w:eastAsia="zh-CN"/>
        </w:rPr>
        <w:t xml:space="preserve">报价</w:t>
      </w:r>
      <w:r>
        <w:rPr>
          <w:rFonts w:hint="eastAsia" w:ascii="宋体" w:hAnsi="宋体" w:eastAsia="宋体" w:cs="宋体"/>
          <w:b/>
          <w:bCs/>
          <w:iCs/>
          <w:color w:val="auto"/>
          <w:sz w:val="24"/>
          <w:szCs w:val="24"/>
          <w:highlight w:val="none"/>
          <w:u w:val="none"/>
        </w:rPr>
        <w:t xml:space="preserve">不得超过</w:t>
      </w:r>
      <w:r>
        <w:rPr>
          <w:rFonts w:hint="eastAsia" w:asciiTheme="minorEastAsia" w:hAnsiTheme="minorEastAsia" w:eastAsiaTheme="minorEastAsia" w:cstheme="minorEastAsia"/>
          <w:b/>
          <w:bCs w:val="0"/>
          <w:sz w:val="24"/>
          <w:szCs w:val="24"/>
          <w:highlight w:val="none"/>
        </w:rPr>
        <w:t xml:space="preserve">采购预算</w:t>
      </w:r>
      <w:r>
        <w:rPr>
          <w:rFonts w:hint="eastAsia" w:ascii="宋体" w:hAnsi="宋体" w:eastAsia="宋体" w:cs="宋体"/>
          <w:b/>
          <w:bCs/>
          <w:iCs/>
          <w:color w:val="auto"/>
          <w:sz w:val="24"/>
          <w:szCs w:val="24"/>
          <w:highlight w:val="none"/>
          <w:u w:val="none"/>
        </w:rPr>
        <w:t xml:space="preserve">，否则其投标将作无效投标处理</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440" w:lineRule="exact"/>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 xml:space="preserve">9</w:t>
      </w:r>
      <w:r>
        <w:rPr>
          <w:rFonts w:hint="eastAsia" w:asciiTheme="minorEastAsia" w:hAnsiTheme="minorEastAsia" w:eastAsiaTheme="minorEastAsia" w:cstheme="minorEastAsia"/>
          <w:bCs/>
          <w:sz w:val="24"/>
          <w:szCs w:val="24"/>
          <w:highlight w:val="none"/>
        </w:rPr>
        <w:t xml:space="preserve">、本项目不得以任何形式进行转包及分包。</w:t>
      </w:r>
      <w:r/>
    </w:p>
    <w:p>
      <w:pPr>
        <w:spacing w:line="440" w:lineRule="exact"/>
        <w:rPr>
          <w:rFonts w:hint="eastAsia" w:cs="宋体"/>
          <w:b/>
          <w:sz w:val="28"/>
          <w:szCs w:val="28"/>
          <w:lang w:val="zh-CN"/>
        </w:rPr>
        <w:outlineLvl w:val="9"/>
      </w:pPr>
      <w:r>
        <w:rPr>
          <w:rFonts w:hint="eastAsia" w:cs="宋体"/>
          <w:b/>
          <w:sz w:val="28"/>
          <w:szCs w:val="28"/>
          <w:lang w:val="zh-CN"/>
        </w:rPr>
        <w:t xml:space="preserve">二、项目人员配置要求：</w:t>
      </w:r>
      <w:r/>
    </w:p>
    <w:tbl>
      <w:tblPr>
        <w:tblStyle w:val="737"/>
        <w:tblW w:w="0"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43"/>
        <w:gridCol w:w="2268"/>
        <w:gridCol w:w="3402"/>
      </w:tblGrid>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岗位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人员配置</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1人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负责项目管理</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收费管理员</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5人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负责收费管理</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巡检人员</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1</w:t>
            </w:r>
            <w:r>
              <w:rPr>
                <w:rFonts w:hint="eastAsia" w:ascii="宋体" w:hAnsi="宋体" w:eastAsia="宋体" w:cs="宋体"/>
                <w:bCs w:val="0"/>
                <w:sz w:val="24"/>
                <w:szCs w:val="24"/>
                <w:highlight w:val="none"/>
                <w:lang w:val="en-US" w:eastAsia="zh-CN"/>
              </w:rPr>
              <w:t xml:space="preserve">2</w:t>
            </w:r>
            <w:r>
              <w:rPr>
                <w:rFonts w:hint="eastAsia" w:ascii="宋体" w:hAnsi="宋体" w:eastAsia="宋体" w:cs="宋体"/>
                <w:bCs w:val="0"/>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负责交通秩序及停车管理</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lang w:val="en-US" w:eastAsia="zh-CN"/>
              </w:rPr>
              <w:t xml:space="preserve">远程</w:t>
            </w:r>
            <w:r>
              <w:rPr>
                <w:rFonts w:hint="eastAsia" w:ascii="宋体" w:hAnsi="宋体" w:eastAsia="宋体" w:cs="宋体"/>
                <w:bCs w:val="0"/>
                <w:sz w:val="24"/>
                <w:szCs w:val="24"/>
                <w:highlight w:val="none"/>
              </w:rPr>
              <w:t xml:space="preserve">客服人员</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lang w:val="en-US" w:eastAsia="zh-CN"/>
              </w:rPr>
              <w:t xml:space="preserve">1</w:t>
            </w:r>
            <w:r>
              <w:rPr>
                <w:rFonts w:hint="eastAsia" w:ascii="宋体" w:hAnsi="宋体" w:eastAsia="宋体" w:cs="宋体"/>
                <w:bCs w:val="0"/>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提供24小时</w:t>
            </w:r>
            <w:r>
              <w:rPr>
                <w:rFonts w:hint="eastAsia" w:ascii="宋体" w:hAnsi="宋体" w:eastAsia="宋体" w:cs="宋体"/>
                <w:bCs w:val="0"/>
                <w:sz w:val="24"/>
                <w:szCs w:val="24"/>
                <w:highlight w:val="none"/>
                <w:lang w:val="en-US" w:eastAsia="zh-CN"/>
              </w:rPr>
              <w:t xml:space="preserve">远程</w:t>
            </w:r>
            <w:r>
              <w:rPr>
                <w:rFonts w:hint="eastAsia" w:ascii="宋体" w:hAnsi="宋体" w:eastAsia="宋体" w:cs="宋体"/>
                <w:bCs w:val="0"/>
                <w:sz w:val="24"/>
                <w:szCs w:val="24"/>
                <w:highlight w:val="none"/>
              </w:rPr>
              <w:t xml:space="preserve">客服</w:t>
            </w:r>
            <w:r>
              <w:rPr>
                <w:rFonts w:hint="eastAsia" w:ascii="宋体" w:hAnsi="宋体" w:eastAsia="宋体" w:cs="宋体"/>
                <w:bCs w:val="0"/>
                <w:sz w:val="24"/>
                <w:szCs w:val="24"/>
                <w:highlight w:val="none"/>
                <w:lang w:val="en-US" w:eastAsia="zh-CN"/>
              </w:rPr>
              <w:t xml:space="preserve">服务</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lang w:val="en-US" w:eastAsia="zh-CN"/>
              </w:rPr>
              <w:t xml:space="preserve">远程维保人员</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lang w:val="en-US" w:eastAsia="zh-CN"/>
              </w:rPr>
              <w:t xml:space="preserve">1</w:t>
            </w:r>
            <w:r>
              <w:rPr>
                <w:rFonts w:hint="eastAsia" w:ascii="宋体" w:hAnsi="宋体" w:eastAsia="宋体" w:cs="宋体"/>
                <w:bCs w:val="0"/>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负责停车场</w:t>
            </w:r>
            <w:r>
              <w:rPr>
                <w:rFonts w:hint="eastAsia" w:ascii="宋体" w:hAnsi="宋体" w:eastAsia="宋体" w:cs="宋体"/>
                <w:bCs w:val="0"/>
                <w:sz w:val="24"/>
                <w:szCs w:val="24"/>
                <w:highlight w:val="none"/>
                <w:lang w:val="en-US" w:eastAsia="zh-CN"/>
              </w:rPr>
              <w:t xml:space="preserve">远程维保</w:t>
            </w:r>
            <w:r/>
          </w:p>
        </w:tc>
      </w:tr>
      <w:tr>
        <w:trPr>
          <w:trHeight w:val="567"/>
        </w:trPr>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right="-107"/>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宋体" w:hAnsi="宋体" w:eastAsia="宋体" w:cs="宋体"/>
                <w:bCs w:val="0"/>
                <w:sz w:val="24"/>
                <w:szCs w:val="24"/>
                <w:highlight w:val="none"/>
              </w:rPr>
              <w:t xml:space="preserve">20人</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widowControl w:val="off"/>
              <w:rPr>
                <w:rFonts w:ascii="Times New Roman" w:hAnsi="Times New Roman"/>
                <w:bCs w:val="0"/>
                <w:highlight w:val="none"/>
              </w:rPr>
            </w:pPr>
            <w:r>
              <w:rPr>
                <w:rFonts w:ascii="Times New Roman" w:hAnsi="Times New Roman"/>
                <w:bCs w:val="0"/>
                <w:highlight w:val="none"/>
              </w:rPr>
            </w:r>
            <w:r/>
          </w:p>
        </w:tc>
      </w:tr>
    </w:tbl>
    <w:p>
      <w:pPr>
        <w:ind w:firstLine="482"/>
        <w:spacing w:after="0" w:line="440" w:lineRule="exact"/>
        <w:widowControl w:val="off"/>
        <w:rPr>
          <w:rFonts w:hint="eastAsia"/>
          <w:sz w:val="24"/>
          <w:szCs w:val="24"/>
        </w:rPr>
      </w:pPr>
      <w:r>
        <w:rPr>
          <w:rFonts w:hint="eastAsia" w:ascii="Times New Roman" w:hAnsi="Times New Roman"/>
          <w:b/>
          <w:bCs w:val="0"/>
          <w:sz w:val="24"/>
          <w:szCs w:val="24"/>
        </w:rPr>
        <w:t xml:space="preserve">注：上述人员数量为本项目最低配置要求，实际配置由</w:t>
      </w:r>
      <w:r>
        <w:rPr>
          <w:rFonts w:hint="eastAsia" w:ascii="Times New Roman" w:hAnsi="Times New Roman"/>
          <w:b/>
          <w:bCs w:val="0"/>
          <w:sz w:val="24"/>
          <w:szCs w:val="24"/>
          <w:lang w:val="en-US" w:eastAsia="zh-CN"/>
        </w:rPr>
        <w:t xml:space="preserve">投标人</w:t>
      </w:r>
      <w:r>
        <w:rPr>
          <w:rFonts w:hint="eastAsia" w:ascii="Times New Roman" w:hAnsi="Times New Roman"/>
          <w:b/>
          <w:bCs w:val="0"/>
          <w:sz w:val="24"/>
          <w:szCs w:val="24"/>
        </w:rPr>
        <w:t xml:space="preserve">根据采购文件要求及结合现场踏勘情况后自行考虑。</w:t>
      </w:r>
      <w:r/>
    </w:p>
    <w:p>
      <w:pPr>
        <w:spacing w:line="450" w:lineRule="exact"/>
        <w:rPr>
          <w:rFonts w:hint="eastAsia"/>
          <w:highlight w:val="none"/>
        </w:rPr>
      </w:pPr>
      <w:r/>
      <w:bookmarkStart w:id="213" w:name="_Toc167888370"/>
      <w:r>
        <w:rPr>
          <w:rFonts w:hint="eastAsia"/>
          <w:b/>
          <w:bCs/>
          <w:sz w:val="28"/>
          <w:szCs w:val="28"/>
          <w:highlight w:val="none"/>
        </w:rPr>
        <w:t xml:space="preserve">三</w:t>
      </w:r>
      <w:r>
        <w:rPr>
          <w:b/>
          <w:bCs/>
          <w:sz w:val="28"/>
          <w:szCs w:val="28"/>
          <w:highlight w:val="none"/>
        </w:rPr>
        <w:t xml:space="preserve">、项目服务要求：</w:t>
      </w:r>
      <w:r/>
    </w:p>
    <w:p>
      <w:pPr>
        <w:spacing w:line="44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（一）总体要求：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1、投标人必须遵守劳动法，依法规范用工，全员签订劳动合同，全员办理社会保险（</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"https://baike.baidu.com/item/%E5%85%BB%E8%80%81%E4%BF%9D%E9%99%A9"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养老保险</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"https://baike.baidu.com/item/%E5%8C%BB%E7%96%97%E4%BF%9D%E9%99%A9"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医疗保险</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"https://baike.baidu.com/item/%E5%A4%B1%E4%B8%9A%E4%BF%9D%E9%99%A9"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失业保险</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"https://baike.baidu.com/item/%E5%B7%A5%E4%BC%A4%E4%BF%9D%E9%99%A9"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工伤保险</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"https://baike.baidu.com/item/%E7%94%9F%E8%82%B2%E4%BF%9D%E9%99%A9"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生育保险</w:t>
      </w:r>
      <w:r>
        <w:rPr>
          <w:rFonts w:hint="eastAsia" w:ascii="宋体" w:hAnsi="宋体" w:eastAsia="宋体" w:cs="宋体"/>
          <w:sz w:val="24"/>
          <w:szCs w:val="24"/>
        </w:rPr>
        <w:fldChar w:fldCharType="end"/>
      </w:r>
      <w:r>
        <w:rPr>
          <w:rFonts w:hint="eastAsia" w:ascii="宋体" w:hAnsi="宋体" w:eastAsia="宋体" w:cs="宋体"/>
          <w:sz w:val="24"/>
          <w:szCs w:val="24"/>
        </w:rPr>
        <w:t xml:space="preserve">）、意外保险。本项目所有人员工资应不低于最新公布的常熟市最低工资标准，高温费、加班费、福利费支付及带薪年休假按政策法规规定执行。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2、投标人须对服务人员进行严格审查，确保无违法犯罪记录、无不良嗜好、无精神疾病、无残疾、无纹身，工作高效、务实，责任心强。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3、在服务期内，采购人认为服务人员不能胜任停车管理工作的，投标人须无条件对服务</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员进行调整，确保服务人员可以胜任停车管理工作，并确保服务质量不因人员变动而受影响。</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4、因辞职、退岗、调岗等原因导致的人员缺额，投标人须在5个工作日内补全，缺额人员按照标准扣除相应费用。</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5、服务时间：服务时间、上岗、撤岗时间由采购人决定，投标人必须无条件服从。</w:t>
      </w:r>
      <w:r/>
    </w:p>
    <w:p>
      <w:pPr>
        <w:ind w:firstLine="480"/>
        <w:spacing w:line="440" w:lineRule="exact"/>
        <w:rPr>
          <w:rFonts w:hint="eastAsia"/>
          <w:lang w:eastAsia="zh-CN"/>
        </w:rPr>
      </w:pPr>
      <w:r>
        <w:rPr>
          <w:rFonts w:hint="eastAsia" w:ascii="宋体" w:hAnsi="宋体" w:eastAsia="宋体" w:cs="宋体"/>
          <w:sz w:val="24"/>
          <w:szCs w:val="24"/>
          <w:lang w:eastAsia="zh-CN"/>
        </w:rPr>
        <w:t xml:space="preserve">6、人员要求：</w:t>
      </w:r>
      <w:r/>
    </w:p>
    <w:p>
      <w:pPr>
        <w:ind w:firstLine="720"/>
        <w:spacing w:line="440" w:lineRule="exact"/>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6.1</w:t>
      </w:r>
      <w:r>
        <w:rPr>
          <w:rFonts w:hint="eastAsia" w:ascii="宋体" w:hAnsi="宋体" w:eastAsia="宋体" w:cs="宋体"/>
          <w:sz w:val="24"/>
          <w:szCs w:val="24"/>
        </w:rPr>
        <w:t xml:space="preserve">项目负责人、收费管理员及</w:t>
      </w:r>
      <w:r>
        <w:rPr>
          <w:rFonts w:hint="eastAsia" w:ascii="宋体" w:hAnsi="宋体" w:eastAsia="宋体" w:cs="宋体"/>
          <w:bCs w:val="0"/>
          <w:sz w:val="24"/>
          <w:szCs w:val="24"/>
          <w:highlight w:val="none"/>
        </w:rPr>
        <w:t xml:space="preserve">巡检人员</w:t>
      </w: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女不限，年龄均为</w:t>
      </w:r>
      <w:r>
        <w:rPr>
          <w:rFonts w:hint="eastAsia" w:ascii="宋体" w:hAnsi="宋体" w:eastAsia="宋体" w:cs="宋体"/>
          <w:bCs w:val="0"/>
          <w:sz w:val="24"/>
          <w:szCs w:val="24"/>
          <w:highlight w:val="none"/>
        </w:rPr>
        <w:t xml:space="preserve">6</w:t>
      </w:r>
      <w:r>
        <w:rPr>
          <w:rFonts w:hint="eastAsia" w:ascii="宋体" w:hAnsi="宋体" w:eastAsia="宋体" w:cs="宋体"/>
          <w:bCs w:val="0"/>
          <w:sz w:val="24"/>
          <w:szCs w:val="24"/>
          <w:highlight w:val="none"/>
          <w:lang w:val="en-US" w:eastAsia="zh-CN"/>
        </w:rPr>
        <w:t xml:space="preserve">5</w:t>
      </w:r>
      <w:r>
        <w:rPr>
          <w:rFonts w:hint="eastAsia" w:ascii="宋体" w:hAnsi="宋体" w:eastAsia="宋体" w:cs="宋体"/>
          <w:sz w:val="24"/>
          <w:szCs w:val="24"/>
          <w:highlight w:val="none"/>
        </w:rPr>
        <w:t xml:space="preserve">周岁以下；</w:t>
      </w:r>
      <w:r/>
    </w:p>
    <w:p>
      <w:pPr>
        <w:ind w:firstLine="720"/>
        <w:spacing w:line="440" w:lineRule="exact"/>
        <w:rPr>
          <w:rFonts w:hint="eastAsia" w:ascii="宋体" w:hAnsi="宋体" w:eastAsia="宋体" w:cs="宋体"/>
          <w:color w:val="000000"/>
          <w:sz w:val="24"/>
          <w:szCs w:val="24"/>
        </w:rPr>
      </w:pPr>
      <w:r>
        <w:rPr>
          <w:rFonts w:hint="eastAsia" w:ascii="宋体" w:hAnsi="宋体" w:eastAsia="宋体" w:cs="宋体"/>
          <w:sz w:val="24"/>
          <w:szCs w:val="24"/>
          <w:highlight w:val="none"/>
          <w:lang w:val="en-US" w:eastAsia="zh-CN"/>
        </w:rPr>
        <w:t xml:space="preserve">6.2</w:t>
      </w:r>
      <w:r>
        <w:rPr>
          <w:rFonts w:hint="eastAsia" w:ascii="宋体" w:hAnsi="宋体" w:eastAsia="宋体" w:cs="宋体"/>
          <w:sz w:val="24"/>
          <w:szCs w:val="24"/>
          <w:highlight w:val="none"/>
        </w:rPr>
        <w:t xml:space="preserve">具备一定的语言表达能力和沟通能力；人员要树立服务意识，服务态度要礼貌周</w:t>
      </w:r>
      <w:r>
        <w:rPr>
          <w:rFonts w:hint="eastAsia" w:ascii="宋体" w:hAnsi="宋体" w:eastAsia="宋体" w:cs="宋体"/>
          <w:sz w:val="24"/>
          <w:szCs w:val="24"/>
        </w:rPr>
        <w:t xml:space="preserve">到；人员仪表规范、文明用语。</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6.3</w:t>
      </w:r>
      <w:r>
        <w:rPr>
          <w:rFonts w:hint="eastAsia" w:ascii="宋体" w:hAnsi="宋体" w:eastAsia="宋体" w:cs="宋体"/>
          <w:sz w:val="24"/>
          <w:szCs w:val="24"/>
        </w:rPr>
        <w:t xml:space="preserve">根据医院管理需求，熟练掌握软硬件功能，了解特种车辆（急救车、消防车、医药物流车等）进出停车场软硬件功能解决方案及操作方法，保证特种车辆进出医院顺畅。</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服务</w:t>
      </w:r>
      <w:r>
        <w:rPr>
          <w:rFonts w:hint="eastAsia" w:ascii="宋体" w:hAnsi="宋体" w:eastAsia="宋体" w:cs="宋体"/>
          <w:color w:val="000000"/>
          <w:sz w:val="24"/>
          <w:szCs w:val="24"/>
        </w:rPr>
        <w:t xml:space="preserve">人员应服从采购人安排，遵守采购人的各项规章制度。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、软硬件设备要求：投标人需配备相关软硬件设备辅助完成停车场经营管理服务，投标人应对软件系统进行优化及提升以满足各项具体工作的需要。</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、装备要求：投标人需提供统一的工作服及必要的劳动防护用品。</w:t>
      </w:r>
      <w:r/>
    </w:p>
    <w:p>
      <w:pPr>
        <w:ind w:firstLine="480"/>
        <w:spacing w:line="440" w:lineRule="exact"/>
        <w:rPr>
          <w:rFonts w:hint="eastAsia"/>
        </w:rPr>
      </w:pPr>
      <w:r>
        <w:rPr>
          <w:rFonts w:hint="eastAsia" w:ascii="宋体" w:hAnsi="宋体" w:eastAsia="宋体" w:cs="宋体"/>
          <w:sz w:val="24"/>
          <w:szCs w:val="24"/>
          <w:lang w:val="en-US" w:eastAsia="zh-CN"/>
        </w:rPr>
        <w:t xml:space="preserve">10、中标人的工作人员因履行本项目服务工作而发生自身人身财产损害或造成他人人身财产损害的（包括上下班途中），由中标人自负，与采购人无关。</w:t>
      </w:r>
      <w:r/>
    </w:p>
    <w:p>
      <w:pPr>
        <w:spacing w:line="44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具体服务</w:t>
      </w:r>
      <w:r>
        <w:rPr>
          <w:rFonts w:hint="eastAsia" w:ascii="宋体" w:hAnsi="宋体" w:eastAsia="宋体" w:cs="宋体"/>
          <w:b/>
          <w:bCs/>
          <w:sz w:val="24"/>
          <w:szCs w:val="24"/>
          <w:lang w:val="zh-CN"/>
        </w:rPr>
        <w:t xml:space="preserve">要求：</w:t>
      </w:r>
      <w:r/>
    </w:p>
    <w:p>
      <w:pPr>
        <w:ind w:firstLine="480"/>
        <w:spacing w:line="440" w:lineRule="exact"/>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车辆管理要求：</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1.1引导车辆有序停放，有效减少高峰期排队情况。</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1.2指挥车辆按照指定区域有序停放，防止车辆阻塞出入口。</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1.3经常视察车场，保证车道、车场出入口周围道路畅通。</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1.4熟悉掌握车辆流通情况，车位情况，合理布署安排。</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1.5熟悉停车场内辖区道路，车位使用情况，负责停车系统的运维管理工作，以确保停车场经营管理工作顺利及有效开展。</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1.6确保停车场车辆安全，无车辆毁损、无道路交通事故发生。</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1.7保证停车费正常收缴，无重大客户投诉事件发生。</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1.8保证医院内部员工车辆有序停放，并停在负一层员工专用停车车位</w:t>
      </w:r>
      <w:r>
        <w:rPr>
          <w:rFonts w:hint="eastAsia" w:ascii="宋体" w:hAnsi="宋体" w:eastAsia="宋体" w:cs="宋体"/>
          <w:sz w:val="24"/>
          <w:szCs w:val="24"/>
          <w:lang w:val="en-US" w:eastAsia="zh-CN"/>
        </w:rPr>
        <w:t xml:space="preserve">内</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停车服务管理要求：</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2.1投标人应做好收费人员的安全教育工作，办理相关安全保险并承担有关费用，所有服务人员的安全责任由投标人负责。</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2.2投标人应加强管理，避免造成停放车辆损坏和财产损失，因管理不善带来的损失和赔偿责任由投标人负责。</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2.3投标人负责解决处理所有停车场内因停车发生的一切纠纷。</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2.4收费服务：</w:t>
      </w:r>
      <w:r/>
    </w:p>
    <w:p>
      <w:pPr>
        <w:ind w:firstLine="96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2.4.1收费人员应穿着具有明显标识的反光背心，背心正面应印制“停车管理”标识。</w:t>
      </w:r>
      <w:r/>
    </w:p>
    <w:p>
      <w:pPr>
        <w:ind w:firstLine="96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2.4.2收费人员应佩戴由常熟市物价局统一发放的收费员证书。</w:t>
      </w:r>
      <w:r/>
    </w:p>
    <w:p>
      <w:pPr>
        <w:ind w:firstLine="96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2.4.3收费人员应主动引导停车人将车辆有序停放至规定的划线区域。</w:t>
      </w:r>
      <w:r/>
    </w:p>
    <w:p>
      <w:pPr>
        <w:ind w:firstLine="96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收费人员不得超过规定收费区域收费。</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2.5地上、地下停车场应配备各类清洁工具和各类停车场指挥工具。</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2.6投标人应确保停车场标识和标线的明晰、完好，做好常态化巡查工作，如发现设施（包括：护角、减速带、标志标牌、智能道闸等）有损坏，通知采购人，进行维修。</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2.7投标人负责停车场车辆违停管理，以劝阻乱停车、引导有序停放为主。</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2.8投标人负责停车场非机动车停放秩序和乱涂、乱写、乱张贴、乱拉挂的清理。</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2.9遇有重大活动、突击整治或管理需要，投标人应服从采购人调整要求。</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2.10做好停车场台账工作，每月向采购人提供停车场费用财务报表等。</w:t>
      </w:r>
      <w:r/>
    </w:p>
    <w:p>
      <w:pPr>
        <w:ind w:firstLine="72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2.11投标人做好停车场区域白色垃圾的清理工作。</w:t>
      </w:r>
      <w:r/>
    </w:p>
    <w:p>
      <w:pPr>
        <w:spacing w:line="44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维修说明</w:t>
      </w:r>
      <w:r>
        <w:rPr>
          <w:rFonts w:hint="eastAsia" w:ascii="宋体" w:hAnsi="宋体" w:eastAsia="宋体" w:cs="宋体"/>
          <w:b/>
          <w:bCs/>
          <w:sz w:val="24"/>
          <w:szCs w:val="24"/>
          <w:highlight w:val="none"/>
          <w:lang w:val="zh-CN"/>
        </w:rPr>
        <w:t xml:space="preserve">：</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单次维修费用≤500元，甲方不再另外支付维修费用，维修内容包含：</w:t>
      </w:r>
      <w:r/>
    </w:p>
    <w:p>
      <w:pPr>
        <w:ind w:firstLine="24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辅材材料费，材料包含易损零部件，如弹簧、一体机电源、监控电源、开关电源、遥控器、网线电源线、空气开关、光纤续接盒、地感车辆检测器、一体机玻璃、一体机补光灯、一体机喇叭、防撞柱、减速带。</w:t>
      </w:r>
      <w:r/>
    </w:p>
    <w:p>
      <w:pPr>
        <w:ind w:firstLine="24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（2）上门人工费，即售后人员上门维修的人工成本。</w:t>
      </w:r>
      <w:r/>
    </w:p>
    <w:p>
      <w:pPr>
        <w:spacing w:line="440" w:lineRule="exact"/>
        <w:rPr>
          <w:b/>
          <w:bCs/>
          <w:sz w:val="28"/>
          <w:szCs w:val="22"/>
          <w:highlight w:val="none"/>
        </w:rPr>
      </w:pPr>
      <w:r>
        <w:rPr>
          <w:rFonts w:hint="eastAsia"/>
          <w:b/>
          <w:bCs/>
          <w:sz w:val="28"/>
          <w:szCs w:val="22"/>
          <w:highlight w:val="none"/>
          <w:lang w:val="en-US" w:eastAsia="zh-CN"/>
        </w:rPr>
        <w:t xml:space="preserve">四</w:t>
      </w:r>
      <w:r>
        <w:rPr>
          <w:b/>
          <w:bCs/>
          <w:sz w:val="28"/>
          <w:szCs w:val="22"/>
          <w:highlight w:val="none"/>
        </w:rPr>
        <w:t xml:space="preserve">、投标报价要求：</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highlight w:val="none"/>
        </w:rPr>
        <w:t xml:space="preserve">1、</w:t>
      </w:r>
      <w:r>
        <w:rPr>
          <w:rFonts w:hint="eastAsia" w:ascii="Times New Roman" w:hAnsi="Times New Roman" w:eastAsia="宋体" w:cs="Times New Roman"/>
          <w:sz w:val="24"/>
          <w:szCs w:val="24"/>
          <w:highlight w:val="none"/>
        </w:rPr>
        <w:t xml:space="preserve">投标人须对本项目中的所有服务进行报价，不得拆开投报或</w:t>
      </w:r>
      <w:r>
        <w:rPr>
          <w:rFonts w:hint="eastAsia" w:ascii="Times New Roman" w:hAnsi="Times New Roman" w:eastAsia="宋体" w:cs="Times New Roman"/>
          <w:sz w:val="24"/>
          <w:szCs w:val="24"/>
        </w:rPr>
        <w:t xml:space="preserve">只对其中的部分内容进行投报，否则作无效投标处理</w:t>
      </w:r>
      <w:r>
        <w:rPr>
          <w:rFonts w:hint="eastAsia" w:ascii="Times New Roman" w:hAnsi="Times New Roman" w:eastAsia="宋体" w:cs="Times New Roman"/>
          <w:sz w:val="24"/>
          <w:szCs w:val="20"/>
        </w:rPr>
        <w:t xml:space="preserve">。</w:t>
      </w:r>
      <w:r/>
    </w:p>
    <w:p>
      <w:pPr>
        <w:ind w:firstLine="480"/>
        <w:spacing w:line="440" w:lineRule="exact"/>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2</w:t>
      </w:r>
      <w:r>
        <w:rPr>
          <w:rFonts w:ascii="Times New Roman" w:hAnsi="Times New Roman" w:eastAsia="宋体" w:cs="Times New Roman"/>
          <w:color w:val="000000"/>
          <w:sz w:val="24"/>
          <w:szCs w:val="20"/>
        </w:rPr>
        <w:t xml:space="preserve">、项目实施过程中由采购人</w:t>
      </w:r>
      <w:r>
        <w:rPr>
          <w:rFonts w:hint="eastAsia" w:ascii="Times New Roman" w:hAnsi="Times New Roman" w:eastAsia="宋体" w:cs="Times New Roman"/>
          <w:color w:val="000000"/>
          <w:sz w:val="24"/>
          <w:szCs w:val="20"/>
        </w:rPr>
        <w:t xml:space="preserve">负责事项</w:t>
      </w:r>
      <w:r>
        <w:rPr>
          <w:rFonts w:ascii="Times New Roman" w:hAnsi="Times New Roman" w:eastAsia="宋体" w:cs="Times New Roman"/>
          <w:color w:val="000000"/>
          <w:sz w:val="24"/>
          <w:szCs w:val="20"/>
        </w:rPr>
        <w:t xml:space="preserve">：</w:t>
      </w:r>
      <w:r/>
    </w:p>
    <w:p>
      <w:pPr>
        <w:ind w:firstLine="720"/>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负责设施（包括：护角、减速带、标志标牌、智能道闸等）整修费用。</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lang w:val="en-US" w:eastAsia="zh-CN"/>
        </w:rPr>
        <w:t xml:space="preserve">3</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lang w:eastAsia="zh-CN"/>
        </w:rPr>
        <w:t xml:space="preserve">常熟市第二人民医院（台山路院区）停车场经营管理服务</w:t>
      </w:r>
      <w:r>
        <w:rPr>
          <w:rFonts w:hint="eastAsia" w:ascii="Times New Roman" w:hAnsi="Times New Roman" w:eastAsia="宋体" w:cs="Times New Roman"/>
          <w:sz w:val="24"/>
          <w:szCs w:val="20"/>
        </w:rPr>
        <w:t xml:space="preserve">费用包含完成本项目服务所需的所有费用，包括：</w:t>
      </w:r>
      <w:r>
        <w:rPr>
          <w:rFonts w:hint="eastAsia" w:ascii="Times New Roman" w:hAnsi="Times New Roman" w:eastAsia="宋体" w:cs="Times New Roman"/>
          <w:sz w:val="24"/>
          <w:szCs w:val="20"/>
          <w:highlight w:val="none"/>
        </w:rPr>
        <w:t xml:space="preserve">人员费（包括人员工资、社会保险费用、福利费、人身意外伤害险、加班费等）</w:t>
      </w:r>
      <w:r>
        <w:rPr>
          <w:rFonts w:hint="eastAsia" w:ascii="Times New Roman" w:hAnsi="Times New Roman" w:eastAsia="宋体" w:cs="Times New Roman"/>
          <w:sz w:val="24"/>
          <w:szCs w:val="20"/>
        </w:rPr>
        <w:t xml:space="preserve">、软硬件设备工具费、</w:t>
      </w:r>
      <w:r>
        <w:rPr>
          <w:rFonts w:hint="eastAsia" w:ascii="Times New Roman" w:hAnsi="Times New Roman" w:eastAsia="宋体" w:cs="Times New Roman"/>
          <w:sz w:val="24"/>
          <w:szCs w:val="24"/>
        </w:rPr>
        <w:t xml:space="preserve">装备</w:t>
      </w:r>
      <w:r>
        <w:rPr>
          <w:rFonts w:ascii="Times New Roman" w:hAnsi="Times New Roman" w:eastAsia="宋体" w:cs="Times New Roman"/>
          <w:sz w:val="24"/>
          <w:szCs w:val="24"/>
        </w:rPr>
        <w:t xml:space="preserve">费</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0"/>
        </w:rPr>
        <w:t xml:space="preserve">包括作业服装费、劳动防护用品费</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rPr>
          <w:rFonts w:ascii="宋体" w:hAnsi="宋体" w:eastAsia="宋体" w:cs="宋体"/>
          <w:sz w:val="24"/>
          <w:szCs w:val="24"/>
        </w:rPr>
        <w:t xml:space="preserve">停车场软件系统使用费及升级费</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sz w:val="24"/>
          <w:szCs w:val="20"/>
        </w:rPr>
        <w:t xml:space="preserve">材料消耗费、打印费、管理费、交通费、</w:t>
      </w:r>
      <w:r>
        <w:rPr>
          <w:rFonts w:hint="eastAsia" w:ascii="Times New Roman" w:hAnsi="Times New Roman" w:eastAsia="宋体" w:cs="Times New Roman"/>
          <w:color w:val="000000"/>
          <w:sz w:val="24"/>
          <w:szCs w:val="24"/>
        </w:rPr>
        <w:t xml:space="preserve">通讯费、</w:t>
      </w:r>
      <w:r>
        <w:rPr>
          <w:rFonts w:hint="eastAsia" w:ascii="Times New Roman" w:hAnsi="Times New Roman" w:eastAsia="宋体" w:cs="Times New Roman"/>
          <w:sz w:val="24"/>
          <w:szCs w:val="20"/>
        </w:rPr>
        <w:t xml:space="preserve">就餐住宿费、风险费、利润、税金、政策性文件规定及合同包含的所有风险、责任等所有</w:t>
      </w:r>
      <w:r>
        <w:rPr>
          <w:rFonts w:hint="eastAsia" w:ascii="Times New Roman" w:hAnsi="Times New Roman" w:eastAsia="宋体" w:cs="Times New Roman"/>
          <w:color w:val="000000"/>
          <w:sz w:val="24"/>
          <w:szCs w:val="20"/>
        </w:rPr>
        <w:t xml:space="preserve">费用</w:t>
      </w:r>
      <w:r>
        <w:rPr>
          <w:rFonts w:ascii="Times New Roman" w:hAnsi="Times New Roman" w:eastAsia="宋体" w:cs="Times New Roman"/>
          <w:color w:val="000000"/>
          <w:sz w:val="24"/>
          <w:szCs w:val="20"/>
        </w:rPr>
        <w:t xml:space="preserve">（</w:t>
      </w:r>
      <w:r>
        <w:rPr>
          <w:rFonts w:hint="eastAsia" w:ascii="Times New Roman" w:hAnsi="Times New Roman" w:eastAsia="宋体" w:cs="Times New Roman"/>
          <w:color w:val="000000"/>
          <w:sz w:val="24"/>
          <w:szCs w:val="20"/>
          <w:lang w:val="en-US" w:eastAsia="zh-CN"/>
        </w:rPr>
        <w:t xml:space="preserve">采购人不再为本项目承担其他任何费用，</w:t>
      </w:r>
      <w:r>
        <w:rPr>
          <w:rFonts w:ascii="Times New Roman" w:hAnsi="Times New Roman" w:eastAsia="宋体" w:cs="Times New Roman"/>
          <w:color w:val="000000"/>
          <w:sz w:val="24"/>
          <w:szCs w:val="20"/>
        </w:rPr>
        <w:t xml:space="preserve">采购人承担的项目及费用除外）</w:t>
      </w:r>
      <w:r>
        <w:rPr>
          <w:rFonts w:hint="eastAsia" w:ascii="Times New Roman" w:hAnsi="Times New Roman" w:eastAsia="宋体" w:cs="Times New Roman"/>
          <w:sz w:val="24"/>
          <w:szCs w:val="20"/>
        </w:rPr>
        <w:t xml:space="preserve">。</w:t>
      </w:r>
      <w:r/>
    </w:p>
    <w:p>
      <w:pPr>
        <w:ind w:firstLine="480"/>
        <w:spacing w:line="450" w:lineRule="exact"/>
        <w:rPr>
          <w:rFonts w:ascii="Times New Roman" w:hAnsi="Times New Roman" w:eastAsia="宋体" w:cs="Times New Roman"/>
          <w:szCs w:val="20"/>
        </w:rPr>
      </w:pPr>
      <w:r>
        <w:rPr>
          <w:rFonts w:hint="eastAsia" w:ascii="Times New Roman" w:hAnsi="Times New Roman" w:eastAsia="宋体" w:cs="Times New Roman"/>
          <w:color w:val="000000"/>
          <w:sz w:val="24"/>
          <w:szCs w:val="20"/>
          <w:lang w:val="en-US" w:eastAsia="zh-CN"/>
        </w:rPr>
        <w:t xml:space="preserve">4</w:t>
      </w:r>
      <w:r>
        <w:rPr>
          <w:rFonts w:ascii="Times New Roman" w:hAnsi="Times New Roman" w:eastAsia="宋体" w:cs="Times New Roman"/>
          <w:color w:val="000000"/>
          <w:sz w:val="24"/>
          <w:szCs w:val="20"/>
        </w:rPr>
        <w:t xml:space="preserve">、投标人在</w:t>
      </w:r>
      <w:r>
        <w:rPr>
          <w:rFonts w:hint="eastAsia" w:ascii="Times New Roman" w:hAnsi="Times New Roman" w:eastAsia="宋体" w:cs="Times New Roman"/>
          <w:color w:val="000000"/>
          <w:sz w:val="24"/>
          <w:szCs w:val="20"/>
        </w:rPr>
        <w:t xml:space="preserve">投标</w:t>
      </w:r>
      <w:r>
        <w:rPr>
          <w:rFonts w:ascii="Times New Roman" w:hAnsi="Times New Roman" w:eastAsia="宋体" w:cs="Times New Roman"/>
          <w:color w:val="000000"/>
          <w:sz w:val="24"/>
          <w:szCs w:val="20"/>
        </w:rPr>
        <w:t xml:space="preserve">报价时应考虑各种风险因素，相关风险因素费用包含</w:t>
      </w:r>
      <w:r>
        <w:rPr>
          <w:rFonts w:ascii="Times New Roman" w:hAnsi="Times New Roman" w:eastAsia="宋体" w:cs="Times New Roman"/>
          <w:color w:val="000000"/>
          <w:sz w:val="24"/>
          <w:szCs w:val="22"/>
        </w:rPr>
        <w:t xml:space="preserve">在投标</w:t>
      </w:r>
      <w:r>
        <w:rPr>
          <w:rFonts w:hint="eastAsia" w:ascii="Times New Roman" w:hAnsi="Times New Roman" w:eastAsia="宋体" w:cs="Times New Roman"/>
          <w:color w:val="000000"/>
          <w:sz w:val="24"/>
          <w:szCs w:val="22"/>
        </w:rPr>
        <w:t xml:space="preserve">报价</w:t>
      </w:r>
      <w:r>
        <w:rPr>
          <w:rFonts w:ascii="Times New Roman" w:hAnsi="Times New Roman" w:eastAsia="宋体" w:cs="Times New Roman"/>
          <w:color w:val="000000"/>
          <w:sz w:val="24"/>
          <w:szCs w:val="22"/>
        </w:rPr>
        <w:t xml:space="preserve">中</w:t>
      </w:r>
      <w:r>
        <w:rPr>
          <w:rFonts w:ascii="Times New Roman" w:hAnsi="Times New Roman" w:eastAsia="宋体" w:cs="Times New Roman"/>
          <w:color w:val="000000"/>
          <w:sz w:val="24"/>
          <w:szCs w:val="20"/>
        </w:rPr>
        <w:t xml:space="preserve">。</w:t>
      </w:r>
      <w:r>
        <w:rPr>
          <w:rFonts w:ascii="Times New Roman" w:hAnsi="Times New Roman" w:eastAsia="宋体" w:cs="Times New Roman"/>
          <w:color w:val="000000"/>
          <w:sz w:val="24"/>
          <w:szCs w:val="24"/>
        </w:rPr>
        <w:t xml:space="preserve">风险因素包括</w:t>
      </w:r>
      <w:r>
        <w:rPr>
          <w:rFonts w:hint="eastAsia" w:ascii="Times New Roman" w:hAnsi="Times New Roman" w:eastAsia="宋体" w:cs="Times New Roman"/>
          <w:sz w:val="24"/>
          <w:szCs w:val="20"/>
        </w:rPr>
        <w:t xml:space="preserve">遇重大活动、检查、不可抗力、突发情况、</w:t>
      </w:r>
      <w:r>
        <w:rPr>
          <w:rFonts w:ascii="Times New Roman" w:hAnsi="Times New Roman" w:eastAsia="宋体" w:cs="Times New Roman"/>
          <w:color w:val="000000"/>
          <w:sz w:val="24"/>
          <w:szCs w:val="24"/>
        </w:rPr>
        <w:t xml:space="preserve">最低工资调整、物价调整、</w:t>
      </w:r>
      <w:r>
        <w:rPr>
          <w:rFonts w:hint="eastAsia" w:ascii="Times New Roman" w:hAnsi="Times New Roman" w:eastAsia="宋体" w:cs="Times New Roman"/>
          <w:sz w:val="24"/>
          <w:szCs w:val="20"/>
        </w:rPr>
        <w:t xml:space="preserve">社保调整、公积金调整、</w:t>
      </w:r>
      <w:r>
        <w:rPr>
          <w:rFonts w:ascii="Times New Roman" w:hAnsi="Times New Roman" w:eastAsia="宋体" w:cs="Times New Roman"/>
          <w:color w:val="000000"/>
          <w:sz w:val="24"/>
          <w:szCs w:val="24"/>
        </w:rPr>
        <w:t xml:space="preserve">税费调整等。</w:t>
      </w:r>
      <w:r/>
    </w:p>
    <w:p>
      <w:pPr>
        <w:spacing w:line="440" w:lineRule="exact"/>
        <w:rPr>
          <w:rFonts w:hint="default" w:cs="宋体"/>
          <w:b/>
          <w:sz w:val="28"/>
          <w:szCs w:val="28"/>
          <w:lang w:val="en-US" w:eastAsia="zh-CN"/>
        </w:rPr>
        <w:outlineLvl w:val="9"/>
      </w:pPr>
      <w:r>
        <w:rPr>
          <w:rFonts w:hint="eastAsia" w:cs="宋体"/>
          <w:b/>
          <w:sz w:val="28"/>
          <w:szCs w:val="28"/>
          <w:lang w:val="en-US" w:eastAsia="zh-CN"/>
        </w:rPr>
        <w:t xml:space="preserve">五</w:t>
      </w:r>
      <w:r>
        <w:rPr>
          <w:rFonts w:hint="eastAsia" w:cs="宋体"/>
          <w:b/>
          <w:sz w:val="28"/>
          <w:szCs w:val="28"/>
          <w:lang w:val="zh-CN"/>
        </w:rPr>
        <w:t xml:space="preserve">、</w:t>
      </w:r>
      <w:r>
        <w:rPr>
          <w:rFonts w:hint="eastAsia" w:cs="宋体"/>
          <w:b/>
          <w:sz w:val="28"/>
          <w:szCs w:val="28"/>
          <w:lang w:val="en-US" w:eastAsia="zh-CN"/>
        </w:rPr>
        <w:t xml:space="preserve">其他说明</w:t>
      </w:r>
      <w:r/>
    </w:p>
    <w:p>
      <w:pPr>
        <w:ind w:firstLine="241"/>
        <w:spacing w:line="440" w:lineRule="exact"/>
        <w:rPr>
          <w:rFonts w:hint="eastAsia" w:ascii="宋体" w:hAnsi="宋体"/>
          <w:b/>
          <w:color w:val="000000"/>
          <w:sz w:val="24"/>
          <w:szCs w:val="24"/>
        </w:rPr>
      </w:pPr>
      <w:r>
        <w:rPr>
          <w:rFonts w:hint="eastAsia" w:ascii="宋体" w:hAnsi="宋体"/>
          <w:b/>
          <w:color w:val="000000"/>
          <w:sz w:val="24"/>
          <w:szCs w:val="24"/>
          <w:lang w:val="en-US" w:eastAsia="zh-CN"/>
        </w:rPr>
        <w:t xml:space="preserve">1、</w:t>
      </w:r>
      <w:r>
        <w:rPr>
          <w:rFonts w:hint="eastAsia" w:ascii="宋体" w:hAnsi="宋体"/>
          <w:b/>
          <w:color w:val="000000"/>
          <w:sz w:val="24"/>
          <w:szCs w:val="24"/>
        </w:rPr>
        <w:t xml:space="preserve">项目需求中带“</w:t>
      </w:r>
      <w:r>
        <w:rPr>
          <w:rFonts w:hint="eastAsia" w:asciiTheme="minorEastAsia" w:hAnsiTheme="minorEastAsia" w:eastAsiaTheme="minorEastAsia" w:cstheme="minorEastAsia"/>
          <w:sz w:val="24"/>
          <w:szCs w:val="22"/>
        </w:rPr>
        <w:t xml:space="preserve">★</w:t>
      </w:r>
      <w:r>
        <w:rPr>
          <w:rFonts w:hint="eastAsia" w:ascii="宋体" w:hAnsi="宋体"/>
          <w:b/>
          <w:color w:val="000000"/>
          <w:sz w:val="24"/>
          <w:szCs w:val="24"/>
        </w:rPr>
        <w:t xml:space="preserve">”要求为本项目的实质性要求，投标人必须在投标文件响应，否则视为无效投标。</w:t>
      </w:r>
      <w:r/>
    </w:p>
    <w:p>
      <w:pPr>
        <w:ind w:firstLine="240"/>
        <w:spacing w:after="0" w:line="440" w:lineRule="exact"/>
        <w:widowControl w:val="off"/>
        <w:rPr>
          <w:rFonts w:hint="eastAsia" w:ascii="Times New Roman" w:hAnsi="Times New Roman" w:eastAsia="宋体" w:cs="Times New Roman"/>
          <w:b w:val="0"/>
          <w:bCs/>
          <w:sz w:val="24"/>
        </w:rPr>
      </w:pPr>
      <w:r>
        <w:rPr>
          <w:rFonts w:hint="eastAsia" w:ascii="Times New Roman" w:hAnsi="Times New Roman" w:eastAsia="宋体" w:cs="Times New Roman"/>
          <w:b w:val="0"/>
          <w:bCs/>
          <w:sz w:val="24"/>
          <w:lang w:val="en-US" w:eastAsia="zh-CN"/>
        </w:rPr>
        <w:t xml:space="preserve">2</w:t>
      </w:r>
      <w:r>
        <w:rPr>
          <w:rFonts w:hint="eastAsia" w:ascii="Times New Roman" w:hAnsi="Times New Roman" w:eastAsia="宋体" w:cs="Times New Roman"/>
          <w:b w:val="0"/>
          <w:bCs/>
          <w:sz w:val="24"/>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240"/>
        <w:spacing w:after="0" w:line="440" w:lineRule="exact"/>
        <w:widowControl w:val="off"/>
        <w:rPr>
          <w:rFonts w:hint="eastAsia" w:ascii="Times New Roman" w:hAnsi="Times New Roman" w:eastAsia="宋体" w:cs="Times New Roman"/>
          <w:b w:val="0"/>
          <w:bCs/>
          <w:sz w:val="24"/>
          <w:lang w:val="en-US" w:eastAsia="zh-CN"/>
        </w:rPr>
      </w:pPr>
      <w:r>
        <w:rPr>
          <w:rFonts w:hint="eastAsia" w:ascii="Times New Roman" w:hAnsi="Times New Roman" w:eastAsia="宋体" w:cs="Times New Roman"/>
          <w:b w:val="0"/>
          <w:bCs/>
          <w:sz w:val="24"/>
          <w:lang w:val="en-US" w:eastAsia="zh-CN"/>
        </w:rPr>
        <w:t xml:space="preserve">3、投标人应根据本项目的服务特点制定各项服务方案，方案要求如下：</w:t>
      </w:r>
      <w:r/>
    </w:p>
    <w:p>
      <w:pPr>
        <w:ind w:firstLine="513"/>
        <w:jc w:val="left"/>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bCs w:val="0"/>
          <w:sz w:val="24"/>
          <w:szCs w:val="24"/>
        </w:rPr>
        <w:t xml:space="preserve">日常停车管理服务方案</w:t>
      </w:r>
      <w:r>
        <w:rPr>
          <w:rFonts w:hint="eastAsia" w:ascii="宋体" w:hAnsi="宋体" w:eastAsia="宋体" w:cs="宋体"/>
          <w:bCs w:val="0"/>
          <w:sz w:val="24"/>
          <w:szCs w:val="24"/>
          <w:lang w:eastAsia="zh-CN"/>
        </w:rPr>
        <w:t xml:space="preserve">（</w:t>
      </w:r>
      <w:r>
        <w:rPr>
          <w:rFonts w:hint="eastAsia" w:ascii="宋体" w:hAnsi="宋体" w:eastAsia="宋体" w:cs="宋体"/>
          <w:color w:val="000000"/>
          <w:sz w:val="24"/>
          <w:lang w:val="en-US" w:eastAsia="zh-CN"/>
        </w:rPr>
        <w:t xml:space="preserve">①</w:t>
      </w:r>
      <w:r>
        <w:rPr>
          <w:rFonts w:hint="eastAsia" w:ascii="宋体" w:hAnsi="宋体" w:eastAsia="宋体" w:cs="宋体"/>
          <w:bCs w:val="0"/>
          <w:sz w:val="24"/>
          <w:szCs w:val="24"/>
        </w:rPr>
        <w:t xml:space="preserve">管理服务的详细实施计划、服务内容、质量管理</w:t>
      </w:r>
      <w:r>
        <w:rPr>
          <w:rFonts w:hint="eastAsia" w:ascii="宋体" w:hAnsi="宋体" w:eastAsia="宋体" w:cs="宋体"/>
          <w:sz w:val="24"/>
          <w:szCs w:val="24"/>
        </w:rPr>
        <w:t xml:space="preserve">、</w:t>
      </w:r>
      <w:r>
        <w:rPr>
          <w:rFonts w:hint="eastAsia" w:ascii="宋体" w:hAnsi="宋体" w:eastAsia="宋体" w:cs="宋体"/>
          <w:color w:val="000000"/>
          <w:sz w:val="24"/>
          <w:lang w:val="en-US" w:eastAsia="zh-CN"/>
        </w:rPr>
        <w:t xml:space="preserve">②</w:t>
      </w:r>
      <w:r>
        <w:rPr>
          <w:rFonts w:hint="eastAsia" w:ascii="宋体" w:hAnsi="宋体" w:eastAsia="宋体" w:cs="宋体"/>
          <w:bCs w:val="0"/>
          <w:sz w:val="24"/>
          <w:szCs w:val="24"/>
        </w:rPr>
        <w:t xml:space="preserve">运作流程</w:t>
      </w:r>
      <w:r>
        <w:rPr>
          <w:rFonts w:hint="eastAsia" w:ascii="宋体" w:hAnsi="宋体" w:eastAsia="宋体" w:cs="宋体"/>
          <w:bCs w:val="0"/>
          <w:sz w:val="24"/>
          <w:szCs w:val="24"/>
          <w:lang w:eastAsia="zh-CN"/>
        </w:rPr>
        <w:t xml:space="preserve">、</w:t>
      </w:r>
      <w:r>
        <w:rPr>
          <w:rFonts w:hint="eastAsia" w:ascii="宋体" w:hAnsi="宋体" w:eastAsia="宋体" w:cs="宋体"/>
          <w:color w:val="000000"/>
          <w:sz w:val="24"/>
          <w:lang w:val="en-US" w:eastAsia="zh-CN"/>
        </w:rPr>
        <w:t xml:space="preserve">③</w:t>
      </w:r>
      <w:r>
        <w:rPr>
          <w:rFonts w:hint="eastAsia" w:ascii="宋体" w:hAnsi="宋体" w:eastAsia="宋体" w:cs="宋体"/>
          <w:bCs w:val="0"/>
          <w:sz w:val="24"/>
          <w:szCs w:val="24"/>
        </w:rPr>
        <w:t xml:space="preserve">培训方案</w:t>
      </w:r>
      <w:r>
        <w:rPr>
          <w:rFonts w:hint="eastAsia" w:ascii="宋体" w:hAnsi="宋体" w:eastAsia="宋体" w:cs="宋体"/>
          <w:bCs w:val="0"/>
          <w:sz w:val="24"/>
          <w:szCs w:val="24"/>
          <w:lang w:eastAsia="zh-CN"/>
        </w:rPr>
        <w:t xml:space="preserve">、</w:t>
      </w:r>
      <w:r>
        <w:rPr>
          <w:rFonts w:hint="eastAsia" w:ascii="宋体" w:hAnsi="宋体" w:eastAsia="宋体" w:cs="宋体"/>
          <w:sz w:val="24"/>
          <w:szCs w:val="24"/>
          <w:highlight w:val="none"/>
          <w:lang w:val="en-US" w:eastAsia="zh-CN"/>
        </w:rPr>
        <w:t xml:space="preserve">④</w:t>
      </w:r>
      <w:r>
        <w:rPr>
          <w:rFonts w:hint="eastAsia" w:ascii="宋体" w:hAnsi="宋体" w:eastAsia="宋体" w:cs="宋体"/>
          <w:bCs w:val="0"/>
          <w:sz w:val="24"/>
          <w:szCs w:val="24"/>
        </w:rPr>
        <w:t xml:space="preserve">服务质量保障措施</w:t>
      </w:r>
      <w:r>
        <w:rPr>
          <w:rFonts w:hint="eastAsia" w:ascii="宋体" w:hAnsi="宋体" w:eastAsia="宋体" w:cs="宋体"/>
          <w:bCs w:val="0"/>
          <w:sz w:val="24"/>
          <w:szCs w:val="24"/>
          <w:lang w:eastAsia="zh-CN"/>
        </w:rPr>
        <w:t xml:space="preserve">、⑤</w:t>
      </w:r>
      <w:r>
        <w:rPr>
          <w:rFonts w:hint="eastAsia" w:ascii="宋体" w:hAnsi="宋体" w:eastAsia="宋体" w:cs="宋体"/>
          <w:bCs w:val="0"/>
          <w:sz w:val="24"/>
          <w:szCs w:val="24"/>
        </w:rPr>
        <w:t xml:space="preserve">信息保密措施</w:t>
      </w:r>
      <w:r>
        <w:rPr>
          <w:rFonts w:hint="eastAsia" w:ascii="宋体" w:hAnsi="宋体" w:eastAsia="宋体" w:cs="宋体"/>
          <w:bCs w:val="0"/>
          <w:sz w:val="24"/>
          <w:szCs w:val="24"/>
          <w:lang w:eastAsia="zh-CN"/>
        </w:rPr>
        <w:t xml:space="preserve">）</w:t>
      </w:r>
      <w:r/>
    </w:p>
    <w:p>
      <w:pPr>
        <w:ind w:firstLine="513"/>
        <w:jc w:val="left"/>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w:t>
      </w:r>
      <w:r>
        <w:rPr>
          <w:rFonts w:hint="eastAsia"/>
          <w:sz w:val="24"/>
          <w:szCs w:val="24"/>
          <w:highlight w:val="none"/>
        </w:rPr>
        <w:t xml:space="preserve">停车场车辆流线规划</w:t>
      </w:r>
      <w:r>
        <w:rPr>
          <w:rFonts w:hint="eastAsia"/>
          <w:sz w:val="24"/>
          <w:highlight w:val="none"/>
        </w:rPr>
        <w:t xml:space="preserve">方案</w:t>
      </w:r>
      <w:r/>
    </w:p>
    <w:p>
      <w:pPr>
        <w:ind w:firstLine="513"/>
        <w:jc w:val="left"/>
        <w:keepLines w:val="0"/>
        <w:keepNext w:val="0"/>
        <w:pageBreakBefore w:val="0"/>
        <w:spacing w:line="440" w:lineRule="exact"/>
        <w:widowControl w:val="off"/>
        <w:rPr>
          <w:rFonts w:hint="eastAsia" w:ascii="宋体" w:hAnsi="宋体" w:eastAsia="宋体" w:cs="宋体"/>
          <w:bCs w:val="0"/>
          <w:sz w:val="24"/>
          <w:szCs w:val="24"/>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bCs w:val="0"/>
          <w:sz w:val="24"/>
          <w:szCs w:val="24"/>
        </w:rPr>
        <w:t xml:space="preserve">应急预案</w:t>
      </w:r>
      <w:r/>
    </w:p>
    <w:p>
      <w:pPr>
        <w:ind w:firstLine="513"/>
        <w:jc w:val="left"/>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3.4</w:t>
      </w:r>
      <w:r>
        <w:rPr>
          <w:rFonts w:hint="eastAsia" w:ascii="宋体" w:hAnsi="宋体" w:eastAsia="宋体" w:cs="宋体"/>
          <w:bCs w:val="0"/>
          <w:sz w:val="24"/>
          <w:szCs w:val="24"/>
        </w:rPr>
        <w:t xml:space="preserve">管理服务规章制度</w:t>
      </w:r>
      <w:r>
        <w:rPr>
          <w:rFonts w:hint="eastAsia" w:ascii="宋体" w:hAnsi="宋体" w:eastAsia="宋体" w:cs="宋体"/>
          <w:bCs w:val="0"/>
          <w:sz w:val="24"/>
          <w:szCs w:val="24"/>
          <w:lang w:eastAsia="zh-CN"/>
        </w:rPr>
        <w:t xml:space="preserve">（</w:t>
      </w:r>
      <w:r>
        <w:rPr>
          <w:rFonts w:hint="eastAsia"/>
          <w:b w:val="0"/>
          <w:bCs/>
          <w:color w:val="000000"/>
          <w:sz w:val="24"/>
          <w:szCs w:val="22"/>
          <w:highlight w:val="none"/>
        </w:rPr>
        <w:t xml:space="preserve">①停车场管理服务规章制度、②</w:t>
      </w:r>
      <w:r>
        <w:rPr>
          <w:rFonts w:hint="eastAsia" w:ascii="宋体" w:hAnsi="宋体" w:eastAsia="宋体" w:cs="宋体"/>
          <w:b w:val="0"/>
          <w:bCs/>
          <w:sz w:val="24"/>
          <w:szCs w:val="24"/>
        </w:rPr>
        <w:t xml:space="preserve">人员管理制度</w:t>
      </w:r>
      <w:r>
        <w:rPr>
          <w:rFonts w:hint="eastAsia"/>
          <w:b w:val="0"/>
          <w:bCs/>
          <w:sz w:val="24"/>
          <w:highlight w:val="none"/>
        </w:rPr>
        <w:t xml:space="preserve">、③</w:t>
      </w:r>
      <w:r>
        <w:rPr>
          <w:rFonts w:hint="eastAsia" w:ascii="宋体" w:hAnsi="宋体" w:eastAsia="宋体" w:cs="宋体"/>
          <w:b w:val="0"/>
          <w:bCs/>
          <w:sz w:val="24"/>
          <w:szCs w:val="24"/>
        </w:rPr>
        <w:t xml:space="preserve">安全管理制度</w:t>
      </w:r>
      <w:r>
        <w:rPr>
          <w:rFonts w:hint="eastAsia" w:ascii="宋体" w:hAnsi="宋体" w:eastAsia="宋体" w:cs="宋体"/>
          <w:bCs w:val="0"/>
          <w:sz w:val="24"/>
          <w:szCs w:val="24"/>
          <w:lang w:eastAsia="zh-CN"/>
        </w:rPr>
        <w:t xml:space="preserve">）</w:t>
      </w:r>
      <w:r/>
    </w:p>
    <w:p>
      <w:pPr>
        <w:pStyle w:val="734"/>
        <w:rPr>
          <w:rFonts w:hint="eastAsia"/>
        </w:rPr>
        <w:sectPr>
          <w:footerReference w:type="default" r:id="rId13"/>
          <w:footnotePr/>
          <w:endnotePr/>
          <w:type w:val="nextPage"/>
          <w:pgSz w:w="11905" w:h="16834" w:orient="portrait"/>
          <w:pgMar w:top="1140" w:right="945" w:bottom="1807" w:left="1011" w:header="0" w:footer="721" w:gutter="0"/>
          <w:cols w:num="1" w:sep="0" w:space="720" w:equalWidth="1"/>
          <w:docGrid w:linePitch="360"/>
        </w:sectPr>
      </w:pPr>
      <w:r>
        <w:rPr>
          <w:rFonts w:hint="eastAsia"/>
        </w:rPr>
      </w:r>
      <w:r/>
    </w:p>
    <w:p>
      <w:pPr>
        <w:numPr>
          <w:ilvl w:val="0"/>
          <w:numId w:val="0"/>
        </w:numPr>
        <w:spacing w:line="420" w:lineRule="exact"/>
        <w:rPr>
          <w:rFonts w:hint="eastAsia"/>
          <w:b/>
          <w:bCs/>
          <w:sz w:val="28"/>
          <w:szCs w:val="28"/>
          <w:highlight w:val="none"/>
        </w:rPr>
      </w:pPr>
      <w:r>
        <w:rPr>
          <w:rFonts w:hint="eastAsia" w:asciiTheme="minorHAnsi" w:hAnsiTheme="minorHAnsi" w:eastAsiaTheme="minorEastAsia" w:cstheme="minorBidi"/>
          <w:b/>
          <w:bCs/>
          <w:sz w:val="28"/>
          <w:szCs w:val="28"/>
          <w:highlight w:val="none"/>
          <w:lang w:val="en-US" w:eastAsia="zh-CN" w:bidi="ar-SA"/>
        </w:rPr>
        <w:t xml:space="preserve">六、</w:t>
      </w:r>
      <w:r>
        <w:rPr>
          <w:rFonts w:hint="eastAsia"/>
          <w:b/>
          <w:bCs/>
          <w:sz w:val="28"/>
          <w:szCs w:val="28"/>
          <w:highlight w:val="none"/>
          <w:lang w:val="en-US" w:eastAsia="zh-CN"/>
        </w:rPr>
        <w:t xml:space="preserve">考核表</w:t>
      </w:r>
      <w:r>
        <w:rPr>
          <w:rFonts w:hint="eastAsia"/>
          <w:b/>
          <w:bCs/>
          <w:sz w:val="28"/>
          <w:szCs w:val="28"/>
          <w:highlight w:val="none"/>
        </w:rPr>
        <w:t xml:space="preserve">：</w:t>
      </w:r>
      <w:r/>
    </w:p>
    <w:p>
      <w:pPr>
        <w:jc w:val="center"/>
        <w:spacing w:line="440" w:lineRule="exact"/>
        <w:rPr>
          <w:rFonts w:hint="eastAsia" w:cs="宋体"/>
          <w:b/>
          <w:sz w:val="28"/>
          <w:szCs w:val="28"/>
          <w:lang w:val="zh-CN"/>
        </w:rPr>
        <w:outlineLvl w:val="9"/>
      </w:pPr>
      <w:r>
        <w:rPr>
          <w:rFonts w:hint="eastAsia" w:cs="宋体"/>
          <w:b/>
          <w:sz w:val="28"/>
          <w:szCs w:val="28"/>
          <w:lang w:val="zh-CN"/>
        </w:rPr>
        <w:t xml:space="preserve">工作考核标准（满分100分）</w:t>
      </w:r>
      <w:r/>
    </w:p>
    <w:p>
      <w:pPr>
        <w:jc w:val="left"/>
        <w:spacing w:after="0" w:line="120" w:lineRule="exact"/>
        <w:rPr>
          <w:rFonts w:ascii="Times New Roman" w:hAnsi="Times New Roman" w:cs="Arial"/>
          <w:bCs w:val="0"/>
          <w:sz w:val="21"/>
          <w:szCs w:val="21"/>
        </w:rPr>
      </w:pPr>
      <w:r>
        <w:rPr>
          <w:rFonts w:ascii="Times New Roman" w:hAnsi="Times New Roman" w:cs="Arial"/>
          <w:bCs w:val="0"/>
          <w:sz w:val="21"/>
          <w:szCs w:val="21"/>
        </w:rPr>
      </w:r>
      <w:r/>
    </w:p>
    <w:tbl>
      <w:tblPr>
        <w:tblStyle w:val="764"/>
        <w:tblW w:w="13346" w:type="dxa"/>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17"/>
        <w:gridCol w:w="1695"/>
        <w:gridCol w:w="652"/>
        <w:gridCol w:w="6201"/>
        <w:gridCol w:w="2100"/>
        <w:gridCol w:w="1181"/>
      </w:tblGrid>
      <w:tr>
        <w:trPr>
          <w:trHeight w:val="681"/>
        </w:trPr>
        <w:tc>
          <w:tcPr>
            <w:tcW w:w="1517" w:type="dxa"/>
            <w:textDirection w:val="lrTb"/>
            <w:noWrap w:val="false"/>
          </w:tcPr>
          <w:p>
            <w:pPr>
              <w:ind w:left="294"/>
              <w:jc w:val="left"/>
              <w:spacing w:before="256"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7"/>
                <w:sz w:val="18"/>
                <w:szCs w:val="18"/>
                <w:lang w:eastAsia="en-US"/>
              </w:rPr>
              <w:t xml:space="preserve">考核项目</w:t>
            </w:r>
            <w:r/>
          </w:p>
        </w:tc>
        <w:tc>
          <w:tcPr>
            <w:tcW w:w="1695" w:type="dxa"/>
            <w:textDirection w:val="lrTb"/>
            <w:noWrap w:val="false"/>
          </w:tcPr>
          <w:p>
            <w:pPr>
              <w:ind w:left="462"/>
              <w:jc w:val="left"/>
              <w:spacing w:before="256"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6"/>
                <w:sz w:val="18"/>
                <w:szCs w:val="18"/>
                <w:lang w:eastAsia="en-US"/>
              </w:rPr>
              <w:t xml:space="preserve">具体内容</w:t>
            </w:r>
            <w:r/>
          </w:p>
        </w:tc>
        <w:tc>
          <w:tcPr>
            <w:tcW w:w="652" w:type="dxa"/>
            <w:textDirection w:val="lrTb"/>
            <w:noWrap w:val="false"/>
          </w:tcPr>
          <w:p>
            <w:pPr>
              <w:ind w:left="134"/>
              <w:jc w:val="left"/>
              <w:spacing w:before="256"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4"/>
                <w:sz w:val="18"/>
                <w:szCs w:val="18"/>
                <w:lang w:eastAsia="en-US"/>
              </w:rPr>
              <w:t xml:space="preserve">分值</w:t>
            </w:r>
            <w:r/>
          </w:p>
        </w:tc>
        <w:tc>
          <w:tcPr>
            <w:tcW w:w="6201" w:type="dxa"/>
            <w:textDirection w:val="lrTb"/>
            <w:noWrap w:val="false"/>
          </w:tcPr>
          <w:p>
            <w:pPr>
              <w:ind w:left="2475"/>
              <w:jc w:val="left"/>
              <w:spacing w:before="256"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7"/>
                <w:sz w:val="18"/>
                <w:szCs w:val="18"/>
                <w:lang w:eastAsia="en-US"/>
              </w:rPr>
              <w:t xml:space="preserve">评分标准</w:t>
            </w:r>
            <w:r/>
          </w:p>
        </w:tc>
        <w:tc>
          <w:tcPr>
            <w:tcW w:w="2100" w:type="dxa"/>
            <w:textDirection w:val="lrTb"/>
            <w:noWrap w:val="false"/>
          </w:tcPr>
          <w:p>
            <w:pPr>
              <w:jc w:val="center"/>
              <w:spacing w:before="256"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8"/>
                <w:sz w:val="18"/>
                <w:szCs w:val="18"/>
                <w:lang w:eastAsia="en-US"/>
              </w:rPr>
              <w:t xml:space="preserve">加扣分详情</w:t>
            </w:r>
            <w:r/>
          </w:p>
        </w:tc>
        <w:tc>
          <w:tcPr>
            <w:tcW w:w="1181" w:type="dxa"/>
            <w:textDirection w:val="lrTb"/>
            <w:noWrap w:val="false"/>
          </w:tcPr>
          <w:p>
            <w:pPr>
              <w:ind w:left="403"/>
              <w:jc w:val="left"/>
              <w:spacing w:before="256" w:after="0" w:line="231"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4"/>
                <w:sz w:val="18"/>
                <w:szCs w:val="18"/>
                <w:lang w:eastAsia="en-US"/>
              </w:rPr>
              <w:t xml:space="preserve">备注</w:t>
            </w:r>
            <w:r/>
          </w:p>
        </w:tc>
      </w:tr>
      <w:tr>
        <w:trPr>
          <w:trHeight w:val="672"/>
        </w:trPr>
        <w:tc>
          <w:tcPr>
            <w:tcBorders>
              <w:bottom w:val="none" w:color="000000" w:sz="4" w:space="0"/>
            </w:tcBorders>
            <w:tcW w:w="1517" w:type="dxa"/>
            <w:vMerge w:val="restart"/>
            <w:textDirection w:val="lrTb"/>
            <w:noWrap w:val="false"/>
          </w:tcPr>
          <w:p>
            <w:pPr>
              <w:jc w:val="left"/>
              <w:spacing w:after="0" w:line="404" w:lineRule="auto"/>
              <w:rPr>
                <w:rFonts w:ascii="Times New Roman" w:hAnsi="Times New Roman" w:eastAsia="宋体" w:cs="Arial"/>
                <w:bCs w:val="0"/>
                <w:color w:val="auto"/>
                <w:sz w:val="21"/>
                <w:szCs w:val="21"/>
                <w:lang w:eastAsia="en-US"/>
              </w:rPr>
            </w:pPr>
            <w:r>
              <w:rPr>
                <w:rFonts w:ascii="Times New Roman" w:hAnsi="Times New Roman" w:eastAsia="宋体" w:cs="Arial"/>
                <w:bCs w:val="0"/>
                <w:color w:val="auto"/>
                <w:sz w:val="21"/>
                <w:szCs w:val="21"/>
                <w:lang w:eastAsia="en-US"/>
              </w:rPr>
            </w:r>
            <w:r/>
          </w:p>
          <w:p>
            <w:pPr>
              <w:ind w:left="306" w:right="294" w:hanging="6"/>
              <w:jc w:val="left"/>
              <w:spacing w:before="59" w:after="0" w:line="245"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仪容仪表</w:t>
            </w:r>
            <w:r>
              <w:rPr>
                <w:rFonts w:ascii="Times New Roman" w:hAnsi="Times New Roman" w:eastAsia="宋体" w:cs="宋体"/>
                <w:bCs w:val="0"/>
                <w:color w:val="auto"/>
                <w:spacing w:val="1"/>
                <w:sz w:val="18"/>
                <w:szCs w:val="18"/>
                <w:lang w:eastAsia="en-US"/>
              </w:rPr>
              <w:t xml:space="preserve">（10分）</w:t>
            </w:r>
            <w:r/>
          </w:p>
        </w:tc>
        <w:tc>
          <w:tcPr>
            <w:tcW w:w="1695" w:type="dxa"/>
            <w:textDirection w:val="lrTb"/>
            <w:noWrap w:val="false"/>
          </w:tcPr>
          <w:p>
            <w:pPr>
              <w:ind w:left="463"/>
              <w:jc w:val="left"/>
              <w:spacing w:before="249"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着装规范</w:t>
            </w:r>
            <w:r/>
          </w:p>
        </w:tc>
        <w:tc>
          <w:tcPr>
            <w:tcW w:w="652" w:type="dxa"/>
            <w:textDirection w:val="lrTb"/>
            <w:noWrap w:val="false"/>
          </w:tcPr>
          <w:p>
            <w:pPr>
              <w:ind w:left="135"/>
              <w:jc w:val="left"/>
              <w:spacing w:before="249"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5</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53" w:right="58" w:firstLine="3"/>
              <w:jc w:val="left"/>
              <w:spacing w:before="129"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未按规定着装或服装不整洁，未佩戴相关标识，每次扣 2</w:t>
            </w:r>
            <w:r>
              <w:rPr>
                <w:rFonts w:ascii="Times New Roman" w:hAnsi="Times New Roman" w:eastAsia="宋体" w:cs="宋体"/>
                <w:bCs w:val="0"/>
                <w:color w:val="auto"/>
                <w:spacing w:val="8"/>
                <w:sz w:val="18"/>
                <w:szCs w:val="18"/>
                <w:lang w:eastAsia="zh-CN"/>
              </w:rPr>
              <w:t xml:space="preserve"> 分；违规</w:t>
            </w:r>
            <w:r>
              <w:rPr>
                <w:rFonts w:ascii="Times New Roman" w:hAnsi="Times New Roman" w:eastAsia="宋体" w:cs="宋体"/>
                <w:bCs w:val="0"/>
                <w:color w:val="auto"/>
                <w:spacing w:val="6"/>
                <w:sz w:val="18"/>
                <w:szCs w:val="18"/>
                <w:lang w:eastAsia="zh-CN"/>
              </w:rPr>
              <w:t xml:space="preserve">佩戴装饰配饰，每次扣</w:t>
            </w:r>
            <w:r>
              <w:rPr>
                <w:rFonts w:ascii="Times New Roman" w:hAnsi="Times New Roman" w:eastAsia="宋体" w:cs="宋体"/>
                <w:bCs w:val="0"/>
                <w:color w:val="auto"/>
                <w:spacing w:val="37"/>
                <w:sz w:val="18"/>
                <w:szCs w:val="18"/>
                <w:lang w:eastAsia="zh-CN"/>
              </w:rPr>
              <w:t xml:space="preserve"> </w:t>
            </w:r>
            <w:r>
              <w:rPr>
                <w:rFonts w:ascii="Times New Roman" w:hAnsi="Times New Roman" w:eastAsia="宋体" w:cs="宋体"/>
                <w:bCs w:val="0"/>
                <w:color w:val="auto"/>
                <w:spacing w:val="6"/>
                <w:sz w:val="18"/>
                <w:szCs w:val="18"/>
                <w:lang w:eastAsia="zh-CN"/>
              </w:rPr>
              <w:t xml:space="preserve">1 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3"/>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464"/>
              <w:jc w:val="left"/>
              <w:spacing w:before="251"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仪容整洁</w:t>
            </w:r>
            <w:r/>
          </w:p>
        </w:tc>
        <w:tc>
          <w:tcPr>
            <w:tcW w:w="652" w:type="dxa"/>
            <w:textDirection w:val="lrTb"/>
            <w:noWrap w:val="false"/>
          </w:tcPr>
          <w:p>
            <w:pPr>
              <w:ind w:left="135"/>
              <w:jc w:val="left"/>
              <w:spacing w:before="251"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5</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60" w:right="58" w:hanging="6"/>
              <w:jc w:val="left"/>
              <w:spacing w:before="131"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仪容不整（如头发、胡须凌乱，指甲过长等），每次扣 1 分</w:t>
            </w:r>
            <w:r>
              <w:rPr>
                <w:rFonts w:ascii="Times New Roman" w:hAnsi="Times New Roman" w:eastAsia="宋体" w:cs="宋体"/>
                <w:bCs w:val="0"/>
                <w:color w:val="auto"/>
                <w:spacing w:val="8"/>
                <w:sz w:val="18"/>
                <w:szCs w:val="18"/>
                <w:lang w:eastAsia="zh-CN"/>
              </w:rPr>
              <w:t xml:space="preserve">；有异</w:t>
            </w:r>
            <w:r>
              <w:rPr>
                <w:rFonts w:ascii="Times New Roman" w:hAnsi="Times New Roman" w:eastAsia="宋体" w:cs="宋体"/>
                <w:bCs w:val="0"/>
                <w:color w:val="auto"/>
                <w:spacing w:val="6"/>
                <w:sz w:val="18"/>
                <w:szCs w:val="18"/>
                <w:lang w:eastAsia="zh-CN"/>
              </w:rPr>
              <w:t xml:space="preserve">味影响他人，每次扣 2</w:t>
            </w:r>
            <w:r>
              <w:rPr>
                <w:rFonts w:ascii="Times New Roman" w:hAnsi="Times New Roman" w:eastAsia="宋体" w:cs="宋体"/>
                <w:bCs w:val="0"/>
                <w:color w:val="auto"/>
                <w:spacing w:val="25"/>
                <w:sz w:val="18"/>
                <w:szCs w:val="18"/>
                <w:lang w:eastAsia="zh-CN"/>
              </w:rPr>
              <w:t xml:space="preserve"> </w:t>
            </w:r>
            <w:r>
              <w:rPr>
                <w:rFonts w:ascii="Times New Roman" w:hAnsi="Times New Roman" w:eastAsia="宋体" w:cs="宋体"/>
                <w:bCs w:val="0"/>
                <w:color w:val="auto"/>
                <w:spacing w:val="6"/>
                <w:sz w:val="18"/>
                <w:szCs w:val="18"/>
                <w:lang w:eastAsia="zh-CN"/>
              </w:rPr>
              <w:t xml:space="preserve">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2"/>
        </w:trPr>
        <w:tc>
          <w:tcPr>
            <w:tcBorders>
              <w:bottom w:val="none" w:color="000000" w:sz="4" w:space="0"/>
            </w:tcBorders>
            <w:tcW w:w="1517" w:type="dxa"/>
            <w:vMerge w:val="restart"/>
            <w:textDirection w:val="lrTb"/>
            <w:noWrap w:val="false"/>
          </w:tcPr>
          <w:p>
            <w:pPr>
              <w:jc w:val="left"/>
              <w:spacing w:after="0" w:line="249"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5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5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ind w:left="307" w:right="294" w:firstLine="13"/>
              <w:jc w:val="left"/>
              <w:spacing w:before="58" w:after="0" w:line="245"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2"/>
                <w:sz w:val="18"/>
                <w:szCs w:val="18"/>
                <w:lang w:eastAsia="en-US"/>
              </w:rPr>
              <w:t xml:space="preserve">岗位职责</w:t>
            </w:r>
            <w:r>
              <w:rPr>
                <w:rFonts w:ascii="Times New Roman" w:hAnsi="Times New Roman" w:eastAsia="宋体" w:cs="宋体"/>
                <w:bCs w:val="0"/>
                <w:color w:val="auto"/>
                <w:spacing w:val="1"/>
                <w:sz w:val="18"/>
                <w:szCs w:val="18"/>
                <w:lang w:eastAsia="en-US"/>
              </w:rPr>
              <w:t xml:space="preserve">（30分）</w:t>
            </w:r>
            <w:r/>
          </w:p>
        </w:tc>
        <w:tc>
          <w:tcPr>
            <w:tcW w:w="1695" w:type="dxa"/>
            <w:textDirection w:val="lrTb"/>
            <w:noWrap w:val="false"/>
          </w:tcPr>
          <w:p>
            <w:pPr>
              <w:ind w:left="276"/>
              <w:jc w:val="left"/>
              <w:spacing w:before="252"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工作完成质量</w:t>
            </w:r>
            <w:r/>
          </w:p>
        </w:tc>
        <w:tc>
          <w:tcPr>
            <w:tcW w:w="652" w:type="dxa"/>
            <w:textDirection w:val="lrTb"/>
            <w:noWrap w:val="false"/>
          </w:tcPr>
          <w:p>
            <w:pPr>
              <w:ind w:left="98"/>
              <w:jc w:val="left"/>
              <w:spacing w:before="252"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15</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55" w:right="60"/>
              <w:jc w:val="left"/>
              <w:spacing w:before="131"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工作不符合保卫科相关规范要求，每次扣3分；脱岗或者重要工作任务出现重大失误或延误造成损失，此项不得分并追究责任</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2"/>
        </w:trPr>
        <w:tc>
          <w:tcPr>
            <w:tcBorders>
              <w:top w:val="none" w:color="000000" w:sz="4" w:space="0"/>
              <w:bottom w:val="none" w:color="000000" w:sz="4" w:space="0"/>
            </w:tcBorders>
            <w:tcW w:w="1517"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466"/>
              <w:jc w:val="left"/>
              <w:spacing w:before="254"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工作效率</w:t>
            </w:r>
            <w:r/>
          </w:p>
        </w:tc>
        <w:tc>
          <w:tcPr>
            <w:tcW w:w="652" w:type="dxa"/>
            <w:textDirection w:val="lrTb"/>
            <w:noWrap w:val="false"/>
          </w:tcPr>
          <w:p>
            <w:pPr>
              <w:ind w:left="98"/>
              <w:jc w:val="left"/>
              <w:spacing w:before="254"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10</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56" w:right="60"/>
              <w:jc w:val="left"/>
              <w:spacing w:before="134"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未能在规定时间内完成任务且无正当理由，每拖延一次扣2分；临时</w:t>
            </w:r>
            <w:r>
              <w:rPr>
                <w:rFonts w:ascii="Times New Roman" w:hAnsi="Times New Roman" w:eastAsia="宋体" w:cs="宋体"/>
                <w:bCs w:val="0"/>
                <w:color w:val="auto"/>
                <w:spacing w:val="8"/>
                <w:sz w:val="18"/>
                <w:szCs w:val="18"/>
                <w:lang w:eastAsia="zh-CN"/>
              </w:rPr>
              <w:t xml:space="preserve">性任务拖延或处理不当，每次扣3分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2"/>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Borders>
              <w:bottom w:val="none" w:color="000000" w:sz="4" w:space="0"/>
            </w:tcBorders>
            <w:tcW w:w="1695" w:type="dxa"/>
            <w:vMerge w:val="restart"/>
            <w:textDirection w:val="lrTb"/>
            <w:noWrap w:val="false"/>
          </w:tcPr>
          <w:p>
            <w:pPr>
              <w:ind w:left="372"/>
              <w:jc w:val="left"/>
              <w:spacing w:before="256"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工作责任心</w:t>
            </w:r>
            <w:r/>
          </w:p>
          <w:p>
            <w:pPr>
              <w:jc w:val="left"/>
              <w:spacing w:after="0" w:line="404"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ind w:left="486"/>
              <w:jc w:val="left"/>
              <w:spacing w:before="59"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2"/>
                <w:sz w:val="18"/>
                <w:szCs w:val="18"/>
                <w:lang w:eastAsia="zh-CN"/>
              </w:rPr>
              <w:t xml:space="preserve">内部沟通</w:t>
            </w:r>
            <w:r/>
          </w:p>
          <w:p>
            <w:pPr>
              <w:jc w:val="left"/>
              <w:spacing w:after="0" w:line="404"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ind w:left="370"/>
              <w:jc w:val="left"/>
              <w:spacing w:before="59"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跨部门协作</w:t>
            </w:r>
            <w:r/>
          </w:p>
        </w:tc>
        <w:tc>
          <w:tcPr>
            <w:tcW w:w="652" w:type="dxa"/>
            <w:textDirection w:val="lrTb"/>
            <w:noWrap w:val="false"/>
          </w:tcPr>
          <w:p>
            <w:pPr>
              <w:ind w:left="135"/>
              <w:jc w:val="left"/>
              <w:spacing w:before="256"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5</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58" w:right="60" w:hanging="2"/>
              <w:jc w:val="left"/>
              <w:spacing w:before="136"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工作敷衍了事、推诿扯皮，不尽职尽责，每次扣2分；因责任心不强</w:t>
            </w:r>
            <w:r>
              <w:rPr>
                <w:rFonts w:ascii="Times New Roman" w:hAnsi="Times New Roman" w:eastAsia="宋体" w:cs="宋体"/>
                <w:bCs w:val="0"/>
                <w:color w:val="auto"/>
                <w:spacing w:val="8"/>
                <w:sz w:val="18"/>
                <w:szCs w:val="18"/>
                <w:lang w:eastAsia="zh-CN"/>
              </w:rPr>
              <w:t xml:space="preserve">导致差错或遗漏，每次扣3分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3"/>
        </w:trPr>
        <w:tc>
          <w:tcPr>
            <w:tcBorders>
              <w:bottom w:val="none" w:color="000000" w:sz="4" w:space="0"/>
            </w:tcBorders>
            <w:tcW w:w="1517" w:type="dxa"/>
            <w:vMerge w:val="restart"/>
            <w:textDirection w:val="lrTb"/>
            <w:noWrap w:val="false"/>
          </w:tcPr>
          <w:p>
            <w:pPr>
              <w:jc w:val="left"/>
              <w:spacing w:after="0" w:line="413"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ind w:left="107"/>
              <w:jc w:val="left"/>
              <w:spacing w:before="58"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沟通协作（10</w:t>
            </w:r>
            <w:r/>
          </w:p>
          <w:p>
            <w:pPr>
              <w:ind w:left="491"/>
              <w:jc w:val="left"/>
              <w:spacing w:before="13"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2"/>
                <w:sz w:val="18"/>
                <w:szCs w:val="18"/>
                <w:lang w:eastAsia="en-US"/>
              </w:rPr>
              <w:t xml:space="preserve">分）</w:t>
            </w:r>
            <w:r/>
          </w:p>
        </w:tc>
        <w:tc>
          <w:tcPr>
            <w:tcBorders>
              <w:top w:val="none" w:color="000000" w:sz="4" w:space="0"/>
              <w:bottom w:val="none" w:color="000000" w:sz="4" w:space="0"/>
            </w:tcBorders>
            <w:tcW w:w="1695"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en-US"/>
              </w:rPr>
            </w:pPr>
            <w:r>
              <w:rPr>
                <w:rFonts w:ascii="Times New Roman" w:hAnsi="Times New Roman" w:eastAsia="宋体" w:cs="Arial"/>
                <w:bCs w:val="0"/>
                <w:color w:val="auto"/>
                <w:sz w:val="21"/>
                <w:szCs w:val="21"/>
                <w:lang w:eastAsia="en-US"/>
              </w:rPr>
            </w:r>
            <w:r/>
          </w:p>
        </w:tc>
        <w:tc>
          <w:tcPr>
            <w:tcW w:w="652" w:type="dxa"/>
            <w:textDirection w:val="lrTb"/>
            <w:noWrap w:val="false"/>
          </w:tcPr>
          <w:p>
            <w:pPr>
              <w:ind w:left="135"/>
              <w:jc w:val="left"/>
              <w:spacing w:before="258"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5</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56" w:right="60"/>
              <w:jc w:val="left"/>
              <w:spacing w:before="137"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不主动沟通、信息不及时传递导致工作出现问题，每次扣2分；不参与工作会议或工作期间发表不当言论，每次</w:t>
            </w:r>
            <w:r>
              <w:rPr>
                <w:rFonts w:ascii="Times New Roman" w:hAnsi="Times New Roman" w:eastAsia="宋体" w:cs="宋体"/>
                <w:bCs w:val="0"/>
                <w:color w:val="auto"/>
                <w:spacing w:val="8"/>
                <w:sz w:val="18"/>
                <w:szCs w:val="18"/>
                <w:lang w:eastAsia="zh-CN"/>
              </w:rPr>
              <w:t xml:space="preserve">扣1分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3"/>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Borders>
              <w:top w:val="none" w:color="000000" w:sz="4" w:space="0"/>
            </w:tcBorders>
            <w:tcW w:w="1695"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652" w:type="dxa"/>
            <w:textDirection w:val="lrTb"/>
            <w:noWrap w:val="false"/>
          </w:tcPr>
          <w:p>
            <w:pPr>
              <w:ind w:left="135"/>
              <w:jc w:val="left"/>
              <w:spacing w:before="259"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5</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55" w:right="60" w:firstLine="1"/>
              <w:jc w:val="left"/>
              <w:spacing w:before="139"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不听从科室工作安排，不愿配合或配合敷衍，每次扣3分；未能及时</w:t>
            </w:r>
            <w:r>
              <w:rPr>
                <w:rFonts w:ascii="Times New Roman" w:hAnsi="Times New Roman" w:eastAsia="宋体" w:cs="宋体"/>
                <w:bCs w:val="0"/>
                <w:color w:val="auto"/>
                <w:spacing w:val="8"/>
                <w:sz w:val="18"/>
                <w:szCs w:val="18"/>
                <w:lang w:eastAsia="zh-CN"/>
              </w:rPr>
              <w:t xml:space="preserve">上报跨部门问题造成工作失误，每次扣2分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3"/>
        </w:trPr>
        <w:tc>
          <w:tcPr>
            <w:tcBorders>
              <w:bottom w:val="none" w:color="000000" w:sz="4" w:space="0"/>
            </w:tcBorders>
            <w:tcW w:w="1517" w:type="dxa"/>
            <w:vMerge w:val="restart"/>
            <w:textDirection w:val="lrTb"/>
            <w:noWrap w:val="false"/>
          </w:tcPr>
          <w:p>
            <w:pPr>
              <w:jc w:val="left"/>
              <w:spacing w:after="0" w:line="415"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ind w:left="162"/>
              <w:jc w:val="left"/>
              <w:spacing w:before="58"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突发事件处理</w:t>
            </w:r>
            <w:r/>
          </w:p>
          <w:p>
            <w:pPr>
              <w:ind w:left="307"/>
              <w:jc w:val="left"/>
              <w:spacing w:before="14"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1"/>
                <w:sz w:val="18"/>
                <w:szCs w:val="18"/>
                <w:lang w:eastAsia="en-US"/>
              </w:rPr>
              <w:t xml:space="preserve">（15分）</w:t>
            </w:r>
            <w:r/>
          </w:p>
        </w:tc>
        <w:tc>
          <w:tcPr>
            <w:tcW w:w="1695" w:type="dxa"/>
            <w:textDirection w:val="lrTb"/>
            <w:noWrap w:val="false"/>
          </w:tcPr>
          <w:p>
            <w:pPr>
              <w:ind w:left="463"/>
              <w:jc w:val="left"/>
              <w:spacing w:before="259" w:after="0" w:line="232"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应急响应</w:t>
            </w:r>
            <w:r/>
          </w:p>
        </w:tc>
        <w:tc>
          <w:tcPr>
            <w:tcW w:w="652" w:type="dxa"/>
            <w:textDirection w:val="lrTb"/>
            <w:noWrap w:val="false"/>
          </w:tcPr>
          <w:p>
            <w:pPr>
              <w:ind w:left="136"/>
              <w:jc w:val="left"/>
              <w:spacing w:before="260"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7</w:t>
            </w:r>
            <w:r>
              <w:rPr>
                <w:rFonts w:ascii="Times New Roman" w:hAnsi="Times New Roman" w:eastAsia="宋体" w:cs="宋体"/>
                <w:bCs w:val="0"/>
                <w:color w:val="auto"/>
                <w:spacing w:val="16"/>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53" w:right="60" w:firstLine="3"/>
              <w:jc w:val="left"/>
              <w:spacing w:before="139"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未能在规定时间内响应或报告，每次扣3分；因个人原因影响突发事</w:t>
            </w:r>
            <w:r>
              <w:rPr>
                <w:rFonts w:ascii="Times New Roman" w:hAnsi="Times New Roman" w:eastAsia="宋体" w:cs="宋体"/>
                <w:bCs w:val="0"/>
                <w:color w:val="auto"/>
                <w:spacing w:val="8"/>
                <w:sz w:val="18"/>
                <w:szCs w:val="18"/>
                <w:lang w:eastAsia="zh-CN"/>
              </w:rPr>
              <w:t xml:space="preserve">件处理，每次扣2分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3"/>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467"/>
              <w:jc w:val="left"/>
              <w:spacing w:before="261"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6"/>
                <w:sz w:val="18"/>
                <w:szCs w:val="18"/>
                <w:lang w:eastAsia="en-US"/>
              </w:rPr>
              <w:t xml:space="preserve">处理能力</w:t>
            </w:r>
            <w:r/>
          </w:p>
        </w:tc>
        <w:tc>
          <w:tcPr>
            <w:tcW w:w="652" w:type="dxa"/>
            <w:textDirection w:val="lrTb"/>
            <w:noWrap w:val="false"/>
          </w:tcPr>
          <w:p>
            <w:pPr>
              <w:ind w:left="132"/>
              <w:jc w:val="left"/>
              <w:spacing w:before="261"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2"/>
                <w:sz w:val="18"/>
                <w:szCs w:val="18"/>
                <w:lang w:eastAsia="en-US"/>
              </w:rPr>
              <w:t xml:space="preserve">8</w:t>
            </w:r>
            <w:r>
              <w:rPr>
                <w:rFonts w:ascii="Times New Roman" w:hAnsi="Times New Roman" w:eastAsia="宋体" w:cs="宋体"/>
                <w:bCs w:val="0"/>
                <w:color w:val="auto"/>
                <w:spacing w:val="16"/>
                <w:sz w:val="18"/>
                <w:szCs w:val="18"/>
                <w:lang w:eastAsia="en-US"/>
              </w:rPr>
              <w:t xml:space="preserve"> </w:t>
            </w:r>
            <w:r>
              <w:rPr>
                <w:rFonts w:ascii="Times New Roman" w:hAnsi="Times New Roman" w:eastAsia="宋体" w:cs="宋体"/>
                <w:bCs w:val="0"/>
                <w:color w:val="auto"/>
                <w:spacing w:val="-2"/>
                <w:sz w:val="18"/>
                <w:szCs w:val="18"/>
                <w:lang w:eastAsia="en-US"/>
              </w:rPr>
              <w:t xml:space="preserve">分</w:t>
            </w:r>
            <w:r/>
          </w:p>
        </w:tc>
        <w:tc>
          <w:tcPr>
            <w:tcW w:w="6201" w:type="dxa"/>
            <w:textDirection w:val="lrTb"/>
            <w:noWrap w:val="false"/>
          </w:tcPr>
          <w:p>
            <w:pPr>
              <w:ind w:left="53" w:right="60"/>
              <w:jc w:val="left"/>
              <w:spacing w:before="140"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服务人员处理不当导致事件恶化或损失扩大，每次扣3分；在事件结束后未进行总结、提出改进措施并主动汇报保卫科，每次扣2分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3"/>
        </w:trPr>
        <w:tc>
          <w:tcPr>
            <w:tcBorders>
              <w:bottom w:val="none" w:color="000000" w:sz="4" w:space="0"/>
            </w:tcBorders>
            <w:tcW w:w="1517" w:type="dxa"/>
            <w:vMerge w:val="restart"/>
            <w:textDirection w:val="lrTb"/>
            <w:noWrap w:val="false"/>
          </w:tcPr>
          <w:p>
            <w:pPr>
              <w:jc w:val="left"/>
              <w:spacing w:after="0" w:line="417"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ind w:left="210" w:right="104" w:hanging="101"/>
              <w:jc w:val="left"/>
              <w:spacing w:before="59"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业务知识与技</w:t>
            </w:r>
            <w:r>
              <w:rPr>
                <w:rFonts w:ascii="Times New Roman" w:hAnsi="Times New Roman" w:eastAsia="宋体" w:cs="宋体"/>
                <w:bCs w:val="0"/>
                <w:color w:val="auto"/>
                <w:spacing w:val="2"/>
                <w:sz w:val="18"/>
                <w:szCs w:val="18"/>
                <w:lang w:eastAsia="zh-CN"/>
              </w:rPr>
              <w:t xml:space="preserve">能（20分）</w:t>
            </w:r>
            <w:r/>
          </w:p>
        </w:tc>
        <w:tc>
          <w:tcPr>
            <w:tcW w:w="1695" w:type="dxa"/>
            <w:textDirection w:val="lrTb"/>
            <w:noWrap w:val="false"/>
          </w:tcPr>
          <w:p>
            <w:pPr>
              <w:ind w:left="275"/>
              <w:jc w:val="left"/>
              <w:spacing w:before="262"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8"/>
                <w:sz w:val="18"/>
                <w:szCs w:val="18"/>
                <w:lang w:eastAsia="en-US"/>
              </w:rPr>
              <w:t xml:space="preserve">专业知识掌握</w:t>
            </w:r>
            <w:r/>
          </w:p>
        </w:tc>
        <w:tc>
          <w:tcPr>
            <w:tcW w:w="652" w:type="dxa"/>
            <w:textDirection w:val="lrTb"/>
            <w:noWrap w:val="false"/>
          </w:tcPr>
          <w:p>
            <w:pPr>
              <w:ind w:left="98"/>
              <w:jc w:val="left"/>
              <w:spacing w:before="262"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10</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56" w:right="58" w:firstLine="17"/>
              <w:jc w:val="left"/>
              <w:spacing w:before="141"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岗位专业知识缺乏对医院造成损失或者负面影响，每次扣 2 分；无故不参加保卫科相关知识培训，每次扣 2 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81"/>
        </w:trPr>
        <w:tc>
          <w:tcPr>
            <w:tcBorders>
              <w:top w:val="none" w:color="000000" w:sz="4" w:space="0"/>
            </w:tcBorders>
            <w:tcW w:w="1517"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275"/>
              <w:jc w:val="left"/>
              <w:spacing w:before="263"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8"/>
                <w:sz w:val="18"/>
                <w:szCs w:val="18"/>
                <w:lang w:eastAsia="en-US"/>
              </w:rPr>
              <w:t xml:space="preserve">技能运用能力</w:t>
            </w:r>
            <w:r/>
          </w:p>
        </w:tc>
        <w:tc>
          <w:tcPr>
            <w:tcW w:w="652" w:type="dxa"/>
            <w:textDirection w:val="lrTb"/>
            <w:noWrap w:val="false"/>
          </w:tcPr>
          <w:p>
            <w:pPr>
              <w:ind w:left="98"/>
              <w:jc w:val="left"/>
              <w:spacing w:before="262"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10</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201" w:type="dxa"/>
            <w:textDirection w:val="lrTb"/>
            <w:noWrap w:val="false"/>
          </w:tcPr>
          <w:p>
            <w:pPr>
              <w:ind w:left="62" w:right="345" w:hanging="5"/>
              <w:jc w:val="left"/>
              <w:spacing w:before="142"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设施设备、车管收费平台操作不熟练造成损失或者负面影</w:t>
            </w:r>
            <w:r>
              <w:rPr>
                <w:rFonts w:ascii="Times New Roman" w:hAnsi="Times New Roman" w:eastAsia="宋体" w:cs="宋体"/>
                <w:bCs w:val="0"/>
                <w:color w:val="auto"/>
                <w:spacing w:val="2"/>
                <w:sz w:val="18"/>
                <w:szCs w:val="18"/>
                <w:lang w:eastAsia="zh-CN"/>
              </w:rPr>
              <w:t xml:space="preserve">响，每次扣2分；</w:t>
            </w:r>
            <w:r/>
          </w:p>
        </w:tc>
        <w:tc>
          <w:tcPr>
            <w:tcW w:w="2100"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181"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bl>
    <w:p>
      <w:pPr>
        <w:tabs>
          <w:tab w:val="center" w:pos="6603" w:leader="none"/>
        </w:tabs>
        <w:rPr>
          <w:rFonts w:ascii="Times New Roman" w:hAnsi="Times New Roman" w:cs="Arial"/>
          <w:sz w:val="21"/>
          <w:szCs w:val="21"/>
        </w:rPr>
        <w:sectPr>
          <w:footnotePr/>
          <w:endnotePr/>
          <w:type w:val="nextPage"/>
          <w:pgSz w:w="16832" w:h="11905" w:orient="landscape"/>
          <w:pgMar w:top="1009" w:right="1820" w:bottom="947" w:left="1808" w:header="0" w:footer="720" w:gutter="0"/>
          <w:cols w:num="1" w:sep="0" w:space="0" w:equalWidth="1"/>
          <w:docGrid w:linePitch="360"/>
        </w:sectPr>
      </w:pPr>
      <w:r>
        <w:rPr>
          <w:rFonts w:ascii="Times New Roman" w:hAnsi="Times New Roman" w:cs="Arial"/>
          <w:sz w:val="21"/>
          <w:szCs w:val="21"/>
        </w:rPr>
        <w:tab/>
      </w:r>
      <w:r/>
    </w:p>
    <w:tbl>
      <w:tblPr>
        <w:tblStyle w:val="764"/>
        <w:tblW w:w="1359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60"/>
        <w:gridCol w:w="1695"/>
        <w:gridCol w:w="652"/>
        <w:gridCol w:w="6626"/>
        <w:gridCol w:w="1985"/>
        <w:gridCol w:w="1275"/>
      </w:tblGrid>
      <w:tr>
        <w:trPr>
          <w:trHeight w:val="681"/>
        </w:trPr>
        <w:tc>
          <w:tcPr>
            <w:tcW w:w="1360" w:type="dxa"/>
            <w:textDirection w:val="lrTb"/>
            <w:noWrap w:val="false"/>
          </w:tcPr>
          <w:p>
            <w:pPr>
              <w:ind w:left="294"/>
              <w:jc w:val="left"/>
              <w:spacing w:before="257"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7"/>
                <w:sz w:val="18"/>
                <w:szCs w:val="18"/>
                <w:lang w:eastAsia="en-US"/>
              </w:rPr>
              <w:t xml:space="preserve">考核项目</w:t>
            </w:r>
            <w:r/>
          </w:p>
        </w:tc>
        <w:tc>
          <w:tcPr>
            <w:tcW w:w="1695" w:type="dxa"/>
            <w:textDirection w:val="lrTb"/>
            <w:noWrap w:val="false"/>
          </w:tcPr>
          <w:p>
            <w:pPr>
              <w:ind w:left="462"/>
              <w:jc w:val="left"/>
              <w:spacing w:before="257"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6"/>
                <w:sz w:val="18"/>
                <w:szCs w:val="18"/>
                <w:lang w:eastAsia="en-US"/>
              </w:rPr>
              <w:t xml:space="preserve">具体内容</w:t>
            </w:r>
            <w:r/>
          </w:p>
        </w:tc>
        <w:tc>
          <w:tcPr>
            <w:tcW w:w="652" w:type="dxa"/>
            <w:textDirection w:val="lrTb"/>
            <w:noWrap w:val="false"/>
          </w:tcPr>
          <w:p>
            <w:pPr>
              <w:ind w:left="134"/>
              <w:jc w:val="left"/>
              <w:spacing w:before="257"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4"/>
                <w:sz w:val="18"/>
                <w:szCs w:val="18"/>
                <w:lang w:eastAsia="en-US"/>
              </w:rPr>
              <w:t xml:space="preserve">分值</w:t>
            </w:r>
            <w:r/>
          </w:p>
        </w:tc>
        <w:tc>
          <w:tcPr>
            <w:tcW w:w="6626" w:type="dxa"/>
            <w:textDirection w:val="lrTb"/>
            <w:noWrap w:val="false"/>
          </w:tcPr>
          <w:p>
            <w:pPr>
              <w:ind w:left="2475"/>
              <w:jc w:val="left"/>
              <w:spacing w:before="257"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7"/>
                <w:sz w:val="18"/>
                <w:szCs w:val="18"/>
                <w:lang w:eastAsia="en-US"/>
              </w:rPr>
              <w:t xml:space="preserve">评分标准</w:t>
            </w:r>
            <w:r/>
          </w:p>
        </w:tc>
        <w:tc>
          <w:tcPr>
            <w:tcW w:w="1985" w:type="dxa"/>
            <w:textDirection w:val="lrTb"/>
            <w:noWrap w:val="false"/>
          </w:tcPr>
          <w:p>
            <w:pPr>
              <w:jc w:val="center"/>
              <w:spacing w:before="257"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8"/>
                <w:sz w:val="18"/>
                <w:szCs w:val="18"/>
                <w:lang w:eastAsia="en-US"/>
              </w:rPr>
              <w:t xml:space="preserve">加扣分详情</w:t>
            </w:r>
            <w:r/>
          </w:p>
        </w:tc>
        <w:tc>
          <w:tcPr>
            <w:tcW w:w="1275" w:type="dxa"/>
            <w:textDirection w:val="lrTb"/>
            <w:noWrap w:val="false"/>
          </w:tcPr>
          <w:p>
            <w:pPr>
              <w:ind w:left="403"/>
              <w:jc w:val="left"/>
              <w:spacing w:before="256" w:after="0" w:line="231" w:lineRule="auto"/>
              <w:rPr>
                <w:rFonts w:ascii="Times New Roman" w:hAnsi="Times New Roman" w:eastAsia="宋体" w:cs="宋体"/>
                <w:bCs w:val="0"/>
                <w:color w:val="auto"/>
                <w:sz w:val="18"/>
                <w:szCs w:val="18"/>
                <w:lang w:eastAsia="en-US"/>
              </w:rPr>
            </w:pPr>
            <w:r>
              <w:rPr>
                <w:rFonts w:ascii="Times New Roman" w:hAnsi="Times New Roman" w:eastAsia="宋体" w:cs="宋体"/>
                <w:b/>
                <w:color w:val="auto"/>
                <w:spacing w:val="4"/>
                <w:sz w:val="18"/>
                <w:szCs w:val="18"/>
                <w:lang w:eastAsia="en-US"/>
              </w:rPr>
              <w:t xml:space="preserve">备注</w:t>
            </w:r>
            <w:r/>
          </w:p>
        </w:tc>
      </w:tr>
      <w:tr>
        <w:trPr>
          <w:trHeight w:val="575"/>
        </w:trPr>
        <w:tc>
          <w:tcPr>
            <w:tcBorders>
              <w:bottom w:val="none" w:color="000000" w:sz="4" w:space="0"/>
            </w:tcBorders>
            <w:tcW w:w="1360" w:type="dxa"/>
            <w:vMerge w:val="restart"/>
            <w:textDirection w:val="lrTb"/>
            <w:noWrap w:val="false"/>
          </w:tcPr>
          <w:p>
            <w:pPr>
              <w:jc w:val="left"/>
              <w:spacing w:after="0" w:line="284"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ind w:left="117" w:right="298"/>
              <w:spacing w:before="59" w:after="0" w:line="244"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员工服务满意</w:t>
            </w:r>
            <w:r>
              <w:rPr>
                <w:rFonts w:ascii="Times New Roman" w:hAnsi="Times New Roman" w:eastAsia="宋体" w:cs="宋体"/>
                <w:bCs w:val="0"/>
                <w:color w:val="auto"/>
                <w:spacing w:val="2"/>
                <w:sz w:val="18"/>
                <w:szCs w:val="18"/>
                <w:lang w:eastAsia="zh-CN"/>
              </w:rPr>
              <w:t xml:space="preserve">度</w:t>
            </w:r>
            <w:r/>
          </w:p>
          <w:p>
            <w:pPr>
              <w:ind w:left="309"/>
              <w:spacing w:after="0" w:line="230"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1"/>
                <w:sz w:val="18"/>
                <w:szCs w:val="18"/>
                <w:lang w:eastAsia="zh-CN"/>
              </w:rPr>
              <w:t xml:space="preserve">（10分）</w:t>
            </w:r>
            <w:r/>
          </w:p>
        </w:tc>
        <w:tc>
          <w:tcPr>
            <w:tcW w:w="1695" w:type="dxa"/>
            <w:textDirection w:val="lrTb"/>
            <w:noWrap w:val="false"/>
          </w:tcPr>
          <w:p>
            <w:pPr>
              <w:ind w:left="371"/>
              <w:jc w:val="left"/>
              <w:spacing w:before="249"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社会满意度</w:t>
            </w:r>
            <w:r/>
          </w:p>
        </w:tc>
        <w:tc>
          <w:tcPr>
            <w:tcW w:w="652" w:type="dxa"/>
            <w:textDirection w:val="lrTb"/>
            <w:noWrap w:val="false"/>
          </w:tcPr>
          <w:p>
            <w:pPr>
              <w:ind w:left="135"/>
              <w:jc w:val="left"/>
              <w:spacing w:before="249"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5</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626" w:type="dxa"/>
            <w:textDirection w:val="lrTb"/>
            <w:noWrap w:val="false"/>
          </w:tcPr>
          <w:p>
            <w:pPr>
              <w:ind w:left="69" w:right="56" w:hanging="14"/>
              <w:jc w:val="left"/>
              <w:spacing w:before="129" w:after="0" w:line="245" w:lineRule="auto"/>
              <w:rPr>
                <w:rFonts w:ascii="Times New Roman" w:hAnsi="Times New Roman" w:eastAsia="宋体" w:cs="宋体"/>
                <w:bCs w:val="0"/>
                <w:color w:val="auto"/>
                <w:sz w:val="18"/>
                <w:szCs w:val="18"/>
                <w:lang w:eastAsia="zh-CN"/>
              </w:rPr>
            </w:pPr>
            <w:r>
              <w:rPr>
                <w:rFonts w:hint="eastAsia" w:ascii="Times New Roman" w:hAnsi="Times New Roman" w:eastAsia="宋体" w:cs="宋体"/>
                <w:bCs w:val="0"/>
                <w:strike w:val="0"/>
                <w:color w:val="auto"/>
                <w:spacing w:val="9"/>
                <w:sz w:val="18"/>
                <w:szCs w:val="18"/>
                <w:lang w:val="en-US" w:eastAsia="zh-CN"/>
              </w:rPr>
              <w:t xml:space="preserve">工作人员</w:t>
            </w:r>
            <w:r>
              <w:rPr>
                <w:rFonts w:ascii="Times New Roman" w:hAnsi="Times New Roman" w:eastAsia="宋体" w:cs="宋体"/>
                <w:bCs w:val="0"/>
                <w:color w:val="auto"/>
                <w:spacing w:val="9"/>
                <w:sz w:val="18"/>
                <w:szCs w:val="18"/>
                <w:lang w:eastAsia="zh-CN"/>
              </w:rPr>
              <w:t xml:space="preserve">被有效投诉（12345或直接投</w:t>
            </w:r>
            <w:r>
              <w:rPr>
                <w:rFonts w:ascii="Times New Roman" w:hAnsi="Times New Roman" w:eastAsia="宋体" w:cs="宋体"/>
                <w:bCs w:val="0"/>
                <w:color w:val="auto"/>
                <w:spacing w:val="8"/>
                <w:sz w:val="18"/>
                <w:szCs w:val="18"/>
                <w:lang w:eastAsia="zh-CN"/>
              </w:rPr>
              <w:t xml:space="preserve">诉到院方经核查为事实</w:t>
            </w:r>
            <w:r>
              <w:rPr>
                <w:rFonts w:ascii="Times New Roman" w:hAnsi="Times New Roman" w:eastAsia="宋体" w:cs="宋体"/>
                <w:bCs w:val="0"/>
                <w:color w:val="auto"/>
                <w:spacing w:val="1"/>
                <w:sz w:val="18"/>
                <w:szCs w:val="18"/>
                <w:lang w:eastAsia="zh-CN"/>
              </w:rPr>
              <w:t xml:space="preserve">的）每次扣5分；</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512"/>
        </w:trPr>
        <w:tc>
          <w:tcPr>
            <w:tcBorders>
              <w:top w:val="none" w:color="000000" w:sz="4" w:space="0"/>
            </w:tcBorders>
            <w:tcW w:w="1360"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372"/>
              <w:jc w:val="left"/>
              <w:spacing w:before="251"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部门满意度</w:t>
            </w:r>
            <w:r/>
          </w:p>
        </w:tc>
        <w:tc>
          <w:tcPr>
            <w:tcW w:w="652" w:type="dxa"/>
            <w:textDirection w:val="lrTb"/>
            <w:noWrap w:val="false"/>
          </w:tcPr>
          <w:p>
            <w:pPr>
              <w:ind w:left="135"/>
              <w:jc w:val="left"/>
              <w:spacing w:before="251"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5</w:t>
            </w:r>
            <w:r>
              <w:rPr>
                <w:rFonts w:ascii="Times New Roman" w:hAnsi="Times New Roman" w:eastAsia="宋体" w:cs="宋体"/>
                <w:bCs w:val="0"/>
                <w:color w:val="auto"/>
                <w:spacing w:val="17"/>
                <w:sz w:val="18"/>
                <w:szCs w:val="18"/>
                <w:lang w:eastAsia="en-US"/>
              </w:rPr>
              <w:t xml:space="preserve"> </w:t>
            </w:r>
            <w:r>
              <w:rPr>
                <w:rFonts w:ascii="Times New Roman" w:hAnsi="Times New Roman" w:eastAsia="宋体" w:cs="宋体"/>
                <w:bCs w:val="0"/>
                <w:color w:val="auto"/>
                <w:spacing w:val="-4"/>
                <w:sz w:val="18"/>
                <w:szCs w:val="18"/>
                <w:lang w:eastAsia="en-US"/>
              </w:rPr>
              <w:t xml:space="preserve">分</w:t>
            </w:r>
            <w:r/>
          </w:p>
        </w:tc>
        <w:tc>
          <w:tcPr>
            <w:tcW w:w="6626" w:type="dxa"/>
            <w:textDirection w:val="lrTb"/>
            <w:noWrap w:val="false"/>
          </w:tcPr>
          <w:p>
            <w:pPr>
              <w:ind w:left="53"/>
              <w:jc w:val="left"/>
              <w:spacing w:before="251" w:after="0" w:line="228"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通过民主测评和科室评价，综合得分折算计入本项；</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548"/>
        </w:trPr>
        <w:tc>
          <w:tcPr>
            <w:tcBorders>
              <w:bottom w:val="none" w:color="000000" w:sz="4" w:space="0"/>
            </w:tcBorders>
            <w:tcW w:w="1360" w:type="dxa"/>
            <w:vMerge w:val="restart"/>
            <w:textDirection w:val="lrTb"/>
            <w:noWrap w:val="false"/>
          </w:tcPr>
          <w:p>
            <w:pPr>
              <w:jc w:val="left"/>
              <w:spacing w:after="0" w:line="241"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42"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42"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42"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42"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ind w:left="301"/>
              <w:jc w:val="left"/>
              <w:spacing w:before="59"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奖励分项</w:t>
            </w:r>
            <w:r/>
          </w:p>
        </w:tc>
        <w:tc>
          <w:tcPr>
            <w:tcW w:w="1695" w:type="dxa"/>
            <w:textDirection w:val="lrTb"/>
            <w:noWrap w:val="false"/>
          </w:tcPr>
          <w:p>
            <w:pPr>
              <w:ind w:left="275"/>
              <w:jc w:val="left"/>
              <w:spacing w:before="252"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8"/>
                <w:sz w:val="18"/>
                <w:szCs w:val="18"/>
                <w:lang w:eastAsia="en-US"/>
              </w:rPr>
              <w:t xml:space="preserve">提出创新建议</w:t>
            </w:r>
            <w:r/>
          </w:p>
        </w:tc>
        <w:tc>
          <w:tcPr>
            <w:tcW w:w="652" w:type="dxa"/>
            <w:textDirection w:val="lrTb"/>
            <w:noWrap w:val="false"/>
          </w:tcPr>
          <w:p>
            <w:pPr>
              <w:ind w:left="86"/>
              <w:jc w:val="left"/>
              <w:spacing w:before="252"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5"/>
                <w:sz w:val="18"/>
                <w:szCs w:val="18"/>
                <w:lang w:eastAsia="en-US"/>
              </w:rPr>
              <w:t xml:space="preserve">加1分</w:t>
            </w:r>
            <w:r/>
          </w:p>
        </w:tc>
        <w:tc>
          <w:tcPr>
            <w:tcW w:w="6626" w:type="dxa"/>
            <w:textDirection w:val="lrTb"/>
            <w:noWrap w:val="false"/>
          </w:tcPr>
          <w:p>
            <w:pPr>
              <w:ind w:left="56"/>
              <w:jc w:val="left"/>
              <w:spacing w:before="252"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为医院相关岗位管理提出创造性建议，并收到采纳的；</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556"/>
        </w:trPr>
        <w:tc>
          <w:tcPr>
            <w:tcBorders>
              <w:top w:val="none" w:color="000000" w:sz="4" w:space="0"/>
              <w:bottom w:val="none" w:color="000000" w:sz="4" w:space="0"/>
            </w:tcBorders>
            <w:tcW w:w="1360"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277"/>
              <w:jc w:val="left"/>
              <w:spacing w:before="254"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获得表彰奖励</w:t>
            </w:r>
            <w:r/>
          </w:p>
        </w:tc>
        <w:tc>
          <w:tcPr>
            <w:tcW w:w="652" w:type="dxa"/>
            <w:textDirection w:val="lrTb"/>
            <w:noWrap w:val="false"/>
          </w:tcPr>
          <w:p>
            <w:pPr>
              <w:ind w:left="86"/>
              <w:jc w:val="left"/>
              <w:spacing w:before="253"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5"/>
                <w:sz w:val="18"/>
                <w:szCs w:val="18"/>
                <w:lang w:eastAsia="en-US"/>
              </w:rPr>
              <w:t xml:space="preserve">加1分</w:t>
            </w:r>
            <w:r/>
          </w:p>
        </w:tc>
        <w:tc>
          <w:tcPr>
            <w:tcW w:w="6626" w:type="dxa"/>
            <w:textDirection w:val="lrTb"/>
            <w:noWrap w:val="false"/>
          </w:tcPr>
          <w:p>
            <w:pPr>
              <w:ind w:left="68"/>
              <w:jc w:val="left"/>
              <w:spacing w:before="253"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6"/>
                <w:sz w:val="18"/>
                <w:szCs w:val="18"/>
                <w:lang w:eastAsia="zh-CN"/>
              </w:rPr>
              <w:t xml:space="preserve">因工作突出原因收到社会锦旗或收到12345通知表扬的；</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564"/>
        </w:trPr>
        <w:tc>
          <w:tcPr>
            <w:tcBorders>
              <w:top w:val="none" w:color="000000" w:sz="4" w:space="0"/>
              <w:bottom w:val="none" w:color="000000" w:sz="4" w:space="0"/>
            </w:tcBorders>
            <w:tcW w:w="1360"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463"/>
              <w:jc w:val="left"/>
              <w:spacing w:before="254"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拾金不昧</w:t>
            </w:r>
            <w:r/>
          </w:p>
        </w:tc>
        <w:tc>
          <w:tcPr>
            <w:tcW w:w="652" w:type="dxa"/>
            <w:textDirection w:val="lrTb"/>
            <w:noWrap w:val="false"/>
          </w:tcPr>
          <w:p>
            <w:pPr>
              <w:ind w:left="86"/>
              <w:jc w:val="left"/>
              <w:spacing w:before="254"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5"/>
                <w:sz w:val="18"/>
                <w:szCs w:val="18"/>
                <w:lang w:eastAsia="en-US"/>
              </w:rPr>
              <w:t xml:space="preserve">加1分</w:t>
            </w:r>
            <w:r/>
          </w:p>
        </w:tc>
        <w:tc>
          <w:tcPr>
            <w:tcW w:w="6626" w:type="dxa"/>
            <w:textDirection w:val="lrTb"/>
            <w:noWrap w:val="false"/>
          </w:tcPr>
          <w:p>
            <w:pPr>
              <w:ind w:left="56"/>
              <w:jc w:val="left"/>
              <w:spacing w:before="254"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工作中发现遗失物品并及时上报主管科室或相关负责人的</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3"/>
        </w:trPr>
        <w:tc>
          <w:tcPr>
            <w:tcBorders>
              <w:top w:val="none" w:color="000000" w:sz="4" w:space="0"/>
            </w:tcBorders>
            <w:tcW w:w="1360"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371" w:right="85" w:hanging="272"/>
              <w:jc w:val="left"/>
              <w:spacing w:before="135"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6"/>
                <w:sz w:val="18"/>
                <w:szCs w:val="18"/>
                <w:lang w:eastAsia="zh-CN"/>
              </w:rPr>
              <w:t xml:space="preserve">降低医院损失，提</w:t>
            </w:r>
            <w:r>
              <w:rPr>
                <w:rFonts w:ascii="Times New Roman" w:hAnsi="Times New Roman" w:eastAsia="宋体" w:cs="宋体"/>
                <w:bCs w:val="0"/>
                <w:color w:val="auto"/>
                <w:spacing w:val="7"/>
                <w:sz w:val="18"/>
                <w:szCs w:val="18"/>
                <w:lang w:eastAsia="zh-CN"/>
              </w:rPr>
              <w:t xml:space="preserve">升医院形象</w:t>
            </w:r>
            <w:r/>
          </w:p>
        </w:tc>
        <w:tc>
          <w:tcPr>
            <w:tcW w:w="652" w:type="dxa"/>
            <w:textDirection w:val="lrTb"/>
            <w:noWrap w:val="false"/>
          </w:tcPr>
          <w:p>
            <w:pPr>
              <w:ind w:left="86"/>
              <w:jc w:val="left"/>
              <w:spacing w:before="255"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5"/>
                <w:sz w:val="18"/>
                <w:szCs w:val="18"/>
                <w:lang w:eastAsia="en-US"/>
              </w:rPr>
              <w:t xml:space="preserve">加1分</w:t>
            </w:r>
            <w:r/>
          </w:p>
        </w:tc>
        <w:tc>
          <w:tcPr>
            <w:tcW w:w="6626" w:type="dxa"/>
            <w:textDirection w:val="lrTb"/>
            <w:noWrap w:val="false"/>
          </w:tcPr>
          <w:p>
            <w:pPr>
              <w:ind w:left="55" w:right="156" w:hanging="2"/>
              <w:jc w:val="left"/>
              <w:spacing w:before="134"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及时发现医院相关岗位管理漏洞、为医院排除隐患；个</w:t>
            </w:r>
            <w:r>
              <w:rPr>
                <w:rFonts w:ascii="Times New Roman" w:hAnsi="Times New Roman" w:eastAsia="宋体" w:cs="宋体"/>
                <w:bCs w:val="0"/>
                <w:color w:val="auto"/>
                <w:spacing w:val="6"/>
                <w:sz w:val="18"/>
                <w:szCs w:val="18"/>
                <w:lang w:eastAsia="zh-CN"/>
              </w:rPr>
              <w:t xml:space="preserve">人行为提升社会影响，为医院巩固正面形象的；</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3"/>
        </w:trPr>
        <w:tc>
          <w:tcPr>
            <w:tcBorders>
              <w:bottom w:val="none" w:color="000000" w:sz="4" w:space="0"/>
            </w:tcBorders>
            <w:tcW w:w="1360" w:type="dxa"/>
            <w:vMerge w:val="restart"/>
            <w:textDirection w:val="lrTb"/>
            <w:noWrap w:val="false"/>
          </w:tcPr>
          <w:p>
            <w:pPr>
              <w:jc w:val="left"/>
              <w:spacing w:after="0" w:line="242"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42"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43"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43"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jc w:val="left"/>
              <w:spacing w:after="0" w:line="243"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p>
            <w:pPr>
              <w:ind w:left="396"/>
              <w:jc w:val="left"/>
              <w:spacing w:before="58"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6"/>
                <w:sz w:val="18"/>
                <w:szCs w:val="18"/>
                <w:lang w:eastAsia="en-US"/>
              </w:rPr>
              <w:t xml:space="preserve">扣分项</w:t>
            </w:r>
            <w:r/>
          </w:p>
        </w:tc>
        <w:tc>
          <w:tcPr>
            <w:tcW w:w="1695" w:type="dxa"/>
            <w:textDirection w:val="lrTb"/>
            <w:noWrap w:val="false"/>
          </w:tcPr>
          <w:p>
            <w:pPr>
              <w:ind w:left="84"/>
              <w:jc w:val="left"/>
              <w:spacing w:before="256"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8"/>
                <w:sz w:val="18"/>
                <w:szCs w:val="18"/>
                <w:lang w:eastAsia="en-US"/>
              </w:rPr>
              <w:t xml:space="preserve">违反医院规章制度</w:t>
            </w:r>
            <w:r/>
          </w:p>
        </w:tc>
        <w:tc>
          <w:tcPr>
            <w:tcW w:w="652" w:type="dxa"/>
            <w:textDirection w:val="lrTb"/>
            <w:noWrap w:val="false"/>
          </w:tcPr>
          <w:p>
            <w:pPr>
              <w:ind w:left="89"/>
              <w:jc w:val="left"/>
              <w:spacing w:before="256"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扣2分</w:t>
            </w:r>
            <w:r/>
          </w:p>
        </w:tc>
        <w:tc>
          <w:tcPr>
            <w:tcW w:w="6626" w:type="dxa"/>
            <w:textDirection w:val="lrTb"/>
            <w:noWrap w:val="false"/>
          </w:tcPr>
          <w:p>
            <w:pPr>
              <w:ind w:left="55" w:right="58" w:hanging="2"/>
              <w:jc w:val="left"/>
              <w:spacing w:before="137"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根据医院保卫科奖惩制度，按扣除绩效奖金50元/次的情形，每</w:t>
            </w:r>
            <w:r>
              <w:rPr>
                <w:rFonts w:ascii="Times New Roman" w:hAnsi="Times New Roman" w:eastAsia="宋体" w:cs="宋体"/>
                <w:bCs w:val="0"/>
                <w:color w:val="auto"/>
                <w:spacing w:val="8"/>
                <w:sz w:val="18"/>
                <w:szCs w:val="18"/>
                <w:lang w:eastAsia="zh-CN"/>
              </w:rPr>
              <w:t xml:space="preserve">次扣</w:t>
            </w:r>
            <w:r>
              <w:rPr>
                <w:rFonts w:ascii="Times New Roman" w:hAnsi="Times New Roman" w:eastAsia="宋体" w:cs="宋体"/>
                <w:bCs w:val="0"/>
                <w:color w:val="auto"/>
                <w:spacing w:val="-7"/>
                <w:sz w:val="18"/>
                <w:szCs w:val="18"/>
                <w:lang w:eastAsia="zh-CN"/>
              </w:rPr>
              <w:t xml:space="preserve">2分；</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3"/>
        </w:trPr>
        <w:tc>
          <w:tcPr>
            <w:tcBorders>
              <w:top w:val="none" w:color="000000" w:sz="4" w:space="0"/>
              <w:bottom w:val="none" w:color="000000" w:sz="4" w:space="0"/>
            </w:tcBorders>
            <w:tcW w:w="1360"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273"/>
              <w:jc w:val="left"/>
              <w:spacing w:before="257"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8"/>
                <w:sz w:val="18"/>
                <w:szCs w:val="18"/>
                <w:lang w:eastAsia="en-US"/>
              </w:rPr>
              <w:t xml:space="preserve">破坏工作环境</w:t>
            </w:r>
            <w:r/>
          </w:p>
        </w:tc>
        <w:tc>
          <w:tcPr>
            <w:tcW w:w="652" w:type="dxa"/>
            <w:textDirection w:val="lrTb"/>
            <w:noWrap w:val="false"/>
          </w:tcPr>
          <w:p>
            <w:pPr>
              <w:ind w:left="89"/>
              <w:jc w:val="left"/>
              <w:spacing w:before="257"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扣2分</w:t>
            </w:r>
            <w:r/>
          </w:p>
        </w:tc>
        <w:tc>
          <w:tcPr>
            <w:tcW w:w="6626" w:type="dxa"/>
            <w:textDirection w:val="lrTb"/>
            <w:noWrap w:val="false"/>
          </w:tcPr>
          <w:p>
            <w:pPr>
              <w:ind w:left="53" w:right="156"/>
              <w:jc w:val="left"/>
              <w:spacing w:before="136"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在岗（门卫室、车管亭、消控室）期间工作地点环境脏乱差；私自</w:t>
            </w:r>
            <w:r>
              <w:rPr>
                <w:rFonts w:ascii="Times New Roman" w:hAnsi="Times New Roman" w:eastAsia="宋体" w:cs="宋体"/>
                <w:bCs w:val="0"/>
                <w:color w:val="auto"/>
                <w:spacing w:val="6"/>
                <w:sz w:val="18"/>
                <w:szCs w:val="18"/>
                <w:lang w:eastAsia="zh-CN"/>
              </w:rPr>
              <w:t xml:space="preserve">会友、不假外出、喝酒（两次以上）者；</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672"/>
        </w:trPr>
        <w:tc>
          <w:tcPr>
            <w:tcBorders>
              <w:top w:val="none" w:color="000000" w:sz="4" w:space="0"/>
              <w:bottom w:val="none" w:color="000000" w:sz="4" w:space="0"/>
            </w:tcBorders>
            <w:tcW w:w="1360"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695" w:type="dxa"/>
            <w:textDirection w:val="lrTb"/>
            <w:noWrap w:val="false"/>
          </w:tcPr>
          <w:p>
            <w:pPr>
              <w:ind w:left="89" w:right="85" w:firstLine="93"/>
              <w:jc w:val="left"/>
              <w:spacing w:before="138" w:after="0" w:line="245"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工作失误造成损失，损害公司形象</w:t>
            </w:r>
            <w:r/>
          </w:p>
        </w:tc>
        <w:tc>
          <w:tcPr>
            <w:tcW w:w="652" w:type="dxa"/>
            <w:textDirection w:val="lrTb"/>
            <w:noWrap w:val="false"/>
          </w:tcPr>
          <w:p>
            <w:pPr>
              <w:ind w:left="89"/>
              <w:jc w:val="left"/>
              <w:spacing w:before="258"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扣2分</w:t>
            </w:r>
            <w:r/>
          </w:p>
        </w:tc>
        <w:tc>
          <w:tcPr>
            <w:tcW w:w="6626" w:type="dxa"/>
            <w:textDirection w:val="lrTb"/>
            <w:noWrap w:val="false"/>
          </w:tcPr>
          <w:p>
            <w:pPr>
              <w:ind w:left="68" w:right="60"/>
              <w:jc w:val="left"/>
              <w:spacing w:before="32" w:after="0" w:line="244"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9"/>
                <w:sz w:val="18"/>
                <w:szCs w:val="18"/>
                <w:lang w:eastAsia="zh-CN"/>
              </w:rPr>
              <w:t xml:space="preserve">因个人失误使医院遭受损失的，每次扣5分；</w:t>
            </w:r>
            <w:r>
              <w:rPr>
                <w:rFonts w:ascii="Times New Roman" w:hAnsi="Times New Roman" w:eastAsia="宋体" w:cs="宋体"/>
                <w:bCs w:val="0"/>
                <w:color w:val="auto"/>
                <w:spacing w:val="8"/>
                <w:sz w:val="18"/>
                <w:szCs w:val="18"/>
                <w:lang w:eastAsia="zh-CN"/>
              </w:rPr>
              <w:t xml:space="preserve">员工行为损害医院形象</w:t>
            </w:r>
            <w:r>
              <w:rPr>
                <w:rFonts w:ascii="Times New Roman" w:hAnsi="Times New Roman" w:eastAsia="宋体" w:cs="宋体"/>
                <w:bCs w:val="0"/>
                <w:color w:val="auto"/>
                <w:spacing w:val="9"/>
                <w:sz w:val="18"/>
                <w:szCs w:val="18"/>
                <w:lang w:eastAsia="zh-CN"/>
              </w:rPr>
              <w:t xml:space="preserve">的（如工作过程中泄露机密、酗酒赌博、拉</w:t>
            </w:r>
            <w:r>
              <w:rPr>
                <w:rFonts w:ascii="Times New Roman" w:hAnsi="Times New Roman" w:eastAsia="宋体" w:cs="宋体"/>
                <w:bCs w:val="0"/>
                <w:color w:val="auto"/>
                <w:spacing w:val="8"/>
                <w:sz w:val="18"/>
                <w:szCs w:val="18"/>
                <w:lang w:eastAsia="zh-CN"/>
              </w:rPr>
              <w:t xml:space="preserve">帮结派、打架斗殴</w:t>
            </w:r>
            <w:r/>
          </w:p>
          <w:p>
            <w:pPr>
              <w:ind w:left="55"/>
              <w:jc w:val="left"/>
              <w:spacing w:after="0" w:line="158"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10"/>
                <w:sz w:val="18"/>
                <w:szCs w:val="18"/>
                <w:lang w:eastAsia="en-US"/>
              </w:rPr>
              <w:t xml:space="preserve">等</w:t>
            </w:r>
            <w:r>
              <w:rPr>
                <w:rFonts w:ascii="Times New Roman" w:hAnsi="Times New Roman" w:eastAsia="宋体" w:cs="宋体"/>
                <w:bCs w:val="0"/>
                <w:color w:val="auto"/>
                <w:spacing w:val="-5"/>
                <w:sz w:val="18"/>
                <w:szCs w:val="18"/>
                <w:lang w:eastAsia="en-US"/>
              </w:rPr>
              <w:t xml:space="preserve">）；</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en-US"/>
              </w:rPr>
            </w:pPr>
            <w:r>
              <w:rPr>
                <w:rFonts w:ascii="Times New Roman" w:hAnsi="Times New Roman" w:eastAsia="宋体" w:cs="Arial"/>
                <w:bCs w:val="0"/>
                <w:color w:val="auto"/>
                <w:sz w:val="21"/>
                <w:szCs w:val="21"/>
                <w:lang w:eastAsia="en-US"/>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en-US"/>
              </w:rPr>
            </w:pPr>
            <w:r>
              <w:rPr>
                <w:rFonts w:ascii="Times New Roman" w:hAnsi="Times New Roman" w:eastAsia="宋体" w:cs="Arial"/>
                <w:bCs w:val="0"/>
                <w:color w:val="auto"/>
                <w:sz w:val="21"/>
                <w:szCs w:val="21"/>
                <w:lang w:eastAsia="en-US"/>
              </w:rPr>
            </w:r>
            <w:r/>
          </w:p>
        </w:tc>
      </w:tr>
      <w:tr>
        <w:trPr>
          <w:trHeight w:val="673"/>
        </w:trPr>
        <w:tc>
          <w:tcPr>
            <w:tcBorders>
              <w:top w:val="none" w:color="000000" w:sz="4" w:space="0"/>
            </w:tcBorders>
            <w:tcW w:w="1360" w:type="dxa"/>
            <w:vMerge w:val="continue"/>
            <w:textDirection w:val="lrTb"/>
            <w:noWrap w:val="false"/>
          </w:tcPr>
          <w:p>
            <w:pPr>
              <w:jc w:val="left"/>
              <w:spacing w:after="0" w:line="240" w:lineRule="auto"/>
              <w:rPr>
                <w:rFonts w:ascii="Times New Roman" w:hAnsi="Times New Roman" w:eastAsia="宋体" w:cs="Arial"/>
                <w:bCs w:val="0"/>
                <w:color w:val="auto"/>
                <w:sz w:val="21"/>
                <w:szCs w:val="21"/>
                <w:lang w:eastAsia="en-US"/>
              </w:rPr>
            </w:pPr>
            <w:r>
              <w:rPr>
                <w:rFonts w:ascii="Times New Roman" w:hAnsi="Times New Roman" w:eastAsia="宋体" w:cs="Arial"/>
                <w:bCs w:val="0"/>
                <w:color w:val="auto"/>
                <w:sz w:val="21"/>
                <w:szCs w:val="21"/>
                <w:lang w:eastAsia="en-US"/>
              </w:rPr>
            </w:r>
            <w:r/>
          </w:p>
        </w:tc>
        <w:tc>
          <w:tcPr>
            <w:tcW w:w="1695" w:type="dxa"/>
            <w:textDirection w:val="lrTb"/>
            <w:noWrap w:val="false"/>
          </w:tcPr>
          <w:p>
            <w:pPr>
              <w:ind w:left="463"/>
              <w:jc w:val="left"/>
              <w:spacing w:before="260"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7"/>
                <w:sz w:val="18"/>
                <w:szCs w:val="18"/>
                <w:lang w:eastAsia="en-US"/>
              </w:rPr>
              <w:t xml:space="preserve">破坏公物</w:t>
            </w:r>
            <w:r/>
          </w:p>
        </w:tc>
        <w:tc>
          <w:tcPr>
            <w:tcW w:w="652" w:type="dxa"/>
            <w:textDirection w:val="lrTb"/>
            <w:noWrap w:val="false"/>
          </w:tcPr>
          <w:p>
            <w:pPr>
              <w:ind w:left="89"/>
              <w:jc w:val="left"/>
              <w:spacing w:before="260" w:after="0" w:line="230"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4"/>
                <w:sz w:val="18"/>
                <w:szCs w:val="18"/>
                <w:lang w:eastAsia="en-US"/>
              </w:rPr>
              <w:t xml:space="preserve">扣2分</w:t>
            </w:r>
            <w:r/>
          </w:p>
        </w:tc>
        <w:tc>
          <w:tcPr>
            <w:tcW w:w="6626" w:type="dxa"/>
            <w:textDirection w:val="lrTb"/>
            <w:noWrap w:val="false"/>
          </w:tcPr>
          <w:p>
            <w:pPr>
              <w:ind w:left="56"/>
              <w:jc w:val="left"/>
              <w:spacing w:before="260"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7"/>
                <w:sz w:val="18"/>
                <w:szCs w:val="18"/>
                <w:lang w:eastAsia="zh-CN"/>
              </w:rPr>
              <w:t xml:space="preserve">不爱护医院公共设施，损坏工作地点相关设施设备。</w:t>
            </w:r>
            <w:r/>
          </w:p>
        </w:tc>
        <w:tc>
          <w:tcPr>
            <w:tcW w:w="198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c>
          <w:tcPr>
            <w:tcW w:w="1275" w:type="dxa"/>
            <w:textDirection w:val="lrTb"/>
            <w:noWrap w:val="false"/>
          </w:tcPr>
          <w:p>
            <w:pPr>
              <w:jc w:val="left"/>
              <w:spacing w:after="0" w:line="240" w:lineRule="auto"/>
              <w:rPr>
                <w:rFonts w:ascii="Times New Roman" w:hAnsi="Times New Roman" w:eastAsia="宋体" w:cs="Arial"/>
                <w:bCs w:val="0"/>
                <w:color w:val="auto"/>
                <w:sz w:val="21"/>
                <w:szCs w:val="21"/>
                <w:lang w:eastAsia="zh-CN"/>
              </w:rPr>
            </w:pPr>
            <w:r>
              <w:rPr>
                <w:rFonts w:ascii="Times New Roman" w:hAnsi="Times New Roman" w:eastAsia="宋体" w:cs="Arial"/>
                <w:bCs w:val="0"/>
                <w:color w:val="auto"/>
                <w:sz w:val="21"/>
                <w:szCs w:val="21"/>
                <w:lang w:eastAsia="zh-CN"/>
              </w:rPr>
            </w:r>
            <w:r/>
          </w:p>
        </w:tc>
      </w:tr>
      <w:tr>
        <w:trPr>
          <w:trHeight w:val="385"/>
        </w:trPr>
        <w:tc>
          <w:tcPr>
            <w:tcW w:w="1360" w:type="dxa"/>
            <w:textDirection w:val="lrTb"/>
            <w:noWrap w:val="false"/>
          </w:tcPr>
          <w:p>
            <w:pPr>
              <w:ind w:left="311"/>
              <w:jc w:val="left"/>
              <w:spacing w:before="115" w:after="0" w:line="229" w:lineRule="auto"/>
              <w:rPr>
                <w:rFonts w:ascii="Times New Roman" w:hAnsi="Times New Roman" w:eastAsia="宋体" w:cs="宋体"/>
                <w:bCs w:val="0"/>
                <w:color w:val="auto"/>
                <w:sz w:val="18"/>
                <w:szCs w:val="18"/>
                <w:lang w:eastAsia="en-US"/>
              </w:rPr>
            </w:pPr>
            <w:r>
              <w:rPr>
                <w:rFonts w:ascii="Times New Roman" w:hAnsi="Times New Roman" w:eastAsia="宋体" w:cs="宋体"/>
                <w:bCs w:val="0"/>
                <w:color w:val="auto"/>
                <w:spacing w:val="6"/>
                <w:sz w:val="18"/>
                <w:szCs w:val="18"/>
                <w:lang w:eastAsia="en-US"/>
              </w:rPr>
              <w:t xml:space="preserve">总计得分</w:t>
            </w:r>
            <w:r/>
          </w:p>
        </w:tc>
        <w:tc>
          <w:tcPr>
            <w:gridSpan w:val="5"/>
            <w:tcW w:w="12233" w:type="dxa"/>
            <w:textDirection w:val="lrTb"/>
            <w:noWrap w:val="false"/>
          </w:tcPr>
          <w:p>
            <w:pPr>
              <w:jc w:val="left"/>
              <w:spacing w:after="0" w:line="240" w:lineRule="auto"/>
              <w:rPr>
                <w:rFonts w:ascii="Times New Roman" w:hAnsi="Times New Roman" w:eastAsia="宋体" w:cs="Arial"/>
                <w:bCs w:val="0"/>
                <w:color w:val="auto"/>
                <w:sz w:val="21"/>
                <w:szCs w:val="21"/>
                <w:lang w:eastAsia="en-US"/>
              </w:rPr>
            </w:pPr>
            <w:r>
              <w:rPr>
                <w:rFonts w:ascii="Times New Roman" w:hAnsi="Times New Roman" w:eastAsia="宋体" w:cs="Arial"/>
                <w:bCs w:val="0"/>
                <w:color w:val="auto"/>
                <w:sz w:val="21"/>
                <w:szCs w:val="21"/>
                <w:lang w:eastAsia="en-US"/>
              </w:rPr>
            </w:r>
            <w:r/>
          </w:p>
        </w:tc>
      </w:tr>
      <w:tr>
        <w:trPr>
          <w:trHeight w:val="644"/>
        </w:trPr>
        <w:tc>
          <w:tcPr>
            <w:gridSpan w:val="6"/>
            <w:tcW w:w="13593" w:type="dxa"/>
            <w:textDirection w:val="lrTb"/>
            <w:noWrap w:val="false"/>
          </w:tcPr>
          <w:p>
            <w:pPr>
              <w:ind w:left="1117"/>
              <w:jc w:val="left"/>
              <w:spacing w:before="133" w:after="0" w:line="229" w:lineRule="auto"/>
              <w:rPr>
                <w:rFonts w:ascii="Times New Roman" w:hAnsi="Times New Roman" w:eastAsia="宋体" w:cs="宋体"/>
                <w:bCs w:val="0"/>
                <w:color w:val="auto"/>
                <w:sz w:val="18"/>
                <w:szCs w:val="18"/>
                <w:lang w:eastAsia="zh-CN"/>
              </w:rPr>
            </w:pPr>
            <w:r>
              <w:rPr>
                <w:rFonts w:ascii="Times New Roman" w:hAnsi="Times New Roman" w:eastAsia="宋体" w:cs="宋体"/>
                <w:bCs w:val="0"/>
                <w:color w:val="auto"/>
                <w:spacing w:val="8"/>
                <w:sz w:val="18"/>
                <w:szCs w:val="18"/>
                <w:lang w:eastAsia="zh-CN"/>
              </w:rPr>
              <w:t xml:space="preserve">管理部门：           </w:t>
            </w:r>
            <w:r>
              <w:rPr>
                <w:rFonts w:ascii="Times New Roman" w:hAnsi="Times New Roman" w:eastAsia="宋体" w:cs="宋体"/>
                <w:bCs w:val="0"/>
                <w:color w:val="auto"/>
                <w:spacing w:val="7"/>
                <w:sz w:val="18"/>
                <w:szCs w:val="18"/>
                <w:lang w:eastAsia="zh-CN"/>
              </w:rPr>
              <w:t xml:space="preserve">          考核人（签名</w:t>
            </w:r>
            <w:r>
              <w:rPr>
                <w:rFonts w:ascii="Times New Roman" w:hAnsi="Times New Roman" w:eastAsia="宋体" w:cs="宋体"/>
                <w:bCs w:val="0"/>
                <w:color w:val="auto"/>
                <w:spacing w:val="3"/>
                <w:sz w:val="18"/>
                <w:szCs w:val="18"/>
                <w:lang w:eastAsia="zh-CN"/>
              </w:rPr>
              <w:t xml:space="preserve">）：</w:t>
            </w:r>
            <w:r>
              <w:rPr>
                <w:rFonts w:ascii="Times New Roman" w:hAnsi="Times New Roman" w:eastAsia="宋体" w:cs="宋体"/>
                <w:bCs w:val="0"/>
                <w:color w:val="auto"/>
                <w:spacing w:val="1"/>
                <w:sz w:val="18"/>
                <w:szCs w:val="18"/>
                <w:lang w:eastAsia="zh-CN"/>
              </w:rPr>
              <w:t xml:space="preserve">                   </w:t>
            </w:r>
            <w:r>
              <w:rPr>
                <w:rFonts w:ascii="Times New Roman" w:hAnsi="Times New Roman" w:eastAsia="宋体" w:cs="宋体"/>
                <w:bCs w:val="0"/>
                <w:color w:val="auto"/>
                <w:spacing w:val="7"/>
                <w:sz w:val="18"/>
                <w:szCs w:val="18"/>
                <w:lang w:eastAsia="zh-CN"/>
              </w:rPr>
              <w:t xml:space="preserve">服务方负责人（签名</w:t>
            </w:r>
            <w:r>
              <w:rPr>
                <w:rFonts w:ascii="Times New Roman" w:hAnsi="Times New Roman" w:eastAsia="宋体" w:cs="宋体"/>
                <w:bCs w:val="0"/>
                <w:color w:val="auto"/>
                <w:spacing w:val="3"/>
                <w:sz w:val="18"/>
                <w:szCs w:val="18"/>
                <w:lang w:eastAsia="zh-CN"/>
              </w:rPr>
              <w:t xml:space="preserve">）：</w:t>
            </w:r>
            <w:bookmarkEnd w:id="213"/>
            <w:r/>
          </w:p>
        </w:tc>
      </w:tr>
    </w:tbl>
    <w:p>
      <w:pPr>
        <w:jc w:val="left"/>
        <w:widowControl/>
        <w:rPr>
          <w:sz w:val="28"/>
        </w:rPr>
      </w:pPr>
      <w:r>
        <w:br w:type="page" w:clear="all"/>
      </w:r>
      <w:bookmarkEnd w:id="210"/>
      <w:r/>
    </w:p>
    <w:p>
      <w:pPr>
        <w:jc w:val="center"/>
        <w:rPr>
          <w:b/>
          <w:sz w:val="36"/>
        </w:rPr>
        <w:sectPr>
          <w:footnotePr/>
          <w:endnotePr/>
          <w:type w:val="nextPage"/>
          <w:pgSz w:w="16832" w:h="11905" w:orient="landscape"/>
          <w:pgMar w:top="1009" w:right="1820" w:bottom="947" w:left="1808" w:header="0" w:footer="720" w:gutter="0"/>
          <w:cols w:num="1" w:sep="0" w:space="0" w:equalWidth="1"/>
          <w:docGrid w:linePitch="360"/>
        </w:sectPr>
        <w:outlineLvl w:val="0"/>
      </w:pPr>
      <w:r/>
      <w:bookmarkStart w:id="214" w:name="_Toc129075866"/>
      <w:r/>
      <w:bookmarkStart w:id="215" w:name="_Toc26081"/>
      <w:r/>
      <w:bookmarkStart w:id="216" w:name="_Toc18158"/>
      <w:r/>
      <w:r/>
    </w:p>
    <w:p>
      <w:pPr>
        <w:jc w:val="center"/>
        <w:rPr>
          <w:b/>
          <w:sz w:val="36"/>
        </w:rPr>
        <w:outlineLvl w:val="0"/>
      </w:pPr>
      <w:r>
        <w:rPr>
          <w:b/>
          <w:sz w:val="36"/>
        </w:rPr>
        <w:t xml:space="preserve">第五章</w:t>
      </w:r>
      <w:r>
        <w:rPr>
          <w:rFonts w:hint="eastAsia"/>
          <w:b/>
          <w:sz w:val="36"/>
        </w:rPr>
        <w:t xml:space="preserve"> </w:t>
      </w:r>
      <w:r>
        <w:rPr>
          <w:b/>
          <w:sz w:val="36"/>
        </w:rPr>
        <w:t xml:space="preserve"> 评审因素和评分标准</w:t>
      </w:r>
      <w:bookmarkEnd w:id="214"/>
      <w:r/>
      <w:bookmarkEnd w:id="215"/>
      <w:r/>
      <w:bookmarkEnd w:id="216"/>
      <w:r/>
      <w:r/>
    </w:p>
    <w:p>
      <w:pPr>
        <w:spacing w:line="460" w:lineRule="exact"/>
        <w:rPr>
          <w:b/>
          <w:bCs/>
          <w:sz w:val="28"/>
          <w:szCs w:val="22"/>
        </w:rPr>
        <w:outlineLvl w:val="9"/>
      </w:pPr>
      <w:r>
        <w:rPr>
          <w:b/>
          <w:bCs/>
          <w:sz w:val="28"/>
          <w:szCs w:val="22"/>
        </w:rPr>
        <w:t xml:space="preserve">一、评标方法</w:t>
      </w:r>
      <w:r/>
    </w:p>
    <w:p>
      <w:pPr>
        <w:ind w:firstLine="420"/>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、评标办法采用</w:t>
      </w:r>
      <w:r>
        <w:rPr>
          <w:rFonts w:hint="eastAsia" w:ascii="宋体" w:hAnsi="宋体"/>
          <w:b/>
          <w:color w:val="000000"/>
          <w:sz w:val="24"/>
          <w:szCs w:val="24"/>
        </w:rPr>
        <w:t xml:space="preserve">综合评分法</w:t>
      </w:r>
      <w:r>
        <w:rPr>
          <w:rFonts w:hint="eastAsia" w:ascii="宋体" w:hAnsi="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投标文件满足招标文件全部实质性要求，且按照评分标准评审得分前三名为中标候选人，并根据采购人委托直接确定第一名为中标人。</w:t>
      </w:r>
      <w:r/>
    </w:p>
    <w:p>
      <w:pPr>
        <w:spacing w:line="460" w:lineRule="exact"/>
        <w:rPr>
          <w:rFonts w:hint="eastAsia" w:eastAsiaTheme="minorEastAsia"/>
          <w:b/>
          <w:bCs/>
          <w:sz w:val="28"/>
          <w:szCs w:val="22"/>
          <w:lang w:eastAsia="zh-CN"/>
        </w:rPr>
        <w:outlineLvl w:val="9"/>
      </w:pPr>
      <w:r>
        <w:rPr>
          <w:b/>
          <w:bCs/>
          <w:sz w:val="28"/>
          <w:szCs w:val="22"/>
        </w:rPr>
        <w:t xml:space="preserve">二、评审因素、分值及评分标准</w:t>
      </w:r>
      <w:r/>
    </w:p>
    <w:p>
      <w:pPr>
        <w:ind w:firstLine="480"/>
        <w:spacing w:line="46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注：每部分的得分保留小数点后两位，合计得分保留小数点后两位。</w:t>
      </w:r>
      <w:r/>
    </w:p>
    <w:p>
      <w:pPr>
        <w:ind w:firstLine="482"/>
        <w:spacing w:line="460" w:lineRule="exact"/>
        <w:rPr>
          <w:rFonts w:hint="eastAsia" w:asciiTheme="minorEastAsia" w:hAnsiTheme="minorEastAsia" w:eastAsiaTheme="minorEastAsia" w:cstheme="minorEastAsia"/>
          <w:b/>
          <w:bCs/>
          <w:sz w:val="24"/>
          <w:szCs w:val="22"/>
        </w:rPr>
      </w:pPr>
      <w:r/>
      <w:bookmarkStart w:id="217" w:name="_Hlk100141372"/>
      <w:r>
        <w:rPr>
          <w:rFonts w:hint="eastAsia" w:asciiTheme="minorEastAsia" w:hAnsiTheme="minorEastAsia" w:eastAsiaTheme="minorEastAsia" w:cstheme="minorEastAsia"/>
          <w:b/>
          <w:bCs/>
          <w:sz w:val="24"/>
          <w:szCs w:val="22"/>
        </w:rPr>
        <w:t xml:space="preserve">1、投标报价</w:t>
      </w:r>
      <w:r>
        <w:rPr>
          <w:rFonts w:hint="eastAsia" w:asciiTheme="minorEastAsia" w:hAnsiTheme="minorEastAsia" w:cstheme="minorEastAsia"/>
          <w:b/>
          <w:bCs/>
          <w:sz w:val="24"/>
          <w:szCs w:val="22"/>
          <w:lang w:val="en-US" w:eastAsia="zh-CN"/>
        </w:rPr>
        <w:t xml:space="preserve">20</w:t>
      </w:r>
      <w:r>
        <w:rPr>
          <w:rFonts w:hint="eastAsia" w:asciiTheme="minorEastAsia" w:hAnsiTheme="minorEastAsia" w:eastAsiaTheme="minorEastAsia" w:cstheme="minorEastAsia"/>
          <w:b/>
          <w:bCs/>
          <w:sz w:val="24"/>
          <w:szCs w:val="22"/>
        </w:rPr>
        <w:t xml:space="preserve">分</w:t>
      </w:r>
      <w:r/>
    </w:p>
    <w:p>
      <w:pPr>
        <w:ind w:firstLine="480"/>
        <w:spacing w:line="46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满足招标文件要求且投标价格最低的投标报价为评标基准价，其价格分为</w:t>
      </w:r>
      <w:r>
        <w:rPr>
          <w:rFonts w:hint="eastAsia" w:asciiTheme="minorEastAsia" w:hAnsiTheme="minorEastAsia" w:cstheme="minorEastAsia"/>
          <w:sz w:val="24"/>
          <w:szCs w:val="22"/>
          <w:highlight w:val="none"/>
          <w:lang w:val="en-US" w:eastAsia="zh-CN"/>
        </w:rPr>
        <w:t xml:space="preserve">20</w:t>
      </w:r>
      <w:r>
        <w:rPr>
          <w:rFonts w:hint="eastAsia" w:asciiTheme="minorEastAsia" w:hAnsiTheme="minorEastAsia" w:eastAsiaTheme="minorEastAsia" w:cstheme="minorEastAsia"/>
          <w:sz w:val="24"/>
          <w:szCs w:val="22"/>
          <w:highlight w:val="none"/>
        </w:rPr>
        <w:t xml:space="preserve">分；其他投标人的价格分按下列公式计算：投标报价得分＝（评标基准价／投标报价）×</w:t>
      </w:r>
      <w:r>
        <w:rPr>
          <w:rFonts w:hint="eastAsia" w:asciiTheme="minorEastAsia" w:hAnsiTheme="minorEastAsia" w:cstheme="minorEastAsia"/>
          <w:sz w:val="24"/>
          <w:szCs w:val="22"/>
          <w:highlight w:val="none"/>
          <w:lang w:val="en-US" w:eastAsia="zh-CN"/>
        </w:rPr>
        <w:t xml:space="preserve">20</w:t>
      </w:r>
      <w:r>
        <w:rPr>
          <w:rFonts w:hint="eastAsia" w:asciiTheme="minorEastAsia" w:hAnsiTheme="minorEastAsia" w:eastAsiaTheme="minorEastAsia" w:cstheme="minorEastAsia"/>
          <w:sz w:val="24"/>
          <w:szCs w:val="22"/>
          <w:highlight w:val="none"/>
        </w:rPr>
        <w:t xml:space="preserve">分。</w:t>
      </w:r>
      <w:r/>
    </w:p>
    <w:p>
      <w:pPr>
        <w:ind w:firstLine="240"/>
        <w:spacing w:line="440" w:lineRule="exact"/>
        <w:rPr>
          <w:rFonts w:hint="eastAsia" w:ascii="宋体" w:hAnsi="宋体"/>
          <w:sz w:val="24"/>
          <w:highlight w:val="none"/>
        </w:rPr>
      </w:pPr>
      <w:r>
        <w:rPr>
          <w:rFonts w:hint="eastAsia" w:ascii="宋体" w:hAnsi="宋体"/>
          <w:sz w:val="24"/>
          <w:highlight w:val="none"/>
        </w:rPr>
        <w:t xml:space="preserve">评审过程中出现下列情形之一的，评审委员会应当启动异常低价投标（响应）审查程序：</w:t>
      </w:r>
      <w:r/>
    </w:p>
    <w:p>
      <w:pPr>
        <w:ind w:firstLine="240"/>
        <w:spacing w:line="44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240"/>
        <w:spacing w:line="44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240"/>
        <w:spacing w:line="440" w:lineRule="exact"/>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240"/>
        <w:spacing w:line="44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240"/>
        <w:keepLines w:val="0"/>
        <w:keepNext w:val="0"/>
        <w:pageBreakBefore w:val="0"/>
        <w:spacing w:line="440" w:lineRule="exact"/>
        <w:widowControl w:val="off"/>
        <w:rPr>
          <w:rFonts w:hint="eastAsia"/>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sz w:val="24"/>
          <w:lang w:eastAsia="zh-CN"/>
        </w:rPr>
        <w:t xml:space="preserve">（</w:t>
      </w:r>
      <w:r>
        <w:rPr>
          <w:rFonts w:hint="eastAsia" w:ascii="宋体" w:hAnsi="宋体"/>
          <w:sz w:val="24"/>
          <w:lang w:val="en-US" w:eastAsia="zh-CN"/>
        </w:rPr>
        <w:t xml:space="preserve">30分钟内</w:t>
      </w:r>
      <w:r>
        <w:rPr>
          <w:rFonts w:hint="eastAsia" w:ascii="宋体" w:hAnsi="宋体"/>
          <w:sz w:val="24"/>
          <w:lang w:eastAsia="zh-CN"/>
        </w:rPr>
        <w:t xml:space="preserve">）</w:t>
      </w:r>
      <w:r>
        <w:rPr>
          <w:rFonts w:hint="default" w:ascii="宋体" w:hAnsi="宋体"/>
          <w:sz w:val="24"/>
        </w:rPr>
        <w:t xml:space="preserve">。</w:t>
      </w:r>
      <w:r>
        <w:rPr>
          <w:rFonts w:hint="default" w:ascii="宋体" w:hAnsi="宋体"/>
          <w:b/>
          <w:bCs/>
          <w:sz w:val="24"/>
        </w:rPr>
        <w:t xml:space="preserve">其中，属于第3项情形，供应商已随投标（响应）文件一并提交相关书面说明及必要的证明材料的，在评审现场可不再重复提交</w:t>
      </w:r>
      <w:r>
        <w:rPr>
          <w:rFonts w:hint="default" w:ascii="宋体" w:hAnsi="宋体"/>
          <w:sz w:val="24"/>
        </w:rPr>
        <w:t xml:space="preserve">。</w:t>
      </w: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after="0" w:line="520" w:lineRule="exact"/>
        <w:widowControl w:val="off"/>
        <w:rPr>
          <w:rFonts w:hint="eastAsia" w:ascii="宋体" w:hAnsi="宋体" w:eastAsia="宋体" w:cs="宋体"/>
          <w:b/>
          <w:sz w:val="24"/>
          <w:szCs w:val="24"/>
        </w:rPr>
      </w:pPr>
      <w:r/>
      <w:bookmarkStart w:id="218" w:name="OLE_LINK25"/>
      <w:r/>
      <w:bookmarkStart w:id="219" w:name="OLE_LINK36"/>
      <w:r>
        <w:rPr>
          <w:rFonts w:hint="eastAsia" w:ascii="宋体" w:hAnsi="宋体" w:eastAsia="宋体" w:cs="宋体"/>
          <w:b/>
          <w:sz w:val="24"/>
          <w:szCs w:val="24"/>
        </w:rPr>
        <w:t xml:space="preserve">2、技术部分</w:t>
      </w:r>
      <w:r>
        <w:rPr>
          <w:rFonts w:hint="eastAsia" w:ascii="宋体" w:hAnsi="宋体" w:eastAsia="宋体" w:cs="宋体"/>
          <w:b/>
          <w:sz w:val="24"/>
          <w:szCs w:val="24"/>
          <w:lang w:val="en-US" w:eastAsia="zh-CN"/>
        </w:rPr>
        <w:t xml:space="preserve">62</w:t>
      </w:r>
      <w:r>
        <w:rPr>
          <w:rFonts w:hint="eastAsia" w:ascii="宋体" w:hAnsi="宋体" w:eastAsia="宋体" w:cs="宋体"/>
          <w:b/>
          <w:sz w:val="24"/>
          <w:szCs w:val="24"/>
        </w:rPr>
        <w:t xml:space="preserve">分</w:t>
      </w:r>
      <w:r/>
    </w:p>
    <w:tbl>
      <w:tblPr>
        <w:tblStyle w:val="737"/>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706"/>
        <w:gridCol w:w="851"/>
        <w:gridCol w:w="6597"/>
      </w:tblGrid>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序号</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权值</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评分标准</w:t>
            </w:r>
            <w:r/>
          </w:p>
        </w:tc>
      </w:tr>
      <w:tr>
        <w:trPr>
          <w:jc w:val="center"/>
          <w:trHeight w:val="7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1</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21分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投标人承诺提供的服务全部满足招标文件要求的得21分；有负偏离条款的，每条扣0.6分。</w:t>
            </w:r>
            <w:r/>
          </w:p>
        </w:tc>
      </w:tr>
      <w:tr>
        <w:trPr>
          <w:jc w:val="center"/>
          <w:trHeight w:val="53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2</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人员配置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lang w:val="en-US" w:eastAsia="zh-CN"/>
              </w:rPr>
              <w:t xml:space="preserve">11</w:t>
            </w:r>
            <w:r>
              <w:rPr>
                <w:rFonts w:hint="eastAsia" w:ascii="宋体" w:hAnsi="宋体" w:eastAsia="宋体" w:cs="宋体"/>
                <w:bCs w:val="0"/>
                <w:sz w:val="24"/>
                <w:szCs w:val="24"/>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投标人拟投入本项目的所有工作人员数量满足招标文件要求的得</w:t>
            </w:r>
            <w:r>
              <w:rPr>
                <w:rFonts w:hint="eastAsia" w:ascii="宋体" w:hAnsi="宋体" w:eastAsia="宋体" w:cs="宋体"/>
                <w:bCs w:val="0"/>
                <w:sz w:val="24"/>
                <w:szCs w:val="24"/>
                <w:lang w:val="en-US" w:eastAsia="zh-CN"/>
              </w:rPr>
              <w:t xml:space="preserve">11</w:t>
            </w:r>
            <w:r>
              <w:rPr>
                <w:rFonts w:hint="eastAsia" w:ascii="宋体" w:hAnsi="宋体" w:eastAsia="宋体" w:cs="宋体"/>
                <w:bCs w:val="0"/>
                <w:sz w:val="24"/>
                <w:szCs w:val="24"/>
              </w:rPr>
              <w:t xml:space="preserve">分；低于招标文件要求或未作说明的不得分。</w:t>
            </w:r>
            <w:r/>
          </w:p>
        </w:tc>
      </w:tr>
      <w:tr>
        <w:trPr>
          <w:jc w:val="center"/>
          <w:trHeight w:val="482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3</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日常停车管理服务方案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15分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根据投标人提供的</w:t>
            </w:r>
            <w:r>
              <w:rPr>
                <w:rFonts w:hint="eastAsia" w:ascii="宋体" w:hAnsi="宋体" w:eastAsia="宋体" w:cs="宋体"/>
                <w:b/>
                <w:bCs w:val="0"/>
                <w:sz w:val="24"/>
                <w:szCs w:val="24"/>
              </w:rPr>
              <w:t xml:space="preserve">停车管理服务方案</w:t>
            </w:r>
            <w:r>
              <w:rPr>
                <w:rFonts w:hint="eastAsia" w:ascii="宋体" w:hAnsi="宋体" w:eastAsia="宋体" w:cs="宋体"/>
                <w:bCs w:val="0"/>
                <w:sz w:val="24"/>
                <w:szCs w:val="24"/>
              </w:rPr>
              <w:t xml:space="preserve">进行评定，本项最高得15分。具体包括：</w:t>
            </w:r>
            <w:r/>
          </w:p>
          <w:p>
            <w:pPr>
              <w:jc w:val="left"/>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（1）管理服务的详细实施计划、服务内容、质量管理；</w:t>
            </w:r>
            <w:r/>
          </w:p>
          <w:p>
            <w:pPr>
              <w:jc w:val="left"/>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（2）运作流程：拟为本项目设立的管理组织机构（附组织机构图）运作流程；</w:t>
            </w:r>
            <w:r/>
          </w:p>
          <w:p>
            <w:pPr>
              <w:jc w:val="left"/>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（3）培训方案（包括各类服务人员的培训计划，方式，目标及言行规范，仪容仪表，公众形象等）；</w:t>
            </w:r>
            <w:r/>
          </w:p>
          <w:p>
            <w:pPr>
              <w:jc w:val="left"/>
              <w:spacing w:after="0" w:line="276"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（4）服务质量保障措施（包括工作人员的稳定性</w:t>
            </w:r>
            <w:r>
              <w:rPr>
                <w:rFonts w:hint="eastAsia" w:ascii="宋体" w:hAnsi="宋体" w:eastAsia="宋体" w:cs="宋体"/>
                <w:bCs w:val="0"/>
                <w:sz w:val="24"/>
                <w:szCs w:val="24"/>
                <w:highlight w:val="none"/>
                <w:lang w:val="en-US" w:eastAsia="zh-CN"/>
              </w:rPr>
              <w:t xml:space="preserve">等</w:t>
            </w:r>
            <w:r>
              <w:rPr>
                <w:rFonts w:hint="eastAsia" w:ascii="宋体" w:hAnsi="宋体" w:eastAsia="宋体" w:cs="宋体"/>
                <w:bCs w:val="0"/>
                <w:sz w:val="24"/>
                <w:szCs w:val="24"/>
                <w:highlight w:val="none"/>
              </w:rPr>
              <w:t xml:space="preserve">）；</w:t>
            </w:r>
            <w:r/>
          </w:p>
          <w:p>
            <w:pPr>
              <w:jc w:val="left"/>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（5）信息保密措施（包括保密制度等）采购人反馈资料，行政文件资料等档案的建立与保密措施；</w:t>
            </w:r>
            <w:r/>
          </w:p>
          <w:p>
            <w:pPr>
              <w:jc w:val="left"/>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体现上述评审要点且内容完全贴合项目需求的，每有一项得3分；体现上述评审要点但内容无法完全贴合项目需求的，每有一项得1.5分；未能体现评审要点（或无实质性内容的），对应项得0分。</w:t>
            </w:r>
            <w:r/>
          </w:p>
        </w:tc>
      </w:tr>
      <w:tr>
        <w:trPr>
          <w:jc w:val="center"/>
          <w:trHeight w:val="1576"/>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hint="eastAsia" w:ascii="宋体" w:hAnsi="宋体" w:eastAsia="宋体" w:cs="宋体"/>
                <w:bCs w:val="0"/>
                <w:sz w:val="24"/>
                <w:szCs w:val="24"/>
                <w:highlight w:val="none"/>
              </w:rPr>
            </w:pPr>
            <w:r>
              <w:rPr>
                <w:rFonts w:hint="eastAsia"/>
                <w:sz w:val="24"/>
                <w:szCs w:val="24"/>
                <w:highlight w:val="none"/>
              </w:rPr>
              <w:t xml:space="preserve">停车场车辆流线规划</w:t>
            </w:r>
            <w:r>
              <w:rPr>
                <w:rFonts w:hint="eastAsia"/>
                <w:sz w:val="24"/>
                <w:highlight w:val="none"/>
              </w:rPr>
              <w:t xml:space="preserve">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val="en-US" w:eastAsia="zh-CN"/>
              </w:rPr>
              <w:t xml:space="preserve">3</w:t>
            </w:r>
            <w:r>
              <w:rPr>
                <w:rFonts w:hint="eastAsia" w:ascii="宋体" w:hAnsi="宋体" w:eastAsia="宋体" w:cs="宋体"/>
                <w:bCs w:val="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hint="eastAsia" w:ascii="宋体" w:hAnsi="宋体" w:eastAsia="宋体" w:cs="宋体"/>
                <w:bCs w:val="0"/>
                <w:sz w:val="24"/>
                <w:szCs w:val="24"/>
                <w:highlight w:val="none"/>
              </w:rPr>
            </w:pPr>
            <w:r>
              <w:rPr>
                <w:color w:val="000000"/>
                <w:sz w:val="24"/>
                <w:szCs w:val="24"/>
                <w:highlight w:val="none"/>
              </w:rPr>
              <w:t xml:space="preserve">根据</w:t>
            </w:r>
            <w:r>
              <w:rPr>
                <w:color w:val="000000"/>
                <w:sz w:val="24"/>
                <w:szCs w:val="22"/>
                <w:highlight w:val="none"/>
              </w:rPr>
              <w:t xml:space="preserve">投标人</w:t>
            </w:r>
            <w:r>
              <w:rPr>
                <w:color w:val="000000"/>
                <w:sz w:val="24"/>
                <w:szCs w:val="24"/>
                <w:highlight w:val="none"/>
              </w:rPr>
              <w:t xml:space="preserve">提供的</w:t>
            </w:r>
            <w:r>
              <w:rPr>
                <w:rFonts w:hint="eastAsia"/>
                <w:sz w:val="24"/>
                <w:szCs w:val="24"/>
                <w:highlight w:val="none"/>
              </w:rPr>
              <w:t xml:space="preserve">停车场车辆流线规划</w:t>
            </w:r>
            <w:r>
              <w:rPr>
                <w:rFonts w:hint="eastAsia"/>
                <w:sz w:val="24"/>
                <w:highlight w:val="none"/>
              </w:rPr>
              <w:t xml:space="preserve">方案</w:t>
            </w:r>
            <w:r>
              <w:rPr>
                <w:color w:val="000000"/>
                <w:sz w:val="24"/>
                <w:szCs w:val="24"/>
                <w:highlight w:val="none"/>
              </w:rPr>
              <w:t xml:space="preserve">进行评定</w:t>
            </w:r>
            <w:r>
              <w:rPr>
                <w:rFonts w:hint="eastAsia"/>
                <w:color w:val="000000"/>
                <w:sz w:val="24"/>
                <w:szCs w:val="24"/>
                <w:highlight w:val="none"/>
                <w:lang w:eastAsia="zh-CN"/>
              </w:rPr>
              <w:t xml:space="preserve">，</w:t>
            </w:r>
            <w:r>
              <w:rPr>
                <w:rFonts w:hint="eastAsia" w:ascii="宋体" w:hAnsi="宋体" w:eastAsia="宋体" w:cs="宋体"/>
                <w:bCs w:val="0"/>
                <w:sz w:val="24"/>
                <w:szCs w:val="24"/>
                <w:highlight w:val="none"/>
              </w:rPr>
              <w:t xml:space="preserve">方案全面完善、科学合理、完全贴合项目需求的得3分；方案合理、部分满足项目需求的得1.5分；未能体现评审要点（或无实质性内容的），对应项得0分。</w:t>
            </w:r>
            <w:r/>
          </w:p>
        </w:tc>
      </w:tr>
      <w:tr>
        <w:trPr>
          <w:jc w:val="center"/>
          <w:trHeight w:val="13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5</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bookmarkStart w:id="220" w:name="OLE_LINK68"/>
            <w:r/>
            <w:bookmarkStart w:id="221" w:name="OLE_LINK67"/>
            <w:r>
              <w:rPr>
                <w:rFonts w:hint="eastAsia" w:ascii="宋体" w:hAnsi="宋体" w:eastAsia="宋体" w:cs="宋体"/>
                <w:bCs w:val="0"/>
                <w:sz w:val="24"/>
                <w:szCs w:val="24"/>
              </w:rPr>
              <w:t xml:space="preserve">应急预案</w:t>
            </w:r>
            <w:bookmarkEnd w:id="220"/>
            <w:r/>
            <w:bookmarkEnd w:id="221"/>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3分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left"/>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根据投标人提供的应急预案</w:t>
            </w:r>
            <w:r>
              <w:rPr>
                <w:rFonts w:hint="eastAsia" w:ascii="宋体" w:hAnsi="宋体" w:eastAsia="宋体" w:cs="宋体"/>
                <w:sz w:val="24"/>
                <w:szCs w:val="24"/>
              </w:rPr>
              <w:t xml:space="preserve">进行评定，</w:t>
            </w:r>
            <w:r>
              <w:rPr>
                <w:rFonts w:hint="eastAsia" w:ascii="宋体" w:hAnsi="宋体" w:eastAsia="宋体" w:cs="宋体"/>
                <w:bCs w:val="0"/>
                <w:sz w:val="24"/>
                <w:szCs w:val="24"/>
              </w:rPr>
              <w:t xml:space="preserve">方案全面完善、科学合理、完全贴合项目需求的得3分；方案合理、部分满足项目需求的得1.5分；未能体现评审要点（或无实质性内容的），对应项得0分。</w:t>
            </w:r>
            <w:r/>
          </w:p>
        </w:tc>
      </w:tr>
      <w:tr>
        <w:trPr>
          <w:jc w:val="center"/>
          <w:trHeight w:val="35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6</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管理服务规章制度</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lang w:val="en-US" w:eastAsia="zh-CN"/>
              </w:rPr>
              <w:t xml:space="preserve">9</w:t>
            </w:r>
            <w:r>
              <w:rPr>
                <w:rFonts w:hint="eastAsia" w:ascii="宋体" w:hAnsi="宋体" w:eastAsia="宋体" w:cs="宋体"/>
                <w:bCs w:val="0"/>
                <w:sz w:val="24"/>
                <w:szCs w:val="24"/>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pStyle w:val="734"/>
              <w:jc w:val="both"/>
              <w:rPr>
                <w:rFonts w:hint="eastAsia"/>
              </w:rPr>
            </w:pPr>
            <w:r>
              <w:rPr>
                <w:b w:val="0"/>
                <w:bCs/>
                <w:sz w:val="24"/>
                <w:highlight w:val="none"/>
              </w:rPr>
              <w:t xml:space="preserve">根据</w:t>
            </w:r>
            <w:r>
              <w:rPr>
                <w:rFonts w:hint="eastAsia"/>
                <w:b w:val="0"/>
                <w:bCs/>
                <w:sz w:val="24"/>
                <w:szCs w:val="24"/>
                <w:highlight w:val="none"/>
              </w:rPr>
              <w:t xml:space="preserve">投标人</w:t>
            </w:r>
            <w:r>
              <w:rPr>
                <w:b w:val="0"/>
                <w:bCs/>
                <w:sz w:val="24"/>
                <w:highlight w:val="none"/>
              </w:rPr>
              <w:t xml:space="preserve">提供的企业内部管理制度</w:t>
            </w:r>
            <w:r>
              <w:rPr>
                <w:rFonts w:hint="eastAsia"/>
                <w:b w:val="0"/>
                <w:bCs/>
                <w:color w:val="000000"/>
                <w:sz w:val="24"/>
                <w:szCs w:val="22"/>
                <w:highlight w:val="none"/>
              </w:rPr>
              <w:t xml:space="preserve">（涉及评审要点（共3项）：①停车场管理服务规章制度、②</w:t>
            </w:r>
            <w:r>
              <w:rPr>
                <w:rFonts w:hint="eastAsia" w:ascii="宋体" w:hAnsi="宋体" w:eastAsia="宋体" w:cs="宋体"/>
                <w:b w:val="0"/>
                <w:bCs/>
                <w:sz w:val="24"/>
                <w:szCs w:val="24"/>
              </w:rPr>
              <w:t xml:space="preserve">人员管理制度</w:t>
            </w:r>
            <w:r>
              <w:rPr>
                <w:rFonts w:hint="eastAsia"/>
                <w:b w:val="0"/>
                <w:bCs/>
                <w:sz w:val="24"/>
                <w:highlight w:val="none"/>
              </w:rPr>
              <w:t xml:space="preserve">、③</w:t>
            </w:r>
            <w:r>
              <w:rPr>
                <w:rFonts w:hint="eastAsia" w:ascii="宋体" w:hAnsi="宋体" w:eastAsia="宋体" w:cs="宋体"/>
                <w:b w:val="0"/>
                <w:bCs/>
                <w:sz w:val="24"/>
                <w:szCs w:val="24"/>
              </w:rPr>
              <w:t xml:space="preserve">安全管理制度</w:t>
            </w:r>
            <w:r>
              <w:rPr>
                <w:rFonts w:hint="eastAsia"/>
                <w:b w:val="0"/>
                <w:bCs/>
                <w:color w:val="000000"/>
                <w:sz w:val="24"/>
                <w:szCs w:val="22"/>
                <w:highlight w:val="none"/>
              </w:rPr>
              <w:t xml:space="preserve">）</w:t>
            </w:r>
            <w:r>
              <w:rPr>
                <w:b w:val="0"/>
                <w:bCs/>
                <w:color w:val="000000"/>
                <w:sz w:val="24"/>
                <w:szCs w:val="22"/>
                <w:highlight w:val="none"/>
              </w:rPr>
              <w:t xml:space="preserve">进行评定，本项最高得</w:t>
            </w:r>
            <w:r>
              <w:rPr>
                <w:rFonts w:hint="eastAsia"/>
                <w:b w:val="0"/>
                <w:bCs/>
                <w:color w:val="000000"/>
                <w:sz w:val="24"/>
                <w:szCs w:val="22"/>
                <w:highlight w:val="none"/>
                <w:lang w:val="en-US" w:eastAsia="zh-CN"/>
              </w:rPr>
              <w:t xml:space="preserve">9</w:t>
            </w:r>
            <w:r>
              <w:rPr>
                <w:b w:val="0"/>
                <w:bCs/>
                <w:color w:val="000000"/>
                <w:sz w:val="24"/>
                <w:szCs w:val="22"/>
                <w:highlight w:val="none"/>
              </w:rPr>
              <w:t xml:space="preserve">分。体现上述评审要点且</w:t>
            </w:r>
            <w:r>
              <w:rPr>
                <w:rFonts w:hint="eastAsia"/>
                <w:b w:val="0"/>
                <w:bCs/>
                <w:color w:val="000000"/>
                <w:sz w:val="24"/>
                <w:szCs w:val="22"/>
                <w:highlight w:val="none"/>
              </w:rPr>
              <w:t xml:space="preserve">制度</w:t>
            </w:r>
            <w:r>
              <w:rPr>
                <w:b w:val="0"/>
                <w:bCs/>
                <w:color w:val="000000"/>
                <w:sz w:val="24"/>
                <w:szCs w:val="22"/>
                <w:highlight w:val="none"/>
              </w:rPr>
              <w:t xml:space="preserve">贴合需求的，每有一项得</w:t>
            </w:r>
            <w:r>
              <w:rPr>
                <w:rFonts w:hint="eastAsia"/>
                <w:b w:val="0"/>
                <w:bCs/>
                <w:color w:val="000000"/>
                <w:sz w:val="24"/>
                <w:szCs w:val="22"/>
                <w:highlight w:val="none"/>
                <w:lang w:val="en-US" w:eastAsia="zh-CN"/>
              </w:rPr>
              <w:t xml:space="preserve">3</w:t>
            </w:r>
            <w:r>
              <w:rPr>
                <w:b w:val="0"/>
                <w:bCs/>
                <w:color w:val="000000"/>
                <w:sz w:val="24"/>
                <w:szCs w:val="22"/>
                <w:highlight w:val="none"/>
              </w:rPr>
              <w:t xml:space="preserve">分；体现上述评审要点但</w:t>
            </w:r>
            <w:r>
              <w:rPr>
                <w:rFonts w:hint="eastAsia"/>
                <w:b w:val="0"/>
                <w:bCs/>
                <w:color w:val="000000"/>
                <w:sz w:val="24"/>
                <w:szCs w:val="22"/>
                <w:highlight w:val="none"/>
              </w:rPr>
              <w:t xml:space="preserve">制度</w:t>
            </w:r>
            <w:r>
              <w:rPr>
                <w:b w:val="0"/>
                <w:bCs/>
                <w:color w:val="000000"/>
                <w:sz w:val="24"/>
                <w:szCs w:val="22"/>
                <w:highlight w:val="none"/>
              </w:rPr>
              <w:t xml:space="preserve">无法完全贴合需求的，每有一项得</w:t>
            </w:r>
            <w:r>
              <w:rPr>
                <w:rFonts w:hint="eastAsia"/>
                <w:b w:val="0"/>
                <w:bCs/>
                <w:color w:val="000000"/>
                <w:sz w:val="24"/>
                <w:szCs w:val="22"/>
                <w:highlight w:val="none"/>
              </w:rPr>
              <w:t xml:space="preserve">1</w:t>
            </w:r>
            <w:r>
              <w:rPr>
                <w:rFonts w:hint="eastAsia"/>
                <w:b w:val="0"/>
                <w:bCs/>
                <w:color w:val="000000"/>
                <w:sz w:val="24"/>
                <w:szCs w:val="22"/>
                <w:highlight w:val="none"/>
                <w:lang w:val="en-US" w:eastAsia="zh-CN"/>
              </w:rPr>
              <w:t xml:space="preserve">.5</w:t>
            </w:r>
            <w:r>
              <w:rPr>
                <w:b w:val="0"/>
                <w:bCs/>
                <w:color w:val="000000"/>
                <w:sz w:val="24"/>
                <w:szCs w:val="22"/>
                <w:highlight w:val="none"/>
              </w:rPr>
              <w:t xml:space="preserve">分；未能体现评审要点（或无实质性内容的），对应项得0分。</w:t>
            </w:r>
            <w:r/>
          </w:p>
        </w:tc>
      </w:tr>
    </w:tbl>
    <w:p>
      <w:pPr>
        <w:ind w:firstLine="482"/>
        <w:spacing w:after="0" w:line="276"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3、商务部分18分</w:t>
      </w:r>
      <w:r/>
    </w:p>
    <w:tbl>
      <w:tblPr>
        <w:tblStyle w:val="737"/>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01"/>
        <w:gridCol w:w="850"/>
        <w:gridCol w:w="6662"/>
      </w:tblGrid>
      <w:tr>
        <w:trPr>
          <w:jc w:val="center"/>
          <w:trHeight w:val="51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分值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评分标准</w:t>
            </w:r>
            <w:r/>
          </w:p>
        </w:tc>
      </w:tr>
      <w:tr>
        <w:trPr>
          <w:jc w:val="cente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10分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line="276" w:lineRule="auto"/>
              <w:widowControl w:val="off"/>
              <w:rPr>
                <w:rFonts w:hint="eastAsia" w:ascii="宋体" w:hAnsi="宋体" w:eastAsia="宋体" w:cs="宋体"/>
                <w:bCs w:val="0"/>
                <w:sz w:val="24"/>
                <w:szCs w:val="24"/>
                <w:lang w:eastAsia="zh-CN"/>
              </w:rPr>
            </w:pPr>
            <w:r>
              <w:rPr>
                <w:rFonts w:hint="eastAsia" w:ascii="宋体" w:hAnsi="宋体" w:eastAsia="宋体" w:cs="宋体"/>
                <w:bCs w:val="0"/>
                <w:sz w:val="24"/>
                <w:szCs w:val="24"/>
              </w:rPr>
              <w:t xml:space="preserve">投标人对招标文件中合同条款等商务条件完全响应的得10分；有负偏离条款的，每条扣0.5分</w:t>
            </w:r>
            <w:r>
              <w:rPr>
                <w:rFonts w:hint="eastAsia" w:ascii="宋体" w:hAnsi="宋体" w:eastAsia="宋体" w:cs="宋体"/>
                <w:bCs w:val="0"/>
                <w:sz w:val="24"/>
                <w:szCs w:val="24"/>
                <w:lang w:eastAsia="zh-CN"/>
              </w:rPr>
              <w:t xml:space="preserve">。</w:t>
            </w:r>
            <w:r/>
          </w:p>
        </w:tc>
      </w:tr>
      <w:tr>
        <w:trPr>
          <w:jc w:val="cente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8分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left"/>
              <w:spacing w:after="0" w:line="276"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根据投标人</w:t>
            </w:r>
            <w:r>
              <w:rPr>
                <w:rFonts w:hint="eastAsia" w:ascii="宋体" w:hAnsi="宋体" w:eastAsia="宋体" w:cs="宋体"/>
                <w:bCs w:val="0"/>
                <w:sz w:val="24"/>
                <w:szCs w:val="24"/>
                <w:lang w:val="en-US" w:eastAsia="zh-CN"/>
              </w:rPr>
              <w:t xml:space="preserve">2023</w:t>
            </w:r>
            <w:r>
              <w:rPr>
                <w:rFonts w:hint="eastAsia" w:ascii="宋体" w:hAnsi="宋体" w:eastAsia="宋体" w:cs="宋体"/>
                <w:bCs w:val="0"/>
                <w:sz w:val="24"/>
                <w:szCs w:val="24"/>
              </w:rPr>
              <w:t xml:space="preserve">年</w:t>
            </w:r>
            <w:r>
              <w:rPr>
                <w:rFonts w:hint="eastAsia" w:ascii="宋体" w:hAnsi="宋体" w:eastAsia="宋体" w:cs="宋体"/>
                <w:bCs w:val="0"/>
                <w:sz w:val="24"/>
                <w:szCs w:val="24"/>
                <w:lang w:val="en-US" w:eastAsia="zh-CN"/>
              </w:rPr>
              <w:t xml:space="preserve">1月1日</w:t>
            </w:r>
            <w:r>
              <w:rPr>
                <w:rFonts w:hint="eastAsia" w:ascii="宋体" w:hAnsi="宋体" w:eastAsia="宋体" w:cs="宋体"/>
                <w:bCs w:val="0"/>
                <w:sz w:val="24"/>
                <w:szCs w:val="24"/>
              </w:rPr>
              <w:t xml:space="preserve">至今（以合同签订日期为准）实施的停车场管理服务项目业绩进行评定，每提供一份得2分，最高得8分。</w:t>
            </w:r>
            <w:r/>
          </w:p>
          <w:p>
            <w:pPr>
              <w:jc w:val="left"/>
              <w:spacing w:after="0" w:line="276" w:lineRule="auto"/>
              <w:widowControl w:val="off"/>
              <w:rPr>
                <w:rFonts w:hint="eastAsia" w:ascii="宋体" w:hAnsi="宋体" w:eastAsia="宋体" w:cs="宋体"/>
                <w:b/>
                <w:sz w:val="24"/>
                <w:szCs w:val="24"/>
              </w:rPr>
            </w:pPr>
            <w:r>
              <w:rPr>
                <w:rFonts w:hint="eastAsia" w:ascii="宋体" w:hAnsi="宋体" w:eastAsia="宋体" w:cs="宋体"/>
                <w:b/>
                <w:bCs w:val="0"/>
                <w:sz w:val="24"/>
                <w:szCs w:val="24"/>
              </w:rPr>
              <w:t xml:space="preserve">注：①</w:t>
            </w:r>
            <w:bookmarkStart w:id="222" w:name="OLE_LINK49"/>
            <w:r/>
            <w:bookmarkStart w:id="223" w:name="OLE_LINK48"/>
            <w:r>
              <w:rPr>
                <w:rFonts w:hint="eastAsia" w:ascii="宋体" w:hAnsi="宋体" w:eastAsia="宋体" w:cs="宋体"/>
                <w:b/>
                <w:bCs w:val="0"/>
                <w:sz w:val="24"/>
                <w:szCs w:val="24"/>
              </w:rPr>
              <w:t xml:space="preserve">投标</w:t>
            </w:r>
            <w:r>
              <w:rPr>
                <w:rFonts w:hint="eastAsia" w:ascii="宋体" w:hAnsi="宋体" w:eastAsia="宋体" w:cs="宋体"/>
                <w:b/>
                <w:sz w:val="24"/>
                <w:szCs w:val="24"/>
              </w:rPr>
              <w:t xml:space="preserve">文件中提供业绩相关合同（包括合同首页、标的金额所在页、签字盖章页）扫描件，未提供证明材料或内容模糊不清的本项不得分。</w:t>
            </w:r>
            <w:bookmarkEnd w:id="222"/>
            <w:r/>
            <w:bookmarkEnd w:id="223"/>
            <w:r>
              <w:rPr>
                <w:rFonts w:hint="eastAsia" w:ascii="宋体" w:hAnsi="宋体" w:eastAsia="宋体" w:cs="宋体"/>
                <w:b/>
                <w:sz w:val="24"/>
                <w:szCs w:val="24"/>
              </w:rPr>
              <w:t xml:space="preserve">②同一单位最多只计算一份业绩。</w:t>
            </w:r>
            <w:bookmarkEnd w:id="218"/>
            <w:r/>
            <w:bookmarkEnd w:id="219"/>
            <w:r/>
            <w:r/>
          </w:p>
        </w:tc>
      </w:tr>
    </w:tbl>
    <w:p>
      <w:pPr>
        <w:spacing w:line="420" w:lineRule="exact"/>
        <w:rPr>
          <w:b/>
          <w:bCs/>
          <w:sz w:val="28"/>
          <w:szCs w:val="22"/>
        </w:rPr>
        <w:outlineLvl w:val="9"/>
      </w:pPr>
      <w:r>
        <w:rPr>
          <w:rFonts w:hint="eastAsia"/>
          <w:b/>
          <w:bCs/>
          <w:sz w:val="28"/>
          <w:szCs w:val="22"/>
        </w:rPr>
        <w:t xml:space="preserve">三、政府采购政策</w:t>
      </w:r>
      <w:bookmarkEnd w:id="217"/>
      <w:r/>
      <w:r/>
    </w:p>
    <w:p>
      <w:pPr>
        <w:ind w:firstLine="240"/>
        <w:spacing w:line="420" w:lineRule="exact"/>
        <w:rPr>
          <w:sz w:val="24"/>
          <w:szCs w:val="24"/>
        </w:rPr>
      </w:pPr>
      <w:r>
        <w:rPr>
          <w:sz w:val="24"/>
          <w:szCs w:val="24"/>
        </w:rPr>
        <w:t xml:space="preserve">1、落实政府采购政策需满足的资格要求：</w:t>
      </w:r>
      <w:r/>
    </w:p>
    <w:p>
      <w:pPr>
        <w:ind w:firstLine="360"/>
        <w:spacing w:line="440" w:lineRule="exact"/>
        <w:rPr>
          <w:b/>
          <w:bCs/>
          <w:sz w:val="24"/>
          <w:szCs w:val="24"/>
        </w:rPr>
      </w:pPr>
      <w:r>
        <w:rPr>
          <w:b/>
          <w:bCs/>
          <w:sz w:val="24"/>
          <w:szCs w:val="24"/>
        </w:rPr>
        <w:t xml:space="preserve">（1）本项目专门面向中小企业采购，所属行业为</w:t>
      </w:r>
      <w:r>
        <w:rPr>
          <w:rFonts w:hint="eastAsia"/>
          <w:b/>
          <w:bCs/>
          <w:sz w:val="24"/>
          <w:szCs w:val="24"/>
          <w:lang w:eastAsia="zh-CN"/>
        </w:rPr>
        <w:t xml:space="preserve">其他未列明行业</w:t>
      </w:r>
      <w:r>
        <w:rPr>
          <w:b/>
          <w:bCs/>
          <w:sz w:val="24"/>
          <w:szCs w:val="24"/>
        </w:rPr>
        <w:t xml:space="preserve">。</w:t>
      </w:r>
      <w:r/>
    </w:p>
    <w:p>
      <w:pPr>
        <w:ind w:firstLine="360"/>
        <w:spacing w:line="440" w:lineRule="exact"/>
        <w:rPr>
          <w:sz w:val="24"/>
          <w:szCs w:val="24"/>
        </w:rPr>
      </w:pPr>
      <w:r>
        <w:rPr>
          <w:sz w:val="24"/>
          <w:szCs w:val="24"/>
        </w:rPr>
        <w:t xml:space="preserve">（2）在投标文件中须提供《中小企业声明函》。（填报严格按工信部联企业〔2011〕300号通知中的《中小企业划型标准规定》进行）</w:t>
      </w:r>
      <w:r/>
    </w:p>
    <w:p>
      <w:pPr>
        <w:ind w:firstLine="36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）本项目专门面向中小企业采购应符合下列情形</w:t>
      </w:r>
      <w:r>
        <w:rPr>
          <w:sz w:val="24"/>
          <w:szCs w:val="24"/>
        </w:rPr>
        <w:t xml:space="preserve">：</w:t>
      </w:r>
      <w:r>
        <w:rPr>
          <w:rFonts w:hint="eastAsia"/>
          <w:sz w:val="24"/>
          <w:szCs w:val="24"/>
        </w:rPr>
        <w:t xml:space="preserve">供应商提供的货物由中小企业制造，即货物由中小企业生产且使用该中小企业商号或者注册商标。如既有中小企业制造货物，也有大型企业制造货物的则不予认定。</w:t>
      </w:r>
      <w:r/>
    </w:p>
    <w:p>
      <w:pPr>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sz w:val="24"/>
          <w:szCs w:val="24"/>
        </w:rPr>
        <w:t xml:space="preserve">享受政府采购支持政策的残疾人福利性单位应当同时满足以下条件：</w:t>
      </w:r>
      <w:r/>
    </w:p>
    <w:p>
      <w:pPr>
        <w:ind w:firstLine="360"/>
        <w:spacing w:line="440" w:lineRule="exact"/>
        <w:rPr>
          <w:sz w:val="24"/>
          <w:szCs w:val="24"/>
        </w:rPr>
      </w:pPr>
      <w:r>
        <w:rPr>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szCs w:val="24"/>
        </w:rPr>
      </w:pPr>
      <w:r>
        <w:rPr>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szCs w:val="24"/>
        </w:rPr>
      </w:pPr>
      <w:r>
        <w:rPr>
          <w:sz w:val="24"/>
          <w:szCs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szCs w:val="24"/>
        </w:rPr>
      </w:pPr>
      <w:r>
        <w:rPr>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w:t>
      </w:r>
      <w:r>
        <w:rPr>
          <w:sz w:val="24"/>
          <w:szCs w:val="24"/>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szCs w:val="24"/>
        </w:rPr>
        <w:t xml:space="preserve">“</w:t>
      </w:r>
      <w:r>
        <w:rPr>
          <w:sz w:val="24"/>
          <w:szCs w:val="24"/>
        </w:rPr>
        <w:t xml:space="preserve">政府采购法</w:t>
      </w:r>
      <w:r>
        <w:rPr>
          <w:rFonts w:hint="eastAsia"/>
          <w:sz w:val="24"/>
          <w:szCs w:val="24"/>
        </w:rPr>
        <w:t xml:space="preserve">”</w:t>
      </w:r>
      <w:r>
        <w:rPr>
          <w:sz w:val="24"/>
          <w:szCs w:val="24"/>
        </w:rPr>
        <w:t xml:space="preserve">相关规定处理并报请政府监管部门给予行政处罚。</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51"/>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24" w:name="_Toc12876"/>
      <w:r/>
      <w:bookmarkStart w:id="225" w:name="_Toc16726"/>
      <w:r>
        <w:rPr>
          <w:rFonts w:hint="eastAsia" w:ascii="黑体" w:hAnsi="宋体" w:eastAsia="黑体" w:cs="黑体"/>
          <w:color w:val="000000"/>
          <w:sz w:val="44"/>
          <w:szCs w:val="44"/>
        </w:rPr>
        <w:t xml:space="preserve">第六章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投标文件格式</w:t>
      </w:r>
      <w:bookmarkEnd w:id="224"/>
      <w:r/>
      <w:bookmarkEnd w:id="225"/>
      <w:r/>
      <w:r/>
    </w:p>
    <w:p>
      <w:pPr>
        <w:pStyle w:val="751"/>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26" w:name="_Hlt26671244"/>
      <w:r/>
      <w:bookmarkEnd w:id="226"/>
      <w:r/>
      <w:bookmarkStart w:id="227" w:name="_Hlt26955039"/>
      <w:r/>
      <w:bookmarkEnd w:id="227"/>
      <w:r/>
      <w:bookmarkStart w:id="228" w:name="_Toc26554094"/>
      <w:r/>
      <w:bookmarkEnd w:id="228"/>
      <w:r/>
      <w:bookmarkStart w:id="229" w:name="_Toc120614282"/>
      <w:r/>
      <w:bookmarkStart w:id="230" w:name="_Toc49090576"/>
      <w:r/>
      <w:r/>
    </w:p>
    <w:p>
      <w:pPr>
        <w:pStyle w:val="751"/>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751"/>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751"/>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75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5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5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5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51"/>
        <w:ind w:left="0" w:firstLine="1084"/>
        <w:jc w:val="both"/>
        <w:keepLines w:val="0"/>
        <w:keepNext w:val="0"/>
        <w:spacing w:before="0" w:beforeAutospacing="0" w:after="0" w:afterAutospacing="0"/>
        <w:widowControl w:val="off"/>
        <w:rPr>
          <w:rFonts w:hint="eastAsia" w:eastAsia="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none"/>
          <w:lang w:eastAsia="zh-CN"/>
        </w:rPr>
        <w:t xml:space="preserve">常熟市第二人民医院（台山路院区）停车场经营管理服务</w:t>
      </w:r>
      <w:r/>
    </w:p>
    <w:p>
      <w:pPr>
        <w:pStyle w:val="751"/>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JSZC-320581-CSXC-G2026-0020</w:t>
      </w:r>
      <w:r/>
    </w:p>
    <w:p>
      <w:pPr>
        <w:pStyle w:val="751"/>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751"/>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w:t>
      </w:r>
      <w:r>
        <w:rPr>
          <w:rFonts w:hint="eastAsia" w:ascii="宋体" w:hAnsi="宋体" w:eastAsia="宋体" w:cs="宋体"/>
          <w:b/>
          <w:bCs/>
          <w:color w:val="000000"/>
          <w:sz w:val="36"/>
          <w:szCs w:val="36"/>
          <w:lang w:val="en-US" w:eastAsia="zh-CN"/>
        </w:rPr>
        <w:t xml:space="preserve">2026</w:t>
      </w:r>
      <w:r>
        <w:rPr>
          <w:rFonts w:hint="eastAsia" w:ascii="宋体" w:hAnsi="宋体" w:eastAsia="宋体" w:cs="宋体"/>
          <w:b/>
          <w:bCs/>
          <w:color w:val="000000"/>
          <w:sz w:val="36"/>
          <w:szCs w:val="36"/>
        </w:rPr>
        <w:t xml:space="preserve">年   月   日</w:t>
      </w:r>
      <w:r/>
    </w:p>
    <w:p>
      <w:pPr>
        <w:pStyle w:val="751"/>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51"/>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751"/>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ind w:left="480"/>
        <w:spacing w:line="400" w:lineRule="exact"/>
        <w:rPr>
          <w:rFonts w:hint="eastAsia" w:ascii="宋体" w:hAnsi="宋体" w:eastAsia="宋体" w:cs="宋体"/>
          <w:b/>
          <w:sz w:val="24"/>
        </w:rPr>
      </w:pPr>
      <w:r>
        <w:rPr>
          <w:rFonts w:hint="eastAsia" w:ascii="宋体" w:hAnsi="宋体" w:eastAsia="宋体" w:cs="宋体"/>
          <w:b/>
          <w:sz w:val="24"/>
        </w:rPr>
        <w:t xml:space="preserve">一、基本目录</w:t>
      </w:r>
      <w:r/>
    </w:p>
    <w:p>
      <w:pPr>
        <w:ind w:firstLine="420"/>
        <w:keepLines w:val="0"/>
        <w:keepNext w:val="0"/>
        <w:pageBreakBefore w:val="0"/>
        <w:spacing w:line="36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eastAsia="宋体" w:cs="宋体"/>
          <w:sz w:val="24"/>
        </w:rPr>
        <w:t xml:space="preserve">1、</w:t>
      </w:r>
      <w:r>
        <w:rPr>
          <w:rFonts w:hint="eastAsia" w:ascii="宋体" w:hAnsi="宋体" w:eastAsia="宋体" w:cs="宋体"/>
          <w:sz w:val="24"/>
          <w:lang w:val="en-US" w:eastAsia="zh-CN"/>
        </w:rPr>
        <w:t xml:space="preserve">封面</w:t>
      </w:r>
      <w:r/>
    </w:p>
    <w:p>
      <w:pPr>
        <w:ind w:firstLine="42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、开标一览表（格式见附件1）</w:t>
      </w:r>
      <w:r/>
    </w:p>
    <w:p>
      <w:pPr>
        <w:ind w:left="480"/>
        <w:keepLines w:val="0"/>
        <w:keepNext w:val="0"/>
        <w:pageBreakBefore w:val="0"/>
        <w:spacing w:line="360" w:lineRule="exact"/>
        <w:widowControl w:val="off"/>
        <w:rPr>
          <w:rFonts w:hint="eastAsia" w:ascii="宋体" w:hAnsi="宋体" w:eastAsia="宋体" w:cs="宋体"/>
          <w:b/>
          <w:sz w:val="24"/>
        </w:rPr>
      </w:pPr>
      <w:r>
        <w:rPr>
          <w:rFonts w:hint="eastAsia" w:ascii="宋体" w:hAnsi="宋体" w:eastAsia="宋体" w:cs="宋体"/>
          <w:b/>
          <w:sz w:val="24"/>
        </w:rPr>
        <w:t xml:space="preserve">二、资格审查内容</w:t>
      </w:r>
      <w:r/>
    </w:p>
    <w:p>
      <w:pPr>
        <w:ind w:firstLine="42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1、</w:t>
      </w:r>
      <w:r>
        <w:rPr>
          <w:rFonts w:hint="eastAsia" w:ascii="宋体" w:hAnsi="宋体" w:eastAsia="宋体" w:cs="宋体"/>
          <w:sz w:val="24"/>
          <w:szCs w:val="24"/>
        </w:rPr>
        <w:t xml:space="preserve">满足《中华人民共和国政府采购法》第二十二条规定，并提供下列材料：</w:t>
      </w:r>
      <w:r/>
    </w:p>
    <w:p>
      <w:pPr>
        <w:ind w:firstLine="787"/>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1024"/>
        <w:keepLines w:val="0"/>
        <w:keepNext w:val="0"/>
        <w:pageBreakBefore w:val="0"/>
        <w:spacing w:line="36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1.1.1法人或者其他组织的营业执照</w:t>
      </w:r>
      <w:r/>
    </w:p>
    <w:p>
      <w:pPr>
        <w:ind w:firstLine="1024"/>
        <w:keepLines w:val="0"/>
        <w:keepNext w:val="0"/>
        <w:pageBreakBefore w:val="0"/>
        <w:spacing w:line="36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1.1.2法定代表人居民身份证</w:t>
      </w:r>
      <w:r/>
    </w:p>
    <w:p>
      <w:pPr>
        <w:ind w:firstLine="1024"/>
        <w:keepLines w:val="0"/>
        <w:keepNext w:val="0"/>
        <w:pageBreakBefore w:val="0"/>
        <w:spacing w:line="36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1.1.3授权代表居民身份证</w:t>
      </w:r>
      <w:r/>
    </w:p>
    <w:p>
      <w:pPr>
        <w:ind w:firstLine="1024"/>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1.1.4</w:t>
      </w:r>
      <w:r>
        <w:rPr>
          <w:rFonts w:hint="eastAsia" w:ascii="宋体" w:hAnsi="宋体" w:eastAsia="宋体" w:cs="宋体"/>
          <w:sz w:val="24"/>
        </w:rPr>
        <w:t xml:space="preserve">法人授权书（格式见附件</w:t>
      </w:r>
      <w:r>
        <w:rPr>
          <w:rFonts w:hint="eastAsia" w:ascii="宋体" w:hAnsi="宋体" w:eastAsia="宋体" w:cs="宋体"/>
          <w:sz w:val="24"/>
          <w:lang w:val="en-US" w:eastAsia="zh-CN"/>
        </w:rPr>
        <w:t xml:space="preserve">7</w:t>
      </w:r>
      <w:r>
        <w:rPr>
          <w:rFonts w:hint="eastAsia" w:ascii="宋体" w:hAnsi="宋体" w:eastAsia="宋体" w:cs="宋体"/>
          <w:sz w:val="24"/>
        </w:rPr>
        <w:t xml:space="preserve">）</w:t>
      </w:r>
      <w:r/>
    </w:p>
    <w:p>
      <w:pPr>
        <w:ind w:firstLine="482"/>
        <w:keepLines w:val="0"/>
        <w:keepNext w:val="0"/>
        <w:pageBreakBefore w:val="0"/>
        <w:spacing w:line="360" w:lineRule="exact"/>
        <w:widowControl w:val="off"/>
        <w:rPr>
          <w:rFonts w:hint="eastAsia" w:ascii="宋体" w:hAnsi="宋体" w:eastAsia="宋体" w:cs="宋体"/>
          <w:sz w:val="24"/>
          <w:lang w:val="en-US" w:eastAsia="zh-CN"/>
        </w:rPr>
      </w:pPr>
      <w:r>
        <w:rPr>
          <w:rFonts w:hint="eastAsia" w:ascii="宋体" w:hAnsi="宋体" w:eastAsia="宋体" w:cs="宋体"/>
          <w:b/>
          <w:bCs/>
          <w:sz w:val="24"/>
          <w:lang w:val="en-US" w:eastAsia="zh-CN"/>
        </w:rPr>
        <w:t xml:space="preserve">注：</w:t>
      </w:r>
      <w:r>
        <w:rPr>
          <w:rFonts w:hint="eastAsia" w:ascii="宋体" w:hAnsi="宋体" w:eastAsia="宋体" w:cs="宋体"/>
          <w:b/>
          <w:bCs/>
          <w:sz w:val="24"/>
          <w:lang w:eastAsia="zh-CN"/>
        </w:rPr>
        <w:t xml:space="preserve">法定代表人签署投标文件并参加投标的无需提供授权书</w:t>
      </w:r>
      <w:r>
        <w:rPr>
          <w:rFonts w:hint="eastAsia" w:ascii="宋体" w:hAnsi="宋体" w:eastAsia="宋体" w:cs="宋体"/>
          <w:b/>
          <w:bCs/>
          <w:sz w:val="24"/>
          <w:lang w:val="en-US" w:eastAsia="zh-CN"/>
        </w:rPr>
        <w:t xml:space="preserve">及授权代表居民身份证</w:t>
      </w:r>
      <w:r/>
    </w:p>
    <w:p>
      <w:pPr>
        <w:ind w:firstLine="787"/>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1.2 提供最近一期经会计事务所审计的财务报告（成立不满一年需提供资产负债表和利润表）或银行（金融机构）出具的资信证明</w:t>
      </w:r>
      <w:r>
        <w:rPr>
          <w:rFonts w:hint="eastAsia" w:ascii="宋体" w:hAnsi="宋体" w:eastAsia="宋体" w:cs="宋体"/>
          <w:b/>
          <w:bCs/>
          <w:sz w:val="24"/>
        </w:rPr>
        <w:t xml:space="preserve">（距开标时间六个月内开具的资信证明）</w:t>
      </w:r>
      <w:r>
        <w:rPr>
          <w:rFonts w:hint="eastAsia" w:ascii="宋体" w:hAnsi="宋体" w:eastAsia="宋体" w:cs="宋体"/>
          <w:sz w:val="24"/>
          <w:szCs w:val="24"/>
        </w:rPr>
        <w:t xml:space="preserve">；</w:t>
      </w:r>
      <w:r/>
    </w:p>
    <w:p>
      <w:pPr>
        <w:ind w:firstLine="787"/>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1.3 依法缴纳税收和社会保障资金的相关材料（提供投标截止时间前一年内至少一个月依法缴纳税收及缴纳社会保障资金的证明材料</w:t>
      </w:r>
      <w:r>
        <w:rPr>
          <w:rFonts w:hint="eastAsia" w:ascii="宋体" w:hAnsi="宋体" w:eastAsia="宋体" w:cs="宋体"/>
          <w:sz w:val="24"/>
          <w:szCs w:val="24"/>
        </w:rPr>
        <w:t xml:space="preserve">，如投标人缴纳税收的凭据、缴纳社会保险的专用收据或社会保险缴纳清单</w:t>
      </w:r>
      <w:r>
        <w:rPr>
          <w:rFonts w:hint="eastAsia" w:ascii="宋体" w:hAnsi="宋体" w:eastAsia="宋体" w:cs="宋体"/>
          <w:sz w:val="24"/>
        </w:rPr>
        <w:t xml:space="preserve">。投标人依法享受免缴税收、社会保障资金的提供证明材料。）</w:t>
      </w:r>
      <w:r/>
    </w:p>
    <w:p>
      <w:pPr>
        <w:ind w:firstLine="787"/>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1.4 具备履行合同所必需的</w:t>
      </w:r>
      <w:r>
        <w:rPr>
          <w:rFonts w:hint="eastAsia" w:ascii="宋体" w:hAnsi="宋体" w:eastAsia="宋体" w:cs="宋体"/>
          <w:sz w:val="24"/>
          <w:lang w:val="en-US" w:eastAsia="zh-CN"/>
        </w:rPr>
        <w:t xml:space="preserve">设备</w:t>
      </w:r>
      <w:r>
        <w:rPr>
          <w:rFonts w:hint="eastAsia" w:ascii="宋体" w:hAnsi="宋体" w:eastAsia="宋体" w:cs="宋体"/>
          <w:sz w:val="24"/>
        </w:rPr>
        <w:t xml:space="preserve">和专业技术能力的书面声明（格式见附件</w:t>
      </w:r>
      <w:r>
        <w:rPr>
          <w:rFonts w:hint="eastAsia" w:ascii="宋体" w:hAnsi="宋体" w:eastAsia="宋体" w:cs="宋体"/>
          <w:sz w:val="24"/>
          <w:lang w:val="en-US" w:eastAsia="zh-CN"/>
        </w:rPr>
        <w:t xml:space="preserve">5</w:t>
      </w:r>
      <w:r>
        <w:rPr>
          <w:rFonts w:hint="eastAsia" w:ascii="宋体" w:hAnsi="宋体" w:eastAsia="宋体" w:cs="宋体"/>
          <w:sz w:val="24"/>
        </w:rPr>
        <w:t xml:space="preserve">）</w:t>
      </w:r>
      <w:r/>
    </w:p>
    <w:p>
      <w:pPr>
        <w:ind w:firstLine="787"/>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1.5 参加政府采购活动前 3 年内在经营活动中没有重大违法记录的书面声明（格式见附件</w:t>
      </w: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p>
    <w:p>
      <w:pPr>
        <w:ind w:firstLine="720"/>
        <w:keepLines w:val="0"/>
        <w:keepNext w:val="0"/>
        <w:pageBreakBefore w:val="0"/>
        <w:spacing w:line="36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、中小企业声明函（格式见附件</w:t>
      </w: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）或残疾人福利性单位声明函（格式见附件</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）或省级以上监狱管理局、戒毒管理局（含新疆生产建设兵团）出具的属于监狱企业的证明文件。</w:t>
      </w:r>
      <w:r/>
    </w:p>
    <w:p>
      <w:pPr>
        <w:ind w:left="480"/>
        <w:keepLines w:val="0"/>
        <w:keepNext w:val="0"/>
        <w:pageBreakBefore w:val="0"/>
        <w:spacing w:line="360" w:lineRule="exact"/>
        <w:widowControl w:val="off"/>
        <w:rPr>
          <w:rFonts w:hint="eastAsia" w:ascii="宋体" w:hAnsi="宋体" w:eastAsia="宋体" w:cs="宋体"/>
          <w:b/>
          <w:sz w:val="24"/>
        </w:rPr>
      </w:pPr>
      <w:r>
        <w:rPr>
          <w:rFonts w:hint="eastAsia" w:ascii="宋体" w:hAnsi="宋体" w:eastAsia="宋体" w:cs="宋体"/>
          <w:b/>
          <w:sz w:val="24"/>
        </w:rPr>
        <w:t xml:space="preserve">三、符合性审查内容</w:t>
      </w:r>
      <w:r/>
    </w:p>
    <w:p>
      <w:pPr>
        <w:ind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投标函（格式见附件</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w:t>
      </w:r>
      <w:r/>
    </w:p>
    <w:p>
      <w:pPr>
        <w:ind w:firstLine="720"/>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开标一览表（格式见附件1）</w:t>
      </w:r>
      <w:r/>
    </w:p>
    <w:p>
      <w:pPr>
        <w:ind w:firstLine="720"/>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投入费用明细表</w:t>
      </w:r>
      <w:r>
        <w:rPr>
          <w:rFonts w:hint="eastAsia" w:ascii="宋体" w:hAnsi="宋体" w:eastAsia="宋体" w:cs="宋体"/>
          <w:color w:val="000000"/>
          <w:sz w:val="24"/>
        </w:rPr>
        <w:t xml:space="preserve">（格式见附件</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w:t>
      </w:r>
      <w:r/>
    </w:p>
    <w:p>
      <w:pPr>
        <w:ind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实质性要求响应及偏离表（格式见附件</w:t>
      </w: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w:t>
      </w:r>
      <w:r/>
    </w:p>
    <w:p>
      <w:pPr>
        <w:ind w:firstLine="480"/>
        <w:keepLines w:val="0"/>
        <w:keepNext w:val="0"/>
        <w:pageBreakBefore w:val="0"/>
        <w:spacing w:line="360" w:lineRule="exact"/>
        <w:widowControl w:val="off"/>
        <w:rPr>
          <w:rFonts w:hint="eastAsia" w:ascii="宋体" w:hAnsi="宋体" w:eastAsia="宋体" w:cs="宋体"/>
          <w:b/>
          <w:sz w:val="24"/>
        </w:rPr>
      </w:pPr>
      <w:r>
        <w:rPr>
          <w:rFonts w:hint="eastAsia" w:ascii="宋体" w:hAnsi="宋体" w:eastAsia="宋体" w:cs="宋体"/>
          <w:b/>
          <w:sz w:val="24"/>
        </w:rPr>
        <w:t xml:space="preserve">四、综合评审文件</w:t>
      </w:r>
      <w:r/>
    </w:p>
    <w:p>
      <w:pPr>
        <w:ind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服务</w:t>
      </w:r>
      <w:r>
        <w:rPr>
          <w:rFonts w:hint="eastAsia" w:ascii="宋体" w:hAnsi="宋体" w:eastAsia="宋体" w:cs="宋体"/>
          <w:color w:val="000000"/>
          <w:sz w:val="24"/>
        </w:rPr>
        <w:t xml:space="preserve">要求响应及偏离表（格式见附件</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p>
    <w:p>
      <w:pPr>
        <w:ind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2、商务要求响应及偏离表（格式见附件</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w:t>
      </w:r>
      <w:r/>
    </w:p>
    <w:p>
      <w:pPr>
        <w:ind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人员一览表</w:t>
      </w:r>
      <w:r>
        <w:rPr>
          <w:rFonts w:hint="eastAsia" w:ascii="宋体" w:hAnsi="宋体" w:eastAsia="宋体" w:cs="宋体"/>
          <w:color w:val="000000"/>
          <w:sz w:val="24"/>
        </w:rPr>
        <w:t xml:space="preserve">（格式见附件</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w:t>
      </w:r>
      <w:r/>
    </w:p>
    <w:p>
      <w:pPr>
        <w:ind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项目服务方案</w:t>
      </w:r>
      <w:r>
        <w:rPr>
          <w:rFonts w:hint="eastAsia" w:ascii="宋体" w:hAnsi="宋体" w:eastAsia="宋体" w:cs="宋体"/>
          <w:color w:val="000000"/>
          <w:sz w:val="24"/>
        </w:rPr>
        <w:t xml:space="preserve">（格式见附件</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rPr>
        <w:t xml:space="preserve">）</w:t>
      </w:r>
      <w:r/>
    </w:p>
    <w:p>
      <w:pPr>
        <w:ind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、业绩一览表（格式见附件</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rPr>
        <w:t xml:space="preserve">）</w:t>
      </w:r>
      <w:r/>
    </w:p>
    <w:p>
      <w:pPr>
        <w:ind w:firstLine="241"/>
        <w:spacing w:line="400" w:lineRule="exact"/>
        <w:rPr>
          <w:rFonts w:ascii="宋体" w:hAnsi="宋体"/>
          <w:sz w:val="24"/>
        </w:rPr>
      </w:pPr>
      <w:r>
        <w:rPr>
          <w:rFonts w:hint="eastAsia" w:ascii="宋体" w:hAnsi="宋体"/>
          <w:b/>
          <w:bCs/>
          <w:sz w:val="24"/>
        </w:rPr>
        <w:t xml:space="preserve">备注：其中加“*”项目若有缺失或无效，将导致其失去投标资格且不允许在投标文件开启时间后补正。</w:t>
      </w:r>
      <w:r/>
    </w:p>
    <w:p>
      <w:pPr>
        <w:rPr>
          <w:rFonts w:hint="eastAsia" w:ascii="宋体" w:hAnsi="宋体"/>
          <w:sz w:val="24"/>
          <w:szCs w:val="24"/>
        </w:rPr>
      </w:pPr>
      <w:r>
        <w:rPr>
          <w:rFonts w:hint="eastAsia" w:ascii="宋体" w:hAnsi="宋体"/>
          <w:sz w:val="24"/>
          <w:szCs w:val="24"/>
        </w:rPr>
        <w:br w:type="page" w:clear="all"/>
      </w:r>
      <w:r/>
    </w:p>
    <w:p>
      <w:pPr>
        <w:ind w:firstLine="480"/>
        <w:spacing w:line="400" w:lineRule="exact"/>
        <w:rPr>
          <w:rFonts w:hint="eastAsia" w:ascii="宋体" w:hAnsi="宋体"/>
          <w:sz w:val="24"/>
          <w:szCs w:val="24"/>
        </w:rPr>
      </w:pPr>
      <w:r>
        <w:rPr>
          <w:rFonts w:hint="eastAsia" w:ascii="宋体" w:hAnsi="宋体"/>
          <w:sz w:val="24"/>
          <w:szCs w:val="24"/>
        </w:rPr>
      </w:r>
      <w:r/>
    </w:p>
    <w:p>
      <w:pPr>
        <w:jc w:val="center"/>
        <w:spacing w:line="440" w:lineRule="exact"/>
        <w:rPr>
          <w:rFonts w:ascii="Times New Roman" w:hAnsi="Times New Roman"/>
          <w:b/>
          <w:bCs/>
          <w:sz w:val="28"/>
          <w:szCs w:val="28"/>
        </w:rPr>
        <w:outlineLvl w:val="1"/>
      </w:pPr>
      <w:r/>
      <w:bookmarkStart w:id="231" w:name="_Toc17757"/>
      <w:r/>
      <w:bookmarkStart w:id="232" w:name="_Toc158042206"/>
      <w:r/>
      <w:bookmarkStart w:id="233" w:name="_Toc28315"/>
      <w:r/>
      <w:bookmarkStart w:id="234" w:name="_Toc29723"/>
      <w:r>
        <w:rPr>
          <w:rFonts w:hint="eastAsia" w:ascii="Times New Roman" w:hAnsi="Times New Roman"/>
          <w:b/>
          <w:bCs/>
          <w:sz w:val="28"/>
          <w:szCs w:val="28"/>
        </w:rPr>
        <w:t xml:space="preserve">附件1 开标一览表</w:t>
      </w:r>
      <w:bookmarkEnd w:id="231"/>
      <w:r/>
      <w:bookmarkEnd w:id="232"/>
      <w:r/>
      <w:bookmarkEnd w:id="233"/>
      <w:r/>
      <w:bookmarkEnd w:id="234"/>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Theme="minorEastAsia"/>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常熟市第二人民医院（台山路院区）停车场经营管理服务</w:t>
      </w:r>
      <w:r/>
    </w:p>
    <w:p>
      <w:pPr>
        <w:ind w:firstLine="482"/>
        <w:spacing w:line="400" w:lineRule="exact"/>
        <w:rPr>
          <w:rFonts w:hint="eastAsia" w:ascii="宋体" w:hAnsi="宋体" w:eastAsiaTheme="minorEastAsia"/>
          <w:sz w:val="24"/>
          <w:szCs w:val="24"/>
          <w:lang w:eastAsia="zh-CN"/>
        </w:rPr>
      </w:pPr>
      <w:r>
        <w:rPr>
          <w:rFonts w:hint="eastAsia" w:ascii="宋体" w:hAnsi="宋体"/>
          <w:sz w:val="24"/>
          <w:szCs w:val="24"/>
        </w:rPr>
        <w:t xml:space="preserve">项目编号：</w:t>
      </w:r>
      <w:r>
        <w:rPr>
          <w:rFonts w:hint="eastAsia" w:ascii="Times New Roman" w:hAnsi="Times New Roman"/>
          <w:color w:val="000000"/>
          <w:sz w:val="24"/>
          <w:szCs w:val="24"/>
          <w:lang w:eastAsia="zh-CN"/>
        </w:rPr>
        <w:t xml:space="preserve">JSZC-320581-CSXC-G2026-0020</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ascii="宋体" w:hAnsi="宋体"/>
                <w:sz w:val="24"/>
                <w:szCs w:val="24"/>
              </w:rPr>
            </w:pPr>
            <w:r>
              <w:rPr>
                <w:rFonts w:hint="eastAsia" w:ascii="宋体" w:hAnsi="宋体"/>
                <w:b/>
                <w:bCs/>
                <w:sz w:val="24"/>
                <w:szCs w:val="24"/>
                <w:highlight w:val="none"/>
              </w:rPr>
              <w:t xml:space="preserve">投标总报价</w:t>
            </w:r>
            <w:r>
              <w:rPr>
                <w:rFonts w:ascii="宋体" w:hAnsi="宋体" w:cs="宋体"/>
                <w:b/>
                <w:sz w:val="24"/>
                <w:szCs w:val="22"/>
                <w:highlight w:val="none"/>
              </w:rPr>
              <w:t xml:space="preserve">（</w:t>
            </w:r>
            <w:r>
              <w:rPr>
                <w:rFonts w:hint="eastAsia" w:ascii="宋体" w:hAnsi="宋体" w:cs="宋体"/>
                <w:b/>
                <w:sz w:val="24"/>
                <w:szCs w:val="22"/>
                <w:highlight w:val="none"/>
              </w:rPr>
              <w:t xml:space="preserve">二</w:t>
            </w:r>
            <w:r>
              <w:rPr>
                <w:rFonts w:ascii="宋体" w:hAnsi="宋体" w:cs="宋体"/>
                <w:b/>
                <w:sz w:val="24"/>
                <w:szCs w:val="22"/>
                <w:highlight w:val="none"/>
              </w:rPr>
              <w:t xml:space="preserve">年</w:t>
            </w:r>
            <w:r>
              <w:rPr>
                <w:rFonts w:hint="eastAsia" w:ascii="宋体" w:hAnsi="宋体" w:cs="宋体"/>
                <w:b/>
                <w:sz w:val="24"/>
                <w:szCs w:val="22"/>
                <w:highlight w:val="none"/>
              </w:rPr>
              <w:t xml:space="preserve">服务</w:t>
            </w:r>
            <w:r>
              <w:rPr>
                <w:rFonts w:ascii="宋体" w:hAnsi="宋体" w:cs="宋体"/>
                <w:b/>
                <w:sz w:val="24"/>
                <w:szCs w:val="22"/>
                <w:highlight w:val="none"/>
              </w:rPr>
              <w:t xml:space="preserve">总费用）</w:t>
            </w:r>
            <w:r/>
          </w:p>
        </w:tc>
      </w:tr>
      <w:tr>
        <w:trPr>
          <w:cantSplit/>
          <w:jc w:val="center"/>
          <w:trHeight w:val="612"/>
        </w:trPr>
        <w:tc>
          <w:tcPr>
            <w:tcW w:w="8886" w:type="dxa"/>
            <w:vAlign w:val="center"/>
            <w:textDirection w:val="lrTb"/>
            <w:noWrap w:val="false"/>
          </w:tcPr>
          <w:p>
            <w:pPr>
              <w:spacing w:line="500" w:lineRule="exact"/>
              <w:rPr>
                <w:rFonts w:ascii="宋体" w:hAnsi="宋体"/>
                <w:sz w:val="24"/>
              </w:rPr>
            </w:pPr>
            <w:r>
              <w:rPr>
                <w:rFonts w:hint="eastAsia" w:ascii="宋体" w:hAnsi="宋体" w:cs="宋体"/>
                <w:sz w:val="24"/>
                <w:szCs w:val="24"/>
                <w:highlight w:val="none"/>
              </w:rPr>
              <w:t xml:space="preserve">小写：                      （大写人民币：           元）</w:t>
            </w:r>
            <w:r/>
          </w:p>
        </w:tc>
      </w:tr>
    </w:tbl>
    <w:p>
      <w:pPr>
        <w:ind w:firstLine="480"/>
        <w:keepLines w:val="0"/>
        <w:keepNext w:val="0"/>
        <w:pageBreakBefore w:val="0"/>
        <w:spacing w:line="500" w:lineRule="exact"/>
        <w:widowControl w:val="off"/>
        <w:rPr>
          <w:bCs/>
          <w:color w:val="000000"/>
          <w:sz w:val="24"/>
          <w:szCs w:val="24"/>
          <w:highlight w:val="none"/>
        </w:rPr>
      </w:pPr>
      <w:r>
        <w:rPr>
          <w:color w:val="000000"/>
          <w:sz w:val="24"/>
          <w:szCs w:val="24"/>
          <w:highlight w:val="none"/>
        </w:rPr>
        <w:t xml:space="preserve">注：</w:t>
      </w:r>
      <w:r>
        <w:rPr>
          <w:rFonts w:hint="eastAsia" w:ascii="宋体" w:hAnsi="宋体" w:cs="宋体"/>
          <w:bCs/>
          <w:color w:val="000000"/>
          <w:sz w:val="24"/>
          <w:szCs w:val="24"/>
          <w:highlight w:val="none"/>
        </w:rPr>
        <w:t xml:space="preserve">“</w:t>
      </w:r>
      <w:r>
        <w:rPr>
          <w:rFonts w:hint="eastAsia" w:ascii="宋体" w:hAnsi="宋体"/>
          <w:sz w:val="24"/>
          <w:szCs w:val="24"/>
          <w:highlight w:val="none"/>
        </w:rPr>
        <w:t xml:space="preserve">投标总报价</w:t>
      </w:r>
      <w:r>
        <w:rPr>
          <w:rFonts w:hint="eastAsia" w:ascii="宋体" w:hAnsi="宋体" w:cs="宋体"/>
          <w:bCs/>
          <w:color w:val="000000"/>
          <w:sz w:val="24"/>
          <w:szCs w:val="24"/>
          <w:highlight w:val="none"/>
        </w:rPr>
        <w:t xml:space="preserve">”请保留小</w:t>
      </w:r>
      <w:r>
        <w:rPr>
          <w:bCs/>
          <w:color w:val="000000"/>
          <w:sz w:val="24"/>
          <w:szCs w:val="24"/>
          <w:highlight w:val="none"/>
        </w:rPr>
        <w:t xml:space="preserve">数点后两位。</w:t>
      </w:r>
      <w:r/>
    </w:p>
    <w:p>
      <w:pPr>
        <w:pStyle w:val="744"/>
        <w:rPr>
          <w:b/>
          <w:sz w:val="24"/>
          <w:szCs w:val="24"/>
          <w:highlight w:val="none"/>
        </w:rPr>
      </w:pPr>
      <w:r>
        <w:rPr>
          <w:b/>
          <w:sz w:val="24"/>
          <w:szCs w:val="24"/>
          <w:highlight w:val="none"/>
        </w:rPr>
      </w:r>
      <w:r/>
    </w:p>
    <w:p>
      <w:pPr>
        <w:spacing w:line="480" w:lineRule="exact"/>
        <w:rPr>
          <w:rFonts w:hint="eastAsia" w:ascii="宋体" w:hAnsi="宋体"/>
          <w:sz w:val="24"/>
          <w:szCs w:val="24"/>
        </w:rPr>
      </w:pPr>
      <w:r>
        <w:rPr>
          <w:rFonts w:hint="eastAsia" w:ascii="宋体" w:hAnsi="宋体"/>
          <w:sz w:val="24"/>
          <w:szCs w:val="24"/>
        </w:rPr>
      </w:r>
      <w:r/>
    </w:p>
    <w:p>
      <w:pPr>
        <w:pStyle w:val="751"/>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none"/>
          <w:lang w:val="en-US" w:eastAsia="zh-CN"/>
        </w:rPr>
      </w:r>
      <w:r/>
    </w:p>
    <w:p>
      <w:pPr>
        <w:pStyle w:val="751"/>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751"/>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5" w:h="16832" w:orient="portrait"/>
          <w:pgMar w:top="1820" w:right="947" w:bottom="1808" w:left="1009" w:header="0" w:footer="720" w:gutter="0"/>
          <w:cols w:num="1" w:sep="0" w:space="0" w:equalWidth="1"/>
          <w:docGrid w:linePitch="360"/>
        </w:sectPr>
        <w:suppressLineNumbers w:val="0"/>
      </w:pPr>
      <w:r>
        <w:rPr>
          <w:rFonts w:hint="eastAsia" w:asciiTheme="minorEastAsia" w:hAnsiTheme="minorEastAsia" w:eastAsiaTheme="minorEastAsia" w:cstheme="minorEastAsia"/>
          <w:i w:val="0"/>
          <w:iCs w:val="0"/>
          <w:color w:val="000000"/>
          <w:sz w:val="24"/>
          <w:szCs w:val="24"/>
          <w:u w:val="single"/>
        </w:rPr>
      </w:r>
      <w:r/>
    </w:p>
    <w:p>
      <w:pPr>
        <w:jc w:val="center"/>
        <w:spacing w:line="440" w:lineRule="exact"/>
        <w:rPr>
          <w:rFonts w:hint="eastAsia" w:ascii="Times New Roman" w:hAnsi="Times New Roman"/>
          <w:b/>
          <w:bCs/>
          <w:sz w:val="28"/>
          <w:szCs w:val="28"/>
        </w:rPr>
        <w:outlineLvl w:val="1"/>
      </w:pPr>
      <w:r/>
      <w:bookmarkStart w:id="235" w:name="_Toc12255"/>
      <w:r/>
      <w:bookmarkStart w:id="236" w:name="_Toc11484"/>
      <w:r/>
      <w:bookmarkStart w:id="237" w:name="_Toc25339"/>
      <w:r/>
      <w:bookmarkStart w:id="238" w:name="_Toc158042208"/>
      <w:r/>
      <w:bookmarkStart w:id="239" w:name="_Toc23440"/>
      <w:r>
        <w:rPr>
          <w:rFonts w:hint="eastAsia" w:ascii="Times New Roman" w:hAnsi="Times New Roman"/>
          <w:b/>
          <w:bCs/>
          <w:sz w:val="28"/>
          <w:szCs w:val="28"/>
        </w:rPr>
        <w:t xml:space="preserve">附件2 投入费用明细表</w:t>
      </w:r>
      <w:bookmarkEnd w:id="235"/>
      <w:r/>
      <w:r/>
    </w:p>
    <w:tbl>
      <w:tblPr>
        <w:tblStyle w:val="737"/>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463"/>
        <w:gridCol w:w="722"/>
        <w:gridCol w:w="811"/>
        <w:gridCol w:w="1248"/>
        <w:gridCol w:w="1878"/>
        <w:gridCol w:w="960"/>
      </w:tblGrid>
      <w:tr>
        <w:trPr>
          <w:cantSplit/>
          <w:jc w:val="center"/>
          <w:trHeight w:val="552"/>
        </w:trPr>
        <w:tc>
          <w:tcPr>
            <w:tcW w:w="757" w:type="dxa"/>
            <w:vAlign w:val="center"/>
            <w:textDirection w:val="lrTb"/>
            <w:noWrap w:val="false"/>
          </w:tcPr>
          <w:p>
            <w:pPr>
              <w:jc w:val="center"/>
              <w:rPr>
                <w:b/>
                <w:bCs/>
                <w:sz w:val="24"/>
                <w:highlight w:val="none"/>
              </w:rPr>
            </w:pPr>
            <w:r>
              <w:rPr>
                <w:b/>
                <w:bCs/>
                <w:sz w:val="24"/>
                <w:highlight w:val="none"/>
              </w:rPr>
              <w:t xml:space="preserve">序号</w:t>
            </w:r>
            <w:r/>
          </w:p>
        </w:tc>
        <w:tc>
          <w:tcPr>
            <w:tcW w:w="3463" w:type="dxa"/>
            <w:vAlign w:val="center"/>
            <w:textDirection w:val="lrTb"/>
            <w:noWrap w:val="false"/>
          </w:tcPr>
          <w:p>
            <w:pPr>
              <w:jc w:val="center"/>
              <w:rPr>
                <w:b/>
                <w:bCs/>
                <w:sz w:val="24"/>
                <w:highlight w:val="none"/>
              </w:rPr>
            </w:pPr>
            <w:r>
              <w:rPr>
                <w:b/>
                <w:bCs/>
                <w:sz w:val="24"/>
                <w:highlight w:val="none"/>
              </w:rPr>
              <w:t xml:space="preserve">投入项目及费用名称</w:t>
            </w:r>
            <w:r/>
          </w:p>
        </w:tc>
        <w:tc>
          <w:tcPr>
            <w:tcW w:w="722" w:type="dxa"/>
            <w:vAlign w:val="center"/>
            <w:textDirection w:val="lrTb"/>
            <w:noWrap w:val="false"/>
          </w:tcPr>
          <w:p>
            <w:pPr>
              <w:jc w:val="center"/>
              <w:rPr>
                <w:b/>
                <w:bCs/>
                <w:sz w:val="24"/>
                <w:highlight w:val="none"/>
              </w:rPr>
            </w:pPr>
            <w:r>
              <w:rPr>
                <w:b/>
                <w:bCs/>
                <w:sz w:val="24"/>
                <w:highlight w:val="none"/>
              </w:rPr>
              <w:t xml:space="preserve">数量</w:t>
            </w:r>
            <w:r/>
          </w:p>
        </w:tc>
        <w:tc>
          <w:tcPr>
            <w:tcW w:w="811" w:type="dxa"/>
            <w:vAlign w:val="center"/>
            <w:textDirection w:val="lrTb"/>
            <w:noWrap w:val="false"/>
          </w:tcPr>
          <w:p>
            <w:pPr>
              <w:jc w:val="center"/>
              <w:rPr>
                <w:rFonts w:hint="eastAsia"/>
                <w:b/>
                <w:bCs/>
                <w:sz w:val="24"/>
                <w:highlight w:val="none"/>
              </w:rPr>
            </w:pPr>
            <w:r>
              <w:rPr>
                <w:rFonts w:hint="eastAsia"/>
                <w:b/>
                <w:bCs/>
                <w:sz w:val="24"/>
                <w:highlight w:val="none"/>
              </w:rPr>
              <w:t xml:space="preserve">单位</w:t>
            </w:r>
            <w:r/>
          </w:p>
        </w:tc>
        <w:tc>
          <w:tcPr>
            <w:tcW w:w="1248" w:type="dxa"/>
            <w:vAlign w:val="center"/>
            <w:textDirection w:val="lrTb"/>
            <w:noWrap w:val="false"/>
          </w:tcPr>
          <w:p>
            <w:pPr>
              <w:rPr>
                <w:rFonts w:hint="eastAsia"/>
                <w:b/>
                <w:bCs/>
                <w:sz w:val="24"/>
                <w:highlight w:val="none"/>
              </w:rPr>
            </w:pPr>
            <w:r>
              <w:rPr>
                <w:rFonts w:hint="eastAsia"/>
                <w:b/>
                <w:bCs/>
                <w:sz w:val="24"/>
                <w:highlight w:val="none"/>
              </w:rPr>
              <w:t xml:space="preserve">单价</w:t>
            </w:r>
            <w:r>
              <w:rPr>
                <w:b/>
                <w:bCs/>
                <w:sz w:val="24"/>
                <w:highlight w:val="none"/>
              </w:rPr>
              <w:t xml:space="preserve">（元）</w:t>
            </w:r>
            <w:r/>
          </w:p>
        </w:tc>
        <w:tc>
          <w:tcPr>
            <w:tcW w:w="1878" w:type="dxa"/>
            <w:vAlign w:val="center"/>
            <w:textDirection w:val="lrTb"/>
            <w:noWrap w:val="false"/>
          </w:tcPr>
          <w:p>
            <w:pPr>
              <w:jc w:val="center"/>
              <w:rPr>
                <w:b/>
                <w:bCs/>
                <w:sz w:val="24"/>
                <w:highlight w:val="none"/>
              </w:rPr>
            </w:pPr>
            <w:r>
              <w:rPr>
                <w:rFonts w:hint="eastAsia"/>
                <w:b/>
                <w:bCs/>
                <w:sz w:val="24"/>
                <w:highlight w:val="none"/>
              </w:rPr>
              <w:t xml:space="preserve">分项总价</w:t>
            </w:r>
            <w:r>
              <w:rPr>
                <w:b/>
                <w:bCs/>
                <w:sz w:val="24"/>
                <w:highlight w:val="none"/>
              </w:rPr>
              <w:t xml:space="preserve">（元）</w:t>
            </w:r>
            <w:r/>
          </w:p>
        </w:tc>
        <w:tc>
          <w:tcPr>
            <w:tcW w:w="960" w:type="dxa"/>
            <w:vAlign w:val="center"/>
            <w:textDirection w:val="lrTb"/>
            <w:noWrap w:val="false"/>
          </w:tcPr>
          <w:p>
            <w:pPr>
              <w:jc w:val="center"/>
              <w:rPr>
                <w:b/>
                <w:bCs/>
                <w:sz w:val="24"/>
                <w:highlight w:val="none"/>
              </w:rPr>
            </w:pPr>
            <w:r>
              <w:rPr>
                <w:b/>
                <w:bCs/>
                <w:sz w:val="24"/>
                <w:highlight w:val="none"/>
              </w:rPr>
              <w:t xml:space="preserve">备注</w:t>
            </w:r>
            <w:r/>
          </w:p>
        </w:tc>
      </w:tr>
      <w:tr>
        <w:trPr>
          <w:cantSplit/>
          <w:jc w:val="center"/>
          <w:trHeight w:val="454"/>
        </w:trPr>
        <w:tc>
          <w:tcPr>
            <w:tcW w:w="757" w:type="dxa"/>
            <w:vAlign w:val="center"/>
            <w:textDirection w:val="lrTb"/>
            <w:noWrap w:val="false"/>
          </w:tcPr>
          <w:p>
            <w:pPr>
              <w:pStyle w:val="748"/>
              <w:spacing w:after="0" w:line="240" w:lineRule="auto"/>
              <w:rPr>
                <w:b/>
                <w:bCs/>
                <w:highlight w:val="none"/>
              </w:rPr>
            </w:pPr>
            <w:r>
              <w:rPr>
                <w:rFonts w:eastAsia="宋体"/>
                <w:szCs w:val="24"/>
                <w:highlight w:val="none"/>
              </w:rPr>
              <w:t xml:space="preserve">1</w:t>
            </w:r>
            <w:r/>
          </w:p>
        </w:tc>
        <w:tc>
          <w:tcPr>
            <w:tcW w:w="3463" w:type="dxa"/>
            <w:vAlign w:val="center"/>
            <w:textDirection w:val="lrTb"/>
            <w:noWrap w:val="false"/>
          </w:tcPr>
          <w:p>
            <w:pPr>
              <w:pStyle w:val="745"/>
              <w:jc w:val="center"/>
              <w:spacing w:line="240" w:lineRule="auto"/>
              <w:rPr>
                <w:rFonts w:ascii="Times New Roman"/>
                <w:sz w:val="24"/>
                <w:szCs w:val="24"/>
                <w:highlight w:val="none"/>
              </w:rPr>
            </w:pPr>
            <w:r>
              <w:rPr>
                <w:rFonts w:ascii="Times New Roman"/>
                <w:sz w:val="24"/>
                <w:szCs w:val="24"/>
                <w:highlight w:val="none"/>
              </w:rPr>
            </w:r>
            <w:r/>
          </w:p>
        </w:tc>
        <w:tc>
          <w:tcPr>
            <w:tcW w:w="722" w:type="dxa"/>
            <w:vAlign w:val="center"/>
            <w:textDirection w:val="lrTb"/>
            <w:noWrap w:val="false"/>
          </w:tcPr>
          <w:p>
            <w:pPr>
              <w:pStyle w:val="745"/>
              <w:jc w:val="center"/>
              <w:spacing w:line="240" w:lineRule="auto"/>
              <w:rPr>
                <w:b/>
                <w:bCs/>
                <w:sz w:val="24"/>
                <w:highlight w:val="none"/>
              </w:rPr>
            </w:pPr>
            <w:r>
              <w:rPr>
                <w:b/>
                <w:bCs/>
                <w:sz w:val="24"/>
                <w:highlight w:val="none"/>
              </w:rPr>
            </w:r>
            <w:r/>
          </w:p>
        </w:tc>
        <w:tc>
          <w:tcPr>
            <w:tcW w:w="811" w:type="dxa"/>
            <w:vAlign w:val="center"/>
            <w:textDirection w:val="lrTb"/>
            <w:noWrap w:val="false"/>
          </w:tcPr>
          <w:p>
            <w:pPr>
              <w:pStyle w:val="745"/>
              <w:jc w:val="center"/>
              <w:spacing w:line="240" w:lineRule="auto"/>
              <w:rPr>
                <w:b/>
                <w:bCs/>
                <w:sz w:val="24"/>
                <w:highlight w:val="none"/>
              </w:rPr>
            </w:pPr>
            <w:r>
              <w:rPr>
                <w:b/>
                <w:bCs/>
                <w:sz w:val="24"/>
                <w:highlight w:val="none"/>
              </w:rPr>
            </w:r>
            <w:r/>
          </w:p>
        </w:tc>
        <w:tc>
          <w:tcPr>
            <w:tcW w:w="1248" w:type="dxa"/>
            <w:vAlign w:val="center"/>
            <w:textDirection w:val="lrTb"/>
            <w:noWrap w:val="false"/>
          </w:tcPr>
          <w:p>
            <w:pPr>
              <w:ind w:firstLine="241"/>
              <w:rPr>
                <w:b/>
                <w:bCs/>
                <w:sz w:val="24"/>
                <w:highlight w:val="none"/>
              </w:rPr>
            </w:pPr>
            <w:r>
              <w:rPr>
                <w:b/>
                <w:bCs/>
                <w:sz w:val="24"/>
                <w:highlight w:val="none"/>
              </w:rPr>
            </w:r>
            <w:r/>
          </w:p>
        </w:tc>
        <w:tc>
          <w:tcPr>
            <w:tcW w:w="1878" w:type="dxa"/>
            <w:vAlign w:val="center"/>
            <w:textDirection w:val="lrTb"/>
            <w:noWrap w:val="false"/>
          </w:tcPr>
          <w:p>
            <w:pPr>
              <w:jc w:val="center"/>
              <w:rPr>
                <w:b/>
                <w:bCs/>
                <w:sz w:val="24"/>
                <w:highlight w:val="none"/>
              </w:rPr>
            </w:pPr>
            <w:r>
              <w:rPr>
                <w:b/>
                <w:bCs/>
                <w:sz w:val="24"/>
                <w:highlight w:val="none"/>
              </w:rPr>
            </w:r>
            <w:r/>
          </w:p>
        </w:tc>
        <w:tc>
          <w:tcPr>
            <w:tcW w:w="960" w:type="dxa"/>
            <w:vAlign w:val="center"/>
            <w:textDirection w:val="lrTb"/>
            <w:noWrap w:val="false"/>
          </w:tcPr>
          <w:p>
            <w:pPr>
              <w:jc w:val="center"/>
              <w:widowControl/>
              <w:rPr>
                <w:b/>
                <w:bCs/>
                <w:sz w:val="24"/>
                <w:highlight w:val="none"/>
              </w:rPr>
            </w:pPr>
            <w:r>
              <w:rPr>
                <w:b/>
                <w:bCs/>
                <w:sz w:val="24"/>
                <w:highlight w:val="none"/>
              </w:rPr>
            </w:r>
            <w:r/>
          </w:p>
        </w:tc>
      </w:tr>
      <w:tr>
        <w:trPr>
          <w:cantSplit/>
          <w:jc w:val="center"/>
          <w:trHeight w:val="454"/>
        </w:trPr>
        <w:tc>
          <w:tcPr>
            <w:tcW w:w="757" w:type="dxa"/>
            <w:vAlign w:val="center"/>
            <w:textDirection w:val="lrTb"/>
            <w:noWrap w:val="false"/>
          </w:tcPr>
          <w:p>
            <w:pPr>
              <w:jc w:val="center"/>
              <w:rPr>
                <w:rFonts w:hint="eastAsia"/>
                <w:sz w:val="24"/>
                <w:highlight w:val="none"/>
              </w:rPr>
            </w:pPr>
            <w:r>
              <w:rPr>
                <w:rFonts w:hint="eastAsia"/>
                <w:sz w:val="24"/>
                <w:highlight w:val="none"/>
              </w:rPr>
              <w:t xml:space="preserve">2</w:t>
            </w:r>
            <w:r/>
          </w:p>
        </w:tc>
        <w:tc>
          <w:tcPr>
            <w:tcW w:w="3463" w:type="dxa"/>
            <w:vAlign w:val="center"/>
            <w:textDirection w:val="lrTb"/>
            <w:noWrap w:val="false"/>
          </w:tcPr>
          <w:p>
            <w:pPr>
              <w:jc w:val="center"/>
              <w:rPr>
                <w:sz w:val="24"/>
                <w:highlight w:val="none"/>
              </w:rPr>
            </w:pPr>
            <w:r>
              <w:rPr>
                <w:sz w:val="24"/>
                <w:highlight w:val="none"/>
              </w:rPr>
            </w:r>
            <w:r/>
          </w:p>
        </w:tc>
        <w:tc>
          <w:tcPr>
            <w:tcW w:w="722" w:type="dxa"/>
            <w:vAlign w:val="center"/>
            <w:textDirection w:val="lrTb"/>
            <w:noWrap w:val="false"/>
          </w:tcPr>
          <w:p>
            <w:pPr>
              <w:pStyle w:val="745"/>
              <w:jc w:val="center"/>
              <w:spacing w:line="240" w:lineRule="auto"/>
              <w:rPr>
                <w:sz w:val="24"/>
                <w:highlight w:val="none"/>
              </w:rPr>
            </w:pPr>
            <w:r>
              <w:rPr>
                <w:sz w:val="24"/>
                <w:highlight w:val="none"/>
              </w:rPr>
            </w:r>
            <w:r/>
          </w:p>
        </w:tc>
        <w:tc>
          <w:tcPr>
            <w:tcW w:w="811" w:type="dxa"/>
            <w:vAlign w:val="center"/>
            <w:textDirection w:val="lrTb"/>
            <w:noWrap w:val="false"/>
          </w:tcPr>
          <w:p>
            <w:pPr>
              <w:pStyle w:val="745"/>
              <w:jc w:val="center"/>
              <w:spacing w:line="240" w:lineRule="auto"/>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jc w:val="center"/>
              <w:rPr>
                <w:sz w:val="28"/>
                <w:highlight w:val="none"/>
              </w:rPr>
            </w:pPr>
            <w:r>
              <w:rPr>
                <w:sz w:val="28"/>
                <w:highlight w:val="none"/>
              </w:rPr>
            </w:r>
            <w:r/>
          </w:p>
        </w:tc>
      </w:tr>
      <w:tr>
        <w:trPr>
          <w:cantSplit/>
          <w:jc w:val="center"/>
          <w:trHeight w:val="454"/>
        </w:trPr>
        <w:tc>
          <w:tcPr>
            <w:tcW w:w="757" w:type="dxa"/>
            <w:vAlign w:val="center"/>
            <w:textDirection w:val="lrTb"/>
            <w:noWrap w:val="false"/>
          </w:tcPr>
          <w:p>
            <w:pPr>
              <w:jc w:val="center"/>
              <w:rPr>
                <w:sz w:val="24"/>
                <w:highlight w:val="none"/>
              </w:rPr>
            </w:pPr>
            <w:r>
              <w:rPr>
                <w:rFonts w:hint="eastAsia"/>
                <w:sz w:val="24"/>
                <w:highlight w:val="none"/>
              </w:rPr>
              <w:t xml:space="preserve">3</w:t>
            </w:r>
            <w:r/>
          </w:p>
        </w:tc>
        <w:tc>
          <w:tcPr>
            <w:tcW w:w="3463" w:type="dxa"/>
            <w:vAlign w:val="center"/>
            <w:textDirection w:val="lrTb"/>
            <w:noWrap w:val="false"/>
          </w:tcPr>
          <w:p>
            <w:pPr>
              <w:jc w:val="center"/>
              <w:rPr>
                <w:sz w:val="24"/>
                <w:highlight w:val="none"/>
              </w:rPr>
            </w:pPr>
            <w:r>
              <w:rPr>
                <w:sz w:val="24"/>
                <w:highlight w:val="none"/>
              </w:rPr>
            </w:r>
            <w:r/>
          </w:p>
        </w:tc>
        <w:tc>
          <w:tcPr>
            <w:tcW w:w="722" w:type="dxa"/>
            <w:vAlign w:val="center"/>
            <w:textDirection w:val="lrTb"/>
            <w:noWrap w:val="false"/>
          </w:tcPr>
          <w:p>
            <w:pPr>
              <w:pStyle w:val="745"/>
              <w:jc w:val="center"/>
              <w:spacing w:line="240" w:lineRule="auto"/>
              <w:rPr>
                <w:sz w:val="24"/>
                <w:highlight w:val="none"/>
              </w:rPr>
            </w:pPr>
            <w:r>
              <w:rPr>
                <w:sz w:val="24"/>
                <w:highlight w:val="none"/>
              </w:rPr>
            </w:r>
            <w:r/>
          </w:p>
        </w:tc>
        <w:tc>
          <w:tcPr>
            <w:tcW w:w="811" w:type="dxa"/>
            <w:vAlign w:val="center"/>
            <w:textDirection w:val="lrTb"/>
            <w:noWrap w:val="false"/>
          </w:tcPr>
          <w:p>
            <w:pPr>
              <w:pStyle w:val="745"/>
              <w:jc w:val="center"/>
              <w:spacing w:line="240" w:lineRule="auto"/>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pStyle w:val="745"/>
              <w:jc w:val="center"/>
              <w:rPr>
                <w:highlight w:val="none"/>
              </w:rPr>
            </w:pPr>
            <w:r>
              <w:rPr>
                <w:highlight w:val="none"/>
              </w:rPr>
            </w:r>
            <w:r/>
          </w:p>
        </w:tc>
      </w:tr>
      <w:tr>
        <w:trPr>
          <w:cantSplit/>
          <w:jc w:val="center"/>
          <w:trHeight w:val="454"/>
        </w:trPr>
        <w:tc>
          <w:tcPr>
            <w:tcW w:w="757" w:type="dxa"/>
            <w:vAlign w:val="center"/>
            <w:textDirection w:val="lrTb"/>
            <w:noWrap w:val="false"/>
          </w:tcPr>
          <w:p>
            <w:pPr>
              <w:jc w:val="center"/>
              <w:rPr>
                <w:sz w:val="24"/>
                <w:highlight w:val="none"/>
              </w:rPr>
            </w:pPr>
            <w:r>
              <w:rPr>
                <w:sz w:val="24"/>
                <w:highlight w:val="none"/>
              </w:rPr>
            </w:r>
            <w:r/>
          </w:p>
        </w:tc>
        <w:tc>
          <w:tcPr>
            <w:tcW w:w="3463" w:type="dxa"/>
            <w:vAlign w:val="center"/>
            <w:textDirection w:val="lrTb"/>
            <w:noWrap w:val="false"/>
          </w:tcPr>
          <w:p>
            <w:pPr>
              <w:jc w:val="center"/>
              <w:rPr>
                <w:color w:val="000000"/>
                <w:sz w:val="24"/>
                <w:szCs w:val="24"/>
                <w:highlight w:val="none"/>
              </w:rPr>
            </w:pPr>
            <w:r>
              <w:rPr>
                <w:color w:val="000000"/>
                <w:sz w:val="24"/>
                <w:szCs w:val="24"/>
                <w:highlight w:val="none"/>
              </w:rPr>
            </w:r>
            <w:r/>
          </w:p>
        </w:tc>
        <w:tc>
          <w:tcPr>
            <w:tcW w:w="722" w:type="dxa"/>
            <w:vAlign w:val="center"/>
            <w:textDirection w:val="lrTb"/>
            <w:noWrap w:val="false"/>
          </w:tcPr>
          <w:p>
            <w:pPr>
              <w:pStyle w:val="745"/>
              <w:jc w:val="center"/>
              <w:spacing w:line="240" w:lineRule="auto"/>
              <w:rPr>
                <w:sz w:val="24"/>
                <w:highlight w:val="none"/>
              </w:rPr>
            </w:pPr>
            <w:r>
              <w:rPr>
                <w:sz w:val="24"/>
                <w:highlight w:val="none"/>
              </w:rPr>
            </w:r>
            <w:r/>
          </w:p>
        </w:tc>
        <w:tc>
          <w:tcPr>
            <w:tcW w:w="811" w:type="dxa"/>
            <w:vAlign w:val="center"/>
            <w:textDirection w:val="lrTb"/>
            <w:noWrap w:val="false"/>
          </w:tcPr>
          <w:p>
            <w:pPr>
              <w:pStyle w:val="745"/>
              <w:jc w:val="center"/>
              <w:spacing w:line="240" w:lineRule="auto"/>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pStyle w:val="745"/>
              <w:jc w:val="center"/>
              <w:rPr>
                <w:highlight w:val="none"/>
              </w:rPr>
            </w:pPr>
            <w:r>
              <w:rPr>
                <w:highlight w:val="none"/>
              </w:rPr>
            </w:r>
            <w:r/>
          </w:p>
        </w:tc>
      </w:tr>
      <w:tr>
        <w:trPr>
          <w:cantSplit/>
          <w:jc w:val="center"/>
          <w:trHeight w:val="454"/>
        </w:trPr>
        <w:tc>
          <w:tcPr>
            <w:tcW w:w="757" w:type="dxa"/>
            <w:vAlign w:val="center"/>
            <w:textDirection w:val="lrTb"/>
            <w:noWrap w:val="false"/>
          </w:tcPr>
          <w:p>
            <w:pPr>
              <w:jc w:val="center"/>
              <w:rPr>
                <w:sz w:val="24"/>
                <w:highlight w:val="none"/>
              </w:rPr>
            </w:pPr>
            <w:r>
              <w:rPr>
                <w:sz w:val="24"/>
                <w:highlight w:val="none"/>
              </w:rPr>
            </w:r>
            <w:r/>
          </w:p>
        </w:tc>
        <w:tc>
          <w:tcPr>
            <w:tcW w:w="3463" w:type="dxa"/>
            <w:vAlign w:val="center"/>
            <w:textDirection w:val="lrTb"/>
            <w:noWrap w:val="false"/>
          </w:tcPr>
          <w:p>
            <w:pPr>
              <w:jc w:val="center"/>
              <w:rPr>
                <w:sz w:val="24"/>
                <w:highlight w:val="none"/>
              </w:rPr>
            </w:pPr>
            <w:r>
              <w:rPr>
                <w:sz w:val="24"/>
                <w:highlight w:val="none"/>
              </w:rPr>
            </w:r>
            <w:r/>
          </w:p>
        </w:tc>
        <w:tc>
          <w:tcPr>
            <w:tcW w:w="722" w:type="dxa"/>
            <w:vAlign w:val="center"/>
            <w:textDirection w:val="lrTb"/>
            <w:noWrap w:val="false"/>
          </w:tcPr>
          <w:p>
            <w:pPr>
              <w:pStyle w:val="745"/>
              <w:jc w:val="center"/>
              <w:spacing w:line="240" w:lineRule="auto"/>
              <w:rPr>
                <w:sz w:val="24"/>
                <w:highlight w:val="none"/>
              </w:rPr>
            </w:pPr>
            <w:r>
              <w:rPr>
                <w:sz w:val="24"/>
                <w:highlight w:val="none"/>
              </w:rPr>
            </w:r>
            <w:r/>
          </w:p>
        </w:tc>
        <w:tc>
          <w:tcPr>
            <w:tcW w:w="811" w:type="dxa"/>
            <w:vAlign w:val="center"/>
            <w:textDirection w:val="lrTb"/>
            <w:noWrap w:val="false"/>
          </w:tcPr>
          <w:p>
            <w:pPr>
              <w:pStyle w:val="745"/>
              <w:jc w:val="center"/>
              <w:spacing w:line="240" w:lineRule="auto"/>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jc w:val="center"/>
              <w:rPr>
                <w:sz w:val="28"/>
                <w:highlight w:val="none"/>
              </w:rPr>
            </w:pPr>
            <w:r>
              <w:rPr>
                <w:sz w:val="28"/>
                <w:highlight w:val="none"/>
              </w:rPr>
            </w:r>
            <w:r/>
          </w:p>
        </w:tc>
      </w:tr>
      <w:tr>
        <w:trPr>
          <w:cantSplit/>
          <w:jc w:val="center"/>
          <w:trHeight w:val="454"/>
        </w:trPr>
        <w:tc>
          <w:tcPr>
            <w:tcW w:w="757" w:type="dxa"/>
            <w:vAlign w:val="center"/>
            <w:textDirection w:val="lrTb"/>
            <w:noWrap w:val="false"/>
          </w:tcPr>
          <w:p>
            <w:pPr>
              <w:jc w:val="center"/>
              <w:rPr>
                <w:sz w:val="24"/>
                <w:highlight w:val="none"/>
              </w:rPr>
            </w:pPr>
            <w:r>
              <w:rPr>
                <w:sz w:val="24"/>
                <w:highlight w:val="none"/>
              </w:rPr>
            </w:r>
            <w:r/>
          </w:p>
        </w:tc>
        <w:tc>
          <w:tcPr>
            <w:tcW w:w="3463" w:type="dxa"/>
            <w:vAlign w:val="center"/>
            <w:textDirection w:val="lrTb"/>
            <w:noWrap w:val="false"/>
          </w:tcPr>
          <w:p>
            <w:pPr>
              <w:jc w:val="center"/>
              <w:rPr>
                <w:sz w:val="24"/>
                <w:highlight w:val="none"/>
              </w:rPr>
            </w:pPr>
            <w:r>
              <w:rPr>
                <w:sz w:val="24"/>
                <w:highlight w:val="none"/>
              </w:rPr>
            </w:r>
            <w:r/>
          </w:p>
        </w:tc>
        <w:tc>
          <w:tcPr>
            <w:tcW w:w="722" w:type="dxa"/>
            <w:vAlign w:val="center"/>
            <w:textDirection w:val="lrTb"/>
            <w:noWrap w:val="false"/>
          </w:tcPr>
          <w:p>
            <w:pPr>
              <w:pStyle w:val="745"/>
              <w:jc w:val="center"/>
              <w:spacing w:line="240" w:lineRule="auto"/>
              <w:rPr>
                <w:sz w:val="24"/>
                <w:highlight w:val="none"/>
              </w:rPr>
            </w:pPr>
            <w:r>
              <w:rPr>
                <w:sz w:val="24"/>
                <w:highlight w:val="none"/>
              </w:rPr>
            </w:r>
            <w:r/>
          </w:p>
        </w:tc>
        <w:tc>
          <w:tcPr>
            <w:tcW w:w="811" w:type="dxa"/>
            <w:vAlign w:val="center"/>
            <w:textDirection w:val="lrTb"/>
            <w:noWrap w:val="false"/>
          </w:tcPr>
          <w:p>
            <w:pPr>
              <w:pStyle w:val="745"/>
              <w:jc w:val="center"/>
              <w:spacing w:line="240" w:lineRule="auto"/>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jc w:val="center"/>
              <w:rPr>
                <w:sz w:val="28"/>
                <w:highlight w:val="none"/>
              </w:rPr>
            </w:pPr>
            <w:r>
              <w:rPr>
                <w:sz w:val="28"/>
                <w:highlight w:val="none"/>
              </w:rPr>
            </w:r>
            <w:r/>
          </w:p>
        </w:tc>
      </w:tr>
      <w:tr>
        <w:trPr>
          <w:cantSplit/>
          <w:jc w:val="center"/>
          <w:trHeight w:val="454"/>
        </w:trPr>
        <w:tc>
          <w:tcPr>
            <w:tcW w:w="757" w:type="dxa"/>
            <w:vAlign w:val="center"/>
            <w:textDirection w:val="lrTb"/>
            <w:noWrap w:val="false"/>
          </w:tcPr>
          <w:p>
            <w:pPr>
              <w:jc w:val="center"/>
              <w:rPr>
                <w:sz w:val="24"/>
                <w:highlight w:val="none"/>
              </w:rPr>
            </w:pPr>
            <w:r>
              <w:rPr>
                <w:sz w:val="24"/>
                <w:highlight w:val="none"/>
              </w:rPr>
            </w:r>
            <w:r/>
          </w:p>
        </w:tc>
        <w:tc>
          <w:tcPr>
            <w:tcW w:w="3463" w:type="dxa"/>
            <w:vAlign w:val="center"/>
            <w:textDirection w:val="lrTb"/>
            <w:noWrap w:val="false"/>
          </w:tcPr>
          <w:p>
            <w:pPr>
              <w:jc w:val="center"/>
              <w:rPr>
                <w:sz w:val="24"/>
                <w:highlight w:val="none"/>
              </w:rPr>
            </w:pPr>
            <w:r>
              <w:rPr>
                <w:sz w:val="24"/>
                <w:highlight w:val="none"/>
              </w:rPr>
            </w:r>
            <w:r/>
          </w:p>
        </w:tc>
        <w:tc>
          <w:tcPr>
            <w:tcW w:w="722" w:type="dxa"/>
            <w:vAlign w:val="center"/>
            <w:textDirection w:val="lrTb"/>
            <w:noWrap w:val="false"/>
          </w:tcPr>
          <w:p>
            <w:pPr>
              <w:pStyle w:val="745"/>
              <w:jc w:val="center"/>
              <w:spacing w:line="240" w:lineRule="auto"/>
              <w:rPr>
                <w:sz w:val="24"/>
                <w:highlight w:val="none"/>
              </w:rPr>
            </w:pPr>
            <w:r>
              <w:rPr>
                <w:sz w:val="24"/>
                <w:highlight w:val="none"/>
              </w:rPr>
            </w:r>
            <w:r/>
          </w:p>
        </w:tc>
        <w:tc>
          <w:tcPr>
            <w:tcW w:w="811" w:type="dxa"/>
            <w:vAlign w:val="center"/>
            <w:textDirection w:val="lrTb"/>
            <w:noWrap w:val="false"/>
          </w:tcPr>
          <w:p>
            <w:pPr>
              <w:pStyle w:val="745"/>
              <w:jc w:val="center"/>
              <w:spacing w:line="240" w:lineRule="auto"/>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pStyle w:val="759"/>
              <w:jc w:val="center"/>
              <w:rPr>
                <w:sz w:val="28"/>
                <w:highlight w:val="none"/>
              </w:rPr>
            </w:pPr>
            <w:r>
              <w:rPr>
                <w:sz w:val="28"/>
                <w:highlight w:val="none"/>
              </w:rPr>
            </w:r>
            <w:r/>
          </w:p>
        </w:tc>
      </w:tr>
      <w:tr>
        <w:trPr>
          <w:cantSplit/>
          <w:jc w:val="center"/>
          <w:trHeight w:val="454"/>
        </w:trPr>
        <w:tc>
          <w:tcPr>
            <w:tcW w:w="757" w:type="dxa"/>
            <w:vAlign w:val="center"/>
            <w:textDirection w:val="lrTb"/>
            <w:noWrap w:val="false"/>
          </w:tcPr>
          <w:p>
            <w:pPr>
              <w:pStyle w:val="748"/>
              <w:spacing w:after="0" w:line="240" w:lineRule="auto"/>
              <w:rPr>
                <w:highlight w:val="none"/>
              </w:rPr>
            </w:pPr>
            <w:r>
              <w:rPr>
                <w:highlight w:val="none"/>
              </w:rPr>
            </w:r>
            <w:r/>
          </w:p>
        </w:tc>
        <w:tc>
          <w:tcPr>
            <w:tcW w:w="3463" w:type="dxa"/>
            <w:vAlign w:val="center"/>
            <w:textDirection w:val="lrTb"/>
            <w:noWrap w:val="false"/>
          </w:tcPr>
          <w:p>
            <w:pPr>
              <w:rPr>
                <w:sz w:val="24"/>
                <w:highlight w:val="none"/>
              </w:rPr>
            </w:pPr>
            <w:r>
              <w:rPr>
                <w:sz w:val="24"/>
                <w:highlight w:val="none"/>
              </w:rPr>
            </w:r>
            <w:r/>
          </w:p>
        </w:tc>
        <w:tc>
          <w:tcPr>
            <w:tcW w:w="722" w:type="dxa"/>
            <w:vAlign w:val="center"/>
            <w:textDirection w:val="lrTb"/>
            <w:noWrap w:val="false"/>
          </w:tcPr>
          <w:p>
            <w:pPr>
              <w:rPr>
                <w:sz w:val="24"/>
                <w:highlight w:val="none"/>
              </w:rPr>
            </w:pPr>
            <w:r>
              <w:rPr>
                <w:sz w:val="24"/>
                <w:highlight w:val="none"/>
              </w:rPr>
            </w:r>
            <w:r/>
          </w:p>
        </w:tc>
        <w:tc>
          <w:tcPr>
            <w:tcW w:w="811" w:type="dxa"/>
            <w:vAlign w:val="center"/>
            <w:textDirection w:val="lrTb"/>
            <w:noWrap w:val="false"/>
          </w:tcPr>
          <w:p>
            <w:pPr>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rPr>
                <w:sz w:val="28"/>
                <w:highlight w:val="none"/>
              </w:rPr>
            </w:pPr>
            <w:r>
              <w:rPr>
                <w:sz w:val="28"/>
                <w:highlight w:val="none"/>
              </w:rPr>
            </w:r>
            <w:r/>
          </w:p>
        </w:tc>
      </w:tr>
      <w:tr>
        <w:trPr>
          <w:cantSplit/>
          <w:jc w:val="center"/>
          <w:trHeight w:val="454"/>
        </w:trPr>
        <w:tc>
          <w:tcPr>
            <w:tcW w:w="757" w:type="dxa"/>
            <w:vAlign w:val="center"/>
            <w:textDirection w:val="lrTb"/>
            <w:noWrap w:val="false"/>
          </w:tcPr>
          <w:p>
            <w:pPr>
              <w:jc w:val="center"/>
              <w:rPr>
                <w:sz w:val="24"/>
                <w:highlight w:val="none"/>
              </w:rPr>
            </w:pPr>
            <w:r>
              <w:rPr>
                <w:sz w:val="24"/>
                <w:highlight w:val="none"/>
              </w:rPr>
            </w:r>
            <w:r/>
          </w:p>
        </w:tc>
        <w:tc>
          <w:tcPr>
            <w:tcW w:w="3463" w:type="dxa"/>
            <w:vAlign w:val="center"/>
            <w:textDirection w:val="lrTb"/>
            <w:noWrap w:val="false"/>
          </w:tcPr>
          <w:p>
            <w:pPr>
              <w:rPr>
                <w:sz w:val="24"/>
                <w:highlight w:val="none"/>
              </w:rPr>
            </w:pPr>
            <w:r>
              <w:rPr>
                <w:sz w:val="24"/>
                <w:highlight w:val="none"/>
              </w:rPr>
            </w:r>
            <w:r/>
          </w:p>
        </w:tc>
        <w:tc>
          <w:tcPr>
            <w:tcW w:w="722" w:type="dxa"/>
            <w:vAlign w:val="center"/>
            <w:textDirection w:val="lrTb"/>
            <w:noWrap w:val="false"/>
          </w:tcPr>
          <w:p>
            <w:pPr>
              <w:rPr>
                <w:sz w:val="24"/>
                <w:highlight w:val="none"/>
              </w:rPr>
            </w:pPr>
            <w:r>
              <w:rPr>
                <w:sz w:val="24"/>
                <w:highlight w:val="none"/>
              </w:rPr>
            </w:r>
            <w:r/>
          </w:p>
        </w:tc>
        <w:tc>
          <w:tcPr>
            <w:tcW w:w="811" w:type="dxa"/>
            <w:vAlign w:val="center"/>
            <w:textDirection w:val="lrTb"/>
            <w:noWrap w:val="false"/>
          </w:tcPr>
          <w:p>
            <w:pPr>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rPr>
                <w:sz w:val="28"/>
                <w:highlight w:val="none"/>
              </w:rPr>
            </w:pPr>
            <w:r>
              <w:rPr>
                <w:sz w:val="28"/>
                <w:highlight w:val="none"/>
              </w:rPr>
            </w:r>
            <w:r/>
          </w:p>
        </w:tc>
      </w:tr>
      <w:tr>
        <w:trPr>
          <w:cantSplit/>
          <w:jc w:val="center"/>
          <w:trHeight w:val="454"/>
        </w:trPr>
        <w:tc>
          <w:tcPr>
            <w:tcW w:w="757" w:type="dxa"/>
            <w:vAlign w:val="center"/>
            <w:textDirection w:val="lrTb"/>
            <w:noWrap w:val="false"/>
          </w:tcPr>
          <w:p>
            <w:pPr>
              <w:jc w:val="center"/>
              <w:rPr>
                <w:sz w:val="24"/>
                <w:highlight w:val="none"/>
              </w:rPr>
            </w:pPr>
            <w:r>
              <w:rPr>
                <w:sz w:val="24"/>
                <w:highlight w:val="none"/>
              </w:rPr>
            </w:r>
            <w:r/>
          </w:p>
        </w:tc>
        <w:tc>
          <w:tcPr>
            <w:tcW w:w="3463" w:type="dxa"/>
            <w:vAlign w:val="center"/>
            <w:textDirection w:val="lrTb"/>
            <w:noWrap w:val="false"/>
          </w:tcPr>
          <w:p>
            <w:pPr>
              <w:rPr>
                <w:sz w:val="24"/>
                <w:highlight w:val="none"/>
              </w:rPr>
            </w:pPr>
            <w:r>
              <w:rPr>
                <w:sz w:val="24"/>
                <w:highlight w:val="none"/>
              </w:rPr>
            </w:r>
            <w:r/>
          </w:p>
        </w:tc>
        <w:tc>
          <w:tcPr>
            <w:tcW w:w="722" w:type="dxa"/>
            <w:vAlign w:val="center"/>
            <w:textDirection w:val="lrTb"/>
            <w:noWrap w:val="false"/>
          </w:tcPr>
          <w:p>
            <w:pPr>
              <w:rPr>
                <w:sz w:val="24"/>
                <w:highlight w:val="none"/>
              </w:rPr>
            </w:pPr>
            <w:r>
              <w:rPr>
                <w:sz w:val="24"/>
                <w:highlight w:val="none"/>
              </w:rPr>
            </w:r>
            <w:r/>
          </w:p>
        </w:tc>
        <w:tc>
          <w:tcPr>
            <w:tcW w:w="811" w:type="dxa"/>
            <w:vAlign w:val="center"/>
            <w:textDirection w:val="lrTb"/>
            <w:noWrap w:val="false"/>
          </w:tcPr>
          <w:p>
            <w:pPr>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rPr>
                <w:sz w:val="28"/>
                <w:highlight w:val="none"/>
              </w:rPr>
            </w:pPr>
            <w:r>
              <w:rPr>
                <w:sz w:val="28"/>
                <w:highlight w:val="none"/>
              </w:rPr>
            </w:r>
            <w:r/>
          </w:p>
        </w:tc>
      </w:tr>
      <w:tr>
        <w:trPr>
          <w:cantSplit/>
          <w:jc w:val="center"/>
          <w:trHeight w:val="454"/>
        </w:trPr>
        <w:tc>
          <w:tcPr>
            <w:tcW w:w="757" w:type="dxa"/>
            <w:vAlign w:val="center"/>
            <w:textDirection w:val="lrTb"/>
            <w:noWrap w:val="false"/>
          </w:tcPr>
          <w:p>
            <w:pPr>
              <w:jc w:val="center"/>
              <w:rPr>
                <w:sz w:val="24"/>
                <w:highlight w:val="none"/>
              </w:rPr>
            </w:pPr>
            <w:r>
              <w:rPr>
                <w:sz w:val="24"/>
                <w:highlight w:val="none"/>
              </w:rPr>
            </w:r>
            <w:r/>
          </w:p>
        </w:tc>
        <w:tc>
          <w:tcPr>
            <w:tcW w:w="3463" w:type="dxa"/>
            <w:vAlign w:val="center"/>
            <w:textDirection w:val="lrTb"/>
            <w:noWrap w:val="false"/>
          </w:tcPr>
          <w:p>
            <w:pPr>
              <w:rPr>
                <w:sz w:val="24"/>
                <w:highlight w:val="none"/>
              </w:rPr>
            </w:pPr>
            <w:r>
              <w:rPr>
                <w:sz w:val="24"/>
                <w:highlight w:val="none"/>
              </w:rPr>
            </w:r>
            <w:r/>
          </w:p>
        </w:tc>
        <w:tc>
          <w:tcPr>
            <w:tcW w:w="722" w:type="dxa"/>
            <w:vAlign w:val="center"/>
            <w:textDirection w:val="lrTb"/>
            <w:noWrap w:val="false"/>
          </w:tcPr>
          <w:p>
            <w:pPr>
              <w:rPr>
                <w:sz w:val="24"/>
                <w:highlight w:val="none"/>
              </w:rPr>
            </w:pPr>
            <w:r>
              <w:rPr>
                <w:sz w:val="24"/>
                <w:highlight w:val="none"/>
              </w:rPr>
            </w:r>
            <w:r/>
          </w:p>
        </w:tc>
        <w:tc>
          <w:tcPr>
            <w:tcW w:w="811" w:type="dxa"/>
            <w:vAlign w:val="center"/>
            <w:textDirection w:val="lrTb"/>
            <w:noWrap w:val="false"/>
          </w:tcPr>
          <w:p>
            <w:pPr>
              <w:rPr>
                <w:sz w:val="24"/>
                <w:highlight w:val="none"/>
              </w:rPr>
            </w:pPr>
            <w:r>
              <w:rPr>
                <w:sz w:val="24"/>
                <w:highlight w:val="none"/>
              </w:rPr>
            </w:r>
            <w:r/>
          </w:p>
        </w:tc>
        <w:tc>
          <w:tcPr>
            <w:tcW w:w="1248" w:type="dxa"/>
            <w:vAlign w:val="center"/>
            <w:textDirection w:val="lrTb"/>
            <w:noWrap w:val="false"/>
          </w:tcPr>
          <w:p>
            <w:pPr>
              <w:rPr>
                <w:sz w:val="24"/>
                <w:highlight w:val="none"/>
              </w:rPr>
            </w:pPr>
            <w:r>
              <w:rPr>
                <w:sz w:val="24"/>
                <w:highlight w:val="none"/>
              </w:rPr>
            </w:r>
            <w:r/>
          </w:p>
        </w:tc>
        <w:tc>
          <w:tcPr>
            <w:tcW w:w="1878" w:type="dxa"/>
            <w:vAlign w:val="center"/>
            <w:textDirection w:val="lrTb"/>
            <w:noWrap w:val="false"/>
          </w:tcPr>
          <w:p>
            <w:pPr>
              <w:rPr>
                <w:sz w:val="24"/>
                <w:highlight w:val="none"/>
              </w:rPr>
            </w:pPr>
            <w:r>
              <w:rPr>
                <w:sz w:val="24"/>
                <w:highlight w:val="none"/>
              </w:rPr>
            </w:r>
            <w:r/>
          </w:p>
        </w:tc>
        <w:tc>
          <w:tcPr>
            <w:tcW w:w="960" w:type="dxa"/>
            <w:vAlign w:val="center"/>
            <w:textDirection w:val="lrTb"/>
            <w:noWrap w:val="false"/>
          </w:tcPr>
          <w:p>
            <w:pPr>
              <w:rPr>
                <w:sz w:val="28"/>
                <w:highlight w:val="none"/>
              </w:rPr>
            </w:pPr>
            <w:r>
              <w:rPr>
                <w:sz w:val="28"/>
                <w:highlight w:val="none"/>
              </w:rPr>
            </w:r>
            <w:r/>
          </w:p>
        </w:tc>
      </w:tr>
      <w:tr>
        <w:trPr>
          <w:cantSplit/>
          <w:jc w:val="center"/>
          <w:trHeight w:val="454"/>
        </w:trPr>
        <w:tc>
          <w:tcPr>
            <w:tcW w:w="757" w:type="dxa"/>
            <w:vAlign w:val="center"/>
            <w:textDirection w:val="lrTb"/>
            <w:noWrap w:val="false"/>
          </w:tcPr>
          <w:p>
            <w:pPr>
              <w:jc w:val="center"/>
              <w:rPr>
                <w:sz w:val="24"/>
                <w:highlight w:val="none"/>
              </w:rPr>
            </w:pPr>
            <w:r>
              <w:rPr>
                <w:sz w:val="24"/>
                <w:highlight w:val="none"/>
              </w:rPr>
            </w:r>
            <w:r/>
          </w:p>
        </w:tc>
        <w:tc>
          <w:tcPr>
            <w:tcW w:w="3463" w:type="dxa"/>
            <w:vAlign w:val="center"/>
            <w:textDirection w:val="lrTb"/>
            <w:noWrap w:val="false"/>
          </w:tcPr>
          <w:p>
            <w:pPr>
              <w:rPr>
                <w:sz w:val="24"/>
                <w:highlight w:val="none"/>
              </w:rPr>
            </w:pPr>
            <w:r>
              <w:rPr>
                <w:sz w:val="24"/>
                <w:highlight w:val="none"/>
              </w:rPr>
            </w:r>
            <w:r/>
          </w:p>
        </w:tc>
        <w:tc>
          <w:tcPr>
            <w:tcW w:w="722"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811"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1248"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1878"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960" w:type="dxa"/>
            <w:vAlign w:val="center"/>
            <w:textDirection w:val="lrTb"/>
            <w:noWrap w:val="false"/>
          </w:tcPr>
          <w:p>
            <w:pPr>
              <w:pStyle w:val="759"/>
              <w:rPr>
                <w:rFonts w:ascii="Times New Roman" w:hAnsi="Times New Roman"/>
                <w:highlight w:val="none"/>
              </w:rPr>
            </w:pPr>
            <w:r>
              <w:rPr>
                <w:rFonts w:ascii="Times New Roman" w:hAnsi="Times New Roman"/>
                <w:highlight w:val="none"/>
              </w:rPr>
            </w:r>
            <w:r/>
          </w:p>
        </w:tc>
      </w:tr>
      <w:tr>
        <w:trPr>
          <w:cantSplit/>
          <w:jc w:val="center"/>
          <w:trHeight w:val="454"/>
        </w:trPr>
        <w:tc>
          <w:tcPr>
            <w:tcW w:w="757" w:type="dxa"/>
            <w:vAlign w:val="center"/>
            <w:textDirection w:val="lrTb"/>
            <w:noWrap w:val="false"/>
          </w:tcPr>
          <w:p>
            <w:pPr>
              <w:jc w:val="center"/>
              <w:rPr>
                <w:sz w:val="24"/>
                <w:highlight w:val="none"/>
              </w:rPr>
            </w:pPr>
            <w:r>
              <w:rPr>
                <w:sz w:val="24"/>
                <w:highlight w:val="none"/>
              </w:rPr>
            </w:r>
            <w:r/>
          </w:p>
        </w:tc>
        <w:tc>
          <w:tcPr>
            <w:tcW w:w="3463" w:type="dxa"/>
            <w:vAlign w:val="center"/>
            <w:textDirection w:val="lrTb"/>
            <w:noWrap w:val="false"/>
          </w:tcPr>
          <w:p>
            <w:pPr>
              <w:jc w:val="center"/>
              <w:rPr>
                <w:rFonts w:hint="eastAsia"/>
                <w:sz w:val="24"/>
                <w:highlight w:val="none"/>
              </w:rPr>
            </w:pPr>
            <w:r>
              <w:rPr>
                <w:rFonts w:hint="eastAsia"/>
                <w:sz w:val="24"/>
                <w:highlight w:val="none"/>
              </w:rPr>
              <w:t xml:space="preserve">……</w:t>
            </w:r>
            <w:r/>
          </w:p>
        </w:tc>
        <w:tc>
          <w:tcPr>
            <w:tcW w:w="722" w:type="dxa"/>
            <w:vAlign w:val="center"/>
            <w:textDirection w:val="lrTb"/>
            <w:noWrap w:val="false"/>
          </w:tcPr>
          <w:p>
            <w:pPr>
              <w:pStyle w:val="759"/>
              <w:jc w:val="center"/>
              <w:rPr>
                <w:rFonts w:ascii="Times New Roman" w:hAnsi="Times New Roman"/>
                <w:szCs w:val="24"/>
                <w:highlight w:val="none"/>
              </w:rPr>
            </w:pPr>
            <w:r>
              <w:rPr>
                <w:rFonts w:ascii="Times New Roman" w:hAnsi="Times New Roman"/>
                <w:szCs w:val="24"/>
                <w:highlight w:val="none"/>
              </w:rPr>
            </w:r>
            <w:r/>
          </w:p>
        </w:tc>
        <w:tc>
          <w:tcPr>
            <w:tcW w:w="811" w:type="dxa"/>
            <w:vAlign w:val="center"/>
            <w:textDirection w:val="lrTb"/>
            <w:noWrap w:val="false"/>
          </w:tcPr>
          <w:p>
            <w:pPr>
              <w:pStyle w:val="759"/>
              <w:jc w:val="center"/>
              <w:rPr>
                <w:rFonts w:ascii="Times New Roman" w:hAnsi="Times New Roman"/>
                <w:szCs w:val="24"/>
                <w:highlight w:val="none"/>
              </w:rPr>
            </w:pPr>
            <w:r>
              <w:rPr>
                <w:rFonts w:ascii="Times New Roman" w:hAnsi="Times New Roman"/>
                <w:szCs w:val="24"/>
                <w:highlight w:val="none"/>
              </w:rPr>
            </w:r>
            <w:r/>
          </w:p>
        </w:tc>
        <w:tc>
          <w:tcPr>
            <w:tcW w:w="1248" w:type="dxa"/>
            <w:vAlign w:val="center"/>
            <w:textDirection w:val="lrTb"/>
            <w:noWrap w:val="false"/>
          </w:tcPr>
          <w:p>
            <w:pPr>
              <w:pStyle w:val="759"/>
              <w:jc w:val="center"/>
              <w:rPr>
                <w:rFonts w:ascii="Times New Roman" w:hAnsi="Times New Roman"/>
                <w:szCs w:val="24"/>
                <w:highlight w:val="none"/>
              </w:rPr>
            </w:pPr>
            <w:r>
              <w:rPr>
                <w:rFonts w:ascii="Times New Roman" w:hAnsi="Times New Roman"/>
                <w:szCs w:val="24"/>
                <w:highlight w:val="none"/>
              </w:rPr>
            </w:r>
            <w:r/>
          </w:p>
        </w:tc>
        <w:tc>
          <w:tcPr>
            <w:tcW w:w="1878"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960" w:type="dxa"/>
            <w:vAlign w:val="center"/>
            <w:textDirection w:val="lrTb"/>
            <w:noWrap w:val="false"/>
          </w:tcPr>
          <w:p>
            <w:pPr>
              <w:pStyle w:val="759"/>
              <w:rPr>
                <w:rFonts w:ascii="Times New Roman" w:hAnsi="Times New Roman"/>
                <w:highlight w:val="none"/>
              </w:rPr>
            </w:pPr>
            <w:r>
              <w:rPr>
                <w:rFonts w:ascii="Times New Roman" w:hAnsi="Times New Roman"/>
                <w:highlight w:val="none"/>
              </w:rPr>
            </w:r>
            <w:r/>
          </w:p>
        </w:tc>
      </w:tr>
      <w:tr>
        <w:trPr>
          <w:cantSplit/>
          <w:jc w:val="center"/>
          <w:trHeight w:val="517"/>
        </w:trPr>
        <w:tc>
          <w:tcPr>
            <w:gridSpan w:val="3"/>
            <w:tcW w:w="4942" w:type="dxa"/>
            <w:vAlign w:val="center"/>
            <w:textDirection w:val="lrTb"/>
            <w:noWrap w:val="false"/>
          </w:tcPr>
          <w:p>
            <w:pPr>
              <w:pStyle w:val="759"/>
              <w:jc w:val="center"/>
              <w:rPr>
                <w:rFonts w:ascii="Times New Roman" w:hAnsi="Times New Roman"/>
                <w:szCs w:val="24"/>
                <w:highlight w:val="none"/>
              </w:rPr>
            </w:pPr>
            <w:r>
              <w:rPr>
                <w:rFonts w:ascii="Times New Roman" w:hAnsi="Times New Roman"/>
                <w:b/>
                <w:bCs/>
                <w:szCs w:val="24"/>
                <w:highlight w:val="none"/>
              </w:rPr>
              <w:t xml:space="preserve">合计费用（元）</w:t>
            </w:r>
            <w:r/>
          </w:p>
        </w:tc>
        <w:tc>
          <w:tcPr>
            <w:gridSpan w:val="4"/>
            <w:tcW w:w="4897" w:type="dxa"/>
            <w:vAlign w:val="center"/>
            <w:textDirection w:val="lrTb"/>
            <w:noWrap w:val="false"/>
          </w:tcPr>
          <w:p>
            <w:pPr>
              <w:pStyle w:val="759"/>
              <w:rPr>
                <w:rFonts w:ascii="Times New Roman" w:hAnsi="Times New Roman"/>
                <w:highlight w:val="none"/>
              </w:rPr>
            </w:pPr>
            <w:r>
              <w:rPr>
                <w:rFonts w:ascii="Times New Roman" w:hAnsi="Times New Roman"/>
                <w:highlight w:val="none"/>
              </w:rPr>
            </w:r>
            <w:r/>
          </w:p>
        </w:tc>
      </w:tr>
    </w:tbl>
    <w:p>
      <w:pPr>
        <w:spacing w:line="460" w:lineRule="exact"/>
        <w:rPr>
          <w:bCs/>
          <w:sz w:val="24"/>
          <w:highlight w:val="none"/>
        </w:rPr>
      </w:pPr>
      <w:r>
        <w:rPr>
          <w:bCs/>
          <w:sz w:val="24"/>
          <w:highlight w:val="none"/>
        </w:rPr>
        <w:t xml:space="preserve">注：1、投标人应将本项目所投入的有关</w:t>
      </w:r>
      <w:r>
        <w:rPr>
          <w:color w:val="000000"/>
          <w:sz w:val="24"/>
          <w:szCs w:val="24"/>
          <w:highlight w:val="none"/>
        </w:rPr>
        <w:t xml:space="preserve">费用</w:t>
      </w:r>
      <w:r>
        <w:rPr>
          <w:bCs/>
          <w:sz w:val="24"/>
          <w:highlight w:val="none"/>
        </w:rPr>
        <w:t xml:space="preserve">情况分类别依次填报在上述表格中。</w:t>
      </w:r>
      <w:r/>
    </w:p>
    <w:p>
      <w:pPr>
        <w:numPr>
          <w:ilvl w:val="0"/>
          <w:numId w:val="0"/>
        </w:numPr>
        <w:ind w:firstLine="482"/>
        <w:spacing w:line="500" w:lineRule="exact"/>
        <w:rPr>
          <w:b/>
          <w:sz w:val="24"/>
          <w:szCs w:val="24"/>
          <w:highlight w:val="none"/>
        </w:rPr>
      </w:pPr>
      <w:r>
        <w:rPr>
          <w:rFonts w:asciiTheme="minorHAnsi" w:hAnsiTheme="minorHAnsi" w:eastAsiaTheme="minorEastAsia" w:cstheme="minorBidi"/>
          <w:b/>
          <w:sz w:val="24"/>
          <w:szCs w:val="24"/>
          <w:lang w:val="en-US" w:eastAsia="zh-CN" w:bidi="ar-SA"/>
        </w:rPr>
        <w:t xml:space="preserve">2、</w:t>
      </w:r>
      <w:r>
        <w:rPr>
          <w:b/>
          <w:sz w:val="24"/>
          <w:szCs w:val="24"/>
          <w:highlight w:val="none"/>
        </w:rPr>
        <w:t xml:space="preserve">表</w:t>
      </w:r>
      <w:r>
        <w:rPr>
          <w:rFonts w:hint="eastAsia" w:ascii="宋体" w:hAnsi="宋体" w:cs="宋体"/>
          <w:b/>
          <w:sz w:val="24"/>
          <w:szCs w:val="24"/>
          <w:highlight w:val="none"/>
        </w:rPr>
        <w:t xml:space="preserve">中“合计费用”应与“开标一览表”中“</w:t>
      </w:r>
      <w:r>
        <w:rPr>
          <w:rFonts w:hint="eastAsia" w:ascii="宋体" w:hAnsi="宋体"/>
          <w:b/>
          <w:bCs/>
          <w:sz w:val="24"/>
          <w:szCs w:val="24"/>
          <w:highlight w:val="none"/>
        </w:rPr>
        <w:t xml:space="preserve">投标总报价</w:t>
      </w:r>
      <w:r>
        <w:rPr>
          <w:rFonts w:ascii="宋体" w:hAnsi="宋体" w:cs="宋体"/>
          <w:b/>
          <w:sz w:val="24"/>
          <w:szCs w:val="22"/>
          <w:highlight w:val="none"/>
        </w:rPr>
        <w:t xml:space="preserve">（</w:t>
      </w:r>
      <w:r>
        <w:rPr>
          <w:rFonts w:hint="eastAsia" w:ascii="宋体" w:hAnsi="宋体" w:cs="宋体"/>
          <w:b/>
          <w:sz w:val="24"/>
          <w:szCs w:val="22"/>
          <w:highlight w:val="none"/>
        </w:rPr>
        <w:t xml:space="preserve">二</w:t>
      </w:r>
      <w:r>
        <w:rPr>
          <w:rFonts w:ascii="宋体" w:hAnsi="宋体" w:cs="宋体"/>
          <w:b/>
          <w:sz w:val="24"/>
          <w:szCs w:val="22"/>
          <w:highlight w:val="none"/>
        </w:rPr>
        <w:t xml:space="preserve">年</w:t>
      </w:r>
      <w:r>
        <w:rPr>
          <w:rFonts w:hint="eastAsia" w:ascii="宋体" w:hAnsi="宋体" w:cs="宋体"/>
          <w:b/>
          <w:sz w:val="24"/>
          <w:szCs w:val="22"/>
          <w:highlight w:val="none"/>
        </w:rPr>
        <w:t xml:space="preserve">服务</w:t>
      </w:r>
      <w:r>
        <w:rPr>
          <w:rFonts w:ascii="宋体" w:hAnsi="宋体" w:cs="宋体"/>
          <w:b/>
          <w:sz w:val="24"/>
          <w:szCs w:val="22"/>
          <w:highlight w:val="none"/>
        </w:rPr>
        <w:t xml:space="preserve">总费用）</w:t>
      </w:r>
      <w:r>
        <w:rPr>
          <w:rFonts w:hint="eastAsia" w:ascii="宋体" w:hAnsi="宋体" w:cs="宋体"/>
          <w:b/>
          <w:color w:val="000000"/>
          <w:sz w:val="24"/>
          <w:szCs w:val="24"/>
          <w:highlight w:val="none"/>
        </w:rPr>
        <w:t xml:space="preserve">”</w:t>
      </w:r>
      <w:r>
        <w:rPr>
          <w:rFonts w:hint="eastAsia" w:ascii="宋体" w:hAnsi="宋体" w:cs="宋体"/>
          <w:b/>
          <w:sz w:val="24"/>
          <w:szCs w:val="24"/>
          <w:highlight w:val="none"/>
        </w:rPr>
        <w:t xml:space="preserve">相</w:t>
      </w:r>
      <w:r>
        <w:rPr>
          <w:b/>
          <w:sz w:val="24"/>
          <w:szCs w:val="24"/>
          <w:highlight w:val="none"/>
        </w:rPr>
        <w:t xml:space="preserve">一致。</w:t>
      </w:r>
      <w:r/>
    </w:p>
    <w:p>
      <w:pPr>
        <w:numPr>
          <w:ilvl w:val="0"/>
          <w:numId w:val="0"/>
        </w:numPr>
        <w:ind w:firstLine="480"/>
        <w:spacing w:line="50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、因表述含糊导致的评审风险将由投标人承担。</w:t>
      </w:r>
      <w:r/>
    </w:p>
    <w:p>
      <w:pPr>
        <w:ind w:firstLine="480"/>
        <w:spacing w:line="500" w:lineRule="exact"/>
        <w:rPr>
          <w:bCs/>
          <w:sz w:val="24"/>
          <w:highlight w:val="none"/>
        </w:rPr>
      </w:pPr>
      <w:r>
        <w:rPr>
          <w:rFonts w:hint="eastAsia"/>
          <w:sz w:val="24"/>
          <w:szCs w:val="24"/>
          <w:highlight w:val="none"/>
          <w:lang w:val="en-US" w:eastAsia="zh-CN"/>
        </w:rPr>
        <w:t xml:space="preserve">4</w:t>
      </w:r>
      <w:r>
        <w:rPr>
          <w:sz w:val="24"/>
          <w:szCs w:val="24"/>
          <w:highlight w:val="none"/>
        </w:rPr>
        <w:t xml:space="preserve">、如有需要说明的事项，请在备注中列明。</w:t>
      </w:r>
      <w:r/>
    </w:p>
    <w:p>
      <w:pPr>
        <w:rPr>
          <w:rFonts w:hint="eastAsia"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3</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36"/>
      <w:r/>
      <w:bookmarkEnd w:id="237"/>
      <w:r/>
      <w:bookmarkEnd w:id="238"/>
      <w:r/>
      <w:bookmarkEnd w:id="239"/>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、对项目服务要求响应说明。请按要求填写以下表格：</w:t>
      </w:r>
      <w:r/>
    </w:p>
    <w:tbl>
      <w:tblPr>
        <w:tblStyle w:val="737"/>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jc w:val="left"/>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注：（</w:t>
      </w: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）投标人应根据“采购需求”中的“三、项目服务要求”对照投标人所提供的服务承诺进行逐项评议。</w:t>
      </w:r>
      <w:r/>
    </w:p>
    <w:p>
      <w:pPr>
        <w:ind w:firstLine="480"/>
        <w:jc w:val="left"/>
        <w:keepLines w:val="0"/>
        <w:keepNext w:val="0"/>
        <w:pageBreakBefore w:val="0"/>
        <w:spacing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rPr>
          <w:rFonts w:hint="eastAsia" w:ascii="楷体_GB2312" w:hAnsi="宋体" w:eastAsia="楷体_GB2312" w:cs="宋体"/>
          <w:color w:val="000000"/>
          <w:sz w:val="24"/>
          <w:szCs w:val="24"/>
        </w:rPr>
        <w:t xml:space="preserve">2</w:t>
      </w:r>
      <w:r>
        <w:rPr>
          <w:rFonts w:hint="eastAsia" w:ascii="宋体" w:hAnsi="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栏中填写</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栏中填写</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栏中作出说明；因未标明或表述含糊导致的评审风险将由</w:t>
      </w:r>
      <w:r>
        <w:rPr>
          <w:rFonts w:hint="eastAsia" w:ascii="宋体" w:hAnsi="宋体"/>
          <w:color w:val="000000"/>
          <w:sz w:val="24"/>
          <w:szCs w:val="24"/>
        </w:rPr>
        <w:t xml:space="preserve">投标人</w:t>
      </w:r>
      <w:r>
        <w:rPr>
          <w:rFonts w:hint="eastAsia" w:ascii="宋体" w:hAnsi="宋体" w:cs="宋体"/>
          <w:color w:val="000000"/>
          <w:sz w:val="24"/>
          <w:szCs w:val="24"/>
        </w:rPr>
        <w:t xml:space="preserve">承担。</w:t>
      </w:r>
      <w:r/>
    </w:p>
    <w:p>
      <w:pPr>
        <w:ind w:firstLine="480"/>
        <w:jc w:val="left"/>
        <w:keepLines w:val="0"/>
        <w:keepNext w:val="0"/>
        <w:pageBreakBefore w:val="0"/>
        <w:spacing w:line="440" w:lineRule="exact"/>
        <w:widowControl w:val="off"/>
        <w:rPr>
          <w:rFonts w:ascii="Times New Roman" w:hAnsi="Times New Roman"/>
          <w:bCs/>
          <w:sz w:val="24"/>
          <w:szCs w:val="24"/>
        </w:rPr>
      </w:pPr>
      <w:r>
        <w:rPr>
          <w:rFonts w:hint="eastAsia" w:ascii="宋体" w:hAnsi="宋体" w:cs="宋体"/>
          <w:color w:val="000000"/>
          <w:sz w:val="24"/>
          <w:szCs w:val="24"/>
        </w:rPr>
        <w:t xml:space="preserve">（</w:t>
      </w:r>
      <w:r>
        <w:rPr>
          <w:rFonts w:hint="eastAsia" w:ascii="楷体_GB2312" w:hAnsi="宋体" w:eastAsia="楷体_GB2312" w:cs="宋体"/>
          <w:color w:val="000000"/>
          <w:sz w:val="24"/>
          <w:szCs w:val="24"/>
        </w:rPr>
        <w:t xml:space="preserve">3</w:t>
      </w:r>
      <w:r>
        <w:rPr>
          <w:rFonts w:hint="eastAsia" w:ascii="宋体" w:hAnsi="宋体" w:cs="宋体"/>
          <w:color w:val="000000"/>
          <w:sz w:val="24"/>
          <w:szCs w:val="24"/>
        </w:rPr>
        <w:t xml:space="preserve">）表格不够可另接。</w:t>
      </w:r>
      <w:r/>
    </w:p>
    <w:p>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clear="all"/>
      </w:r>
      <w:r/>
    </w:p>
    <w:p>
      <w:pPr>
        <w:jc w:val="center"/>
        <w:spacing w:line="440" w:lineRule="exact"/>
        <w:rPr>
          <w:rFonts w:ascii="Times New Roman" w:hAnsi="Times New Roman"/>
          <w:b/>
          <w:bCs/>
          <w:sz w:val="28"/>
          <w:szCs w:val="28"/>
        </w:rPr>
        <w:outlineLvl w:val="1"/>
      </w:pPr>
      <w:r/>
      <w:bookmarkStart w:id="240" w:name="_Toc3052"/>
      <w:r/>
      <w:bookmarkStart w:id="241" w:name="_Toc158042209"/>
      <w:r/>
      <w:bookmarkStart w:id="242" w:name="_Toc23924"/>
      <w:r/>
      <w:bookmarkStart w:id="243" w:name="_Toc2962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4</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40"/>
      <w:r/>
      <w:bookmarkEnd w:id="241"/>
      <w:r/>
      <w:bookmarkEnd w:id="242"/>
      <w:r/>
      <w:bookmarkEnd w:id="243"/>
      <w:r/>
      <w:r/>
    </w:p>
    <w:tbl>
      <w:tblPr>
        <w:tblStyle w:val="737"/>
        <w:tblW w:w="939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3585"/>
        <w:gridCol w:w="2370"/>
        <w:gridCol w:w="1455"/>
        <w:gridCol w:w="136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文件要求</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Times New Roman" w:hAnsi="Times New Roman"/>
                <w:sz w:val="24"/>
                <w:szCs w:val="24"/>
              </w:rPr>
            </w:pPr>
            <w:r>
              <w:rPr>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rPr>
                <w:sz w:val="24"/>
                <w:szCs w:val="24"/>
              </w:rPr>
            </w:pPr>
            <w:r>
              <w:rPr>
                <w:rFonts w:ascii="宋体" w:hAnsi="宋体" w:eastAsia="宋体" w:cs="宋体"/>
                <w:color w:val="000000"/>
                <w:sz w:val="24"/>
              </w:rPr>
              <w:t xml:space="preserve">偏离内容及原因</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hint="eastAsia" w:eastAsiaTheme="minorEastAsia"/>
                <w:sz w:val="24"/>
                <w:szCs w:val="24"/>
                <w:lang w:eastAsia="zh-CN"/>
              </w:rPr>
            </w:pPr>
            <w:r>
              <w:rPr>
                <w:rFonts w:hint="eastAsia" w:ascii="宋体" w:hAnsi="宋体" w:eastAsia="宋体" w:cs="宋体"/>
                <w:color w:val="000000"/>
                <w:sz w:val="24"/>
                <w:szCs w:val="24"/>
                <w:lang w:val="en-US" w:eastAsia="zh-CN"/>
              </w:rPr>
              <w:t xml:space="preserve">备注</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第一条 定义</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440" w:lineRule="exact"/>
              <w:widowControl w:val="off"/>
              <w:rPr>
                <w:rFonts w:ascii="Times New Roman" w:hAnsi="Times New Roman"/>
                <w:sz w:val="24"/>
                <w:szCs w:val="24"/>
              </w:rPr>
            </w:pPr>
            <w:r>
              <w:rPr>
                <w:rFonts w:hint="eastAsia" w:ascii="宋体" w:hAnsi="宋体" w:eastAsia="宋体" w:cs="宋体"/>
                <w:b w:val="0"/>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44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u w:val="none"/>
              </w:rPr>
              <w:t xml:space="preserve">第六条 验收办法</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44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bCs/>
                <w:sz w:val="24"/>
                <w:szCs w:val="24"/>
                <w:lang w:val="en-US" w:eastAsia="zh-CN"/>
              </w:rPr>
            </w:pPr>
            <w:r>
              <w:rPr>
                <w:rFonts w:hint="eastAsia" w:ascii="Times New Roman" w:hAnsi="Times New Roman"/>
                <w:bCs/>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after="0" w:line="380" w:lineRule="exact"/>
              <w:widowControl w:val="off"/>
              <w:rPr>
                <w:rFonts w:hint="eastAsia" w:ascii="Times New Roman" w:hAnsi="Times New Roman"/>
                <w:sz w:val="24"/>
                <w:szCs w:val="24"/>
              </w:rPr>
            </w:pPr>
            <w:r>
              <w:rPr>
                <w:rFonts w:hint="eastAsia" w:ascii="Times New Roman" w:hAnsi="Times New Roman"/>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bl>
    <w:p>
      <w:pPr>
        <w:ind w:firstLine="240"/>
        <w:spacing w:line="440" w:lineRule="exact"/>
        <w:rPr>
          <w:sz w:val="24"/>
          <w:szCs w:val="24"/>
        </w:rPr>
      </w:pPr>
      <w:r>
        <w:rPr>
          <w:sz w:val="24"/>
          <w:szCs w:val="24"/>
        </w:rPr>
        <w:t xml:space="preserve">注：1、投标人应据实、详细填写上述表格，因表述含糊导致的评标风险将由投标人承担。</w:t>
      </w:r>
      <w:r/>
    </w:p>
    <w:p>
      <w:pPr>
        <w:ind w:firstLine="72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rPr>
          <w:rFonts w:hint="eastAsia"/>
          <w:sz w:val="24"/>
          <w:szCs w:val="24"/>
        </w:rPr>
      </w:pPr>
      <w:r>
        <w:rPr>
          <w:sz w:val="24"/>
          <w:szCs w:val="24"/>
        </w:rPr>
        <w:br w:type="page" w:clear="all"/>
      </w:r>
      <w:r/>
    </w:p>
    <w:p>
      <w:pPr>
        <w:jc w:val="center"/>
        <w:spacing w:line="440" w:lineRule="exact"/>
        <w:rPr>
          <w:rFonts w:ascii="Times New Roman" w:hAnsi="Times New Roman"/>
          <w:b/>
          <w:bCs/>
          <w:sz w:val="28"/>
          <w:szCs w:val="28"/>
        </w:rPr>
        <w:outlineLvl w:val="1"/>
      </w:pPr>
      <w:r/>
      <w:bookmarkStart w:id="244" w:name="_Toc18611"/>
      <w:r/>
      <w:bookmarkStart w:id="245" w:name="_Toc158042210"/>
      <w:r/>
      <w:bookmarkStart w:id="246" w:name="_Toc19888"/>
      <w:r/>
      <w:bookmarkStart w:id="247" w:name="_Toc5476"/>
      <w:r/>
      <w:bookmarkStart w:id="248" w:name="_Hlt26671380"/>
      <w:r/>
      <w:bookmarkStart w:id="249" w:name="_格式3__银行出具的资信证明"/>
      <w:r/>
      <w:bookmarkStart w:id="250" w:name="_Hlt2695507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5</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 xml:space="preserve">设备</w:t>
      </w:r>
      <w:r>
        <w:rPr>
          <w:rFonts w:hint="eastAsia" w:ascii="Times New Roman" w:hAnsi="Times New Roman"/>
          <w:b/>
          <w:bCs/>
          <w:sz w:val="28"/>
          <w:szCs w:val="28"/>
        </w:rPr>
        <w:t xml:space="preserve">和专业技术能力的书面声明</w:t>
      </w:r>
      <w:bookmarkEnd w:id="244"/>
      <w:r/>
      <w:bookmarkEnd w:id="245"/>
      <w:r/>
      <w:bookmarkEnd w:id="246"/>
      <w:r/>
      <w:bookmarkEnd w:id="247"/>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我单位郑重声明：我单位具备履行本项采购合同所必需的</w:t>
      </w:r>
      <w:r>
        <w:rPr>
          <w:rFonts w:hint="eastAsia" w:ascii="宋体" w:hAnsi="宋体"/>
          <w:bCs/>
          <w:sz w:val="24"/>
          <w:lang w:val="en-US" w:eastAsia="zh-CN"/>
        </w:rPr>
        <w:t xml:space="preserve">设备</w:t>
      </w:r>
      <w:r>
        <w:rPr>
          <w:rFonts w:hint="eastAsia" w:ascii="宋体" w:hAnsi="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ascii="Times New Roman" w:hAnsi="Times New Roman"/>
          <w:b/>
          <w:bCs/>
          <w:sz w:val="28"/>
          <w:szCs w:val="28"/>
        </w:rPr>
        <w:outlineLvl w:val="1"/>
      </w:pPr>
      <w:r>
        <w:rPr>
          <w:rFonts w:hint="eastAsia" w:ascii="宋体" w:hAnsi="宋体" w:eastAsia="宋体" w:cs="宋体"/>
          <w:b/>
          <w:bCs/>
          <w:color w:val="000000"/>
          <w:sz w:val="24"/>
          <w:szCs w:val="24"/>
        </w:rPr>
        <w:br w:type="page" w:clear="all"/>
      </w:r>
      <w:bookmarkStart w:id="251" w:name="_Toc158042211"/>
      <w:r/>
      <w:bookmarkStart w:id="252" w:name="_Toc10227"/>
      <w:r/>
      <w:bookmarkStart w:id="253" w:name="_Toc13194"/>
      <w:r/>
      <w:bookmarkStart w:id="254" w:name="_Toc26548"/>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6</w:t>
      </w:r>
      <w:r>
        <w:rPr>
          <w:rFonts w:ascii="Times New Roman" w:hAnsi="Times New Roman"/>
          <w:b/>
          <w:bCs/>
          <w:sz w:val="28"/>
          <w:szCs w:val="28"/>
        </w:rPr>
        <w:t xml:space="preserve"> </w:t>
      </w:r>
      <w:r>
        <w:rPr>
          <w:rFonts w:hint="eastAsia" w:ascii="Times New Roman" w:hAnsi="Times New Roman"/>
          <w:b/>
          <w:bCs/>
          <w:sz w:val="28"/>
          <w:szCs w:val="28"/>
        </w:rPr>
        <w:t xml:space="preserve">参加政府采购活动前 3 年内在经营活动中没有重大违法记录的书面声明</w:t>
      </w:r>
      <w:bookmarkEnd w:id="251"/>
      <w:r/>
      <w:bookmarkEnd w:id="252"/>
      <w:r/>
      <w:bookmarkEnd w:id="253"/>
      <w:r/>
      <w:bookmarkEnd w:id="254"/>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2"/>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55" w:name="_Toc158042212"/>
      <w:r/>
      <w:bookmarkStart w:id="256" w:name="_Toc4891"/>
      <w:r/>
      <w:bookmarkStart w:id="257" w:name="_Toc13362"/>
      <w:r/>
      <w:bookmarkStart w:id="258" w:name="_Toc793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7</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55"/>
      <w:r/>
      <w:bookmarkEnd w:id="256"/>
      <w:r/>
      <w:bookmarkEnd w:id="257"/>
      <w:r/>
      <w:bookmarkEnd w:id="258"/>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w:t>
      </w:r>
      <w:r>
        <w:rPr>
          <w:rFonts w:hint="eastAsia" w:ascii="Times New Roman" w:hAnsi="Times New Roman"/>
          <w:color w:val="000000"/>
          <w:sz w:val="24"/>
          <w:szCs w:val="24"/>
          <w:lang w:eastAsia="zh-CN"/>
        </w:rPr>
        <w:t xml:space="preserve">JSZC-320581-CSXC-G2026-0020</w:t>
      </w:r>
      <w:r>
        <w:rPr>
          <w:rFonts w:ascii="Times New Roman" w:hAnsi="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hint="eastAsia" w:ascii="Times New Roman" w:hAnsi="Times New Roman"/>
          <w:sz w:val="24"/>
          <w:szCs w:val="24"/>
          <w:u w:val="single"/>
          <w:lang w:val="en-US" w:eastAsia="zh-CN"/>
        </w:rPr>
        <w:t xml:space="preserve">2026</w:t>
      </w:r>
      <w:r>
        <w:rPr>
          <w:rFonts w:ascii="Times New Roman" w:hAnsi="Times New Roman"/>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keepLines w:val="0"/>
        <w:keepNext w:val="0"/>
        <w:pageBreakBefore w:val="0"/>
        <w:spacing w:line="440" w:lineRule="exact"/>
        <w:widowControl w:val="off"/>
        <w:rPr>
          <w:rFonts w:ascii="楷体" w:hAnsi="楷体" w:eastAsia="楷体"/>
          <w:sz w:val="24"/>
          <w:szCs w:val="24"/>
        </w:rPr>
      </w:pPr>
      <w:r>
        <w:rPr>
          <w:rFonts w:ascii="楷体" w:hAnsi="楷体" w:eastAsia="楷体"/>
          <w:sz w:val="24"/>
          <w:szCs w:val="24"/>
        </w:rPr>
      </w:r>
      <w:r/>
    </w:p>
    <w:p>
      <w:pPr>
        <w:ind w:firstLine="360"/>
        <w:keepLines w:val="0"/>
        <w:keepNext w:val="0"/>
        <w:pageBreakBefore w:val="0"/>
        <w:spacing w:line="440" w:lineRule="exact"/>
        <w:widowControl w:val="off"/>
        <w:rPr>
          <w:rFonts w:hint="eastAsia" w:ascii="Times New Roman" w:hAnsi="Times New Roman"/>
          <w:i/>
          <w:color w:val="000000"/>
          <w:sz w:val="24"/>
          <w:szCs w:val="24"/>
          <w:u w:val="single"/>
          <w:lang w:val="en-US" w:eastAsia="en-US"/>
        </w:rPr>
      </w:pPr>
      <w:r>
        <w:rPr>
          <w:rFonts w:hint="eastAsia" w:ascii="Times New Roman" w:hAnsi="Times New Roman"/>
          <w:sz w:val="24"/>
          <w:szCs w:val="24"/>
        </w:rPr>
        <w:t xml:space="preserve">注：如法定代表人参加投标，“附件</w:t>
      </w:r>
      <w:r>
        <w:rPr>
          <w:rFonts w:hint="eastAsia" w:ascii="Times New Roman" w:hAnsi="Times New Roman"/>
          <w:sz w:val="24"/>
          <w:szCs w:val="24"/>
          <w:lang w:val="en-US" w:eastAsia="zh-CN"/>
        </w:rPr>
        <w:t xml:space="preserve">7</w:t>
      </w:r>
      <w:r>
        <w:rPr>
          <w:rFonts w:hint="eastAsia" w:ascii="Times New Roman" w:hAnsi="Times New Roman"/>
          <w:sz w:val="24"/>
          <w:szCs w:val="24"/>
        </w:rPr>
        <w:t xml:space="preserve"> 法人授权书”可不提供。</w:t>
      </w:r>
      <w:r/>
    </w:p>
    <w:p>
      <w:pPr>
        <w:jc w:val="center"/>
        <w:spacing w:line="440" w:lineRule="exact"/>
        <w:rPr>
          <w:rFonts w:ascii="宋体" w:hAnsi="宋体"/>
          <w:color w:val="000000"/>
          <w:sz w:val="24"/>
          <w:szCs w:val="21"/>
        </w:rPr>
        <w:outlineLvl w:val="1"/>
      </w:pPr>
      <w:r>
        <w:rPr>
          <w:rFonts w:ascii="宋体" w:hAnsi="宋体" w:eastAsia="幼圆" w:cs="Arial"/>
          <w:b/>
          <w:color w:val="000000"/>
          <w:sz w:val="24"/>
          <w:szCs w:val="44"/>
        </w:rPr>
        <w:br w:type="page" w:clear="all"/>
      </w:r>
      <w:bookmarkStart w:id="259" w:name="_Toc11759"/>
      <w:r/>
      <w:bookmarkStart w:id="260" w:name="_Toc158042213"/>
      <w:r/>
      <w:bookmarkStart w:id="261" w:name="_Toc17235"/>
      <w:r/>
      <w:bookmarkStart w:id="262" w:name="_Toc12038"/>
      <w:r/>
      <w:bookmarkStart w:id="263" w:name="_Toc155086574"/>
      <w:r/>
      <w:bookmarkStart w:id="264" w:name="_Toc155086474"/>
      <w:r/>
      <w:bookmarkStart w:id="265" w:name="_Toc1876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8</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59"/>
      <w:r/>
      <w:bookmarkEnd w:id="260"/>
      <w:r/>
      <w:bookmarkEnd w:id="261"/>
      <w:r/>
      <w:bookmarkEnd w:id="262"/>
      <w:r/>
      <w:bookmarkEnd w:id="263"/>
      <w:r/>
      <w:bookmarkEnd w:id="264"/>
      <w:r/>
      <w:bookmarkEnd w:id="265"/>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致：江苏协诚工程咨询有限公司</w:t>
      </w:r>
      <w:r/>
    </w:p>
    <w:p>
      <w:pPr>
        <w:pStyle w:val="755"/>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JSZC-320581-CSXC-G2026-0020</w:t>
      </w:r>
      <w:r>
        <w:rPr>
          <w:rFonts w:hint="eastAsia" w:ascii="宋体" w:hAnsi="宋体"/>
          <w:szCs w:val="21"/>
        </w:rPr>
        <w:t xml:space="preserve">号招标文件，正式授权下述签字人______(姓名)代表我方______________（投标人的名称），全权处理本次项目投标的有关事宜。</w:t>
      </w:r>
      <w:r/>
    </w:p>
    <w:p>
      <w:pPr>
        <w:pStyle w:val="755"/>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755"/>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75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75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5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5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5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5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55"/>
        <w:ind w:left="420"/>
        <w:spacing w:before="0" w:after="0" w:line="420" w:lineRule="exact"/>
        <w:rPr>
          <w:rFonts w:ascii="宋体" w:hAnsi="宋体"/>
          <w:szCs w:val="21"/>
        </w:rPr>
      </w:pPr>
      <w:r>
        <w:rPr>
          <w:rFonts w:hint="eastAsia" w:ascii="宋体" w:hAnsi="宋体"/>
          <w:szCs w:val="21"/>
        </w:rPr>
        <w:t xml:space="preserve">地        址：</w:t>
      </w:r>
      <w:r/>
    </w:p>
    <w:p>
      <w:pPr>
        <w:pStyle w:val="755"/>
        <w:ind w:left="420"/>
        <w:spacing w:before="0" w:after="0" w:line="420" w:lineRule="exact"/>
        <w:rPr>
          <w:rFonts w:ascii="宋体" w:hAnsi="宋体"/>
          <w:szCs w:val="21"/>
        </w:rPr>
      </w:pPr>
      <w:r>
        <w:rPr>
          <w:rFonts w:hint="eastAsia" w:ascii="宋体" w:hAnsi="宋体"/>
          <w:szCs w:val="21"/>
        </w:rPr>
        <w:t xml:space="preserve">邮        编：</w:t>
      </w:r>
      <w:r/>
    </w:p>
    <w:p>
      <w:pPr>
        <w:pStyle w:val="755"/>
        <w:ind w:left="420"/>
        <w:spacing w:before="0" w:after="0" w:line="420" w:lineRule="exact"/>
        <w:rPr>
          <w:rFonts w:ascii="宋体" w:hAnsi="宋体"/>
          <w:szCs w:val="21"/>
        </w:rPr>
      </w:pPr>
      <w:r>
        <w:rPr>
          <w:rFonts w:hint="eastAsia" w:ascii="宋体" w:hAnsi="宋体"/>
          <w:szCs w:val="21"/>
        </w:rPr>
        <w:t xml:space="preserve">电        话：</w:t>
      </w:r>
      <w:r/>
    </w:p>
    <w:p>
      <w:pPr>
        <w:pStyle w:val="755"/>
        <w:ind w:left="420"/>
        <w:spacing w:before="0" w:after="0" w:line="420" w:lineRule="exact"/>
        <w:rPr>
          <w:rFonts w:ascii="宋体" w:hAnsi="宋体"/>
          <w:szCs w:val="21"/>
        </w:rPr>
      </w:pPr>
      <w:r>
        <w:rPr>
          <w:rFonts w:hint="eastAsia" w:ascii="宋体" w:hAnsi="宋体"/>
          <w:szCs w:val="21"/>
        </w:rPr>
        <w:t xml:space="preserve">传        真：</w:t>
      </w:r>
      <w:r/>
    </w:p>
    <w:p>
      <w:pPr>
        <w:pStyle w:val="755"/>
        <w:ind w:left="420"/>
        <w:spacing w:before="0" w:after="0" w:line="420" w:lineRule="exact"/>
        <w:rPr>
          <w:rFonts w:ascii="宋体" w:hAnsi="宋体"/>
          <w:szCs w:val="21"/>
        </w:rPr>
      </w:pPr>
      <w:r>
        <w:rPr>
          <w:rFonts w:hint="eastAsia" w:ascii="宋体" w:hAnsi="宋体"/>
          <w:szCs w:val="21"/>
        </w:rPr>
        <w:t xml:space="preserve">投标人开户行：</w:t>
      </w:r>
      <w:r/>
    </w:p>
    <w:p>
      <w:pPr>
        <w:pStyle w:val="755"/>
        <w:ind w:left="420"/>
        <w:spacing w:before="0" w:after="0" w:line="420" w:lineRule="exact"/>
        <w:rPr>
          <w:rFonts w:hint="eastAsia" w:ascii="宋体" w:hAnsi="宋体"/>
          <w:szCs w:val="21"/>
        </w:rPr>
      </w:pPr>
      <w:r>
        <w:rPr>
          <w:rFonts w:hint="eastAsia" w:ascii="宋体" w:hAnsi="宋体"/>
          <w:szCs w:val="21"/>
        </w:rPr>
        <w:t xml:space="preserve">账        号：</w:t>
      </w:r>
      <w:r/>
    </w:p>
    <w:p>
      <w:pPr>
        <w:pStyle w:val="755"/>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751"/>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rPr>
          <w:rFonts w:hint="eastAsia" w:ascii="Times New Roman" w:hAnsi="Times New Roman"/>
          <w:b/>
          <w:bCs/>
          <w:sz w:val="28"/>
          <w:szCs w:val="28"/>
        </w:rPr>
      </w:pPr>
      <w:r/>
      <w:bookmarkStart w:id="266" w:name="_Toc158042214"/>
      <w:r/>
      <w:bookmarkStart w:id="267" w:name="_Toc24380"/>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68" w:name="_Toc19861"/>
      <w:r/>
      <w:bookmarkStart w:id="269" w:name="_Toc1992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9</w:t>
      </w:r>
      <w:r>
        <w:rPr>
          <w:rFonts w:hint="eastAsia" w:ascii="Times New Roman" w:hAnsi="Times New Roman"/>
          <w:b/>
          <w:bCs/>
          <w:sz w:val="28"/>
          <w:szCs w:val="28"/>
        </w:rPr>
        <w:t xml:space="preserve"> 中小企业声明函</w:t>
      </w:r>
      <w:bookmarkEnd w:id="266"/>
      <w:r/>
      <w:bookmarkEnd w:id="267"/>
      <w:r/>
      <w:bookmarkEnd w:id="268"/>
      <w:r/>
      <w:bookmarkEnd w:id="269"/>
      <w:r/>
      <w:r/>
    </w:p>
    <w:p>
      <w:pPr>
        <w:ind w:firstLine="480"/>
        <w:spacing w:after="0" w:line="580" w:lineRule="exact"/>
        <w:widowControl w:val="off"/>
        <w:rPr>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eastAsia="宋体"/>
          <w:sz w:val="24"/>
          <w:szCs w:val="24"/>
          <w:u w:val="single"/>
          <w:lang w:eastAsia="zh-CN"/>
        </w:rPr>
        <w:t xml:space="preserve">常熟市第二人民医院</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常熟市第二人民医院（台山路院区）停车场经营管理服务</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JSZC-320581-CSXC-G2026-0020</w:t>
      </w:r>
      <w:r>
        <w:rPr>
          <w:rFonts w:hint="eastAsia" w:ascii="宋体" w:hAnsi="宋体" w:eastAsia="宋体" w:cs="宋体"/>
          <w:color w:val="000000"/>
          <w:sz w:val="24"/>
          <w:szCs w:val="24"/>
        </w:rPr>
        <w:t xml:space="preserve">的采购活动，服务</w:t>
      </w:r>
      <w:r>
        <w:rPr>
          <w:sz w:val="24"/>
          <w:szCs w:val="24"/>
        </w:rPr>
        <w:t xml:space="preserve">全部由符合政策要求的中小企业承接。</w:t>
      </w:r>
      <w:r>
        <w:rPr>
          <w:rFonts w:hint="eastAsia"/>
          <w:sz w:val="24"/>
          <w:szCs w:val="24"/>
          <w:lang w:val="en-US" w:eastAsia="zh-CN"/>
        </w:rPr>
        <w:t xml:space="preserve">相关</w:t>
      </w:r>
      <w:r>
        <w:rPr>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u w:val="single"/>
          <w:lang w:val="en-US" w:eastAsia="zh-CN"/>
        </w:rPr>
        <w:t xml:space="preserve">常熟市第二人民医院（台山路院区）停车场经营管理服务</w:t>
      </w:r>
      <w:r>
        <w:rPr>
          <w:rFonts w:hint="eastAsia" w:ascii="宋体" w:hAnsi="宋体" w:cs="仿宋"/>
          <w:sz w:val="24"/>
          <w:szCs w:val="24"/>
        </w:rPr>
        <w:t xml:space="preserve">，属于</w:t>
      </w:r>
      <w:r>
        <w:rPr>
          <w:rFonts w:hint="eastAsia" w:ascii="宋体" w:hAnsi="宋体" w:cs="仿宋"/>
          <w:sz w:val="24"/>
          <w:szCs w:val="24"/>
          <w:u w:val="single"/>
          <w:lang w:val="en-US" w:eastAsia="zh-CN"/>
        </w:rPr>
        <w:t xml:space="preserve">其他未列明行业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期：</w:t>
      </w:r>
      <w:r/>
    </w:p>
    <w:p>
      <w:pPr>
        <w:keepLines w:val="0"/>
        <w:keepNext w:val="0"/>
        <w:pageBreakBefore w:val="0"/>
        <w:spacing w:line="440" w:lineRule="exact"/>
        <w:widowControl w:val="off"/>
        <w:rPr>
          <w:b/>
          <w:bCs/>
          <w:sz w:val="24"/>
          <w:szCs w:val="24"/>
        </w:rPr>
      </w:pPr>
      <w:r>
        <w:rPr>
          <w:rFonts w:hint="eastAsia"/>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w:t>
      </w:r>
      <w:r>
        <w:rPr>
          <w:rFonts w:hint="eastAsia"/>
          <w:b/>
          <w:bCs/>
          <w:sz w:val="24"/>
          <w:szCs w:val="24"/>
          <w:lang w:val="en-US" w:eastAsia="zh-CN"/>
        </w:rPr>
        <w:t xml:space="preserve">其他未列明行业</w:t>
      </w:r>
      <w:r>
        <w:rPr>
          <w:rFonts w:hint="eastAsia"/>
          <w:b/>
          <w:bCs/>
          <w:sz w:val="24"/>
          <w:szCs w:val="24"/>
        </w:rPr>
        <w:t xml:space="preserve">。</w:t>
      </w:r>
      <w:r/>
    </w:p>
    <w:p>
      <w:pPr>
        <w:ind w:firstLine="482"/>
        <w:keepLines w:val="0"/>
        <w:keepNext w:val="0"/>
        <w:pageBreakBefore w:val="0"/>
        <w:spacing w:line="440" w:lineRule="exact"/>
        <w:widowControl w:val="off"/>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ind w:firstLine="482"/>
        <w:keepLines w:val="0"/>
        <w:keepNext w:val="0"/>
        <w:pageBreakBefore w:val="0"/>
        <w:spacing w:line="440" w:lineRule="exact"/>
        <w:widowControl w:val="off"/>
        <w:rPr>
          <w:b/>
          <w:bCs/>
          <w:sz w:val="24"/>
          <w:szCs w:val="24"/>
        </w:rPr>
      </w:pPr>
      <w:r/>
      <w:bookmarkStart w:id="270" w:name="_Hlk100143292"/>
      <w:r>
        <w:rPr>
          <w:rFonts w:hint="eastAsia"/>
          <w:b/>
          <w:bCs/>
          <w:sz w:val="24"/>
          <w:szCs w:val="24"/>
        </w:rPr>
        <w:t xml:space="preserve">（</w:t>
      </w:r>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270"/>
      <w:r/>
      <w:r/>
    </w:p>
    <w:p>
      <w:pPr>
        <w:rPr>
          <w:b/>
          <w:bCs/>
          <w:sz w:val="24"/>
          <w:szCs w:val="24"/>
        </w:rPr>
      </w:pPr>
      <w:r>
        <w:rPr>
          <w:b/>
          <w:bCs/>
          <w:sz w:val="24"/>
          <w:szCs w:val="24"/>
        </w:rPr>
        <w:br w:type="page" w:clear="all"/>
      </w:r>
      <w:r/>
    </w:p>
    <w:p>
      <w:pPr>
        <w:jc w:val="center"/>
        <w:spacing w:line="440" w:lineRule="exact"/>
        <w:rPr>
          <w:rFonts w:hint="eastAsia" w:ascii="Times New Roman" w:hAnsi="Times New Roman"/>
          <w:b/>
          <w:bCs/>
          <w:sz w:val="28"/>
          <w:szCs w:val="28"/>
        </w:rPr>
        <w:outlineLvl w:val="1"/>
      </w:pPr>
      <w:r/>
      <w:bookmarkStart w:id="271" w:name="_Toc20265"/>
      <w:r/>
      <w:bookmarkStart w:id="272" w:name="_Toc158042215"/>
      <w:r/>
      <w:bookmarkStart w:id="273" w:name="_Toc29457"/>
      <w:r/>
      <w:bookmarkStart w:id="274" w:name="_Toc366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10</w:t>
      </w:r>
      <w:r>
        <w:rPr>
          <w:rFonts w:hint="eastAsia" w:ascii="Times New Roman" w:hAnsi="Times New Roman"/>
          <w:b/>
          <w:bCs/>
          <w:sz w:val="28"/>
          <w:szCs w:val="28"/>
        </w:rPr>
        <w:t xml:space="preserve"> 残疾人福利性单位声明函</w:t>
      </w:r>
      <w:bookmarkEnd w:id="271"/>
      <w:r/>
      <w:bookmarkEnd w:id="272"/>
      <w:r/>
      <w:bookmarkEnd w:id="273"/>
      <w:r/>
      <w:bookmarkEnd w:id="274"/>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如不提供此声明函，价格将不做相应扣除。2、中标</w:t>
      </w:r>
      <w:r>
        <w:rPr>
          <w:rFonts w:hint="eastAsia" w:ascii="宋体" w:hAnsi="宋体"/>
          <w:color w:val="000000"/>
          <w:sz w:val="24"/>
          <w:szCs w:val="21"/>
          <w:lang w:eastAsia="zh-CN"/>
        </w:rPr>
        <w:t xml:space="preserve">人</w:t>
      </w:r>
      <w:r>
        <w:rPr>
          <w:rFonts w:hint="eastAsia" w:ascii="宋体" w:hAnsi="宋体"/>
          <w:color w:val="000000"/>
          <w:sz w:val="24"/>
          <w:szCs w:val="21"/>
        </w:rPr>
        <w:t xml:space="preserve">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191"/>
      <w:bookmarkEnd w:id="211"/>
      <w:bookmarkEnd w:id="229"/>
      <w:bookmarkEnd w:id="230"/>
      <w:bookmarkEnd w:id="248"/>
      <w:bookmarkEnd w:id="249"/>
      <w:bookmarkEnd w:id="250"/>
      <w:r/>
    </w:p>
    <w:p>
      <w:r>
        <w:br w:type="page" w:clear="all"/>
      </w:r>
      <w:r/>
    </w:p>
    <w:p>
      <w:pPr>
        <w:jc w:val="center"/>
        <w:spacing w:line="440" w:lineRule="exact"/>
        <w:rPr>
          <w:rFonts w:hint="eastAsia" w:ascii="Times New Roman" w:hAnsi="Times New Roman"/>
          <w:b/>
          <w:bCs/>
          <w:sz w:val="28"/>
          <w:szCs w:val="28"/>
        </w:rPr>
        <w:outlineLvl w:val="1"/>
      </w:pPr>
      <w:r/>
      <w:bookmarkStart w:id="275" w:name="_Toc12317"/>
      <w:r/>
      <w:bookmarkStart w:id="276" w:name="_Toc7959"/>
      <w:r/>
      <w:bookmarkStart w:id="277" w:name="_Toc158042216"/>
      <w:r/>
      <w:bookmarkStart w:id="278" w:name="_Toc589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11</w:t>
      </w:r>
      <w:r>
        <w:rPr>
          <w:rFonts w:hint="eastAsia" w:ascii="Times New Roman" w:hAnsi="Times New Roman"/>
          <w:b/>
          <w:bCs/>
          <w:sz w:val="28"/>
          <w:szCs w:val="28"/>
        </w:rPr>
        <w:t xml:space="preserve"> 实质性要求响应及偏离表</w:t>
      </w:r>
      <w:bookmarkEnd w:id="275"/>
      <w:r/>
      <w:bookmarkEnd w:id="276"/>
      <w:r/>
      <w:bookmarkEnd w:id="277"/>
      <w:r/>
      <w:bookmarkEnd w:id="278"/>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789"/>
        <w:gridCol w:w="213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78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213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9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4789" w:type="dxa"/>
            <w:vAlign w:val="center"/>
            <w:textDirection w:val="lrTb"/>
            <w:noWrap w:val="false"/>
          </w:tcPr>
          <w:p>
            <w:pPr>
              <w:ind w:firstLine="240"/>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、付款方式：</w:t>
            </w:r>
            <w:r/>
          </w:p>
          <w:p>
            <w:pPr>
              <w:ind w:firstLine="720"/>
              <w:keepLines w:val="0"/>
              <w:keepNext w:val="0"/>
              <w:pageBreakBefore w:val="0"/>
              <w:spacing w:after="0" w:line="280" w:lineRule="exact"/>
              <w:widowControl w:val="off"/>
              <w:rPr>
                <w:rFonts w:hint="eastAsia" w:ascii="宋体" w:hAnsi="宋体" w:eastAsia="宋体" w:cs="宋体"/>
                <w:b w:val="0"/>
                <w:bCs/>
                <w:i w:val="0"/>
                <w:iCs/>
                <w:sz w:val="24"/>
                <w:szCs w:val="24"/>
                <w:highlight w:val="none"/>
                <w:u w:val="none"/>
              </w:rPr>
            </w:pPr>
            <w:r>
              <w:rPr>
                <w:rFonts w:hint="eastAsia" w:ascii="宋体" w:hAnsi="宋体" w:eastAsia="宋体" w:cs="宋体"/>
                <w:b w:val="0"/>
                <w:bCs/>
                <w:i w:val="0"/>
                <w:iCs/>
                <w:sz w:val="24"/>
                <w:szCs w:val="24"/>
                <w:highlight w:val="none"/>
                <w:u w:val="none"/>
                <w:lang w:val="en-US" w:eastAsia="zh-CN"/>
              </w:rPr>
              <w:t xml:space="preserve">7</w:t>
            </w:r>
            <w:r>
              <w:rPr>
                <w:rFonts w:hint="eastAsia" w:ascii="宋体" w:hAnsi="宋体" w:eastAsia="宋体" w:cs="宋体"/>
                <w:b w:val="0"/>
                <w:bCs/>
                <w:i w:val="0"/>
                <w:iCs/>
                <w:sz w:val="24"/>
                <w:szCs w:val="24"/>
                <w:highlight w:val="none"/>
                <w:u w:val="none"/>
              </w:rPr>
              <w:t xml:space="preserve">.1、</w:t>
            </w:r>
            <w:r>
              <w:rPr>
                <w:rFonts w:hint="eastAsia" w:ascii="宋体" w:hAnsi="宋体" w:eastAsia="宋体" w:cs="宋体"/>
                <w:bCs/>
                <w:i w:val="0"/>
                <w:iCs w:val="0"/>
                <w:sz w:val="24"/>
                <w:highlight w:val="none"/>
                <w:u w:val="none"/>
                <w:lang w:val="en-US" w:eastAsia="zh-CN"/>
              </w:rPr>
              <w:t xml:space="preserve">合同签订后三十个工作日内，</w:t>
            </w:r>
            <w:r>
              <w:rPr>
                <w:rFonts w:hint="eastAsia" w:ascii="宋体" w:hAnsi="宋体" w:eastAsia="宋体" w:cs="宋体"/>
                <w:b w:val="0"/>
                <w:bCs/>
                <w:i w:val="0"/>
                <w:iCs/>
                <w:sz w:val="24"/>
                <w:szCs w:val="24"/>
                <w:highlight w:val="none"/>
                <w:u w:val="none"/>
                <w:lang w:val="en-US" w:eastAsia="zh-CN"/>
              </w:rPr>
              <w:t xml:space="preserve">采购人向中标人</w:t>
            </w:r>
            <w:r>
              <w:rPr>
                <w:rFonts w:hint="eastAsia" w:ascii="宋体" w:hAnsi="宋体" w:eastAsia="宋体" w:cs="宋体"/>
                <w:bCs/>
                <w:i w:val="0"/>
                <w:iCs w:val="0"/>
                <w:sz w:val="24"/>
                <w:highlight w:val="none"/>
                <w:u w:val="none"/>
                <w:lang w:val="en-US" w:eastAsia="zh-CN"/>
              </w:rPr>
              <w:t xml:space="preserve">支付合同金额的10%作为预付款</w:t>
            </w:r>
            <w:r>
              <w:rPr>
                <w:rFonts w:hint="eastAsia" w:ascii="宋体" w:hAnsi="宋体" w:eastAsia="宋体" w:cs="宋体"/>
                <w:b w:val="0"/>
                <w:bCs/>
                <w:i w:val="0"/>
                <w:iCs/>
                <w:sz w:val="24"/>
                <w:szCs w:val="24"/>
                <w:highlight w:val="none"/>
                <w:u w:val="none"/>
              </w:rPr>
              <w:t xml:space="preserve">。</w:t>
            </w:r>
            <w:r/>
          </w:p>
          <w:p>
            <w:pPr>
              <w:ind w:firstLine="720"/>
              <w:keepLines w:val="0"/>
              <w:keepNext w:val="0"/>
              <w:pageBreakBefore w:val="0"/>
              <w:spacing w:after="0" w:line="280" w:lineRule="exact"/>
              <w:widowControl w:val="off"/>
              <w:rPr>
                <w:rFonts w:hint="eastAsia" w:ascii="宋体" w:hAnsi="宋体" w:eastAsia="宋体" w:cs="宋体"/>
                <w:b w:val="0"/>
                <w:bCs/>
                <w:i w:val="0"/>
                <w:iCs/>
                <w:sz w:val="24"/>
                <w:szCs w:val="24"/>
                <w:highlight w:val="none"/>
                <w:u w:val="none"/>
              </w:rPr>
            </w:pPr>
            <w:r>
              <w:rPr>
                <w:rFonts w:hint="eastAsia" w:ascii="宋体" w:hAnsi="宋体" w:eastAsia="宋体" w:cs="宋体"/>
                <w:b w:val="0"/>
                <w:bCs/>
                <w:i w:val="0"/>
                <w:iCs/>
                <w:sz w:val="24"/>
                <w:szCs w:val="24"/>
                <w:highlight w:val="none"/>
                <w:u w:val="none"/>
                <w:lang w:val="en-US" w:eastAsia="zh-CN"/>
              </w:rPr>
              <w:t xml:space="preserve">7</w:t>
            </w:r>
            <w:r>
              <w:rPr>
                <w:rFonts w:hint="eastAsia" w:ascii="宋体" w:hAnsi="宋体" w:eastAsia="宋体" w:cs="宋体"/>
                <w:b w:val="0"/>
                <w:bCs/>
                <w:i w:val="0"/>
                <w:iCs/>
                <w:sz w:val="24"/>
                <w:szCs w:val="24"/>
                <w:highlight w:val="none"/>
                <w:u w:val="none"/>
              </w:rPr>
              <w:t xml:space="preserve">.</w:t>
            </w:r>
            <w:r>
              <w:rPr>
                <w:rFonts w:hint="eastAsia" w:ascii="宋体" w:hAnsi="宋体" w:eastAsia="宋体" w:cs="宋体"/>
                <w:b w:val="0"/>
                <w:bCs/>
                <w:i w:val="0"/>
                <w:iCs/>
                <w:sz w:val="24"/>
                <w:szCs w:val="24"/>
                <w:highlight w:val="none"/>
                <w:u w:val="none"/>
                <w:lang w:val="en-US" w:eastAsia="zh-CN"/>
              </w:rPr>
              <w:t xml:space="preserve">2</w:t>
            </w:r>
            <w:r>
              <w:rPr>
                <w:rFonts w:hint="eastAsia" w:ascii="宋体" w:hAnsi="宋体" w:eastAsia="宋体" w:cs="宋体"/>
                <w:b w:val="0"/>
                <w:bCs/>
                <w:i w:val="0"/>
                <w:iCs/>
                <w:sz w:val="24"/>
                <w:szCs w:val="24"/>
                <w:highlight w:val="none"/>
                <w:u w:val="none"/>
              </w:rPr>
              <w:t xml:space="preserve">、服务费用按季度</w:t>
            </w:r>
            <w:r>
              <w:rPr>
                <w:rFonts w:hint="eastAsia" w:ascii="宋体" w:hAnsi="宋体" w:eastAsia="宋体" w:cs="宋体"/>
                <w:b w:val="0"/>
                <w:bCs/>
                <w:i w:val="0"/>
                <w:iCs/>
                <w:sz w:val="24"/>
                <w:szCs w:val="24"/>
                <w:highlight w:val="none"/>
                <w:u w:val="none"/>
                <w:lang w:eastAsia="zh-CN"/>
              </w:rPr>
              <w:t xml:space="preserve">（</w:t>
            </w:r>
            <w:r>
              <w:rPr>
                <w:rFonts w:hint="eastAsia" w:ascii="宋体" w:hAnsi="宋体" w:eastAsia="宋体" w:cs="宋体"/>
                <w:b w:val="0"/>
                <w:bCs/>
                <w:i w:val="0"/>
                <w:iCs/>
                <w:sz w:val="24"/>
                <w:szCs w:val="24"/>
                <w:highlight w:val="none"/>
                <w:u w:val="none"/>
                <w:lang w:val="en-US" w:eastAsia="zh-CN"/>
              </w:rPr>
              <w:t xml:space="preserve">以三个月为一个结算周期</w:t>
            </w:r>
            <w:r>
              <w:rPr>
                <w:rFonts w:hint="eastAsia" w:ascii="宋体" w:hAnsi="宋体" w:eastAsia="宋体" w:cs="宋体"/>
                <w:b w:val="0"/>
                <w:bCs/>
                <w:i w:val="0"/>
                <w:iCs/>
                <w:sz w:val="24"/>
                <w:szCs w:val="24"/>
                <w:highlight w:val="none"/>
                <w:u w:val="none"/>
                <w:lang w:eastAsia="zh-CN"/>
              </w:rPr>
              <w:t xml:space="preserve">）</w:t>
            </w:r>
            <w:r>
              <w:rPr>
                <w:rFonts w:hint="eastAsia" w:ascii="宋体" w:hAnsi="宋体" w:eastAsia="宋体" w:cs="宋体"/>
                <w:b w:val="0"/>
                <w:bCs/>
                <w:i w:val="0"/>
                <w:iCs/>
                <w:sz w:val="24"/>
                <w:szCs w:val="24"/>
                <w:highlight w:val="none"/>
                <w:u w:val="none"/>
              </w:rPr>
              <w:t xml:space="preserve">考核结算。</w:t>
            </w:r>
            <w:r/>
          </w:p>
          <w:p>
            <w:pPr>
              <w:ind w:firstLine="720"/>
              <w:keepLines w:val="0"/>
              <w:keepNext w:val="0"/>
              <w:pageBreakBefore w:val="0"/>
              <w:spacing w:after="0" w:line="280" w:lineRule="exact"/>
              <w:widowControl w:val="off"/>
              <w:rPr>
                <w:rFonts w:hint="eastAsia" w:ascii="宋体" w:hAnsi="宋体" w:eastAsia="宋体" w:cs="宋体"/>
                <w:b w:val="0"/>
                <w:bCs/>
                <w:i w:val="0"/>
                <w:iCs/>
                <w:sz w:val="24"/>
                <w:szCs w:val="24"/>
                <w:highlight w:val="none"/>
                <w:u w:val="none"/>
              </w:rPr>
            </w:pPr>
            <w:r>
              <w:rPr>
                <w:rFonts w:hint="eastAsia" w:ascii="宋体" w:hAnsi="宋体" w:eastAsia="宋体" w:cs="宋体"/>
                <w:b w:val="0"/>
                <w:bCs/>
                <w:i w:val="0"/>
                <w:iCs/>
                <w:sz w:val="24"/>
                <w:szCs w:val="24"/>
                <w:highlight w:val="none"/>
                <w:u w:val="none"/>
                <w:lang w:val="en-US" w:eastAsia="zh-CN"/>
              </w:rPr>
              <w:t xml:space="preserve">7</w:t>
            </w:r>
            <w:r>
              <w:rPr>
                <w:rFonts w:hint="eastAsia" w:ascii="宋体" w:hAnsi="宋体" w:eastAsia="宋体" w:cs="宋体"/>
                <w:b w:val="0"/>
                <w:bCs/>
                <w:i w:val="0"/>
                <w:iCs/>
                <w:sz w:val="24"/>
                <w:szCs w:val="24"/>
                <w:highlight w:val="none"/>
                <w:u w:val="none"/>
              </w:rPr>
              <w:t xml:space="preserve">.</w:t>
            </w:r>
            <w:r>
              <w:rPr>
                <w:rFonts w:hint="eastAsia" w:ascii="宋体" w:hAnsi="宋体" w:eastAsia="宋体" w:cs="宋体"/>
                <w:b w:val="0"/>
                <w:bCs/>
                <w:i w:val="0"/>
                <w:iCs/>
                <w:sz w:val="24"/>
                <w:szCs w:val="24"/>
                <w:highlight w:val="none"/>
                <w:u w:val="none"/>
                <w:lang w:val="en-US" w:eastAsia="zh-CN"/>
              </w:rPr>
              <w:t xml:space="preserve">3</w:t>
            </w:r>
            <w:r>
              <w:rPr>
                <w:rFonts w:hint="eastAsia" w:ascii="宋体" w:hAnsi="宋体" w:eastAsia="宋体" w:cs="宋体"/>
                <w:b w:val="0"/>
                <w:bCs/>
                <w:i w:val="0"/>
                <w:iCs/>
                <w:sz w:val="24"/>
                <w:szCs w:val="24"/>
                <w:highlight w:val="none"/>
                <w:u w:val="none"/>
              </w:rPr>
              <w:t xml:space="preserve">、服务期开始之日起每</w:t>
            </w:r>
            <w:r>
              <w:rPr>
                <w:rFonts w:hint="eastAsia" w:ascii="宋体" w:hAnsi="宋体" w:eastAsia="宋体" w:cs="宋体"/>
                <w:b w:val="0"/>
                <w:bCs/>
                <w:i w:val="0"/>
                <w:iCs/>
                <w:sz w:val="24"/>
                <w:szCs w:val="24"/>
                <w:highlight w:val="none"/>
                <w:u w:val="none"/>
                <w:lang w:val="en-US" w:eastAsia="zh-CN"/>
              </w:rPr>
              <w:t xml:space="preserve">三个月</w:t>
            </w:r>
            <w:r>
              <w:rPr>
                <w:rFonts w:hint="eastAsia" w:ascii="宋体" w:hAnsi="宋体" w:eastAsia="宋体" w:cs="宋体"/>
                <w:b w:val="0"/>
                <w:bCs/>
                <w:i w:val="0"/>
                <w:iCs/>
                <w:sz w:val="24"/>
                <w:szCs w:val="24"/>
                <w:highlight w:val="none"/>
                <w:u w:val="none"/>
              </w:rPr>
              <w:t xml:space="preserve">之后的一个月内，</w:t>
            </w:r>
            <w:r>
              <w:rPr>
                <w:rFonts w:hint="eastAsia" w:ascii="宋体" w:hAnsi="宋体" w:eastAsia="宋体" w:cs="宋体"/>
                <w:b w:val="0"/>
                <w:bCs/>
                <w:i w:val="0"/>
                <w:iCs/>
                <w:sz w:val="24"/>
                <w:szCs w:val="24"/>
                <w:highlight w:val="none"/>
                <w:u w:val="none"/>
                <w:lang w:val="en-US" w:eastAsia="zh-CN"/>
              </w:rPr>
              <w:t xml:space="preserve">采购人向中标人</w:t>
            </w:r>
            <w:r>
              <w:rPr>
                <w:rFonts w:hint="eastAsia" w:ascii="宋体" w:hAnsi="宋体" w:eastAsia="宋体" w:cs="宋体"/>
                <w:b w:val="0"/>
                <w:bCs/>
                <w:i w:val="0"/>
                <w:iCs/>
                <w:sz w:val="24"/>
                <w:szCs w:val="24"/>
                <w:highlight w:val="none"/>
                <w:u w:val="none"/>
              </w:rPr>
              <w:t xml:space="preserve">支付上个季度的服务费用（按服务总费用的</w:t>
            </w:r>
            <w:r>
              <w:rPr>
                <w:rFonts w:hint="eastAsia" w:ascii="宋体" w:hAnsi="宋体" w:eastAsia="宋体" w:cs="宋体"/>
                <w:b w:val="0"/>
                <w:bCs/>
                <w:i w:val="0"/>
                <w:iCs/>
                <w:sz w:val="24"/>
                <w:szCs w:val="24"/>
                <w:highlight w:val="none"/>
                <w:u w:val="none"/>
                <w:lang w:val="en-US" w:eastAsia="zh-CN"/>
              </w:rPr>
              <w:t xml:space="preserve">11.25</w:t>
            </w:r>
            <w:r>
              <w:rPr>
                <w:rFonts w:hint="eastAsia" w:ascii="宋体" w:hAnsi="宋体" w:eastAsia="宋体" w:cs="宋体"/>
                <w:b w:val="0"/>
                <w:bCs/>
                <w:i w:val="0"/>
                <w:iCs/>
                <w:sz w:val="24"/>
                <w:szCs w:val="24"/>
                <w:highlight w:val="none"/>
                <w:u w:val="none"/>
              </w:rPr>
              <w:t xml:space="preserve">%计算）；考核办法详见工作考核标准。</w:t>
            </w:r>
            <w:r/>
          </w:p>
          <w:p>
            <w:pPr>
              <w:ind w:firstLine="720"/>
              <w:keepLines w:val="0"/>
              <w:keepNext w:val="0"/>
              <w:pageBreakBefore w:val="0"/>
              <w:spacing w:after="0" w:line="28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季度考核得分≥90分：不扣除当季度服务费用。</w:t>
            </w:r>
            <w:r/>
          </w:p>
          <w:p>
            <w:pPr>
              <w:ind w:firstLine="720"/>
              <w:keepLines w:val="0"/>
              <w:keepNext w:val="0"/>
              <w:pageBreakBefore w:val="0"/>
              <w:spacing w:after="0" w:line="28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85分≤季度考核得分＜90分：每低于90分1分，扣减服务费用500元；</w:t>
            </w:r>
            <w:r/>
          </w:p>
          <w:p>
            <w:pPr>
              <w:ind w:firstLine="720"/>
              <w:keepLines w:val="0"/>
              <w:keepNext w:val="0"/>
              <w:pageBreakBefore w:val="0"/>
              <w:spacing w:after="0" w:line="28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80分≤季度考核得分＜85分：每低于85分1分，扣减服务费用1000元；</w:t>
            </w:r>
            <w:r/>
          </w:p>
          <w:p>
            <w:pPr>
              <w:ind w:firstLine="720"/>
              <w:keepLines w:val="0"/>
              <w:keepNext w:val="0"/>
              <w:pageBreakBefore w:val="0"/>
              <w:spacing w:after="0" w:line="28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70分≤季度考核得分＜80分：每低于80分1分，扣减服务费用1500元并按照采购人要求限期全面整改；</w:t>
            </w:r>
            <w:r/>
          </w:p>
          <w:p>
            <w:pPr>
              <w:ind w:firstLine="720"/>
              <w:keepLines w:val="0"/>
              <w:keepNext w:val="0"/>
              <w:pageBreakBefore w:val="0"/>
              <w:spacing w:after="0" w:line="28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季度考核得分＜70分：采购人有权单方解除本服务合约。</w:t>
            </w:r>
            <w:r/>
          </w:p>
          <w:p>
            <w:pPr>
              <w:ind w:firstLine="720"/>
              <w:keepLines w:val="0"/>
              <w:keepNext w:val="0"/>
              <w:pageBreakBefore w:val="0"/>
              <w:spacing w:after="0" w:line="280" w:lineRule="exact"/>
              <w:widowControl w:val="off"/>
              <w:rPr>
                <w:rFonts w:hint="default"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7.4、</w:t>
            </w:r>
            <w:r>
              <w:rPr>
                <w:rFonts w:hint="eastAsia" w:ascii="宋体" w:hAnsi="宋体" w:eastAsia="宋体" w:cs="宋体"/>
                <w:b w:val="0"/>
                <w:bCs/>
                <w:i w:val="0"/>
                <w:iCs/>
                <w:sz w:val="24"/>
                <w:szCs w:val="24"/>
                <w:highlight w:val="none"/>
                <w:u w:val="none"/>
              </w:rPr>
              <w:t xml:space="preserve">本项目所有停车费收入每月</w:t>
            </w:r>
            <w:r>
              <w:rPr>
                <w:rFonts w:hint="eastAsia" w:ascii="宋体" w:hAnsi="宋体" w:eastAsia="宋体" w:cs="宋体"/>
                <w:b w:val="0"/>
                <w:bCs/>
                <w:i w:val="0"/>
                <w:iCs/>
                <w:sz w:val="24"/>
                <w:szCs w:val="24"/>
                <w:highlight w:val="none"/>
                <w:u w:val="none"/>
                <w:lang w:val="en-US" w:eastAsia="zh-CN"/>
              </w:rPr>
              <w:t xml:space="preserve">经由</w:t>
            </w:r>
            <w:r>
              <w:rPr>
                <w:rFonts w:hint="eastAsia" w:ascii="宋体" w:hAnsi="宋体" w:eastAsia="宋体" w:cs="宋体"/>
                <w:b w:val="0"/>
                <w:bCs/>
                <w:i w:val="0"/>
                <w:iCs/>
                <w:sz w:val="24"/>
                <w:szCs w:val="24"/>
                <w:highlight w:val="none"/>
                <w:u w:val="none"/>
              </w:rPr>
              <w:t xml:space="preserve">采购人</w:t>
            </w:r>
            <w:r>
              <w:rPr>
                <w:rFonts w:hint="eastAsia" w:ascii="宋体" w:hAnsi="宋体" w:eastAsia="宋体" w:cs="宋体"/>
                <w:b w:val="0"/>
                <w:bCs/>
                <w:i w:val="0"/>
                <w:iCs/>
                <w:sz w:val="24"/>
                <w:szCs w:val="24"/>
                <w:highlight w:val="none"/>
                <w:u w:val="none"/>
                <w:lang w:val="en-US" w:eastAsia="zh-CN"/>
              </w:rPr>
              <w:t xml:space="preserve">与中标人通过对账单形式确认无误</w:t>
            </w:r>
            <w:r>
              <w:rPr>
                <w:rFonts w:hint="eastAsia" w:ascii="宋体" w:hAnsi="宋体" w:eastAsia="宋体" w:cs="宋体"/>
                <w:b w:val="0"/>
                <w:bCs/>
                <w:i w:val="0"/>
                <w:iCs/>
                <w:sz w:val="24"/>
                <w:szCs w:val="24"/>
                <w:highlight w:val="none"/>
                <w:u w:val="none"/>
              </w:rPr>
              <w:t xml:space="preserve">后</w:t>
            </w:r>
            <w:r>
              <w:rPr>
                <w:rFonts w:hint="eastAsia" w:ascii="宋体" w:hAnsi="宋体" w:eastAsia="宋体" w:cs="宋体"/>
                <w:b w:val="0"/>
                <w:bCs/>
                <w:i w:val="0"/>
                <w:iCs/>
                <w:sz w:val="24"/>
                <w:szCs w:val="24"/>
                <w:highlight w:val="none"/>
                <w:u w:val="none"/>
                <w:lang w:eastAsia="zh-CN"/>
              </w:rPr>
              <w:t xml:space="preserve">，</w:t>
            </w:r>
            <w:r>
              <w:rPr>
                <w:rFonts w:hint="eastAsia" w:ascii="宋体" w:hAnsi="宋体" w:eastAsia="宋体" w:cs="宋体"/>
                <w:b w:val="0"/>
                <w:bCs/>
                <w:i w:val="0"/>
                <w:iCs/>
                <w:sz w:val="24"/>
                <w:szCs w:val="24"/>
                <w:highlight w:val="none"/>
                <w:u w:val="none"/>
                <w:lang w:val="en-US" w:eastAsia="zh-CN"/>
              </w:rPr>
              <w:t xml:space="preserve">由中标人</w:t>
            </w:r>
            <w:r>
              <w:rPr>
                <w:rFonts w:hint="eastAsia" w:ascii="宋体" w:hAnsi="宋体" w:eastAsia="宋体" w:cs="宋体"/>
                <w:b w:val="0"/>
                <w:bCs/>
                <w:i w:val="0"/>
                <w:iCs/>
                <w:sz w:val="24"/>
                <w:szCs w:val="24"/>
                <w:highlight w:val="none"/>
                <w:u w:val="none"/>
              </w:rPr>
              <w:t xml:space="preserve">上交财政非税专户，车主可通过微信公众号自行申请开具非税发票</w:t>
            </w:r>
            <w:r>
              <w:rPr>
                <w:rFonts w:hint="eastAsia" w:ascii="宋体" w:hAnsi="宋体" w:eastAsia="宋体" w:cs="宋体"/>
                <w:b w:val="0"/>
                <w:bCs/>
                <w:i w:val="0"/>
                <w:iCs/>
                <w:sz w:val="24"/>
                <w:szCs w:val="24"/>
                <w:highlight w:val="none"/>
                <w:u w:val="none"/>
                <w:lang w:val="en-US" w:eastAsia="zh-CN"/>
              </w:rPr>
              <w:t xml:space="preserve">。</w:t>
            </w:r>
            <w:r/>
          </w:p>
          <w:p>
            <w:pPr>
              <w:ind w:firstLine="720"/>
              <w:keepLines w:val="0"/>
              <w:keepNext w:val="0"/>
              <w:pageBreakBefore w:val="0"/>
              <w:spacing w:after="0" w:line="280" w:lineRule="exact"/>
              <w:widowControl w:val="off"/>
              <w:rPr>
                <w:rFonts w:hint="eastAsia" w:ascii="宋体" w:hAnsi="宋体" w:eastAsia="宋体" w:cs="宋体"/>
                <w:b w:val="0"/>
                <w:bCs/>
                <w:i w:val="0"/>
                <w:iCs/>
                <w:sz w:val="24"/>
                <w:szCs w:val="24"/>
                <w:highlight w:val="none"/>
                <w:u w:val="none"/>
                <w:lang w:val="en-US" w:eastAsia="zh-CN"/>
              </w:rPr>
            </w:pPr>
            <w:r>
              <w:rPr>
                <w:rFonts w:hint="eastAsia" w:ascii="宋体" w:hAnsi="宋体" w:eastAsia="宋体" w:cs="宋体"/>
                <w:b w:val="0"/>
                <w:bCs/>
                <w:i w:val="0"/>
                <w:iCs/>
                <w:sz w:val="24"/>
                <w:szCs w:val="24"/>
                <w:highlight w:val="none"/>
                <w:u w:val="none"/>
                <w:lang w:val="en-US" w:eastAsia="zh-CN"/>
              </w:rPr>
              <w:t xml:space="preserve">（1）财政非税专户账户信息</w:t>
            </w:r>
            <w:r/>
          </w:p>
          <w:p>
            <w:pPr>
              <w:ind w:firstLine="787"/>
              <w:keepLines w:val="0"/>
              <w:keepNext w:val="0"/>
              <w:pageBreakBefore w:val="0"/>
              <w:spacing w:after="0" w:line="280" w:lineRule="exact"/>
              <w:widowControl w:val="off"/>
              <w:rPr>
                <w:rFonts w:hint="eastAsia"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lang w:val="en-US" w:eastAsia="zh-CN"/>
              </w:rPr>
              <w:t xml:space="preserve">名称:常熟市财政局(预算外资金)</w:t>
            </w:r>
            <w:r/>
          </w:p>
          <w:p>
            <w:pPr>
              <w:ind w:firstLine="787"/>
              <w:keepLines w:val="0"/>
              <w:keepNext w:val="0"/>
              <w:pageBreakBefore w:val="0"/>
              <w:spacing w:after="0" w:line="280" w:lineRule="exact"/>
              <w:widowControl w:val="off"/>
              <w:rPr>
                <w:rFonts w:hint="default"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lang w:val="en-US" w:eastAsia="zh-CN"/>
              </w:rPr>
              <w:t xml:space="preserve">账号:10523501040006855</w:t>
            </w:r>
            <w:r/>
          </w:p>
          <w:p>
            <w:pPr>
              <w:ind w:firstLine="787"/>
              <w:keepLines w:val="0"/>
              <w:keepNext w:val="0"/>
              <w:pageBreakBefore w:val="0"/>
              <w:spacing w:after="0" w:line="280" w:lineRule="exact"/>
              <w:widowControl w:val="off"/>
              <w:rPr>
                <w:rFonts w:hint="eastAsia" w:ascii="宋体" w:hAnsi="宋体" w:eastAsia="宋体" w:cs="宋体"/>
                <w:highlight w:val="none"/>
              </w:rPr>
            </w:pPr>
            <w:r>
              <w:rPr>
                <w:rFonts w:hint="eastAsia" w:ascii="宋体" w:hAnsi="宋体" w:eastAsia="宋体" w:cs="宋体"/>
                <w:bCs w:val="0"/>
                <w:sz w:val="24"/>
                <w:szCs w:val="24"/>
                <w:highlight w:val="none"/>
                <w:lang w:val="en-US" w:eastAsia="zh-CN"/>
              </w:rPr>
              <w:t xml:space="preserve">开户行:</w:t>
            </w:r>
            <w:r>
              <w:rPr>
                <w:rFonts w:hint="eastAsia" w:ascii="宋体" w:hAnsi="宋体" w:eastAsia="宋体" w:cs="宋体"/>
                <w:bCs w:val="0"/>
                <w:sz w:val="24"/>
                <w:szCs w:val="24"/>
                <w:highlight w:val="none"/>
                <w:lang w:val="en-US" w:eastAsia="zh-CN" w:bidi="ar-SA"/>
              </w:rPr>
              <w:t xml:space="preserve">中国农业银行常熟分行营业部</w:t>
            </w:r>
            <w:r/>
          </w:p>
          <w:p>
            <w:pPr>
              <w:ind w:firstLine="723"/>
              <w:keepLines w:val="0"/>
              <w:keepNext w:val="0"/>
              <w:pageBreakBefore w:val="0"/>
              <w:spacing w:line="300" w:lineRule="exact"/>
              <w:widowControl w:val="off"/>
              <w:rPr>
                <w:rFonts w:hint="eastAsia" w:ascii="宋体" w:hAnsi="宋体"/>
                <w:sz w:val="24"/>
                <w:szCs w:val="24"/>
              </w:rPr>
            </w:pPr>
            <w:r>
              <w:rPr>
                <w:b/>
                <w:bCs/>
                <w:i w:val="0"/>
                <w:iCs/>
                <w:sz w:val="24"/>
                <w:szCs w:val="24"/>
                <w:highlight w:val="none"/>
                <w:u w:val="none"/>
              </w:rPr>
              <w:t xml:space="preserve">注：</w:t>
            </w:r>
            <w:r>
              <w:rPr>
                <w:rFonts w:hint="eastAsia"/>
                <w:b/>
                <w:bCs/>
                <w:i w:val="0"/>
                <w:iCs/>
                <w:sz w:val="24"/>
                <w:szCs w:val="24"/>
                <w:highlight w:val="none"/>
                <w:u w:val="none"/>
              </w:rPr>
              <w:t xml:space="preserve">①</w:t>
            </w:r>
            <w:r>
              <w:rPr>
                <w:rFonts w:hint="eastAsia" w:cs="宋体"/>
                <w:b/>
                <w:bCs/>
                <w:i w:val="0"/>
                <w:iCs/>
                <w:sz w:val="24"/>
                <w:szCs w:val="24"/>
                <w:highlight w:val="none"/>
                <w:u w:val="none"/>
              </w:rPr>
              <w:t xml:space="preserve">在签订合同时，中标人明确表示无需预付款或者主动要求降低预付款比例的，可不适用上述第</w:t>
            </w:r>
            <w:r>
              <w:rPr>
                <w:rFonts w:hint="eastAsia" w:ascii="宋体" w:hAnsi="宋体" w:eastAsia="宋体" w:cs="宋体"/>
                <w:b/>
                <w:bCs/>
                <w:i w:val="0"/>
                <w:iCs/>
                <w:sz w:val="24"/>
                <w:szCs w:val="24"/>
                <w:highlight w:val="none"/>
                <w:u w:val="none"/>
                <w:lang w:val="en-US" w:eastAsia="zh-CN"/>
              </w:rPr>
              <w:t xml:space="preserve">7.1</w:t>
            </w:r>
            <w:r>
              <w:rPr>
                <w:rFonts w:hint="eastAsia" w:cs="宋体"/>
                <w:b/>
                <w:bCs/>
                <w:i w:val="0"/>
                <w:iCs/>
                <w:sz w:val="24"/>
                <w:szCs w:val="24"/>
                <w:highlight w:val="none"/>
                <w:u w:val="none"/>
              </w:rPr>
              <w:t xml:space="preserve">条规定。②</w:t>
            </w:r>
            <w:r>
              <w:rPr>
                <w:rFonts w:hint="eastAsia" w:cs="宋体"/>
                <w:b/>
                <w:bCs/>
                <w:i w:val="0"/>
                <w:iCs/>
                <w:sz w:val="24"/>
                <w:szCs w:val="24"/>
                <w:highlight w:val="none"/>
                <w:u w:val="none"/>
                <w:lang w:val="zh-CN"/>
              </w:rPr>
              <w:t xml:space="preserve">以上每次付款前，</w:t>
            </w:r>
            <w:r>
              <w:rPr>
                <w:rFonts w:hint="eastAsia" w:cs="宋体"/>
                <w:b/>
                <w:bCs/>
                <w:i w:val="0"/>
                <w:iCs/>
                <w:sz w:val="24"/>
                <w:szCs w:val="24"/>
                <w:highlight w:val="none"/>
                <w:u w:val="none"/>
              </w:rPr>
              <w:t xml:space="preserve">中标人</w:t>
            </w:r>
            <w:r>
              <w:rPr>
                <w:rFonts w:hint="eastAsia" w:cs="宋体"/>
                <w:b/>
                <w:bCs/>
                <w:i w:val="0"/>
                <w:iCs/>
                <w:sz w:val="24"/>
                <w:szCs w:val="24"/>
                <w:highlight w:val="none"/>
                <w:u w:val="none"/>
                <w:lang w:val="zh-CN"/>
              </w:rPr>
              <w:t xml:space="preserve">均应提供符合</w:t>
            </w:r>
            <w:r>
              <w:rPr>
                <w:rFonts w:hint="eastAsia" w:cs="宋体"/>
                <w:b/>
                <w:bCs/>
                <w:i w:val="0"/>
                <w:iCs/>
                <w:sz w:val="24"/>
                <w:szCs w:val="24"/>
                <w:highlight w:val="none"/>
                <w:u w:val="none"/>
              </w:rPr>
              <w:t xml:space="preserve">采购人</w:t>
            </w:r>
            <w:r>
              <w:rPr>
                <w:rFonts w:hint="eastAsia" w:cs="宋体"/>
                <w:b/>
                <w:bCs/>
                <w:i w:val="0"/>
                <w:iCs/>
                <w:sz w:val="24"/>
                <w:szCs w:val="24"/>
                <w:highlight w:val="none"/>
                <w:u w:val="none"/>
                <w:lang w:val="zh-CN"/>
              </w:rPr>
              <w:t xml:space="preserve">要求的同等金额的合法有效发票。否则，采购人有权顺延付款时间，且不承担任何违约及/或赔偿责任。</w:t>
            </w:r>
            <w:r>
              <w:rPr>
                <w:rFonts w:hint="eastAsia" w:cs="宋体"/>
                <w:b/>
                <w:bCs/>
                <w:i w:val="0"/>
                <w:iCs/>
                <w:sz w:val="24"/>
                <w:szCs w:val="24"/>
                <w:highlight w:val="none"/>
                <w:u w:val="none"/>
              </w:rPr>
              <w:t xml:space="preserve">③</w:t>
            </w:r>
            <w:r>
              <w:rPr>
                <w:rFonts w:hint="eastAsia"/>
                <w:b/>
                <w:bCs/>
                <w:i w:val="0"/>
                <w:iCs/>
                <w:sz w:val="24"/>
                <w:szCs w:val="24"/>
                <w:highlight w:val="none"/>
                <w:u w:val="none"/>
              </w:rPr>
              <w:t xml:space="preserve">本项目支付方式包括但不限于：数字人民币、现金、银行汇票、转账支票等。④投标人不满足本项目付款方式的，将作无效投标处理。</w:t>
            </w:r>
            <w:r/>
          </w:p>
        </w:tc>
        <w:tc>
          <w:tcPr>
            <w:tcW w:w="213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keepLines w:val="0"/>
              <w:keepNext w:val="0"/>
              <w:pageBreakBefore w:val="0"/>
              <w:spacing w:line="360" w:lineRule="exact"/>
              <w:widowControl w:val="off"/>
              <w:rPr>
                <w:rFonts w:hint="eastAsia" w:ascii="宋体" w:hAnsi="宋体"/>
                <w:sz w:val="24"/>
                <w:szCs w:val="24"/>
              </w:rPr>
            </w:pPr>
            <w:r>
              <w:rPr>
                <w:rFonts w:hint="eastAsia" w:ascii="宋体" w:hAnsi="宋体"/>
                <w:sz w:val="24"/>
                <w:szCs w:val="24"/>
              </w:rPr>
            </w:r>
            <w:r/>
          </w:p>
        </w:tc>
      </w:tr>
    </w:tbl>
    <w:p>
      <w:pPr>
        <w:ind w:firstLine="24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ind w:firstLine="24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.投标人未对实质性要求逐条作出明确响应的，或未按招标文件要求提供证明材料（如有）的，该项目作无效投标处理。</w:t>
      </w:r>
      <w:r/>
    </w:p>
    <w:p>
      <w:pPr>
        <w:rPr>
          <w:rFonts w:hint="eastAsia" w:ascii="宋体" w:hAnsi="宋体"/>
          <w:sz w:val="24"/>
          <w:szCs w:val="24"/>
        </w:rPr>
      </w:pPr>
      <w:r>
        <w:rPr>
          <w:rFonts w:hint="eastAsia" w:ascii="宋体" w:hAnsi="宋体"/>
          <w:sz w:val="24"/>
          <w:szCs w:val="24"/>
        </w:rPr>
        <w:br w:type="page" w:clear="all"/>
      </w:r>
      <w:r/>
    </w:p>
    <w:p>
      <w:pPr>
        <w:jc w:val="center"/>
        <w:spacing w:line="440" w:lineRule="exact"/>
        <w:rPr>
          <w:rFonts w:ascii="Times New Roman" w:hAnsi="Times New Roman"/>
          <w:b/>
          <w:bCs/>
          <w:sz w:val="28"/>
          <w:szCs w:val="28"/>
        </w:rPr>
        <w:outlineLvl w:val="1"/>
      </w:pPr>
      <w:r/>
      <w:bookmarkStart w:id="279" w:name="_Toc158042217"/>
      <w:r/>
      <w:bookmarkStart w:id="280" w:name="_Toc169"/>
      <w:r/>
      <w:bookmarkStart w:id="281" w:name="_Toc7550"/>
      <w:r/>
      <w:bookmarkStart w:id="282" w:name="_Toc20215"/>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12</w:t>
      </w:r>
      <w:r>
        <w:rPr>
          <w:rFonts w:hint="eastAsia" w:ascii="Times New Roman" w:hAnsi="Times New Roman"/>
          <w:b/>
          <w:bCs/>
          <w:sz w:val="28"/>
          <w:szCs w:val="28"/>
        </w:rPr>
        <w:t xml:space="preserve"> 人员一览表</w:t>
      </w:r>
      <w:bookmarkEnd w:id="279"/>
      <w:r/>
      <w:bookmarkEnd w:id="280"/>
      <w:r/>
      <w:bookmarkEnd w:id="281"/>
      <w:r/>
      <w:bookmarkEnd w:id="282"/>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2114"/>
        <w:gridCol w:w="1417"/>
        <w:gridCol w:w="1433"/>
        <w:gridCol w:w="1650"/>
        <w:gridCol w:w="2174"/>
      </w:tblGrid>
      <w:tr>
        <w:trPr>
          <w:jc w:val="center"/>
          <w:trHeight w:val="405"/>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hint="default" w:ascii="楷体_GB2312" w:hAnsi="Times New Roman" w:eastAsia="楷体_GB2312"/>
                <w:color w:val="000000"/>
                <w:sz w:val="24"/>
                <w:szCs w:val="24"/>
                <w:lang w:val="en-US" w:eastAsia="zh-CN"/>
              </w:rPr>
            </w:pPr>
            <w:r>
              <w:rPr>
                <w:rFonts w:hint="eastAsia" w:ascii="宋体" w:hAnsi="宋体"/>
                <w:color w:val="000000"/>
                <w:sz w:val="24"/>
                <w:szCs w:val="24"/>
                <w:lang w:val="en-US" w:eastAsia="zh-CN"/>
              </w:rPr>
              <w:t xml:space="preserve">工作岗位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备  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注：1、投标人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根据“第五章  评审因素和评分标准”要求进行填写。</w:t>
      </w:r>
      <w:r/>
    </w:p>
    <w:p>
      <w:pPr>
        <w:ind w:firstLine="480"/>
        <w:spacing w:line="440" w:lineRule="exact"/>
        <w:widowControl/>
        <w:rPr>
          <w:rFonts w:ascii="宋体" w:hAnsi="宋体" w:cs="宋体"/>
          <w:bCs/>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因表述含糊导致的评标风险将由</w:t>
      </w:r>
      <w:r>
        <w:rPr>
          <w:rFonts w:hint="eastAsia" w:ascii="宋体" w:hAnsi="宋体"/>
          <w:color w:val="000000"/>
          <w:sz w:val="24"/>
          <w:szCs w:val="24"/>
        </w:rPr>
        <w:t xml:space="preserve">投标人</w:t>
      </w:r>
      <w:r>
        <w:rPr>
          <w:rFonts w:hint="eastAsia" w:ascii="宋体" w:hAnsi="宋体" w:cs="宋体"/>
          <w:color w:val="000000"/>
          <w:sz w:val="24"/>
          <w:szCs w:val="24"/>
        </w:rPr>
        <w:t xml:space="preserve">自行</w:t>
      </w:r>
      <w:r>
        <w:rPr>
          <w:rFonts w:hint="eastAsia" w:ascii="宋体" w:hAnsi="宋体" w:cs="宋体"/>
          <w:bCs/>
          <w:color w:val="000000"/>
          <w:sz w:val="24"/>
          <w:szCs w:val="24"/>
        </w:rPr>
        <w:t xml:space="preserve">承担。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、如有需要说明的事项，请在备注中列明。</w:t>
      </w:r>
      <w:r/>
    </w:p>
    <w:p>
      <w:pPr>
        <w:rPr>
          <w:rFonts w:hint="eastAsia" w:ascii="宋体" w:hAnsi="宋体"/>
          <w:sz w:val="24"/>
          <w:szCs w:val="24"/>
        </w:rPr>
      </w:pPr>
      <w:r>
        <w:rPr>
          <w:rFonts w:hint="eastAsia" w:ascii="宋体" w:hAnsi="宋体" w:cs="宋体"/>
          <w:color w:val="000000"/>
          <w:sz w:val="24"/>
          <w:szCs w:val="24"/>
        </w:rPr>
        <w:br w:type="page" w:clear="all"/>
      </w:r>
      <w:r/>
    </w:p>
    <w:p>
      <w:pPr>
        <w:jc w:val="center"/>
        <w:spacing w:line="440" w:lineRule="exact"/>
        <w:rPr>
          <w:rFonts w:ascii="Times New Roman" w:hAnsi="Times New Roman"/>
          <w:b/>
          <w:bCs/>
          <w:sz w:val="28"/>
          <w:szCs w:val="28"/>
        </w:rPr>
        <w:outlineLvl w:val="1"/>
      </w:pPr>
      <w:r/>
      <w:bookmarkStart w:id="283" w:name="_Toc158042218"/>
      <w:r/>
      <w:bookmarkStart w:id="284" w:name="_Toc5741"/>
      <w:r/>
      <w:bookmarkStart w:id="285" w:name="_Toc9978"/>
      <w:r/>
      <w:bookmarkStart w:id="286" w:name="_Toc1912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13</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83"/>
      <w:r/>
      <w:bookmarkEnd w:id="284"/>
      <w:r/>
      <w:bookmarkEnd w:id="285"/>
      <w:r/>
      <w:bookmarkEnd w:id="286"/>
      <w:r/>
      <w:r/>
    </w:p>
    <w:p>
      <w:pP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根据“第五章  评审因素和评分标准”要求进行填写及提供相关证明材料。</w:t>
      </w:r>
      <w:r/>
    </w:p>
    <w:p>
      <w:pPr>
        <w:spacing w:line="440" w:lineRule="exact"/>
        <w:widowControl/>
        <w:rPr>
          <w:rFonts w:hint="eastAsia" w:ascii="宋体" w:hAnsi="宋体"/>
          <w:sz w:val="24"/>
          <w:szCs w:val="24"/>
        </w:rPr>
      </w:pPr>
      <w:r>
        <w:rPr>
          <w:rFonts w:hint="eastAsia" w:ascii="宋体" w:hAnsi="宋体"/>
          <w:sz w:val="24"/>
          <w:szCs w:val="24"/>
        </w:rPr>
        <w:br w:type="page" w:clear="all"/>
      </w:r>
      <w:r/>
    </w:p>
    <w:p>
      <w:pPr>
        <w:jc w:val="center"/>
        <w:spacing w:line="440" w:lineRule="exact"/>
        <w:rPr>
          <w:rFonts w:hint="eastAsia" w:ascii="Times New Roman" w:hAnsi="Times New Roman"/>
          <w:b/>
          <w:bCs/>
          <w:sz w:val="28"/>
          <w:szCs w:val="28"/>
        </w:rPr>
        <w:outlineLvl w:val="1"/>
      </w:pPr>
      <w:r/>
      <w:bookmarkStart w:id="287" w:name="_Toc21964"/>
      <w:r/>
      <w:bookmarkStart w:id="288" w:name="_Toc7448"/>
      <w:r/>
      <w:bookmarkStart w:id="289" w:name="_Toc9730"/>
      <w:r/>
      <w:bookmarkStart w:id="290" w:name="_Toc31949"/>
      <w:r/>
      <w:bookmarkStart w:id="291" w:name="_Toc103080661"/>
      <w:r/>
      <w:bookmarkStart w:id="292" w:name="_Toc6173"/>
      <w:r/>
      <w:bookmarkStart w:id="293" w:name="_Toc26802"/>
      <w:r/>
      <w:bookmarkStart w:id="294" w:name="_Toc158042220"/>
      <w:r/>
      <w:bookmarkStart w:id="295" w:name="_Toc341427249"/>
      <w:r/>
      <w:bookmarkStart w:id="296" w:name="_Toc23187"/>
      <w:r/>
      <w:bookmarkStart w:id="297" w:name="_Toc414881347"/>
      <w:r/>
      <w:bookmarkStart w:id="298" w:name="_Toc21664"/>
      <w:r/>
      <w:bookmarkStart w:id="299" w:name="_Toc447796831"/>
      <w:r/>
      <w:bookmarkStart w:id="300" w:name="_Toc345248158"/>
      <w:r>
        <w:rPr>
          <w:rFonts w:hint="eastAsia" w:ascii="Times New Roman" w:hAnsi="Times New Roman"/>
          <w:b/>
          <w:bCs/>
          <w:sz w:val="28"/>
          <w:szCs w:val="28"/>
          <w:lang w:val="en-US" w:eastAsia="zh-CN"/>
        </w:rPr>
        <w:t xml:space="preserve">附件14 </w:t>
      </w:r>
      <w:r>
        <w:rPr>
          <w:rFonts w:hint="eastAsia" w:ascii="Times New Roman" w:hAnsi="Times New Roman"/>
          <w:b/>
          <w:bCs/>
          <w:sz w:val="28"/>
          <w:szCs w:val="28"/>
        </w:rPr>
        <w:t xml:space="preserve">业绩一览表</w:t>
      </w:r>
      <w:bookmarkEnd w:id="287"/>
      <w:r/>
      <w:bookmarkEnd w:id="288"/>
      <w:r/>
      <w:bookmarkEnd w:id="289"/>
      <w:r/>
      <w:bookmarkEnd w:id="290"/>
      <w:r/>
      <w:bookmarkEnd w:id="291"/>
      <w:r/>
      <w:bookmarkEnd w:id="292"/>
      <w:r/>
      <w:bookmarkEnd w:id="293"/>
      <w:r/>
      <w:r/>
    </w:p>
    <w:tbl>
      <w:tblPr>
        <w:tblStyle w:val="737"/>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740"/>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业主单位</w:t>
            </w:r>
            <w:r/>
          </w:p>
        </w:tc>
        <w:tc>
          <w:tcPr>
            <w:tcW w:w="1798" w:type="dxa"/>
            <w:vAlign w:val="center"/>
            <w:textDirection w:val="lrTb"/>
            <w:noWrap w:val="false"/>
          </w:tcPr>
          <w:p>
            <w:pPr>
              <w:pStyle w:val="740"/>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合同内容</w:t>
            </w:r>
            <w:r/>
          </w:p>
        </w:tc>
        <w:tc>
          <w:tcPr>
            <w:tcW w:w="1798" w:type="dxa"/>
            <w:vAlign w:val="center"/>
            <w:textDirection w:val="lrTb"/>
            <w:noWrap w:val="false"/>
          </w:tcPr>
          <w:p>
            <w:pPr>
              <w:pStyle w:val="740"/>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40"/>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740"/>
              <w:jc w:val="center"/>
              <w:rPr>
                <w:rFonts w:ascii="Times New Roman" w:hAnsi="Times New Roman" w:eastAsia="宋体"/>
                <w:sz w:val="24"/>
              </w:rPr>
            </w:pPr>
            <w:r>
              <w:rPr>
                <w:rFonts w:ascii="Times New Roman" w:hAnsi="Times New Roman" w:eastAsia="宋体"/>
                <w:sz w:val="24"/>
              </w:rPr>
            </w:r>
            <w:r/>
          </w:p>
        </w:tc>
      </w:tr>
    </w:tbl>
    <w:p>
      <w:pPr>
        <w:spacing w:line="400" w:lineRule="exact"/>
        <w:rPr>
          <w:rFonts w:hint="eastAsia" w:eastAsiaTheme="minorEastAsia"/>
          <w:sz w:val="24"/>
          <w:szCs w:val="22"/>
          <w:lang w:eastAsia="zh-CN"/>
        </w:rPr>
      </w:pPr>
      <w:r>
        <w:rPr>
          <w:sz w:val="24"/>
          <w:szCs w:val="22"/>
        </w:rPr>
        <w:t xml:space="preserve">注：</w:t>
      </w:r>
      <w:r>
        <w:rPr>
          <w:rFonts w:ascii="Times New Roman" w:hAnsi="Times New Roman"/>
          <w:sz w:val="24"/>
          <w:szCs w:val="24"/>
        </w:rPr>
        <w:t xml:space="preserve">1</w:t>
      </w:r>
      <w:r>
        <w:rPr>
          <w:rFonts w:hint="eastAsia" w:ascii="Times New Roman" w:hAnsi="Times New Roman"/>
          <w:sz w:val="24"/>
          <w:szCs w:val="24"/>
          <w:lang w:eastAsia="zh-CN"/>
        </w:rPr>
        <w:t xml:space="preserve">、</w:t>
      </w:r>
      <w:r>
        <w:rPr>
          <w:rFonts w:hint="eastAsia" w:ascii="Times New Roman" w:hAnsi="Times New Roman"/>
          <w:sz w:val="24"/>
          <w:szCs w:val="24"/>
        </w:rPr>
        <w:t xml:space="preserve">投标人根据 “第五章 </w:t>
      </w:r>
      <w:r>
        <w:rPr>
          <w:rFonts w:hint="eastAsia" w:ascii="Times New Roman" w:hAnsi="Times New Roman"/>
          <w:sz w:val="24"/>
          <w:szCs w:val="24"/>
          <w:lang w:val="en-US" w:eastAsia="zh-CN"/>
        </w:rPr>
        <w:t xml:space="preserve">评审因素和评分标准</w:t>
      </w:r>
      <w:r>
        <w:rPr>
          <w:rFonts w:hint="eastAsia" w:ascii="Times New Roman" w:hAnsi="Times New Roman"/>
          <w:sz w:val="24"/>
          <w:szCs w:val="24"/>
        </w:rPr>
        <w:t xml:space="preserve">”填写上述表格并提供相关证明材料。</w:t>
      </w:r>
      <w:r/>
    </w:p>
    <w:p>
      <w:pPr>
        <w:ind w:firstLine="480"/>
        <w:spacing w:after="0" w:line="440" w:lineRule="exact"/>
        <w:widowControl w:val="off"/>
        <w:rPr>
          <w:rFonts w:hint="eastAsia"/>
          <w:sz w:val="24"/>
          <w:szCs w:val="22"/>
        </w:rPr>
      </w:pPr>
      <w:r>
        <w:rPr>
          <w:rFonts w:hint="eastAsia"/>
          <w:sz w:val="24"/>
          <w:szCs w:val="22"/>
          <w:lang w:val="en-US" w:eastAsia="zh-CN"/>
        </w:rPr>
        <w:t xml:space="preserve">2</w:t>
      </w:r>
      <w:r>
        <w:rPr>
          <w:sz w:val="24"/>
          <w:szCs w:val="22"/>
        </w:rPr>
        <w:t xml:space="preserve">、如有需要说明的事项，请在备注中列明。</w:t>
      </w:r>
      <w:r/>
    </w:p>
    <w:p>
      <w:pPr>
        <w:ind w:firstLine="480"/>
        <w:spacing w:after="0" w:line="440" w:lineRule="exact"/>
        <w:widowControl w:val="off"/>
        <w:rPr>
          <w:rFonts w:hint="eastAsia"/>
          <w:sz w:val="24"/>
          <w:szCs w:val="22"/>
        </w:rPr>
      </w:pPr>
      <w:r>
        <w:rPr>
          <w:rFonts w:hint="eastAsia"/>
          <w:sz w:val="24"/>
          <w:szCs w:val="22"/>
          <w:lang w:val="en-US" w:eastAsia="zh-CN"/>
        </w:rPr>
        <w:t xml:space="preserve">3</w:t>
      </w:r>
      <w:r>
        <w:rPr>
          <w:rFonts w:hint="eastAsia"/>
          <w:sz w:val="24"/>
          <w:szCs w:val="22"/>
        </w:rPr>
        <w:t xml:space="preserve">、我方在此声明，我方所提供的以上资料均真实和准确；我方保证上述信息的真实和准确，并愿意承担因我方就此弄虚作假所引起的一切法律后果。</w:t>
      </w:r>
      <w:bookmarkEnd w:id="294"/>
      <w:bookmarkEnd w:id="295"/>
      <w:bookmarkEnd w:id="296"/>
      <w:bookmarkEnd w:id="297"/>
      <w:bookmarkEnd w:id="298"/>
      <w:bookmarkEnd w:id="299"/>
      <w:bookmarkEnd w:id="300"/>
      <w:r/>
    </w:p>
    <w:p>
      <w:pPr>
        <w:rPr>
          <w:rFonts w:hint="eastAsia" w:ascii="宋体" w:hAnsi="宋体"/>
          <w:sz w:val="24"/>
          <w:szCs w:val="24"/>
        </w:rPr>
      </w:pPr>
      <w:r>
        <w:rPr>
          <w:rFonts w:hint="eastAsia" w:ascii="宋体" w:hAnsi="宋体"/>
          <w:sz w:val="24"/>
          <w:szCs w:val="24"/>
        </w:rPr>
      </w:r>
      <w:r/>
    </w:p>
    <w:sectPr>
      <w:footnotePr/>
      <w:endnotePr/>
      <w:type w:val="nextPage"/>
      <w:pgSz w:w="11905" w:h="16832" w:orient="portrait"/>
      <w:pgMar w:top="1820" w:right="947" w:bottom="1808" w:left="1009" w:header="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幼圆">
    <w:panose1 w:val="02010509060101010101"/>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r/>
  </w:p>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6"/>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49</w:t>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6"/>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49</w:t>
                    </w:r>
                    <w:r>
                      <w:t xml:space="preserve"> 页</w:t>
                    </w:r>
                    <w:r/>
                  </w:p>
                </w:txbxContent>
              </v:textbox>
            </v:shape>
          </w:pict>
        </mc:Fallback>
      </mc:AlternateContent>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49</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right="360"/>
      <w:jc w:val="center"/>
      <w:rPr>
        <w:rFonts w:ascii="Times New Roman" w:hAnsi="Times New Roman" w:eastAsiaTheme="minorEastAsia"/>
        <w:szCs w:val="18"/>
      </w:rPr>
    </w:pPr>
    <w:r>
      <w:rPr>
        <w:rFonts w:ascii="Times New Roman" w:hAnsi="Times New Roman" w:eastAsiaTheme="minorEastAsia"/>
        <w:szCs w:val="18"/>
      </w:rPr>
      <w:t xml:space="preserve">第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54</w:t>
    </w:r>
    <w:r>
      <w:rPr>
        <w:rFonts w:ascii="Times New Roman" w:hAnsi="Times New Roman" w:eastAsiaTheme="minorEastAsia"/>
        <w:szCs w:val="18"/>
      </w:rPr>
      <w:fldChar w:fldCharType="end"/>
    </w:r>
    <w:r>
      <w:rPr>
        <w:rFonts w:ascii="Times New Roman" w:hAnsi="Times New Roman" w:eastAsiaTheme="minorEastAsia"/>
        <w:szCs w:val="18"/>
      </w:rPr>
      <w:t xml:space="preserve"> 页/共 </w:t>
    </w:r>
    <w:r>
      <w:rPr>
        <w:rFonts w:hint="eastAsia" w:eastAsiaTheme="minorEastAsia"/>
        <w:szCs w:val="18"/>
        <w:lang w:val="en-US" w:eastAsia="zh-CN"/>
      </w:rPr>
      <w:t xml:space="preserve">49</w:t>
    </w:r>
    <w:r>
      <w:rPr>
        <w:rFonts w:ascii="Times New Roman" w:hAnsi="Times New Roman" w:eastAsiaTheme="minorEastAsia"/>
        <w:szCs w:val="18"/>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rPr>
        <w:rFonts w:hint="eastAsia"/>
        <w:sz w:val="21"/>
        <w:szCs w:val="22"/>
        <w:lang w:val="en-US" w:eastAsia="zh-CN"/>
      </w:rPr>
    </w:pPr>
    <w:r>
      <w:rPr>
        <w:rFonts w:hint="eastAsia"/>
        <w:sz w:val="21"/>
        <w:szCs w:val="22"/>
        <w:lang w:val="en-US" w:eastAsia="zh-CN"/>
      </w:rPr>
    </w:r>
    <w:r/>
  </w:p>
  <w:p>
    <w:pPr>
      <w:pStyle w:val="747"/>
      <w:jc w:val="both"/>
      <w:rPr>
        <w:rFonts w:hint="eastAsia"/>
        <w:b/>
        <w:bCs/>
        <w:spacing w:val="6"/>
        <w:sz w:val="21"/>
      </w:rPr>
    </w:pPr>
    <w:r>
      <w:rPr>
        <w:rFonts w:hint="eastAsia"/>
        <w:b/>
        <w:bCs/>
        <w:spacing w:val="6"/>
        <w:sz w:val="21"/>
      </w:rPr>
    </w:r>
    <w:r/>
  </w:p>
  <w:p>
    <w:pPr>
      <w:pStyle w:val="747"/>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6"/>
    <w:link w:val="734"/>
    <w:uiPriority w:val="9"/>
    <w:rPr>
      <w:rFonts w:ascii="Arial" w:hAnsi="Arial" w:eastAsia="Arial" w:cs="Arial"/>
      <w:sz w:val="40"/>
      <w:szCs w:val="40"/>
    </w:rPr>
  </w:style>
  <w:style w:type="character" w:styleId="15">
    <w:name w:val="Heading 2 Char"/>
    <w:basedOn w:val="736"/>
    <w:link w:val="735"/>
    <w:uiPriority w:val="9"/>
    <w:rPr>
      <w:rFonts w:ascii="Arial" w:hAnsi="Arial" w:eastAsia="Arial" w:cs="Arial"/>
      <w:sz w:val="34"/>
    </w:rPr>
  </w:style>
  <w:style w:type="paragraph" w:styleId="16">
    <w:name w:val="Heading 3"/>
    <w:basedOn w:val="733"/>
    <w:next w:val="7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6"/>
    <w:link w:val="16"/>
    <w:uiPriority w:val="9"/>
    <w:rPr>
      <w:rFonts w:ascii="Arial" w:hAnsi="Arial" w:eastAsia="Arial" w:cs="Arial"/>
      <w:sz w:val="30"/>
      <w:szCs w:val="30"/>
    </w:rPr>
  </w:style>
  <w:style w:type="paragraph" w:styleId="18">
    <w:name w:val="Heading 4"/>
    <w:basedOn w:val="733"/>
    <w:next w:val="7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36"/>
    <w:link w:val="18"/>
    <w:uiPriority w:val="9"/>
    <w:rPr>
      <w:rFonts w:ascii="Arial" w:hAnsi="Arial" w:eastAsia="Arial" w:cs="Arial"/>
      <w:b/>
      <w:bCs/>
      <w:sz w:val="26"/>
      <w:szCs w:val="26"/>
    </w:rPr>
  </w:style>
  <w:style w:type="paragraph" w:styleId="20">
    <w:name w:val="Heading 5"/>
    <w:basedOn w:val="733"/>
    <w:next w:val="7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6"/>
    <w:link w:val="20"/>
    <w:uiPriority w:val="9"/>
    <w:rPr>
      <w:rFonts w:ascii="Arial" w:hAnsi="Arial" w:eastAsia="Arial" w:cs="Arial"/>
      <w:b/>
      <w:bCs/>
      <w:sz w:val="24"/>
      <w:szCs w:val="24"/>
    </w:rPr>
  </w:style>
  <w:style w:type="paragraph" w:styleId="22">
    <w:name w:val="Heading 6"/>
    <w:basedOn w:val="733"/>
    <w:next w:val="7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6"/>
    <w:link w:val="22"/>
    <w:uiPriority w:val="9"/>
    <w:rPr>
      <w:rFonts w:ascii="Arial" w:hAnsi="Arial" w:eastAsia="Arial" w:cs="Arial"/>
      <w:b/>
      <w:bCs/>
      <w:sz w:val="22"/>
      <w:szCs w:val="22"/>
    </w:rPr>
  </w:style>
  <w:style w:type="paragraph" w:styleId="24">
    <w:name w:val="Heading 7"/>
    <w:basedOn w:val="733"/>
    <w:next w:val="7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6"/>
    <w:link w:val="24"/>
    <w:uiPriority w:val="9"/>
    <w:rPr>
      <w:rFonts w:ascii="Arial" w:hAnsi="Arial" w:eastAsia="Arial" w:cs="Arial"/>
      <w:b/>
      <w:bCs/>
      <w:i/>
      <w:iCs/>
      <w:sz w:val="22"/>
      <w:szCs w:val="22"/>
    </w:rPr>
  </w:style>
  <w:style w:type="paragraph" w:styleId="26">
    <w:name w:val="Heading 8"/>
    <w:basedOn w:val="733"/>
    <w:next w:val="7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6"/>
    <w:link w:val="26"/>
    <w:uiPriority w:val="9"/>
    <w:rPr>
      <w:rFonts w:ascii="Arial" w:hAnsi="Arial" w:eastAsia="Arial" w:cs="Arial"/>
      <w:i/>
      <w:iCs/>
      <w:sz w:val="22"/>
      <w:szCs w:val="22"/>
    </w:rPr>
  </w:style>
  <w:style w:type="paragraph" w:styleId="28">
    <w:name w:val="Heading 9"/>
    <w:basedOn w:val="733"/>
    <w:next w:val="7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6"/>
    <w:link w:val="28"/>
    <w:uiPriority w:val="9"/>
    <w:rPr>
      <w:rFonts w:ascii="Arial" w:hAnsi="Arial" w:eastAsia="Arial" w:cs="Arial"/>
      <w:i/>
      <w:iCs/>
      <w:sz w:val="21"/>
      <w:szCs w:val="21"/>
    </w:rPr>
  </w:style>
  <w:style w:type="paragraph" w:styleId="30">
    <w:name w:val="List Paragraph"/>
    <w:basedOn w:val="7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3"/>
    <w:next w:val="733"/>
    <w:link w:val="34"/>
    <w:uiPriority w:val="10"/>
    <w:qFormat/>
    <w:pPr>
      <w:contextualSpacing/>
      <w:spacing w:before="300" w:after="200"/>
    </w:pPr>
    <w:rPr>
      <w:sz w:val="48"/>
      <w:szCs w:val="48"/>
    </w:rPr>
  </w:style>
  <w:style w:type="character" w:styleId="34">
    <w:name w:val="Title Char"/>
    <w:basedOn w:val="736"/>
    <w:link w:val="33"/>
    <w:uiPriority w:val="10"/>
    <w:rPr>
      <w:sz w:val="48"/>
      <w:szCs w:val="48"/>
    </w:rPr>
  </w:style>
  <w:style w:type="paragraph" w:styleId="35">
    <w:name w:val="Subtitle"/>
    <w:basedOn w:val="733"/>
    <w:next w:val="733"/>
    <w:link w:val="36"/>
    <w:uiPriority w:val="11"/>
    <w:qFormat/>
    <w:pPr>
      <w:spacing w:before="200" w:after="200"/>
    </w:pPr>
    <w:rPr>
      <w:sz w:val="24"/>
      <w:szCs w:val="24"/>
    </w:rPr>
  </w:style>
  <w:style w:type="character" w:styleId="36">
    <w:name w:val="Subtitle Char"/>
    <w:basedOn w:val="736"/>
    <w:link w:val="35"/>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6"/>
    <w:link w:val="747"/>
    <w:uiPriority w:val="99"/>
  </w:style>
  <w:style w:type="character" w:styleId="44">
    <w:name w:val="Footer Char"/>
    <w:basedOn w:val="736"/>
    <w:link w:val="746"/>
    <w:uiPriority w:val="99"/>
  </w:style>
  <w:style w:type="paragraph" w:styleId="45">
    <w:name w:val="Caption"/>
    <w:basedOn w:val="733"/>
    <w:next w:val="733"/>
    <w:uiPriority w:val="35"/>
    <w:semiHidden/>
    <w:unhideWhenUsed/>
    <w:qFormat/>
    <w:pPr>
      <w:spacing w:line="276" w:lineRule="auto"/>
    </w:pPr>
    <w:rPr>
      <w:b/>
      <w:bCs/>
      <w:color w:val="4f81bd" w:themeColor="accent1"/>
      <w:sz w:val="18"/>
      <w:szCs w:val="18"/>
    </w:rPr>
  </w:style>
  <w:style w:type="character" w:styleId="46">
    <w:name w:val="Caption Char"/>
    <w:basedOn w:val="45"/>
    <w:link w:val="746"/>
    <w:uiPriority w:val="99"/>
  </w:style>
  <w:style w:type="table" w:styleId="47">
    <w:name w:val="Table Grid"/>
    <w:basedOn w:val="7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6"/>
    <w:uiPriority w:val="99"/>
    <w:unhideWhenUsed/>
    <w:rPr>
      <w:vertAlign w:val="superscript"/>
    </w:rPr>
  </w:style>
  <w:style w:type="paragraph" w:styleId="177">
    <w:name w:val="endnote text"/>
    <w:basedOn w:val="7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6"/>
    <w:uiPriority w:val="99"/>
    <w:semiHidden/>
    <w:unhideWhenUsed/>
    <w:rPr>
      <w:vertAlign w:val="superscript"/>
    </w:rPr>
  </w:style>
  <w:style w:type="paragraph" w:styleId="182">
    <w:name w:val="toc 3"/>
    <w:basedOn w:val="733"/>
    <w:next w:val="733"/>
    <w:uiPriority w:val="39"/>
    <w:unhideWhenUsed/>
    <w:pPr>
      <w:ind w:left="567" w:right="0" w:firstLine="0"/>
      <w:spacing w:after="57"/>
    </w:pPr>
  </w:style>
  <w:style w:type="paragraph" w:styleId="183">
    <w:name w:val="toc 4"/>
    <w:basedOn w:val="733"/>
    <w:next w:val="733"/>
    <w:uiPriority w:val="39"/>
    <w:unhideWhenUsed/>
    <w:pPr>
      <w:ind w:left="850" w:right="0" w:firstLine="0"/>
      <w:spacing w:after="57"/>
    </w:pPr>
  </w:style>
  <w:style w:type="paragraph" w:styleId="184">
    <w:name w:val="toc 5"/>
    <w:basedOn w:val="733"/>
    <w:next w:val="733"/>
    <w:uiPriority w:val="39"/>
    <w:unhideWhenUsed/>
    <w:pPr>
      <w:ind w:left="1134" w:right="0" w:firstLine="0"/>
      <w:spacing w:after="57"/>
    </w:pPr>
  </w:style>
  <w:style w:type="paragraph" w:styleId="185">
    <w:name w:val="toc 6"/>
    <w:basedOn w:val="733"/>
    <w:next w:val="733"/>
    <w:uiPriority w:val="39"/>
    <w:unhideWhenUsed/>
    <w:pPr>
      <w:ind w:left="1417" w:right="0" w:firstLine="0"/>
      <w:spacing w:after="57"/>
    </w:pPr>
  </w:style>
  <w:style w:type="paragraph" w:styleId="186">
    <w:name w:val="toc 7"/>
    <w:basedOn w:val="733"/>
    <w:next w:val="733"/>
    <w:uiPriority w:val="39"/>
    <w:unhideWhenUsed/>
    <w:pPr>
      <w:ind w:left="1701" w:right="0" w:firstLine="0"/>
      <w:spacing w:after="57"/>
    </w:pPr>
  </w:style>
  <w:style w:type="paragraph" w:styleId="187">
    <w:name w:val="toc 8"/>
    <w:basedOn w:val="733"/>
    <w:next w:val="733"/>
    <w:uiPriority w:val="39"/>
    <w:unhideWhenUsed/>
    <w:pPr>
      <w:ind w:left="1984" w:right="0" w:firstLine="0"/>
      <w:spacing w:after="57"/>
    </w:pPr>
  </w:style>
  <w:style w:type="paragraph" w:styleId="188">
    <w:name w:val="toc 9"/>
    <w:basedOn w:val="733"/>
    <w:next w:val="7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3"/>
    <w:next w:val="733"/>
    <w:uiPriority w:val="99"/>
    <w:unhideWhenUsed/>
    <w:pPr>
      <w:spacing w:after="0" w:afterAutospacing="0"/>
    </w:pPr>
  </w:style>
  <w:style w:type="paragraph" w:styleId="733" w:default="1">
    <w:name w:val="Normal"/>
    <w:next w:val="734"/>
    <w:link w:val="75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34">
    <w:name w:val="Heading 1"/>
    <w:basedOn w:val="733"/>
    <w:next w:val="733"/>
    <w:uiPriority w:val="0"/>
    <w:qFormat/>
    <w:pPr>
      <w:jc w:val="center"/>
      <w:keepNext/>
      <w:tabs>
        <w:tab w:val="left" w:pos="200" w:leader="none"/>
      </w:tabs>
      <w:outlineLvl w:val="0"/>
    </w:pPr>
    <w:rPr>
      <w:rFonts w:ascii="宋体"/>
      <w:b/>
      <w:sz w:val="36"/>
    </w:rPr>
  </w:style>
  <w:style w:type="paragraph" w:styleId="735">
    <w:name w:val="Heading 2"/>
    <w:basedOn w:val="733"/>
    <w:next w:val="733"/>
    <w:uiPriority w:val="0"/>
    <w:qFormat/>
    <w:pPr>
      <w:jc w:val="center"/>
      <w:keepNext/>
      <w:outlineLvl w:val="1"/>
    </w:pPr>
    <w:rPr>
      <w:b/>
      <w:bCs/>
      <w:sz w:val="28"/>
      <w:szCs w:val="28"/>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Normal Indent"/>
    <w:basedOn w:val="733"/>
    <w:uiPriority w:val="0"/>
    <w:qFormat/>
    <w:pPr>
      <w:ind w:firstLine="420"/>
    </w:pPr>
  </w:style>
  <w:style w:type="paragraph" w:styleId="739">
    <w:name w:val="annotation text"/>
    <w:basedOn w:val="733"/>
    <w:uiPriority w:val="0"/>
    <w:qFormat/>
    <w:pPr>
      <w:jc w:val="left"/>
    </w:pPr>
  </w:style>
  <w:style w:type="paragraph" w:styleId="740">
    <w:name w:val="Body Text"/>
    <w:basedOn w:val="733"/>
    <w:next w:val="741"/>
    <w:uiPriority w:val="0"/>
    <w:qFormat/>
    <w:rPr>
      <w:rFonts w:ascii="楷体_GB2312" w:hAnsi="Arial" w:eastAsia="楷体_GB2312"/>
      <w:sz w:val="28"/>
    </w:rPr>
  </w:style>
  <w:style w:type="paragraph" w:styleId="741">
    <w:name w:val="Body Text First Indent"/>
    <w:basedOn w:val="740"/>
    <w:next w:val="742"/>
    <w:uiPriority w:val="99"/>
    <w:unhideWhenUsed/>
    <w:qFormat/>
    <w:pPr>
      <w:ind w:firstLine="420"/>
    </w:pPr>
  </w:style>
  <w:style w:type="paragraph" w:styleId="742">
    <w:name w:val="Body Text First Indent 2"/>
    <w:basedOn w:val="743"/>
    <w:next w:val="741"/>
    <w:uiPriority w:val="0"/>
    <w:qFormat/>
  </w:style>
  <w:style w:type="paragraph" w:styleId="743">
    <w:name w:val="Body Text Indent"/>
    <w:basedOn w:val="733"/>
    <w:next w:val="744"/>
    <w:uiPriority w:val="0"/>
    <w:qFormat/>
    <w:pPr>
      <w:ind w:firstLine="574"/>
      <w:spacing w:line="312" w:lineRule="atLeast"/>
    </w:pPr>
    <w:rPr>
      <w:rFonts w:ascii="宋体"/>
      <w:sz w:val="28"/>
    </w:rPr>
  </w:style>
  <w:style w:type="paragraph" w:styleId="744">
    <w:name w:val="envelope return"/>
    <w:basedOn w:val="733"/>
    <w:uiPriority w:val="0"/>
    <w:qFormat/>
    <w:rPr>
      <w:rFonts w:ascii="Arial" w:hAnsi="Arial"/>
    </w:rPr>
  </w:style>
  <w:style w:type="paragraph" w:styleId="745">
    <w:name w:val="Date"/>
    <w:basedOn w:val="733"/>
    <w:next w:val="733"/>
    <w:uiPriority w:val="0"/>
    <w:qFormat/>
    <w:pPr>
      <w:spacing w:line="312" w:lineRule="atLeast"/>
    </w:pPr>
    <w:rPr>
      <w:rFonts w:ascii="宋体"/>
      <w:sz w:val="28"/>
    </w:rPr>
  </w:style>
  <w:style w:type="paragraph" w:styleId="746">
    <w:name w:val="Footer"/>
    <w:basedOn w:val="733"/>
    <w:uiPriority w:val="99"/>
    <w:qFormat/>
    <w:pPr>
      <w:jc w:val="left"/>
      <w:tabs>
        <w:tab w:val="center" w:pos="4153" w:leader="none"/>
        <w:tab w:val="right" w:pos="8306" w:leader="none"/>
      </w:tabs>
    </w:pPr>
    <w:rPr>
      <w:sz w:val="18"/>
    </w:rPr>
  </w:style>
  <w:style w:type="paragraph" w:styleId="747">
    <w:name w:val="Header"/>
    <w:basedOn w:val="733"/>
    <w:uiPriority w:val="99"/>
    <w:qFormat/>
    <w:pPr>
      <w:jc w:val="center"/>
      <w:tabs>
        <w:tab w:val="center" w:pos="4153" w:leader="none"/>
        <w:tab w:val="right" w:pos="8306" w:leader="none"/>
      </w:tabs>
      <w:pBdr>
        <w:bottom w:val="single" w:color="auto" w:sz="6" w:space="1"/>
      </w:pBdr>
    </w:pPr>
    <w:rPr>
      <w:sz w:val="18"/>
    </w:rPr>
  </w:style>
  <w:style w:type="paragraph" w:styleId="748">
    <w:name w:val="Signature"/>
    <w:basedOn w:val="733"/>
    <w:uiPriority w:val="0"/>
    <w:qFormat/>
    <w:pPr>
      <w:jc w:val="center"/>
      <w:spacing w:after="600" w:line="312" w:lineRule="atLeast"/>
    </w:pPr>
    <w:rPr>
      <w:rFonts w:eastAsia="仿宋_GB2312"/>
      <w:sz w:val="24"/>
    </w:rPr>
  </w:style>
  <w:style w:type="paragraph" w:styleId="749">
    <w:name w:val="toc 1"/>
    <w:basedOn w:val="733"/>
    <w:next w:val="733"/>
    <w:uiPriority w:val="0"/>
    <w:qFormat/>
  </w:style>
  <w:style w:type="paragraph" w:styleId="750">
    <w:name w:val="toc 2"/>
    <w:basedOn w:val="733"/>
    <w:next w:val="733"/>
    <w:uiPriority w:val="0"/>
    <w:qFormat/>
    <w:pPr>
      <w:ind w:left="420"/>
    </w:pPr>
  </w:style>
  <w:style w:type="paragraph" w:styleId="751">
    <w:name w:val="Normal (Web)"/>
    <w:basedOn w:val="733"/>
    <w:uiPriority w:val="0"/>
    <w:qFormat/>
    <w:pPr>
      <w:ind w:left="0" w:right="0"/>
      <w:jc w:val="left"/>
      <w:spacing w:before="0" w:beforeAutospacing="1" w:after="0" w:afterAutospacing="1"/>
    </w:pPr>
    <w:rPr>
      <w:sz w:val="24"/>
      <w:lang w:val="en-US" w:eastAsia="zh-CN" w:bidi="ar"/>
    </w:rPr>
  </w:style>
  <w:style w:type="character" w:styleId="752">
    <w:name w:val="Strong"/>
    <w:uiPriority w:val="0"/>
    <w:qFormat/>
    <w:rPr>
      <w:b/>
      <w:bCs/>
    </w:rPr>
  </w:style>
  <w:style w:type="character" w:styleId="753">
    <w:name w:val="page number"/>
    <w:basedOn w:val="736"/>
    <w:uiPriority w:val="0"/>
    <w:qFormat/>
  </w:style>
  <w:style w:type="paragraph" w:styleId="754" w:customStyle="1">
    <w:name w:val="段"/>
    <w:next w:val="733"/>
    <w:uiPriority w:val="0"/>
    <w:qFormat/>
    <w:pPr>
      <w:ind w:firstLine="200"/>
      <w:jc w:val="both"/>
    </w:pPr>
    <w:rPr>
      <w:rFonts w:ascii="宋体" w:hAnsi="Times New Roman" w:eastAsia="Times New Roman" w:cs="Times New Roman"/>
      <w:sz w:val="21"/>
      <w:lang w:val="en-US" w:eastAsia="zh-CN" w:bidi="ar-SA"/>
    </w:rPr>
  </w:style>
  <w:style w:type="paragraph" w:styleId="755" w:customStyle="1">
    <w:name w:val="普通正文"/>
    <w:basedOn w:val="733"/>
    <w:uiPriority w:val="0"/>
    <w:qFormat/>
    <w:pPr>
      <w:ind w:firstLine="480"/>
      <w:jc w:val="left"/>
      <w:spacing w:before="120" w:after="120" w:line="360" w:lineRule="auto"/>
    </w:pPr>
    <w:rPr>
      <w:rFonts w:ascii="Arial" w:hAnsi="Arial" w:eastAsia="宋体" w:cs="Times New Roman"/>
      <w:sz w:val="24"/>
      <w:szCs w:val="24"/>
    </w:rPr>
  </w:style>
  <w:style w:type="paragraph" w:styleId="756" w:customStyle="1">
    <w:name w:val="页眉1"/>
    <w:basedOn w:val="73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57" w:customStyle="1">
    <w:name w:val="页脚1"/>
    <w:basedOn w:val="73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758" w:customStyle="1">
    <w:name w:val="页码1"/>
    <w:link w:val="733"/>
    <w:uiPriority w:val="0"/>
    <w:qFormat/>
    <w:rPr>
      <w:rFonts w:asciiTheme="minorHAnsi" w:hAnsiTheme="minorHAnsi" w:eastAsiaTheme="minorEastAsia" w:cstheme="minorBidi"/>
      <w:sz w:val="21"/>
      <w:szCs w:val="24"/>
      <w:lang w:val="en-US" w:eastAsia="zh-CN" w:bidi="ar-SA"/>
    </w:rPr>
  </w:style>
  <w:style w:type="paragraph" w:styleId="759" w:customStyle="1">
    <w:name w:val=" Char Char1 Char Char Char Char Char Char Char"/>
    <w:basedOn w:val="733"/>
    <w:uiPriority w:val="0"/>
    <w:qFormat/>
    <w:rPr>
      <w:rFonts w:ascii="Tahoma" w:hAnsi="Tahoma"/>
      <w:sz w:val="24"/>
    </w:rPr>
  </w:style>
  <w:style w:type="character" w:styleId="760" w:customStyle="1">
    <w:name w:val="font11"/>
    <w:basedOn w:val="736"/>
    <w:uiPriority w:val="0"/>
    <w:qFormat/>
    <w:rPr>
      <w:rFonts w:hint="eastAsia" w:ascii="宋体" w:hAnsi="宋体" w:eastAsia="宋体" w:cs="宋体"/>
      <w:b/>
      <w:bCs/>
      <w:color w:val="000000"/>
      <w:sz w:val="22"/>
      <w:szCs w:val="22"/>
      <w:u w:val="none"/>
    </w:rPr>
  </w:style>
  <w:style w:type="character" w:styleId="761" w:customStyle="1">
    <w:name w:val="font01"/>
    <w:basedOn w:val="736"/>
    <w:uiPriority w:val="0"/>
    <w:qFormat/>
    <w:rPr>
      <w:rFonts w:hint="eastAsia" w:ascii="宋体" w:hAnsi="宋体" w:eastAsia="宋体" w:cs="宋体"/>
      <w:color w:val="000000"/>
      <w:sz w:val="22"/>
      <w:szCs w:val="22"/>
      <w:u w:val="none"/>
    </w:rPr>
  </w:style>
  <w:style w:type="character" w:styleId="762" w:customStyle="1">
    <w:name w:val="font31"/>
    <w:basedOn w:val="736"/>
    <w:uiPriority w:val="0"/>
    <w:qFormat/>
    <w:rPr>
      <w:rFonts w:ascii="Arial Unicode MS" w:hAnsi="Arial Unicode MS" w:eastAsia="Arial Unicode MS" w:cs="Arial Unicode MS"/>
      <w:color w:val="000000"/>
      <w:sz w:val="20"/>
      <w:szCs w:val="20"/>
      <w:u w:val="none"/>
    </w:rPr>
  </w:style>
  <w:style w:type="character" w:styleId="763" w:customStyle="1">
    <w:name w:val="font41"/>
    <w:basedOn w:val="736"/>
    <w:uiPriority w:val="0"/>
    <w:qFormat/>
    <w:rPr>
      <w:rFonts w:hint="eastAsia" w:ascii="宋体" w:hAnsi="宋体" w:eastAsia="宋体" w:cs="宋体"/>
      <w:color w:val="000000"/>
      <w:sz w:val="22"/>
      <w:szCs w:val="22"/>
      <w:u w:val="none"/>
    </w:rPr>
  </w:style>
  <w:style w:type="table" w:styleId="764"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numbering" w:styleId="11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2</cp:revision>
  <dcterms:created xsi:type="dcterms:W3CDTF">2024-02-20T01:52:00Z</dcterms:created>
  <dcterms:modified xsi:type="dcterms:W3CDTF">2026-04-29T02:39:36Z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7A854A32E16D423E80CCC282263CCC18_13</vt:lpwstr>
  </property>
  <property fmtid="{D5CDD505-2E9C-101B-9397-08002B2CF9AE}" pid="4" name="KSOTemplateDocerSaveRecord">
    <vt:lpwstr>eyJoZGlkIjoiMzM4OGVkNDJmYjA2NjkxYjRjNjEzZmE3N2Y5YTIxYzMiLCJ1c2VySWQiOiIxMjAyODkwMzI4In0=</vt:lpwstr>
  </property>
</Properties>
</file>