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color w:val="000000"/>
          <w:sz w:val="44"/>
          <w:szCs w:val="44"/>
          <w:highlight w:val="none"/>
        </w:rPr>
      </w:pPr>
      <w:r>
        <w:rPr>
          <w:rFonts w:hint="eastAsia" w:ascii="仿宋" w:hAnsi="仿宋" w:eastAsia="仿宋" w:cs="仿宋"/>
          <w:b/>
          <w:bCs/>
          <w:color w:val="000000"/>
          <w:sz w:val="60"/>
          <w:szCs w:val="60"/>
          <w:highlight w:val="none"/>
        </w:rPr>
        <w:t xml:space="preserve">公开招标文件</w:t>
      </w:r>
      <w:r>
        <w:rPr>
          <w:rFonts w:hint="eastAsia" w:ascii="仿宋" w:hAnsi="仿宋" w:eastAsia="仿宋" w:cs="仿宋"/>
          <w:color w:val="000000"/>
          <w:sz w:val="44"/>
          <w:szCs w:val="44"/>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30"/>
          <w:szCs w:val="30"/>
          <w:highlight w:val="none"/>
        </w:rPr>
        <w:t xml:space="preserve">（全流程电子化-服务类项目，适用苏采云系统，专门面向中小企业）</w:t>
      </w:r>
      <w:r>
        <w:rPr>
          <w:rFonts w:hint="eastAsia" w:ascii="仿宋" w:hAnsi="仿宋" w:eastAsia="仿宋" w:cs="仿宋"/>
          <w:b/>
          <w:bCs/>
          <w:color w:val="000000"/>
          <w:sz w:val="60"/>
          <w:szCs w:val="60"/>
          <w:highlight w:val="none"/>
        </w:rPr>
      </w:r>
      <w:r/>
    </w:p>
    <w:p>
      <w:pPr>
        <w:pStyle w:val="1032"/>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bookmarkStart w:id="0" w:name="_Hlk138827153"/>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bookmarkEnd w:id="0"/>
            <w:r>
              <w:rPr>
                <w:rFonts w:hint="eastAsia" w:ascii="仿宋" w:hAnsi="仿宋" w:eastAsia="仿宋" w:cs="仿宋"/>
                <w:b/>
                <w:color w:val="000000"/>
                <w:sz w:val="32"/>
                <w:szCs w:val="32"/>
                <w:highlight w:val="none"/>
                <w:u w:val="single"/>
                <w:lang w:eastAsia="zh-CN"/>
              </w:rPr>
              <w:t xml:space="preserve">常州市钟楼区五星街道社区卫生服务中心职工食堂委托经营服务</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JSZC-320404-SCJX-G2026-0010</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   购  人：</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常州市钟楼区五星街道社区卫生服务中心</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采购代理机构：</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032"/>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32"/>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032"/>
        <w:jc w:val="cente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二〇二六年</w:t>
      </w:r>
      <w:r>
        <w:rPr>
          <w:rFonts w:hint="eastAsia" w:ascii="仿宋" w:hAnsi="仿宋" w:eastAsia="仿宋" w:cs="仿宋"/>
          <w:b/>
          <w:color w:val="000000"/>
          <w:sz w:val="36"/>
          <w:szCs w:val="36"/>
          <w:highlight w:val="none"/>
          <w:lang w:val="en-US" w:eastAsia="zh-CN"/>
        </w:rPr>
        <w:t xml:space="preserve">五</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p>
    <w:p>
      <w:pPr>
        <w:pStyle w:val="1032"/>
        <w:ind w:firstLine="7228"/>
        <w:spacing w:line="360" w:lineRule="auto"/>
        <w:rPr>
          <w:rFonts w:hint="eastAsia" w:ascii="仿宋" w:hAnsi="仿宋" w:eastAsia="仿宋" w:cs="仿宋"/>
          <w:b/>
          <w:color w:val="000000"/>
          <w:sz w:val="72"/>
          <w:highlight w:val="none"/>
        </w:rPr>
        <w:sectPr>
          <w:headerReference w:type="default" r:id="rId9"/>
          <w:headerReference w:type="first" r:id="rId10"/>
          <w:footerReference w:type="default" r:id="rId18"/>
          <w:footerReference w:type="even" r:id="rId19"/>
          <w:footerReference w:type="first" r:id="rId20"/>
          <w:footnotePr/>
          <w:endnotePr/>
          <w:type w:val="nextColumn"/>
          <w:pgSz w:w="11907" w:h="16840" w:orient="portrait"/>
          <w:pgMar w:top="1440" w:right="1080" w:bottom="1440" w:left="1080" w:header="851" w:footer="851" w:gutter="0"/>
          <w:pgNumType w:start="1"/>
          <w:cols w:num="1" w:sep="0" w:space="1701" w:equalWidth="1"/>
          <w:docGrid w:linePitch="360"/>
          <w:titlePg/>
        </w:sectPr>
      </w:pPr>
      <w:r>
        <w:rPr>
          <w:rFonts w:hint="eastAsia" w:ascii="仿宋" w:hAnsi="仿宋" w:eastAsia="仿宋" w:cs="仿宋"/>
          <w:b/>
          <w:color w:val="000000"/>
          <w:sz w:val="72"/>
          <w:highlight w:val="none"/>
        </w:rPr>
        <w:br w:type="page" w:clear="all"/>
      </w:r>
      <w:r/>
    </w:p>
    <w:p>
      <w:pPr>
        <w:pStyle w:val="1032"/>
        <w:jc w:val="center"/>
        <w:spacing w:line="360" w:lineRule="auto"/>
        <w:rPr>
          <w:rFonts w:hint="eastAsia" w:ascii="仿宋" w:hAnsi="仿宋" w:eastAsia="仿宋" w:cs="仿宋"/>
          <w:b/>
          <w:color w:val="000000"/>
          <w:sz w:val="36"/>
          <w:szCs w:val="36"/>
          <w:highlight w:val="none"/>
        </w:rPr>
        <w:outlineLvl w:val="0"/>
      </w:pPr>
      <w:r/>
      <w:bookmarkStart w:id="1" w:name="_Toc108044427"/>
      <w:r/>
      <w:bookmarkStart w:id="2" w:name="_Toc99301418"/>
      <w:r>
        <w:rPr>
          <w:rFonts w:hint="eastAsia" w:ascii="仿宋" w:hAnsi="仿宋" w:eastAsia="仿宋" w:cs="仿宋"/>
          <w:b/>
          <w:color w:val="000000"/>
          <w:sz w:val="36"/>
          <w:szCs w:val="36"/>
          <w:highlight w:val="none"/>
        </w:rPr>
      </w:r>
      <w:r/>
    </w:p>
    <w:p>
      <w:pPr>
        <w:pStyle w:val="1032"/>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目      录</w:t>
      </w:r>
      <w:bookmarkEnd w:id="1"/>
      <w:r/>
      <w:bookmarkEnd w:id="2"/>
      <w:r>
        <w:rPr>
          <w:rFonts w:hint="eastAsia" w:ascii="仿宋" w:hAnsi="仿宋" w:eastAsia="仿宋" w:cs="仿宋"/>
          <w:b/>
          <w:bCs/>
          <w:color w:val="000000"/>
          <w:sz w:val="44"/>
          <w:szCs w:val="44"/>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TOC \o "1-1" \h \z \u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_Toc17427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_Toc17427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_Toc12010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第二章   供应商须知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_Toc12010 \h </w:instrText>
      </w:r>
      <w:r>
        <w:rPr>
          <w:color w:val="000000"/>
          <w:sz w:val="28"/>
          <w:szCs w:val="28"/>
          <w:highlight w:val="none"/>
        </w:rPr>
        <w:fldChar w:fldCharType="separate"/>
      </w:r>
      <w:r>
        <w:rPr>
          <w:color w:val="000000"/>
          <w:sz w:val="28"/>
          <w:szCs w:val="28"/>
          <w:highlight w:val="none"/>
        </w:rPr>
        <w:t xml:space="preserve">4</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_Toc27092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_Toc27092 \h </w:instrText>
      </w:r>
      <w:r>
        <w:rPr>
          <w:color w:val="000000"/>
          <w:sz w:val="28"/>
          <w:szCs w:val="28"/>
          <w:highlight w:val="none"/>
        </w:rPr>
        <w:fldChar w:fldCharType="separate"/>
      </w:r>
      <w:r>
        <w:rPr>
          <w:color w:val="000000"/>
          <w:sz w:val="28"/>
          <w:szCs w:val="28"/>
          <w:highlight w:val="none"/>
        </w:rPr>
        <w:t xml:space="preserve">16</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_Toc19769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_Toc19769 \h </w:instrText>
      </w:r>
      <w:r>
        <w:rPr>
          <w:color w:val="000000"/>
          <w:sz w:val="28"/>
          <w:szCs w:val="28"/>
          <w:highlight w:val="none"/>
        </w:rPr>
        <w:fldChar w:fldCharType="separate"/>
      </w:r>
      <w:r>
        <w:rPr>
          <w:color w:val="000000"/>
          <w:sz w:val="28"/>
          <w:szCs w:val="28"/>
          <w:highlight w:val="none"/>
        </w:rPr>
        <w:t xml:space="preserve">18</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_Toc4942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_Toc4942 \h </w:instrText>
      </w:r>
      <w:r>
        <w:rPr>
          <w:color w:val="000000"/>
          <w:sz w:val="28"/>
          <w:szCs w:val="28"/>
          <w:highlight w:val="none"/>
        </w:rPr>
        <w:fldChar w:fldCharType="separate"/>
      </w:r>
      <w:r>
        <w:rPr>
          <w:color w:val="000000"/>
          <w:sz w:val="28"/>
          <w:szCs w:val="28"/>
          <w:highlight w:val="none"/>
        </w:rPr>
        <w:t xml:space="preserve">29</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_Toc27685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_Toc27685 \h </w:instrText>
      </w:r>
      <w:r>
        <w:rPr>
          <w:color w:val="000000"/>
          <w:sz w:val="28"/>
          <w:szCs w:val="28"/>
          <w:highlight w:val="none"/>
        </w:rPr>
        <w:fldChar w:fldCharType="separate"/>
      </w:r>
      <w:r>
        <w:rPr>
          <w:color w:val="000000"/>
          <w:sz w:val="28"/>
          <w:szCs w:val="28"/>
          <w:highlight w:val="none"/>
        </w:rPr>
        <w:t xml:space="preserve">38</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066"/>
        <w:spacing w:line="480" w:lineRule="auto"/>
        <w:tabs>
          <w:tab w:val="right" w:pos="9747" w:leader="dot"/>
        </w:tabs>
        <w:rPr>
          <w:color w:val="000000"/>
          <w:sz w:val="28"/>
          <w:szCs w:val="28"/>
          <w:highlight w:val="none"/>
        </w:rPr>
      </w:pP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rPr>
        <w:instrText xml:space="preserve"> HYPERLINK \l _Toc21295 </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color w:val="000000"/>
          <w:sz w:val="28"/>
          <w:szCs w:val="28"/>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_Toc21295 \h </w:instrText>
      </w:r>
      <w:r>
        <w:rPr>
          <w:color w:val="000000"/>
          <w:sz w:val="28"/>
          <w:szCs w:val="28"/>
          <w:highlight w:val="none"/>
        </w:rPr>
        <w:fldChar w:fldCharType="separate"/>
      </w:r>
      <w:r>
        <w:rPr>
          <w:color w:val="000000"/>
          <w:sz w:val="28"/>
          <w:szCs w:val="28"/>
          <w:highlight w:val="none"/>
        </w:rPr>
        <w:t xml:space="preserve">49</w:t>
      </w:r>
      <w:r>
        <w:rPr>
          <w:color w:val="000000"/>
          <w:sz w:val="28"/>
          <w:szCs w:val="28"/>
          <w:highlight w:val="none"/>
        </w:rPr>
        <w:fldChar w:fldCharType="end"/>
      </w:r>
      <w:r>
        <w:rPr>
          <w:rFonts w:hint="eastAsia" w:ascii="仿宋" w:hAnsi="仿宋" w:eastAsia="仿宋" w:cs="仿宋"/>
          <w:bCs/>
          <w:color w:val="000000"/>
          <w:sz w:val="28"/>
          <w:szCs w:val="28"/>
          <w:highlight w:val="none"/>
        </w:rPr>
        <w:fldChar w:fldCharType="end"/>
      </w:r>
      <w:r>
        <w:rPr>
          <w:color w:val="000000"/>
          <w:sz w:val="28"/>
          <w:szCs w:val="28"/>
          <w:highlight w:val="none"/>
        </w:rPr>
      </w:r>
      <w:r/>
    </w:p>
    <w:p>
      <w:pPr>
        <w:pStyle w:val="1267"/>
        <w:spacing w:line="480" w:lineRule="auto"/>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bCs/>
          <w:color w:val="000000"/>
          <w:sz w:val="28"/>
          <w:szCs w:val="28"/>
          <w:highlight w:val="none"/>
        </w:rPr>
        <w:fldChar w:fldCharType="end"/>
      </w:r>
      <w:r>
        <w:rPr>
          <w:rFonts w:hint="eastAsia" w:ascii="仿宋" w:hAnsi="仿宋" w:eastAsia="仿宋" w:cs="仿宋"/>
          <w:b w:val="0"/>
          <w:color w:val="000000"/>
          <w:sz w:val="28"/>
          <w:szCs w:val="28"/>
          <w:highlight w:val="none"/>
        </w:rPr>
      </w:r>
      <w:r/>
    </w:p>
    <w:p>
      <w:pPr>
        <w:pStyle w:val="1032"/>
        <w:contextualSpacing/>
        <w:ind w:firstLine="420"/>
        <w:jc w:val="center"/>
        <w:spacing w:line="360" w:lineRule="auto"/>
        <w:widowControl/>
        <w:rPr>
          <w:rStyle w:val="1217"/>
          <w:rFonts w:hint="eastAsia" w:ascii="仿宋" w:hAnsi="仿宋" w:eastAsia="仿宋" w:cs="仿宋"/>
          <w:color w:val="000000"/>
          <w:highlight w:val="none"/>
        </w:rPr>
      </w:pPr>
      <w:r>
        <w:rPr>
          <w:rFonts w:hint="eastAsia" w:ascii="仿宋" w:hAnsi="仿宋" w:eastAsia="仿宋" w:cs="仿宋"/>
          <w:b/>
          <w:color w:val="000000"/>
          <w:szCs w:val="36"/>
          <w:highlight w:val="none"/>
        </w:rPr>
        <w:br w:type="page" w:clear="all"/>
      </w:r>
      <w:bookmarkStart w:id="3" w:name="_Toc17427"/>
      <w:r>
        <w:rPr>
          <w:rStyle w:val="1217"/>
          <w:rFonts w:hint="eastAsia" w:ascii="仿宋" w:hAnsi="仿宋" w:eastAsia="仿宋" w:cs="仿宋"/>
          <w:color w:val="000000"/>
          <w:highlight w:val="none"/>
        </w:rPr>
        <w:t xml:space="preserve">第一章   投标邀请</w:t>
      </w:r>
      <w:bookmarkEnd w:id="3"/>
      <w:r>
        <w:rPr>
          <w:rStyle w:val="1217"/>
          <w:rFonts w:hint="eastAsia" w:ascii="仿宋" w:hAnsi="仿宋" w:eastAsia="仿宋" w:cs="仿宋"/>
          <w:color w:val="000000"/>
          <w:highlight w:val="none"/>
        </w:rPr>
      </w:r>
      <w:r/>
    </w:p>
    <w:p>
      <w:pPr>
        <w:pStyle w:val="1218"/>
        <w:jc w:val="left"/>
        <w:spacing w:before="0" w:line="360" w:lineRule="auto"/>
        <w:rPr>
          <w:rFonts w:hint="eastAsia" w:ascii="仿宋" w:hAnsi="仿宋" w:eastAsia="仿宋" w:cs="仿宋"/>
          <w:color w:val="000000"/>
          <w:sz w:val="21"/>
          <w:szCs w:val="21"/>
          <w:highlight w:val="none"/>
        </w:rPr>
      </w:pPr>
      <w:r/>
      <w:bookmarkStart w:id="4" w:name="_Toc35393790"/>
      <w:r/>
      <w:bookmarkStart w:id="5" w:name="_Toc28359079"/>
      <w:r/>
      <w:bookmarkStart w:id="6" w:name="_Toc28359002"/>
      <w:r/>
      <w:bookmarkStart w:id="7" w:name="_Toc35393621"/>
      <w:r/>
      <w:bookmarkStart w:id="8" w:name="_Hlk24379207"/>
      <w:r/>
      <w:bookmarkStart w:id="9" w:name="_Hlk139626825"/>
      <w:r/>
      <w:bookmarkStart w:id="10" w:name="_Hlk13893973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032"/>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1.项目编号/包号：</w:t>
      </w:r>
      <w:r>
        <w:rPr>
          <w:rFonts w:hint="eastAsia" w:ascii="仿宋" w:hAnsi="仿宋" w:eastAsia="仿宋" w:cs="仿宋"/>
          <w:color w:val="000000"/>
          <w:szCs w:val="21"/>
          <w:highlight w:val="none"/>
          <w:lang w:eastAsia="zh-CN"/>
        </w:rPr>
        <w:t xml:space="preserve">JSZC-320404-SCJX-G2026-0010</w:t>
      </w:r>
      <w:r>
        <w:rPr>
          <w:rFonts w:hint="eastAsia" w:ascii="仿宋" w:hAnsi="仿宋" w:eastAsia="仿宋" w:cs="仿宋"/>
          <w:color w:val="000000"/>
          <w:szCs w:val="21"/>
          <w:highlight w:val="none"/>
          <w:lang w:eastAsia="zh-CN"/>
        </w:rPr>
      </w:r>
      <w:r/>
    </w:p>
    <w:p>
      <w:pPr>
        <w:pStyle w:val="1032"/>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2.项目名称：</w:t>
      </w:r>
      <w:bookmarkEnd w:id="8"/>
      <w:r>
        <w:rPr>
          <w:rFonts w:hint="eastAsia" w:ascii="仿宋" w:hAnsi="仿宋" w:eastAsia="仿宋" w:cs="仿宋"/>
          <w:color w:val="000000"/>
          <w:szCs w:val="21"/>
          <w:highlight w:val="none"/>
          <w:lang w:eastAsia="zh-CN"/>
        </w:rPr>
        <w:t xml:space="preserve">常州市钟楼区五星街道社区卫生服务中心职工食堂委托经营服务</w:t>
      </w:r>
      <w:r>
        <w:rPr>
          <w:rFonts w:hint="eastAsia" w:ascii="仿宋" w:hAnsi="仿宋" w:eastAsia="仿宋" w:cs="仿宋"/>
          <w:color w:val="000000"/>
          <w:szCs w:val="21"/>
          <w:highlight w:val="none"/>
          <w:lang w:eastAsia="zh-CN"/>
        </w:rPr>
      </w:r>
      <w:r/>
    </w:p>
    <w:p>
      <w:pPr>
        <w:pStyle w:val="1032"/>
        <w:ind w:firstLine="422"/>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3.项目预算金额：</w:t>
      </w:r>
      <w:r>
        <w:rPr>
          <w:rFonts w:hint="eastAsia" w:ascii="仿宋" w:hAnsi="仿宋" w:eastAsia="仿宋" w:cs="仿宋"/>
          <w:b/>
          <w:bCs/>
          <w:color w:val="000000"/>
          <w:szCs w:val="21"/>
          <w:highlight w:val="none"/>
          <w:lang w:val="en-US" w:eastAsia="zh-CN"/>
        </w:rPr>
        <w:t xml:space="preserve">人民币135万元/三年（约45万元/年）</w:t>
      </w:r>
      <w:r>
        <w:rPr>
          <w:rFonts w:hint="eastAsia" w:ascii="仿宋" w:hAnsi="仿宋" w:eastAsia="仿宋" w:cs="仿宋"/>
          <w:b/>
          <w:bCs/>
          <w:color w:val="000000"/>
          <w:szCs w:val="21"/>
          <w:highlight w:val="none"/>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rPr>
        <w:t xml:space="preserve">项目最高限价：</w:t>
      </w:r>
      <w:r>
        <w:rPr>
          <w:rFonts w:hint="eastAsia" w:ascii="仿宋" w:hAnsi="仿宋" w:eastAsia="仿宋" w:cs="仿宋"/>
          <w:b/>
          <w:bCs/>
          <w:color w:val="000000"/>
          <w:szCs w:val="21"/>
          <w:highlight w:val="none"/>
          <w:lang w:val="en-US" w:eastAsia="zh-CN"/>
        </w:rPr>
        <w:t xml:space="preserve">本项目以各单餐用餐标准为基数，供应商在响应文件中填报固定优惠率【优惠率应大于0】。</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每餐须按照单餐用餐标准*（1+成交优惠率）（元/人/餐）的价格提供餐食，最终按照实际就餐次数据实结算。</w:t>
      </w:r>
      <w:r>
        <w:rPr>
          <w:rFonts w:hint="eastAsia" w:ascii="仿宋" w:hAnsi="仿宋" w:eastAsia="仿宋" w:cs="仿宋"/>
          <w:b/>
          <w:bCs/>
          <w:color w:val="000000"/>
          <w:szCs w:val="21"/>
          <w:highlight w:val="none"/>
          <w:lang w:val="en-US" w:eastAsia="zh-CN"/>
        </w:rPr>
      </w:r>
      <w:r/>
    </w:p>
    <w:p>
      <w:pPr>
        <w:pStyle w:val="1032"/>
        <w:ind w:firstLine="422"/>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结算价举例：如单餐用餐标准为15元/人/餐，成交优惠率为20%，则成交供应商须按15*（1+20%）=18元/人/餐的标准向采购人提供餐食，实际结算价为15元/人/餐。年度结算金额不得高于45万元，高出部分不予结算。</w:t>
      </w:r>
      <w:r>
        <w:rPr>
          <w:rFonts w:hint="eastAsia" w:ascii="仿宋" w:hAnsi="仿宋" w:eastAsia="仿宋" w:cs="仿宋"/>
          <w:b/>
          <w:bCs/>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4.采购需求（简介）：</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en-US" w:eastAsia="zh-CN"/>
        </w:rPr>
        <w:t xml:space="preserve">供应商主要负责提供常州市钟楼区五星街道社区卫生服务中心职工就餐服务及少量临时接待、检修人员等人员的就餐服务，费用根据确定的餐费标准按实际就餐次数结算，供应商自负盈亏。</w:t>
      </w:r>
      <w:r>
        <w:rPr>
          <w:rFonts w:hint="eastAsia" w:ascii="仿宋" w:hAnsi="仿宋" w:eastAsia="仿宋" w:cs="仿宋"/>
          <w:color w:val="000000"/>
          <w:sz w:val="21"/>
          <w:szCs w:val="21"/>
          <w:highlight w:val="none"/>
        </w:rPr>
        <w:t xml:space="preserve">具体内容详见采购需求。</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5.合同履行期限</w:t>
      </w:r>
      <w:r>
        <w:rPr>
          <w:rFonts w:hint="eastAsia" w:ascii="仿宋" w:hAnsi="仿宋" w:eastAsia="仿宋" w:cs="仿宋"/>
          <w:color w:val="000000"/>
          <w:szCs w:val="21"/>
          <w:highlight w:val="none"/>
        </w:rPr>
        <w:t xml:space="preserve">：</w:t>
      </w:r>
      <w:r>
        <w:rPr>
          <w:rFonts w:hint="eastAsia" w:ascii="仿宋" w:hAnsi="仿宋" w:eastAsia="仿宋" w:cs="仿宋"/>
          <w:b/>
          <w:bCs/>
          <w:color w:val="000000"/>
          <w:sz w:val="21"/>
          <w:szCs w:val="21"/>
          <w:highlight w:val="none"/>
          <w:lang w:eastAsia="zh-CN"/>
        </w:rPr>
        <w:t xml:space="preserve">暂定三年，合同一年一签。</w:t>
      </w:r>
      <w:r>
        <w:rPr>
          <w:rFonts w:hint="eastAsia" w:ascii="仿宋" w:hAnsi="仿宋" w:eastAsia="仿宋" w:cs="仿宋"/>
          <w:b/>
          <w:bCs/>
          <w:color w:val="000000"/>
          <w:sz w:val="21"/>
          <w:szCs w:val="21"/>
          <w:highlight w:val="none"/>
          <w:lang w:val="en-US" w:eastAsia="zh-CN"/>
        </w:rPr>
        <w:t xml:space="preserve">一年</w:t>
      </w:r>
      <w:r>
        <w:rPr>
          <w:rFonts w:hint="eastAsia" w:ascii="仿宋" w:hAnsi="仿宋" w:eastAsia="仿宋" w:cs="仿宋"/>
          <w:b/>
          <w:bCs/>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b/>
          <w:bCs/>
          <w:color w:val="000000"/>
          <w:sz w:val="21"/>
          <w:szCs w:val="21"/>
          <w:highlight w:val="none"/>
          <w:lang w:val="en-US" w:eastAsia="zh-CN"/>
        </w:rPr>
        <w:t xml:space="preserve">可续签</w:t>
      </w:r>
      <w:r>
        <w:rPr>
          <w:rFonts w:hint="eastAsia" w:ascii="仿宋" w:hAnsi="仿宋" w:eastAsia="仿宋" w:cs="仿宋"/>
          <w:b/>
          <w:bCs/>
          <w:color w:val="000000"/>
          <w:sz w:val="21"/>
          <w:szCs w:val="21"/>
          <w:highlight w:val="none"/>
          <w:lang w:eastAsia="zh-CN"/>
        </w:rPr>
        <w:t xml:space="preserve">下一</w:t>
      </w:r>
      <w:r>
        <w:rPr>
          <w:rFonts w:hint="eastAsia" w:ascii="仿宋" w:hAnsi="仿宋" w:eastAsia="仿宋" w:cs="仿宋"/>
          <w:b/>
          <w:bCs/>
          <w:color w:val="000000"/>
          <w:sz w:val="21"/>
          <w:szCs w:val="21"/>
          <w:highlight w:val="none"/>
          <w:lang w:val="en-US" w:eastAsia="zh-CN"/>
        </w:rPr>
        <w:t xml:space="preserve">年度</w:t>
      </w:r>
      <w:r>
        <w:rPr>
          <w:rFonts w:hint="eastAsia" w:ascii="仿宋" w:hAnsi="仿宋" w:eastAsia="仿宋" w:cs="仿宋"/>
          <w:b/>
          <w:bCs/>
          <w:color w:val="000000"/>
          <w:sz w:val="21"/>
          <w:szCs w:val="21"/>
          <w:highlight w:val="none"/>
          <w:lang w:eastAsia="zh-CN"/>
        </w:rPr>
        <w:t xml:space="preserve">的服务合同，续签最多不超过2次。</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6.本项目是否接受联合体投标：不接受。</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7.本项目是否接受进口产品投标：不接受。</w:t>
      </w:r>
      <w:r>
        <w:rPr>
          <w:rFonts w:hint="eastAsia" w:ascii="仿宋" w:hAnsi="仿宋" w:eastAsia="仿宋" w:cs="仿宋"/>
          <w:color w:val="000000"/>
          <w:szCs w:val="21"/>
          <w:highlight w:val="none"/>
        </w:rPr>
      </w:r>
      <w:r/>
    </w:p>
    <w:p>
      <w:pPr>
        <w:pStyle w:val="1218"/>
        <w:jc w:val="left"/>
        <w:spacing w:before="0" w:line="360" w:lineRule="auto"/>
        <w:rPr>
          <w:rFonts w:hint="eastAsia" w:ascii="仿宋" w:hAnsi="仿宋" w:eastAsia="仿宋" w:cs="仿宋"/>
          <w:color w:val="000000"/>
          <w:sz w:val="21"/>
          <w:szCs w:val="21"/>
          <w:highlight w:val="none"/>
        </w:rPr>
      </w:pPr>
      <w:r/>
      <w:bookmarkStart w:id="11" w:name="_Toc28359003"/>
      <w:r/>
      <w:bookmarkStart w:id="12" w:name="_Toc35393622"/>
      <w:r/>
      <w:bookmarkStart w:id="13" w:name="_Toc35393791"/>
      <w:r/>
      <w:bookmarkStart w:id="14" w:name="_Toc28359080"/>
      <w:r>
        <w:rPr>
          <w:rFonts w:hint="eastAsia" w:ascii="仿宋" w:hAnsi="仿宋" w:eastAsia="仿宋" w:cs="仿宋"/>
          <w:color w:val="000000"/>
          <w:sz w:val="21"/>
          <w:szCs w:val="21"/>
          <w:highlight w:val="none"/>
        </w:rPr>
        <w:t xml:space="preserve">二、申请人的资格要求（须同时满足）</w:t>
      </w:r>
      <w:bookmarkEnd w:id="11"/>
      <w:r/>
      <w:bookmarkEnd w:id="12"/>
      <w:r/>
      <w:bookmarkEnd w:id="13"/>
      <w:r/>
      <w:bookmarkEnd w:id="14"/>
      <w:r>
        <w:rPr>
          <w:rFonts w:hint="eastAsia" w:ascii="仿宋" w:hAnsi="仿宋" w:eastAsia="仿宋" w:cs="仿宋"/>
          <w:color w:val="000000"/>
          <w:sz w:val="21"/>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1.满足《中华人民共和国政府采购法》第二十二条规定以及下列情形：</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bookmarkStart w:id="15" w:name="_Toc28359081"/>
      <w:r/>
      <w:bookmarkStart w:id="16" w:name="_Toc28359004"/>
      <w:r>
        <w:rPr>
          <w:rFonts w:hint="eastAsia" w:ascii="仿宋" w:hAnsi="仿宋" w:eastAsia="仿宋" w:cs="仿宋"/>
          <w:color w:val="000000"/>
          <w:szCs w:val="21"/>
          <w:highlight w:val="none"/>
        </w:rPr>
        <w:t xml:space="preserve">2.落实政府采购政策需满足的资格要求：</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 中小企业政策（说明：中小企业包含中型、小型、微型企业，小微企业包含小型、微型企业）</w:t>
      </w:r>
      <w:r>
        <w:rPr>
          <w:rFonts w:hint="eastAsia" w:ascii="仿宋" w:hAnsi="仿宋" w:eastAsia="仿宋" w:cs="仿宋"/>
          <w:color w:val="000000"/>
          <w:szCs w:val="21"/>
          <w:highlight w:val="none"/>
        </w:rPr>
      </w:r>
      <w:r/>
    </w:p>
    <w:p>
      <w:pPr>
        <w:pStyle w:val="1054"/>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本项目专门面向中小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 w:val="21"/>
          <w:szCs w:val="21"/>
          <w:highlight w:val="none"/>
        </w:rPr>
      </w:r>
      <w:r/>
    </w:p>
    <w:p>
      <w:pPr>
        <w:pStyle w:val="1032"/>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其它落实政府采购政策的资格要求（如有）：</w:t>
      </w:r>
      <w:r>
        <w:rPr>
          <w:rFonts w:hint="eastAsia" w:ascii="仿宋" w:hAnsi="仿宋" w:eastAsia="仿宋" w:cs="仿宋"/>
          <w:color w:val="000000"/>
          <w:szCs w:val="21"/>
          <w:highlight w:val="none"/>
          <w:u w:val="single"/>
        </w:rPr>
        <w:t xml:space="preserve">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2"/>
        <w:ind w:firstLine="420"/>
        <w:spacing w:line="360" w:lineRule="auto"/>
        <w:rPr>
          <w:rFonts w:hint="eastAsia" w:ascii="仿宋" w:hAnsi="仿宋" w:eastAsia="仿宋" w:cs="仿宋"/>
          <w:i/>
          <w:iCs/>
          <w:color w:val="000000"/>
          <w:szCs w:val="21"/>
          <w:highlight w:val="none"/>
          <w:u w:val="single"/>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i/>
          <w:iCs/>
          <w:color w:val="000000"/>
          <w:szCs w:val="21"/>
          <w:highlight w:val="none"/>
          <w:u w:val="singl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3.1本项目是否接受分支机构参与投标：否； </w:t>
      </w:r>
      <w:r>
        <w:rPr>
          <w:rFonts w:hint="eastAsia" w:ascii="仿宋" w:hAnsi="仿宋" w:eastAsia="仿宋" w:cs="仿宋"/>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3.2本项目是否属于政府购买服务：否；</w:t>
      </w:r>
      <w:r>
        <w:rPr>
          <w:rFonts w:hint="eastAsia" w:ascii="仿宋" w:hAnsi="仿宋" w:eastAsia="仿宋" w:cs="仿宋"/>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3.3其他特定资格要求：</w:t>
      </w:r>
      <w:bookmarkEnd w:id="15"/>
      <w:r/>
      <w:bookmarkEnd w:id="16"/>
      <w:r>
        <w:rPr>
          <w:rFonts w:hint="eastAsia" w:ascii="仿宋" w:hAnsi="仿宋" w:eastAsia="仿宋" w:cs="仿宋"/>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rPr>
      </w:pPr>
      <w:r>
        <w:rPr>
          <w:rFonts w:hint="eastAsia" w:ascii="仿宋" w:hAnsi="仿宋" w:eastAsia="仿宋" w:cs="仿宋"/>
          <w:b/>
          <w:bCs/>
          <w:color w:val="000000"/>
          <w:sz w:val="21"/>
          <w:szCs w:val="21"/>
          <w:highlight w:val="none"/>
          <w:lang w:val="en-US" w:eastAsia="zh-CN"/>
        </w:rPr>
        <w:t xml:space="preserve">供应商应具有有效期内的《食品经营许可证》且经营项目必须包含“餐饮服务管理（承包集中用餐单位食堂）或（承包单位食堂）”；【备注：如供应商提供的《食品经营许可证》中的经营场所非本项目所在地，须承诺成交后在采购人要求的时间内按规定在项目所在地办理合规的《食品经营许可证》。承诺函格式自拟，未提供承诺函或承诺的内容不符合要求的，作无效响应处理】</w:t>
      </w:r>
      <w:r>
        <w:rPr>
          <w:rFonts w:ascii="仿宋" w:hAnsi="仿宋" w:eastAsia="仿宋" w:cs="仿宋"/>
          <w:b/>
          <w:bCs/>
          <w:color w:val="000000"/>
          <w:szCs w:val="21"/>
          <w:highlight w:val="none"/>
        </w:rPr>
      </w:r>
      <w:r/>
    </w:p>
    <w:p>
      <w:pPr>
        <w:pStyle w:val="1218"/>
        <w:jc w:val="left"/>
        <w:spacing w:before="0" w:line="360" w:lineRule="auto"/>
        <w:widowControl/>
        <w:rPr>
          <w:rFonts w:hint="eastAsia" w:ascii="仿宋" w:hAnsi="仿宋" w:eastAsia="仿宋" w:cs="仿宋"/>
          <w:color w:val="000000"/>
          <w:sz w:val="21"/>
          <w:szCs w:val="21"/>
          <w:highlight w:val="none"/>
        </w:rPr>
      </w:pPr>
      <w:r/>
      <w:bookmarkStart w:id="17" w:name="_Toc35393623"/>
      <w:r/>
      <w:bookmarkStart w:id="18" w:name="_Toc35393792"/>
      <w:r>
        <w:rPr>
          <w:rFonts w:hint="eastAsia" w:ascii="仿宋" w:hAnsi="仿宋" w:eastAsia="仿宋" w:cs="仿宋"/>
          <w:color w:val="000000"/>
          <w:sz w:val="21"/>
          <w:szCs w:val="21"/>
          <w:highlight w:val="none"/>
        </w:rPr>
        <w:t xml:space="preserve">三、获取招标文件</w:t>
      </w:r>
      <w:bookmarkEnd w:id="17"/>
      <w:r/>
      <w:bookmarkEnd w:id="18"/>
      <w:r>
        <w:rPr>
          <w:rFonts w:hint="eastAsia" w:ascii="仿宋" w:hAnsi="仿宋" w:eastAsia="仿宋" w:cs="仿宋"/>
          <w:color w:val="000000"/>
          <w:sz w:val="21"/>
          <w:szCs w:val="21"/>
          <w:highlight w:val="none"/>
        </w:rPr>
      </w:r>
      <w:r/>
    </w:p>
    <w:p>
      <w:pPr>
        <w:pStyle w:val="1032"/>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lang w:val="en-US" w:eastAsia="zh-CN"/>
        </w:rPr>
      </w:pPr>
      <w:r/>
      <w:bookmarkStart w:id="19" w:name="_Toc28359008"/>
      <w:r/>
      <w:bookmarkStart w:id="20" w:name="_Toc35393796"/>
      <w:r/>
      <w:bookmarkStart w:id="21" w:name="_Toc28359085"/>
      <w:r/>
      <w:bookmarkStart w:id="22" w:name="_Toc35393627"/>
      <w:r>
        <w:rPr>
          <w:rFonts w:hint="eastAsia" w:ascii="仿宋" w:hAnsi="仿宋" w:eastAsia="仿宋" w:cs="仿宋"/>
          <w:b/>
          <w:bCs/>
          <w:color w:val="000000"/>
          <w:szCs w:val="21"/>
          <w:highlight w:val="none"/>
        </w:rPr>
        <w:t xml:space="preserve">1.时间：公告发布之日起</w:t>
      </w:r>
      <w:r>
        <w:rPr>
          <w:rFonts w:hint="eastAsia" w:ascii="仿宋" w:hAnsi="仿宋" w:eastAsia="仿宋" w:cs="仿宋"/>
          <w:b/>
          <w:bCs/>
          <w:color w:val="000000"/>
          <w:szCs w:val="21"/>
          <w:highlight w:val="none"/>
          <w:lang w:val="en-US" w:eastAsia="zh-CN"/>
        </w:rPr>
        <w:t xml:space="preserve">5个工作日</w:t>
      </w:r>
      <w:r>
        <w:rPr>
          <w:rFonts w:ascii="仿宋" w:hAnsi="仿宋" w:eastAsia="仿宋" w:cs="仿宋"/>
          <w:b/>
          <w:bCs/>
          <w:color w:val="000000"/>
          <w:szCs w:val="21"/>
          <w:highlight w:val="none"/>
          <w:lang w:val="en-US" w:eastAsia="zh-CN"/>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2.地点：“苏采云”政府采购一体化平台</w:t>
      </w:r>
      <w:r>
        <w:rPr>
          <w:rFonts w:hint="eastAsia" w:ascii="仿宋" w:hAnsi="仿宋" w:eastAsia="仿宋" w:cs="仿宋"/>
          <w:color w:val="000000"/>
          <w:szCs w:val="21"/>
          <w:highlight w:val="none"/>
        </w:rPr>
      </w:r>
      <w:r/>
    </w:p>
    <w:p>
      <w:pPr>
        <w:pStyle w:val="1032"/>
        <w:ind w:firstLine="422"/>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3.方式：“苏采云”政府采购一体化平台自行免费下载。</w:t>
      </w:r>
      <w:r>
        <w:rPr>
          <w:rFonts w:hint="eastAsia" w:ascii="仿宋" w:hAnsi="仿宋" w:eastAsia="仿宋" w:cs="仿宋"/>
          <w:b/>
          <w:bCs/>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4.售价： 0 元。</w:t>
      </w:r>
      <w:r>
        <w:rPr>
          <w:rFonts w:hint="eastAsia" w:ascii="仿宋" w:hAnsi="仿宋" w:eastAsia="仿宋" w:cs="仿宋"/>
          <w:color w:val="000000"/>
          <w:szCs w:val="21"/>
          <w:highlight w:val="none"/>
        </w:rPr>
      </w:r>
      <w:r/>
    </w:p>
    <w:p>
      <w:pPr>
        <w:pStyle w:val="1032"/>
        <w:spacing w:line="360" w:lineRule="auto"/>
        <w:tabs>
          <w:tab w:val="left" w:pos="900" w:leader="none"/>
          <w:tab w:val="left" w:pos="1134" w:leader="none"/>
          <w:tab w:val="left" w:pos="1589" w:leader="none"/>
          <w:tab w:val="left" w:pos="5521"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四、提交投标文件截止时间、开标时间和地点</w:t>
      </w:r>
      <w:r>
        <w:rPr>
          <w:rFonts w:hint="eastAsia" w:ascii="仿宋" w:hAnsi="仿宋" w:eastAsia="仿宋" w:cs="仿宋"/>
          <w:b/>
          <w:color w:val="000000"/>
          <w:szCs w:val="21"/>
          <w:highlight w:val="none"/>
        </w:rPr>
      </w:r>
      <w:r/>
    </w:p>
    <w:p>
      <w:pPr>
        <w:pStyle w:val="1032"/>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投标截止时间、开标时间：</w:t>
      </w:r>
      <w:r>
        <w:rPr>
          <w:rFonts w:hint="eastAsia" w:ascii="仿宋" w:hAnsi="仿宋" w:eastAsia="仿宋" w:cs="仿宋"/>
          <w:color w:val="000000"/>
          <w:szCs w:val="21"/>
          <w:highlight w:val="none"/>
        </w:rPr>
        <w:t xml:space="preserve">2026年</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lang w:val="en-US" w:eastAsia="zh-CN"/>
        </w:rPr>
        <w:t xml:space="preserve">29</w:t>
      </w:r>
      <w:r>
        <w:rPr>
          <w:rFonts w:hint="eastAsia" w:ascii="仿宋" w:hAnsi="仿宋" w:eastAsia="仿宋" w:cs="仿宋"/>
          <w:color w:val="000000"/>
          <w:szCs w:val="21"/>
          <w:highlight w:val="none"/>
        </w:rPr>
        <w:t xml:space="preserve">日09点30分（北京时间）。</w:t>
      </w:r>
      <w:r>
        <w:rPr>
          <w:rFonts w:hint="eastAsia" w:ascii="仿宋" w:hAnsi="仿宋" w:eastAsia="仿宋" w:cs="仿宋"/>
          <w:color w:val="000000"/>
          <w:szCs w:val="21"/>
          <w:highlight w:val="none"/>
        </w:rPr>
      </w:r>
      <w:r/>
    </w:p>
    <w:p>
      <w:pPr>
        <w:pStyle w:val="1032"/>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地点：“苏采云”政府采购一体化平台。</w:t>
      </w:r>
      <w:r>
        <w:rPr>
          <w:rFonts w:hint="eastAsia" w:ascii="仿宋" w:hAnsi="仿宋" w:eastAsia="仿宋" w:cs="仿宋"/>
          <w:b/>
          <w:bCs/>
          <w:color w:val="000000"/>
          <w:szCs w:val="21"/>
          <w:highlight w:val="none"/>
        </w:rPr>
      </w:r>
      <w:r/>
    </w:p>
    <w:p>
      <w:pPr>
        <w:pStyle w:val="1032"/>
        <w:spacing w:line="360" w:lineRule="auto"/>
        <w:tabs>
          <w:tab w:val="left" w:pos="900" w:leader="none"/>
          <w:tab w:val="left" w:pos="1134" w:leader="none"/>
          <w:tab w:val="left" w:pos="1589" w:leader="none"/>
          <w:tab w:val="left" w:pos="5521"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五、公告期限</w:t>
      </w:r>
      <w:r>
        <w:rPr>
          <w:rFonts w:hint="eastAsia" w:ascii="仿宋" w:hAnsi="仿宋" w:eastAsia="仿宋" w:cs="仿宋"/>
          <w:b/>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本公告发布之日起5个工作日。</w:t>
      </w:r>
      <w:r>
        <w:rPr>
          <w:rFonts w:hint="eastAsia" w:ascii="仿宋" w:hAnsi="仿宋" w:eastAsia="仿宋" w:cs="仿宋"/>
          <w:bCs/>
          <w:color w:val="000000"/>
          <w:szCs w:val="21"/>
          <w:highlight w:val="none"/>
        </w:rPr>
      </w:r>
      <w:r/>
    </w:p>
    <w:p>
      <w:pPr>
        <w:pStyle w:val="1032"/>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
          <w:color w:val="000000"/>
          <w:szCs w:val="21"/>
          <w:highlight w:val="none"/>
        </w:rPr>
        <w:t xml:space="preserve">六、其他补充事宜</w:t>
      </w:r>
      <w:r>
        <w:rPr>
          <w:rFonts w:hint="eastAsia" w:ascii="仿宋" w:hAnsi="仿宋" w:eastAsia="仿宋" w:cs="仿宋"/>
          <w:bCs/>
          <w:color w:val="000000"/>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1.本项目需要落实的政府采购政策：无。 </w:t>
      </w:r>
      <w:r>
        <w:rPr>
          <w:rFonts w:hint="eastAsia" w:ascii="仿宋" w:hAnsi="仿宋" w:eastAsia="仿宋" w:cs="仿宋"/>
          <w:bCs/>
          <w:color w:val="000000"/>
          <w:szCs w:val="21"/>
          <w:highlight w:val="none"/>
        </w:rPr>
      </w:r>
      <w:r/>
    </w:p>
    <w:p>
      <w:pPr>
        <w:pStyle w:val="1032"/>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2.根据省财政厅《关于</w:t>
      </w:r>
      <w:r>
        <w:rPr>
          <w:rFonts w:hint="eastAsia" w:ascii="仿宋" w:hAnsi="仿宋" w:eastAsia="仿宋" w:cs="仿宋"/>
          <w:b/>
          <w:bCs/>
          <w:color w:val="000000"/>
          <w:szCs w:val="21"/>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s="仿宋"/>
          <w:b/>
          <w:bCs/>
          <w:color w:val="000000"/>
          <w:szCs w:val="21"/>
          <w:highlight w:val="none"/>
        </w:rPr>
      </w:r>
      <w:r/>
    </w:p>
    <w:p>
      <w:pPr>
        <w:pStyle w:val="1032"/>
        <w:ind w:firstLine="422"/>
        <w:jc w:val="left"/>
        <w:spacing w:line="360"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s="仿宋"/>
          <w:b/>
          <w:bCs/>
          <w:color w:val="000000"/>
          <w:szCs w:val="21"/>
          <w:highlight w:val="none"/>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3.本项目不满3家投标报名，将重新组织采购。</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4.关于常州市中小企业政府采购信用融资：</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lang w:val="zh-TW"/>
        </w:rPr>
        <w:t xml:space="preserve">有关本次</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TW"/>
        </w:rPr>
        <w:t xml:space="preserve">的事项若存在变动或修改，敬请及时关注 “江苏政府采购网、常州市政府采购网”发布的更正公告。</w:t>
      </w:r>
      <w:r>
        <w:rPr>
          <w:rFonts w:hint="eastAsia" w:ascii="仿宋" w:hAnsi="仿宋" w:eastAsia="仿宋" w:cs="仿宋"/>
          <w:color w:val="000000"/>
          <w:szCs w:val="21"/>
          <w:highlight w:val="none"/>
          <w:lang w:val="zh-TW"/>
        </w:rPr>
      </w:r>
      <w:r/>
    </w:p>
    <w:p>
      <w:pPr>
        <w:pStyle w:val="1032"/>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6.特别说明：因工作需要，本次采购项目涉及的单位及个人相关信息已经取得机构或本人同意后对外公布。</w:t>
      </w:r>
      <w:r>
        <w:rPr>
          <w:rFonts w:hint="eastAsia" w:ascii="仿宋" w:hAnsi="仿宋" w:eastAsia="仿宋" w:cs="仿宋"/>
          <w:color w:val="000000"/>
          <w:szCs w:val="21"/>
          <w:highlight w:val="none"/>
          <w:lang w:val="zh-TW"/>
        </w:rPr>
      </w:r>
      <w:r/>
    </w:p>
    <w:p>
      <w:pPr>
        <w:pStyle w:val="1032"/>
        <w:contextualSpacing/>
        <w:jc w:val="left"/>
        <w:spacing w:line="360" w:lineRule="auto"/>
        <w:widowControl/>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rPr>
        <w:t xml:space="preserve">七、对本次招标提出询问，请按以下方式联系。</w:t>
      </w:r>
      <w:bookmarkEnd w:id="9"/>
      <w:r/>
      <w:bookmarkEnd w:id="19"/>
      <w:r/>
      <w:bookmarkEnd w:id="20"/>
      <w:r/>
      <w:bookmarkEnd w:id="21"/>
      <w:r/>
      <w:bookmarkEnd w:id="22"/>
      <w:r>
        <w:rPr>
          <w:rFonts w:hint="eastAsia" w:ascii="仿宋" w:hAnsi="仿宋" w:eastAsia="仿宋" w:cs="仿宋"/>
          <w:b/>
          <w:bCs/>
          <w:color w:val="000000"/>
          <w:szCs w:val="21"/>
          <w:highlight w:val="none"/>
          <w:lang w:bidi="ar"/>
        </w:rPr>
      </w:r>
      <w:r/>
    </w:p>
    <w:p>
      <w:pPr>
        <w:pStyle w:val="1054"/>
        <w:spacing w:line="360" w:lineRule="auto"/>
        <w:shd w:val="clear" w:color="auto" w:fill="ffffff"/>
        <w:rPr>
          <w:rFonts w:hint="eastAsia" w:ascii="仿宋" w:hAnsi="仿宋" w:eastAsia="仿宋" w:cs="仿宋"/>
          <w:bCs/>
          <w:color w:val="000000"/>
          <w:sz w:val="21"/>
          <w:szCs w:val="21"/>
          <w:highlight w:val="none"/>
        </w:rPr>
      </w:pPr>
      <w:r/>
      <w:bookmarkStart w:id="23" w:name="_Hlk118382401"/>
      <w:r/>
      <w:bookmarkStart w:id="24" w:name="_Toc353825548"/>
      <w:r/>
      <w:bookmarkStart w:id="25" w:name="_Toc265228423"/>
      <w:r/>
      <w:bookmarkStart w:id="26" w:name="_Toc150774783"/>
      <w:r/>
      <w:bookmarkStart w:id="27" w:name="_Toc305158928"/>
      <w:r/>
      <w:bookmarkStart w:id="28" w:name="_Toc226965856"/>
      <w:r/>
      <w:bookmarkStart w:id="29" w:name="_Toc195842950"/>
      <w:r/>
      <w:bookmarkStart w:id="30" w:name="_Toc353873938"/>
      <w:r/>
      <w:bookmarkStart w:id="31" w:name="_Toc264969275"/>
      <w:r/>
      <w:bookmarkStart w:id="32" w:name="_Toc512937850"/>
      <w:r/>
      <w:bookmarkStart w:id="33" w:name="_Toc127161488"/>
      <w:r/>
      <w:bookmarkStart w:id="34" w:name="_Toc127151777"/>
      <w:r/>
      <w:bookmarkStart w:id="35" w:name="_Toc305158854"/>
      <w:r>
        <w:rPr>
          <w:rFonts w:hint="eastAsia" w:ascii="仿宋" w:hAnsi="仿宋" w:eastAsia="仿宋" w:cs="仿宋"/>
          <w:bCs/>
          <w:color w:val="000000"/>
          <w:sz w:val="21"/>
          <w:szCs w:val="21"/>
          <w:highlight w:val="none"/>
        </w:rPr>
        <w:t xml:space="preserve">1.采购人信息</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rPr>
        <w:t xml:space="preserve">名   称：</w:t>
      </w:r>
      <w:r>
        <w:rPr>
          <w:rFonts w:hint="eastAsia" w:ascii="仿宋" w:hAnsi="仿宋" w:eastAsia="仿宋" w:cs="仿宋"/>
          <w:bCs/>
          <w:color w:val="000000"/>
          <w:sz w:val="21"/>
          <w:szCs w:val="21"/>
          <w:highlight w:val="none"/>
          <w:lang w:eastAsia="zh-CN"/>
        </w:rPr>
        <w:t xml:space="preserve">常州市钟楼区五星街道社区卫生服务中心</w:t>
      </w:r>
      <w:r>
        <w:rPr>
          <w:rFonts w:hint="eastAsia" w:ascii="仿宋" w:hAnsi="仿宋" w:eastAsia="仿宋" w:cs="仿宋"/>
          <w:bCs/>
          <w:color w:val="000000"/>
          <w:sz w:val="21"/>
          <w:szCs w:val="21"/>
          <w:highlight w:val="none"/>
          <w:lang w:eastAsia="zh-CN"/>
        </w:rPr>
      </w:r>
      <w:r/>
    </w:p>
    <w:p>
      <w:pPr>
        <w:pStyle w:val="1032"/>
        <w:contextualSpacing/>
        <w:ind w:firstLine="420"/>
        <w:jc w:val="left"/>
        <w:keepLines w:val="0"/>
        <w:keepNext w:val="0"/>
        <w:pageBreakBefore w:val="0"/>
        <w:spacing w:line="360" w:lineRule="auto"/>
        <w:shd w:val="clear" w:color="auto" w:fill="ffffff"/>
        <w:tabs>
          <w:tab w:val="left" w:pos="567" w:leader="none"/>
        </w:tabs>
        <w:rPr>
          <w:rFonts w:hint="eastAsia" w:ascii="仿宋" w:hAnsi="仿宋" w:eastAsia="仿宋" w:cs="仿宋"/>
          <w:bCs/>
          <w:color w:val="000000"/>
          <w:sz w:val="21"/>
          <w:szCs w:val="21"/>
          <w:highlight w:val="none"/>
        </w:rPr>
      </w:pPr>
      <w:r/>
      <w:bookmarkEnd w:id="23"/>
      <w:r>
        <w:rPr>
          <w:rFonts w:hint="eastAsia" w:ascii="仿宋" w:hAnsi="仿宋" w:eastAsia="仿宋" w:cs="仿宋"/>
          <w:bCs/>
          <w:color w:val="000000"/>
          <w:sz w:val="21"/>
          <w:szCs w:val="21"/>
          <w:highlight w:val="none"/>
        </w:rPr>
        <w:t xml:space="preserve">地   址：</w:t>
      </w:r>
      <w:r>
        <w:rPr>
          <w:rFonts w:hint="eastAsia" w:ascii="仿宋" w:hAnsi="仿宋" w:eastAsia="仿宋" w:cs="仿宋"/>
          <w:bCs/>
          <w:color w:val="000000"/>
          <w:sz w:val="21"/>
          <w:szCs w:val="21"/>
          <w:highlight w:val="none"/>
          <w:lang w:eastAsia="zh-CN"/>
        </w:rPr>
        <w:t xml:space="preserve">常州市关河西路282号 </w:t>
      </w:r>
      <w:r>
        <w:rPr>
          <w:rFonts w:hint="eastAsia" w:ascii="仿宋" w:hAnsi="仿宋" w:eastAsia="仿宋" w:cs="仿宋"/>
          <w:bCs/>
          <w:color w:val="000000"/>
          <w:sz w:val="21"/>
          <w:szCs w:val="21"/>
          <w:highlight w:val="none"/>
        </w:rPr>
        <w:t xml:space="preserve"> </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rPr>
        <w:t xml:space="preserve">联系方式：</w:t>
      </w:r>
      <w:r>
        <w:rPr>
          <w:rFonts w:hint="eastAsia" w:ascii="仿宋" w:hAnsi="仿宋" w:eastAsia="仿宋" w:cs="仿宋"/>
          <w:bCs/>
          <w:color w:val="000000"/>
          <w:sz w:val="21"/>
          <w:szCs w:val="21"/>
          <w:highlight w:val="none"/>
          <w:lang w:eastAsia="zh-CN"/>
        </w:rPr>
        <w:t xml:space="preserve">0519-83811202</w:t>
      </w:r>
      <w:r>
        <w:rPr>
          <w:rFonts w:hint="eastAsia" w:ascii="仿宋" w:hAnsi="仿宋" w:eastAsia="仿宋" w:cs="仿宋"/>
          <w:bCs/>
          <w:color w:val="000000"/>
          <w:sz w:val="21"/>
          <w:szCs w:val="21"/>
          <w:highlight w:val="none"/>
        </w:rPr>
        <w:t xml:space="preserve"> </w:t>
      </w:r>
      <w:r>
        <w:rPr>
          <w:rFonts w:hint="eastAsia" w:ascii="仿宋" w:hAnsi="仿宋" w:eastAsia="仿宋" w:cs="仿宋"/>
          <w:color w:val="000000"/>
          <w:sz w:val="21"/>
          <w:szCs w:val="21"/>
          <w:highlight w:val="none"/>
          <w:lang w:eastAsia="zh-CN"/>
        </w:rPr>
      </w:r>
      <w:r/>
    </w:p>
    <w:p>
      <w:pPr>
        <w:pStyle w:val="1054"/>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联系人：</w:t>
      </w:r>
      <w:r>
        <w:rPr>
          <w:rFonts w:hint="eastAsia" w:ascii="仿宋" w:hAnsi="仿宋" w:eastAsia="仿宋" w:cs="仿宋"/>
          <w:color w:val="000000"/>
          <w:sz w:val="21"/>
          <w:szCs w:val="21"/>
          <w:highlight w:val="none"/>
          <w:lang w:val="en-US" w:eastAsia="zh-CN"/>
        </w:rPr>
        <w:t xml:space="preserve">徐女士</w:t>
      </w:r>
      <w:r>
        <w:rPr>
          <w:rFonts w:hint="eastAsia" w:ascii="仿宋" w:hAnsi="仿宋" w:eastAsia="仿宋" w:cs="仿宋"/>
          <w:color w:val="000000"/>
          <w:sz w:val="21"/>
          <w:szCs w:val="21"/>
          <w:highlight w:val="none"/>
          <w:lang w:val="en-US" w:eastAsia="zh-CN"/>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2.采购代理机构信息</w:t>
      </w:r>
      <w:r>
        <w:rPr>
          <w:rFonts w:hint="eastAsia" w:ascii="仿宋" w:hAnsi="仿宋" w:eastAsia="仿宋" w:cs="仿宋"/>
          <w:color w:val="000000"/>
          <w:szCs w:val="21"/>
          <w:highlight w:val="none"/>
          <w:lang w:val="zh-TW" w:bidi="ar"/>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名  称：江苏城建校工程咨询有限公司</w:t>
      </w:r>
      <w:r>
        <w:rPr>
          <w:rFonts w:hint="eastAsia" w:ascii="仿宋" w:hAnsi="仿宋" w:eastAsia="仿宋" w:cs="仿宋"/>
          <w:color w:val="000000"/>
          <w:szCs w:val="21"/>
          <w:highlight w:val="none"/>
          <w:lang w:val="zh-TW" w:bidi="ar"/>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地　址：常州市清潭路85-2号</w:t>
      </w:r>
      <w:r>
        <w:rPr>
          <w:rFonts w:hint="eastAsia" w:ascii="仿宋" w:hAnsi="仿宋" w:eastAsia="仿宋" w:cs="仿宋"/>
          <w:color w:val="000000"/>
          <w:szCs w:val="21"/>
          <w:highlight w:val="none"/>
          <w:lang w:val="zh-TW" w:bidi="ar"/>
        </w:rPr>
      </w:r>
      <w:r/>
    </w:p>
    <w:p>
      <w:pPr>
        <w:pStyle w:val="1054"/>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联系方式：19906113189、0519-86908235-8305</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邮  箱：jscjxzb@163.com  　</w:t>
      </w:r>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rPr>
      </w:pPr>
      <w:r/>
      <w:bookmarkStart w:id="36" w:name="_Toc63761585"/>
      <w:r/>
      <w:bookmarkStart w:id="37" w:name="_Toc28359098"/>
      <w:r/>
      <w:bookmarkStart w:id="38" w:name="_Toc63761646"/>
      <w:r/>
      <w:bookmarkStart w:id="39" w:name="_Toc35393639"/>
      <w:r/>
      <w:bookmarkStart w:id="40" w:name="_Toc45235310"/>
      <w:r/>
      <w:bookmarkStart w:id="41" w:name="_Toc28359021"/>
      <w:r/>
      <w:bookmarkStart w:id="42" w:name="_Toc45235156"/>
      <w:r/>
      <w:bookmarkStart w:id="43" w:name="_Toc35393808"/>
      <w:r>
        <w:rPr>
          <w:rFonts w:hint="eastAsia" w:ascii="仿宋" w:hAnsi="仿宋" w:eastAsia="仿宋" w:cs="仿宋"/>
          <w:bCs/>
          <w:color w:val="000000"/>
          <w:sz w:val="21"/>
          <w:szCs w:val="21"/>
          <w:highlight w:val="none"/>
        </w:rPr>
        <w:t xml:space="preserve">3.项目联系方式</w:t>
      </w:r>
      <w:bookmarkEnd w:id="36"/>
      <w:r/>
      <w:bookmarkEnd w:id="37"/>
      <w:r/>
      <w:bookmarkEnd w:id="38"/>
      <w:r/>
      <w:bookmarkEnd w:id="39"/>
      <w:r/>
      <w:bookmarkEnd w:id="40"/>
      <w:r/>
      <w:bookmarkEnd w:id="41"/>
      <w:r/>
      <w:bookmarkEnd w:id="42"/>
      <w:r/>
      <w:bookmarkEnd w:id="43"/>
      <w:r>
        <w:rPr>
          <w:rFonts w:hint="eastAsia" w:ascii="仿宋" w:hAnsi="仿宋" w:eastAsia="仿宋" w:cs="仿宋"/>
          <w:bCs/>
          <w:color w:val="000000"/>
          <w:sz w:val="21"/>
          <w:szCs w:val="21"/>
          <w:highlight w:val="none"/>
        </w:rPr>
      </w:r>
      <w:r/>
    </w:p>
    <w:p>
      <w:pPr>
        <w:pStyle w:val="1054"/>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项目联系人：姜工</w:t>
      </w:r>
      <w:r>
        <w:rPr>
          <w:rFonts w:hint="eastAsia" w:ascii="仿宋" w:hAnsi="仿宋" w:eastAsia="仿宋" w:cs="仿宋"/>
          <w:bCs/>
          <w:color w:val="000000"/>
          <w:sz w:val="21"/>
          <w:szCs w:val="21"/>
          <w:highlight w:val="none"/>
        </w:rPr>
      </w:r>
      <w:r/>
    </w:p>
    <w:p>
      <w:pPr>
        <w:pStyle w:val="1032"/>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bCs/>
          <w:color w:val="000000"/>
          <w:sz w:val="21"/>
          <w:szCs w:val="21"/>
          <w:highlight w:val="none"/>
        </w:rPr>
        <w:t xml:space="preserve">电　　 话：19906113189</w:t>
      </w:r>
      <w:r>
        <w:rPr>
          <w:rFonts w:hint="eastAsia" w:ascii="仿宋" w:hAnsi="仿宋" w:eastAsia="仿宋" w:cs="仿宋"/>
          <w:color w:val="000000"/>
          <w:szCs w:val="21"/>
          <w:highlight w:val="none"/>
          <w:lang w:val="zh-TW" w:bidi="ar"/>
        </w:rPr>
      </w:r>
      <w:r/>
    </w:p>
    <w:p>
      <w:pPr>
        <w:pStyle w:val="1032"/>
        <w:contextualSpacing/>
        <w:ind w:firstLine="420"/>
        <w:jc w:val="center"/>
        <w:spacing w:line="360" w:lineRule="auto"/>
        <w:widowControl/>
        <w:rPr>
          <w:rStyle w:val="1217"/>
          <w:rFonts w:hint="eastAsia" w:ascii="仿宋" w:hAnsi="仿宋" w:eastAsia="仿宋" w:cs="仿宋"/>
          <w:color w:val="000000"/>
          <w:highlight w:val="none"/>
        </w:rPr>
      </w:pPr>
      <w:r>
        <w:rPr>
          <w:rFonts w:hint="eastAsia" w:ascii="仿宋" w:hAnsi="仿宋" w:eastAsia="仿宋" w:cs="仿宋"/>
          <w:color w:val="000000"/>
          <w:szCs w:val="21"/>
          <w:highlight w:val="none"/>
          <w:lang w:val="zh-TW" w:bidi="ar"/>
        </w:rPr>
        <w:br w:type="page" w:clear="all"/>
      </w:r>
      <w:bookmarkEnd w:id="10"/>
      <w:r/>
      <w:bookmarkStart w:id="44" w:name="_Toc12010"/>
      <w:r>
        <w:rPr>
          <w:rStyle w:val="1217"/>
          <w:rFonts w:hint="eastAsia" w:ascii="仿宋" w:hAnsi="仿宋" w:eastAsia="仿宋" w:cs="仿宋"/>
          <w:color w:val="000000"/>
          <w:highlight w:val="none"/>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rPr>
          <w:rStyle w:val="1217"/>
          <w:rFonts w:hint="eastAsia" w:ascii="仿宋" w:hAnsi="仿宋" w:eastAsia="仿宋" w:cs="仿宋"/>
          <w:color w:val="000000"/>
          <w:highlight w:val="none"/>
        </w:rPr>
      </w:r>
      <w:r/>
    </w:p>
    <w:p>
      <w:pPr>
        <w:pStyle w:val="1218"/>
        <w:spacing w:before="0" w:line="360" w:lineRule="auto"/>
        <w:tabs>
          <w:tab w:val="center" w:pos="4592" w:leader="none"/>
          <w:tab w:val="left" w:pos="7860" w:leader="none"/>
        </w:tabs>
        <w:rPr>
          <w:rFonts w:hint="eastAsia" w:ascii="仿宋" w:hAnsi="仿宋" w:eastAsia="仿宋" w:cs="仿宋"/>
          <w:color w:val="000000"/>
          <w:sz w:val="28"/>
          <w:highlight w:val="none"/>
        </w:rPr>
      </w:pPr>
      <w:r/>
      <w:bookmarkEnd w:id="44"/>
      <w:r/>
      <w:bookmarkStart w:id="45" w:name="_Toc195842884"/>
      <w:r/>
      <w:bookmarkStart w:id="46" w:name="_Toc164608633"/>
      <w:r/>
      <w:bookmarkStart w:id="47" w:name="_Toc127151720"/>
      <w:r/>
      <w:bookmarkStart w:id="48" w:name="_Toc150480757"/>
      <w:r/>
      <w:bookmarkStart w:id="49" w:name="_Toc149720812"/>
      <w:r/>
      <w:bookmarkStart w:id="50" w:name="_Toc151193907"/>
      <w:r/>
      <w:bookmarkStart w:id="51" w:name="_Toc164229214"/>
      <w:r/>
      <w:bookmarkStart w:id="52" w:name="_Toc226337215"/>
      <w:r/>
      <w:bookmarkStart w:id="53" w:name="_Toc127151519"/>
      <w:r/>
      <w:bookmarkStart w:id="54" w:name="_Toc151193833"/>
      <w:r/>
      <w:bookmarkStart w:id="55" w:name="_Toc164351613"/>
      <w:r/>
      <w:bookmarkStart w:id="56" w:name="_Toc151193617"/>
      <w:r/>
      <w:bookmarkStart w:id="57" w:name="_Toc150509270"/>
      <w:r/>
      <w:bookmarkStart w:id="58" w:name="_Toc142311021"/>
      <w:r/>
      <w:bookmarkStart w:id="59" w:name="_Toc151190146"/>
      <w:r/>
      <w:bookmarkStart w:id="60" w:name="_Toc150774724"/>
      <w:r/>
      <w:bookmarkStart w:id="61" w:name="_Toc151193761"/>
      <w:r/>
      <w:bookmarkStart w:id="62" w:name="_Toc164608788"/>
      <w:r/>
      <w:bookmarkStart w:id="63" w:name="_Toc164229360"/>
      <w:r/>
      <w:bookmarkStart w:id="64" w:name="_Toc150774619"/>
      <w:r/>
      <w:bookmarkStart w:id="65" w:name="_Toc226965709"/>
      <w:r/>
      <w:bookmarkStart w:id="66" w:name="_Toc151193689"/>
      <w:r/>
      <w:bookmarkStart w:id="67" w:name="_Toc127161433"/>
      <w:r/>
      <w:bookmarkStart w:id="68" w:name="_Toc226965792"/>
      <w:r/>
      <w:bookmarkStart w:id="69" w:name="_Toc226309763"/>
      <w:r/>
      <w:bookmarkStart w:id="70" w:name="_Toc520356144"/>
      <w:r>
        <w:rPr>
          <w:rFonts w:hint="eastAsia" w:ascii="仿宋" w:hAnsi="仿宋" w:eastAsia="仿宋" w:cs="仿宋"/>
          <w:color w:val="000000"/>
          <w:sz w:val="28"/>
          <w:highlight w:val="none"/>
        </w:rPr>
        <w:t xml:space="preserve">供应商须知资料表</w:t>
      </w:r>
      <w:r>
        <w:rPr>
          <w:rFonts w:hint="eastAsia" w:ascii="仿宋" w:hAnsi="仿宋" w:eastAsia="仿宋" w:cs="仿宋"/>
          <w:color w:val="000000"/>
          <w:sz w:val="28"/>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本表是对供应商须知的具体补充和修改，如有矛盾，均以本资料表为准。</w:t>
      </w:r>
      <w:r>
        <w:rPr>
          <w:rFonts w:hint="eastAsia" w:ascii="仿宋" w:hAnsi="仿宋" w:eastAsia="仿宋" w:cs="仿宋"/>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trHeight w:val="594"/>
          <w:tblHeader/>
        </w:trPr>
        <w:tc>
          <w:tcPr>
            <w:tcW w:w="988" w:type="dxa"/>
            <w:vAlign w:val="center"/>
            <w:textDirection w:val="lrTb"/>
            <w:noWrap w:val="false"/>
          </w:tcPr>
          <w:p>
            <w:pPr>
              <w:pStyle w:val="1032"/>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rPr>
              <w:t xml:space="preserve">条款号</w:t>
            </w:r>
            <w:r>
              <w:rPr>
                <w:rFonts w:hint="eastAsia" w:ascii="仿宋" w:hAnsi="仿宋" w:eastAsia="仿宋" w:cs="仿宋"/>
                <w:b/>
                <w:bCs/>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条  目</w:t>
            </w:r>
            <w:r>
              <w:rPr>
                <w:rFonts w:hint="eastAsia" w:ascii="仿宋" w:hAnsi="仿宋" w:eastAsia="仿宋" w:cs="仿宋"/>
                <w:b/>
                <w:bCs/>
                <w:color w:val="000000"/>
                <w:szCs w:val="21"/>
                <w:highlight w:val="none"/>
              </w:rPr>
            </w:r>
            <w:r/>
          </w:p>
        </w:tc>
        <w:tc>
          <w:tcPr>
            <w:tcW w:w="6532" w:type="dxa"/>
            <w:vAlign w:val="center"/>
            <w:textDirection w:val="lrTb"/>
            <w:noWrap w:val="false"/>
          </w:tcPr>
          <w:p>
            <w:pPr>
              <w:pStyle w:val="1032"/>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内     容</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lang w:val="en-US" w:eastAsia="zh-CN"/>
              </w:rPr>
              <w:t xml:space="preserve">服务</w:t>
            </w:r>
            <w:r>
              <w:rPr>
                <w:rFonts w:hint="eastAsia" w:ascii="仿宋" w:hAnsi="仿宋" w:eastAsia="仿宋" w:cs="仿宋"/>
                <w:color w:val="000000"/>
                <w:szCs w:val="21"/>
                <w:highlight w:val="none"/>
                <w:u w:val="singl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2.3</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rPr>
                <w:rFonts w:ascii="仿宋" w:hAnsi="仿宋" w:eastAsia="仿宋" w:cs="仿宋"/>
                <w:color w:val="000000"/>
                <w:szCs w:val="21"/>
                <w:highlight w:val="none"/>
              </w:rPr>
            </w:pPr>
            <w:r>
              <w:rPr>
                <w:rFonts w:ascii="仿宋" w:hAnsi="仿宋" w:eastAsia="仿宋" w:cs="仿宋"/>
                <w:color w:val="000000"/>
                <w:szCs w:val="21"/>
                <w:highlight w:val="none"/>
              </w:rPr>
              <w:t xml:space="preserve">2.4</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核心产品</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w:t>
            </w:r>
            <w:r>
              <w:rPr>
                <w:rFonts w:ascii="仿宋" w:hAnsi="仿宋" w:eastAsia="仿宋" w:cs="仿宋"/>
                <w:color w:val="000000"/>
                <w:szCs w:val="21"/>
                <w:highlight w:val="none"/>
                <w:lang w:val="en-US" w:eastAsia="zh-CN"/>
              </w:rPr>
            </w:r>
            <w:r/>
          </w:p>
        </w:tc>
      </w:tr>
      <w:tr>
        <w:trPr>
          <w:trHeight w:val="20"/>
        </w:trPr>
        <w:tc>
          <w:tcPr>
            <w:tcW w:w="988" w:type="dxa"/>
            <w:vAlign w:val="center"/>
            <w:vMerge w:val="restart"/>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3.1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20"/>
        </w:trPr>
        <w:tc>
          <w:tcPr>
            <w:tcW w:w="988" w:type="dxa"/>
            <w:vAlign w:val="center"/>
            <w:vMerge w:val="continue"/>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开标前答疑会</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407"/>
        </w:trPr>
        <w:tc>
          <w:tcPr>
            <w:tcW w:w="988" w:type="dxa"/>
            <w:vAlign w:val="center"/>
            <w:textDirection w:val="lrTb"/>
            <w:noWrap w:val="false"/>
          </w:tcPr>
          <w:p>
            <w:pPr>
              <w:pStyle w:val="1254"/>
              <w:jc w:val="center"/>
              <w:rPr>
                <w:rFonts w:ascii="仿宋" w:hAnsi="仿宋" w:eastAsia="仿宋" w:cs="仿宋"/>
                <w:color w:val="000000"/>
                <w:szCs w:val="21"/>
                <w:highlight w:val="none"/>
              </w:rPr>
            </w:pPr>
            <w:r>
              <w:rPr>
                <w:rFonts w:ascii="仿宋" w:hAnsi="仿宋" w:eastAsia="仿宋" w:cs="仿宋"/>
                <w:color w:val="000000"/>
                <w:szCs w:val="21"/>
                <w:highlight w:val="none"/>
              </w:rPr>
              <w:t xml:space="preserve">4.1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样品</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投标样品递交：不需要</w:t>
            </w:r>
            <w:r>
              <w:rPr>
                <w:rFonts w:hint="eastAsia" w:ascii="仿宋" w:hAnsi="仿宋" w:eastAsia="仿宋" w:cs="仿宋"/>
                <w:color w:val="000000"/>
                <w:szCs w:val="21"/>
                <w:highlight w:val="none"/>
              </w:rPr>
            </w:r>
            <w:r/>
          </w:p>
        </w:tc>
      </w:tr>
      <w:tr>
        <w:trPr>
          <w:trHeight w:val="412"/>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5.2.5</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本项目采购标的对应的中小企业划分标准所属行业：</w:t>
            </w:r>
            <w:r>
              <w:rPr>
                <w:rFonts w:hint="eastAsia" w:ascii="仿宋" w:hAnsi="仿宋" w:eastAsia="仿宋" w:cs="仿宋"/>
                <w:b/>
                <w:bCs/>
                <w:color w:val="000000"/>
                <w:szCs w:val="21"/>
                <w:highlight w:val="none"/>
                <w:u w:val="single"/>
                <w:lang w:val="en-US" w:eastAsia="zh-CN"/>
              </w:rPr>
              <w:t xml:space="preserve">餐饮业</w:t>
            </w:r>
            <w:r>
              <w:rPr>
                <w:rFonts w:hint="eastAsia" w:ascii="仿宋" w:hAnsi="仿宋" w:eastAsia="仿宋" w:cs="仿宋"/>
                <w:color w:val="000000"/>
                <w:szCs w:val="21"/>
                <w:highlight w:val="none"/>
                <w:lang w:eastAsia="zh-CN"/>
              </w:rPr>
            </w:r>
            <w:r/>
          </w:p>
        </w:tc>
      </w:tr>
      <w:tr>
        <w:trPr>
          <w:trHeight w:val="409"/>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11.2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报价的特殊规定：</w:t>
            </w:r>
            <w:r>
              <w:rPr>
                <w:rFonts w:hint="eastAsia" w:ascii="仿宋" w:hAnsi="仿宋" w:eastAsia="仿宋" w:cs="仿宋"/>
                <w:color w:val="000000"/>
                <w:szCs w:val="21"/>
                <w:highlight w:val="none"/>
              </w:rPr>
            </w:r>
            <w:r/>
          </w:p>
          <w:p>
            <w:pPr>
              <w:pStyle w:val="1032"/>
              <w:jc w:val="left"/>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本项目以各单餐用餐标准为基数，供应商在响应文件中填报固定优惠率【优惠率应大于0】。</w:t>
            </w:r>
            <w:r>
              <w:rPr>
                <w:rFonts w:hint="eastAsia" w:ascii="仿宋" w:hAnsi="仿宋" w:eastAsia="仿宋" w:cs="仿宋"/>
                <w:b/>
                <w:bCs/>
                <w:color w:val="000000"/>
                <w:szCs w:val="21"/>
                <w:highlight w:val="none"/>
                <w:lang w:val="en-US" w:eastAsia="zh-CN"/>
              </w:rPr>
            </w:r>
            <w:r/>
          </w:p>
          <w:p>
            <w:pPr>
              <w:pStyle w:val="1032"/>
              <w:jc w:val="left"/>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val="en-US" w:eastAsia="zh-CN"/>
              </w:rPr>
              <w:t xml:space="preserve">每餐须按照单餐用餐标准*（1+成交优惠率）（元/人/餐）的价格提供餐食，最终按照实际就餐次数据实结算。</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投标保证金</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13.1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自提交投标文件的截止之日起算90日历天。</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14.1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投标文件份数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hint="eastAsia" w:ascii="仿宋" w:hAnsi="仿宋" w:eastAsia="仿宋" w:cs="仿宋"/>
                <w:b/>
                <w:bCs/>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中标结果确定后中标单位应提交胶装并加盖公章的纸质版投标文件贰份，纸质投标文件应与“苏采云”政府采购一体化平台中的电子文件内容、格式一致。</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25.5</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本项目的非主体、非关键性工作是否允许分包：不允许</w:t>
            </w:r>
            <w:r>
              <w:rPr>
                <w:rFonts w:hint="eastAsia" w:ascii="仿宋" w:hAnsi="仿宋" w:eastAsia="仿宋" w:cs="仿宋"/>
                <w:color w:val="000000"/>
                <w:szCs w:val="21"/>
                <w:highlight w:val="none"/>
                <w:u w:val="singl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26.1</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询问送达形式：接收加盖单位公章的书面询问函</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26.2</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质疑送达形式：</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26.3</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联 系 人：</w:t>
            </w:r>
            <w:r>
              <w:rPr>
                <w:rFonts w:hint="eastAsia" w:ascii="仿宋" w:hAnsi="仿宋" w:eastAsia="仿宋" w:cs="仿宋"/>
                <w:color w:val="000000"/>
                <w:szCs w:val="21"/>
                <w:highlight w:val="none"/>
                <w:lang w:val="en-US" w:eastAsia="zh-CN"/>
              </w:rPr>
              <w:t xml:space="preserve">姜工</w:t>
            </w:r>
            <w:r>
              <w:rPr>
                <w:rFonts w:hint="eastAsia" w:ascii="仿宋" w:hAnsi="仿宋" w:eastAsia="仿宋" w:cs="仿宋"/>
                <w:color w:val="000000"/>
                <w:szCs w:val="21"/>
                <w:highlight w:val="none"/>
                <w:lang w:val="en-US" w:eastAsia="zh-CN"/>
              </w:rPr>
            </w:r>
            <w:r/>
          </w:p>
          <w:p>
            <w:pPr>
              <w:pStyle w:val="1032"/>
              <w:jc w:val="left"/>
              <w:spacing w:line="276" w:lineRule="auto"/>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联系电话：</w:t>
            </w:r>
            <w:r>
              <w:rPr>
                <w:rFonts w:hint="eastAsia" w:ascii="仿宋" w:hAnsi="仿宋" w:eastAsia="仿宋" w:cs="仿宋"/>
                <w:color w:val="000000"/>
                <w:szCs w:val="21"/>
                <w:highlight w:val="none"/>
                <w:lang w:val="en-US" w:eastAsia="zh-CN"/>
              </w:rPr>
              <w:t xml:space="preserve">19906113189</w:t>
            </w:r>
            <w:r>
              <w:rPr>
                <w:rFonts w:ascii="仿宋" w:hAnsi="仿宋" w:eastAsia="仿宋" w:cs="仿宋"/>
                <w:color w:val="000000"/>
                <w:szCs w:val="21"/>
                <w:highlight w:val="none"/>
                <w:lang w:val="en-US" w:eastAsia="zh-CN"/>
              </w:rPr>
            </w:r>
            <w:r/>
          </w:p>
          <w:p>
            <w:pPr>
              <w:pStyle w:val="1032"/>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54"/>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27</w:t>
            </w:r>
            <w:r>
              <w:rPr>
                <w:rFonts w:ascii="仿宋" w:hAnsi="仿宋" w:eastAsia="仿宋" w:cs="仿宋"/>
                <w:color w:val="000000"/>
                <w:szCs w:val="21"/>
                <w:highlight w:val="none"/>
              </w:rPr>
            </w:r>
            <w:r/>
          </w:p>
        </w:tc>
        <w:tc>
          <w:tcPr>
            <w:tcW w:w="1701" w:type="dxa"/>
            <w:vAlign w:val="center"/>
            <w:textDirection w:val="lrTb"/>
            <w:noWrap w:val="false"/>
          </w:tcPr>
          <w:p>
            <w:pPr>
              <w:pStyle w:val="1032"/>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shd w:val="clear" w:color="auto" w:fill="ffffff"/>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收费对象：成交供应商</w:t>
            </w:r>
            <w:r>
              <w:rPr>
                <w:rFonts w:hint="eastAsia" w:ascii="仿宋" w:hAnsi="仿宋" w:eastAsia="仿宋" w:cs="仿宋"/>
                <w:color w:val="000000"/>
                <w:szCs w:val="21"/>
                <w:highlight w:val="none"/>
                <w:lang w:eastAsia="zh-CN"/>
              </w:rPr>
            </w:r>
            <w:r/>
          </w:p>
          <w:p>
            <w:pPr>
              <w:pStyle w:val="1032"/>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收费标准：以</w:t>
            </w:r>
            <w:r>
              <w:rPr>
                <w:rFonts w:hint="eastAsia" w:ascii="仿宋" w:hAnsi="仿宋" w:eastAsia="仿宋" w:cs="仿宋"/>
                <w:color w:val="000000"/>
                <w:szCs w:val="21"/>
                <w:highlight w:val="none"/>
                <w:lang w:val="en-US" w:eastAsia="zh-CN"/>
              </w:rPr>
              <w:t xml:space="preserve">预算总</w:t>
            </w:r>
            <w:r>
              <w:rPr>
                <w:rFonts w:hint="eastAsia" w:ascii="仿宋" w:hAnsi="仿宋" w:eastAsia="仿宋" w:cs="仿宋"/>
                <w:color w:val="000000"/>
                <w:szCs w:val="21"/>
                <w:highlight w:val="none"/>
              </w:rPr>
              <w:t xml:space="preserve">金额为基数，收费比例按差额定率累进法。</w:t>
            </w:r>
            <w:r>
              <w:rPr>
                <w:rFonts w:hint="eastAsia" w:ascii="仿宋" w:hAnsi="仿宋" w:eastAsia="仿宋" w:cs="仿宋"/>
                <w:color w:val="000000"/>
                <w:szCs w:val="21"/>
                <w:highlight w:val="none"/>
                <w:lang w:val="en-US" w:eastAsia="zh-CN"/>
              </w:rPr>
              <w:t xml:space="preserve">本项目代理服务费=【100*1.5%+（135-100）*0.8%】*10000*0.95；单位：元。</w:t>
            </w:r>
            <w:r>
              <w:rPr>
                <w:rFonts w:hint="eastAsia" w:ascii="仿宋" w:hAnsi="仿宋" w:eastAsia="仿宋" w:cs="仿宋"/>
                <w:color w:val="000000"/>
                <w:szCs w:val="21"/>
                <w:highlight w:val="none"/>
                <w:lang w:val="en-US" w:eastAsia="zh-CN"/>
              </w:rPr>
            </w:r>
            <w:r/>
          </w:p>
          <w:p>
            <w:pPr>
              <w:pStyle w:val="1032"/>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缴纳时间：领取成交通知书前一次性支付至代理机构指定账号</w:t>
            </w:r>
            <w:r>
              <w:rPr>
                <w:rFonts w:hint="eastAsia" w:ascii="仿宋" w:hAnsi="仿宋" w:eastAsia="仿宋" w:cs="仿宋"/>
                <w:color w:val="000000"/>
                <w:szCs w:val="21"/>
                <w:highlight w:val="none"/>
              </w:rPr>
            </w:r>
            <w:r/>
          </w:p>
          <w:p>
            <w:pPr>
              <w:pStyle w:val="1032"/>
              <w:shd w:val="clear" w:color="auto" w:fill="ffffff"/>
              <w:rPr>
                <w:rFonts w:hint="eastAsia" w:ascii="仿宋" w:hAnsi="仿宋" w:eastAsia="仿宋" w:cs="仿宋"/>
                <w:color w:val="000000"/>
                <w:szCs w:val="21"/>
                <w:highlight w:val="none"/>
              </w:rPr>
            </w:pPr>
            <w:r/>
            <w:bookmarkStart w:id="71" w:name="_Toc4760"/>
            <w:r>
              <w:rPr>
                <w:rFonts w:hint="eastAsia" w:ascii="仿宋" w:hAnsi="仿宋" w:eastAsia="仿宋" w:cs="仿宋"/>
                <w:color w:val="000000"/>
                <w:szCs w:val="21"/>
                <w:highlight w:val="none"/>
              </w:rPr>
              <w:t xml:space="preserve">收款单位：江苏城建校工程咨询有限公司</w:t>
            </w:r>
            <w:bookmarkEnd w:id="71"/>
            <w:r>
              <w:rPr>
                <w:rFonts w:hint="eastAsia" w:ascii="仿宋" w:hAnsi="仿宋" w:eastAsia="仿宋" w:cs="仿宋"/>
                <w:color w:val="000000"/>
                <w:szCs w:val="21"/>
                <w:highlight w:val="none"/>
              </w:rPr>
            </w:r>
            <w:r/>
          </w:p>
          <w:p>
            <w:pPr>
              <w:pStyle w:val="1032"/>
              <w:shd w:val="clear" w:color="auto" w:fill="ffffff"/>
              <w:rPr>
                <w:rFonts w:hint="eastAsia" w:ascii="仿宋" w:hAnsi="仿宋" w:eastAsia="仿宋" w:cs="仿宋"/>
                <w:color w:val="000000"/>
                <w:szCs w:val="21"/>
                <w:highlight w:val="none"/>
              </w:rPr>
            </w:pPr>
            <w:r/>
            <w:bookmarkStart w:id="72" w:name="_Toc10855"/>
            <w:r/>
            <w:bookmarkEnd w:id="72"/>
            <w:r/>
            <w:bookmarkStart w:id="73" w:name="_Toc58928459"/>
            <w:r/>
            <w:bookmarkEnd w:id="73"/>
            <w:r/>
            <w:bookmarkStart w:id="74" w:name="_Toc10867"/>
            <w:r>
              <w:rPr>
                <w:rFonts w:hint="eastAsia" w:ascii="仿宋" w:hAnsi="仿宋" w:eastAsia="仿宋" w:cs="仿宋"/>
                <w:color w:val="000000"/>
                <w:szCs w:val="21"/>
                <w:highlight w:val="none"/>
              </w:rPr>
              <w:t xml:space="preserve">开户银行：江苏银行常州怀德支行</w:t>
            </w:r>
            <w:bookmarkEnd w:id="74"/>
            <w:r>
              <w:rPr>
                <w:rFonts w:hint="eastAsia" w:ascii="仿宋" w:hAnsi="仿宋" w:eastAsia="仿宋" w:cs="仿宋"/>
                <w:color w:val="000000"/>
                <w:szCs w:val="21"/>
                <w:highlight w:val="none"/>
              </w:rPr>
            </w:r>
            <w:r/>
          </w:p>
          <w:p>
            <w:pPr>
              <w:pStyle w:val="1032"/>
              <w:jc w:val="left"/>
              <w:spacing w:line="276" w:lineRule="auto"/>
              <w:rPr>
                <w:rFonts w:hint="eastAsia" w:ascii="仿宋" w:hAnsi="仿宋" w:eastAsia="仿宋" w:cs="仿宋"/>
                <w:color w:val="000000"/>
                <w:highlight w:val="none"/>
              </w:rPr>
            </w:pPr>
            <w:r/>
            <w:bookmarkStart w:id="75" w:name="_Toc14717"/>
            <w:r/>
            <w:bookmarkEnd w:id="75"/>
            <w:r/>
            <w:bookmarkStart w:id="76" w:name="_Toc14480"/>
            <w:r/>
            <w:bookmarkEnd w:id="76"/>
            <w:r/>
            <w:bookmarkStart w:id="77" w:name="_Toc58928460"/>
            <w:r>
              <w:rPr>
                <w:rFonts w:hint="eastAsia" w:ascii="仿宋" w:hAnsi="仿宋" w:eastAsia="仿宋" w:cs="仿宋"/>
                <w:color w:val="000000"/>
                <w:szCs w:val="21"/>
                <w:highlight w:val="none"/>
              </w:rPr>
              <w:t xml:space="preserve">账号：81700188000089469</w:t>
            </w:r>
            <w:bookmarkEnd w:id="77"/>
            <w:r>
              <w:rPr>
                <w:rFonts w:hint="eastAsia" w:ascii="仿宋" w:hAnsi="仿宋" w:eastAsia="仿宋" w:cs="仿宋"/>
                <w:color w:val="000000"/>
                <w:highlight w:val="none"/>
              </w:rPr>
            </w:r>
            <w:r/>
          </w:p>
        </w:tc>
      </w:tr>
      <w:tr>
        <w:trPr>
          <w:trHeight w:val="20"/>
        </w:trPr>
        <w:tc>
          <w:tcPr>
            <w:tcW w:w="988" w:type="dxa"/>
            <w:vAlign w:val="center"/>
            <w:textDirection w:val="lrTb"/>
            <w:noWrap w:val="false"/>
          </w:tcPr>
          <w:p>
            <w:pPr>
              <w:pStyle w:val="1032"/>
              <w:shd w:val="clear" w:color="auto" w:fill="ffffff"/>
              <w:rPr>
                <w:rFonts w:ascii="仿宋" w:hAnsi="仿宋" w:eastAsia="仿宋" w:cs="仿宋"/>
                <w:color w:val="000000"/>
                <w:szCs w:val="21"/>
                <w:highlight w:val="none"/>
              </w:rPr>
            </w:pPr>
            <w:r/>
            <w:bookmarkStart w:id="78" w:name="_Toc127151517"/>
            <w:r/>
            <w:bookmarkStart w:id="79" w:name="_Toc226337213"/>
            <w:r/>
            <w:bookmarkStart w:id="80" w:name="_Toc264969207"/>
            <w:r/>
            <w:bookmarkStart w:id="81" w:name="_Toc305158785"/>
            <w:r/>
            <w:bookmarkStart w:id="82" w:name="_Toc353825542"/>
            <w:r/>
            <w:bookmarkStart w:id="83" w:name="_Toc142311019"/>
            <w:r/>
            <w:bookmarkStart w:id="84" w:name="_Toc195842882"/>
            <w:r/>
            <w:bookmarkStart w:id="85" w:name="_Toc305158859"/>
            <w:r/>
            <w:bookmarkStart w:id="86" w:name="_Toc353873662"/>
            <w:r/>
            <w:bookmarkStart w:id="87" w:name="_Toc150480755"/>
            <w:r/>
            <w:bookmarkStart w:id="88" w:name="_Toc150774722"/>
            <w:r/>
            <w:bookmarkStart w:id="89" w:name="_Toc353873932"/>
            <w:r/>
            <w:bookmarkStart w:id="90" w:name="_Toc265228355"/>
            <w:r/>
            <w:bookmarkStart w:id="91" w:name="_Toc226965790"/>
            <w:r>
              <w:rPr>
                <w:rFonts w:hint="eastAsia" w:ascii="仿宋" w:hAnsi="仿宋" w:eastAsia="仿宋" w:cs="仿宋"/>
                <w:color w:val="000000"/>
                <w:szCs w:val="21"/>
                <w:highlight w:val="none"/>
                <w:lang w:val="en-US" w:eastAsia="zh-CN"/>
              </w:rPr>
              <w:t xml:space="preserve">其他</w:t>
            </w:r>
            <w:r>
              <w:rPr>
                <w:rFonts w:ascii="仿宋" w:hAnsi="仿宋" w:eastAsia="仿宋" w:cs="仿宋"/>
                <w:color w:val="000000"/>
                <w:szCs w:val="21"/>
                <w:highlight w:val="none"/>
              </w:rPr>
            </w:r>
            <w:r/>
          </w:p>
        </w:tc>
        <w:tc>
          <w:tcPr>
            <w:tcW w:w="1701" w:type="dxa"/>
            <w:vAlign w:val="center"/>
            <w:textDirection w:val="lrTb"/>
            <w:noWrap w:val="false"/>
          </w:tcPr>
          <w:p>
            <w:pPr>
              <w:pStyle w:val="1032"/>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本国产品政策支持</w:t>
            </w:r>
            <w:r>
              <w:rPr>
                <w:rFonts w:hint="eastAsia" w:ascii="仿宋" w:hAnsi="仿宋" w:eastAsia="仿宋" w:cs="仿宋"/>
                <w:color w:val="000000"/>
                <w:szCs w:val="21"/>
                <w:highlight w:val="none"/>
              </w:rPr>
            </w:r>
            <w:r/>
          </w:p>
        </w:tc>
        <w:tc>
          <w:tcPr>
            <w:tcW w:w="6532" w:type="dxa"/>
            <w:vAlign w:val="center"/>
            <w:textDirection w:val="lrTb"/>
            <w:noWrap w:val="false"/>
          </w:tcPr>
          <w:p>
            <w:pPr>
              <w:pStyle w:val="1032"/>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关于对采购本国产品给予政策支持，本项目：</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适用 </w:t>
            </w:r>
            <w:r>
              <w:rPr>
                <w:rFonts w:ascii="Wingdings 2" w:hAnsi="Wingdings 2" w:eastAsia="Wingdings 2" w:cs="Wingdings 2"/>
                <w:color w:val="000000"/>
                <w:szCs w:val="21"/>
                <w:highlight w:val="none"/>
                <w:lang w:val="en-US" w:eastAsia="zh-CN"/>
              </w:rPr>
              <w:t xml:space="preserve">R</w:t>
            </w:r>
            <w:r>
              <w:rPr>
                <w:rFonts w:hint="eastAsia" w:ascii="仿宋" w:hAnsi="仿宋" w:eastAsia="仿宋" w:cs="仿宋"/>
                <w:color w:val="000000"/>
                <w:szCs w:val="21"/>
                <w:highlight w:val="none"/>
                <w:lang w:val="en-US" w:eastAsia="zh-CN"/>
              </w:rPr>
              <w:t xml:space="preserve">不适用。</w:t>
            </w:r>
            <w:r>
              <w:rPr>
                <w:rFonts w:hint="eastAsia" w:ascii="仿宋" w:hAnsi="仿宋" w:eastAsia="仿宋" w:cs="仿宋"/>
                <w:color w:val="000000"/>
                <w:szCs w:val="21"/>
                <w:highlight w:val="none"/>
                <w:lang w:val="en-US" w:eastAsia="zh-CN"/>
              </w:rPr>
            </w:r>
            <w:r/>
          </w:p>
          <w:p>
            <w:pPr>
              <w:pStyle w:val="1032"/>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仿宋" w:hAnsi="仿宋" w:eastAsia="仿宋" w:cs="仿宋"/>
                <w:color w:val="000000"/>
                <w:szCs w:val="21"/>
                <w:highlight w:val="none"/>
              </w:rPr>
            </w:r>
            <w:r/>
          </w:p>
        </w:tc>
      </w:tr>
    </w:tbl>
    <w:p>
      <w:pPr>
        <w:pStyle w:val="1032"/>
        <w:jc w:val="center"/>
        <w:spacing w:before="240" w:after="240"/>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br w:type="page" w:clear="all"/>
      </w:r>
      <w:r>
        <w:rPr>
          <w:rFonts w:hint="eastAsia" w:ascii="仿宋" w:hAnsi="仿宋" w:eastAsia="仿宋" w:cs="仿宋"/>
          <w:b/>
          <w:color w:val="000000"/>
          <w:sz w:val="28"/>
          <w:szCs w:val="28"/>
          <w:highlight w:val="none"/>
        </w:rPr>
        <w:t xml:space="preserve">供应商须知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仿宋" w:hAnsi="仿宋" w:eastAsia="仿宋" w:cs="仿宋"/>
          <w:b/>
          <w:color w:val="000000"/>
          <w:sz w:val="28"/>
          <w:szCs w:val="28"/>
          <w:highlight w:val="none"/>
        </w:rPr>
      </w:r>
      <w:r/>
    </w:p>
    <w:p>
      <w:pPr>
        <w:pStyle w:val="1218"/>
        <w:jc w:val="left"/>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92" w:name="_Toc520356143"/>
      <w:r/>
      <w:bookmarkStart w:id="93" w:name="_Toc127151518"/>
      <w:r>
        <w:rPr>
          <w:rFonts w:hint="eastAsia" w:ascii="仿宋" w:hAnsi="仿宋" w:eastAsia="仿宋" w:cs="仿宋"/>
          <w:color w:val="000000"/>
          <w:sz w:val="28"/>
          <w:highlight w:val="none"/>
        </w:rPr>
        <w:tab/>
      </w:r>
      <w:bookmarkStart w:id="94" w:name="_Toc151193688"/>
      <w:r/>
      <w:bookmarkStart w:id="95" w:name="_Toc150774723"/>
      <w:r/>
      <w:bookmarkStart w:id="96" w:name="_Toc265228356"/>
      <w:r/>
      <w:bookmarkStart w:id="97" w:name="_Toc226337214"/>
      <w:r/>
      <w:bookmarkStart w:id="98" w:name="_Toc151193760"/>
      <w:r/>
      <w:bookmarkStart w:id="99" w:name="_Toc150774618"/>
      <w:r/>
      <w:bookmarkStart w:id="100" w:name="_Toc151190145"/>
      <w:r/>
      <w:bookmarkStart w:id="101" w:name="_Toc151193832"/>
      <w:r/>
      <w:bookmarkStart w:id="102" w:name="_Toc142311020"/>
      <w:r/>
      <w:bookmarkStart w:id="103" w:name="_Toc151193906"/>
      <w:r/>
      <w:bookmarkStart w:id="104" w:name="_Toc226309762"/>
      <w:r/>
      <w:bookmarkStart w:id="105" w:name="_Toc305158860"/>
      <w:r/>
      <w:bookmarkStart w:id="106" w:name="_Toc195842883"/>
      <w:r/>
      <w:bookmarkStart w:id="107" w:name="_Toc264969208"/>
      <w:r/>
      <w:bookmarkStart w:id="108" w:name="_Toc226965708"/>
      <w:r/>
      <w:bookmarkStart w:id="109" w:name="_Toc150480756"/>
      <w:r/>
      <w:bookmarkStart w:id="110" w:name="_Toc305158786"/>
      <w:r/>
      <w:bookmarkStart w:id="111" w:name="_Toc151193616"/>
      <w:r/>
      <w:bookmarkStart w:id="112" w:name="_Toc150509269"/>
      <w:r/>
      <w:bookmarkStart w:id="113" w:name="_Toc226965791"/>
      <w:r>
        <w:rPr>
          <w:rFonts w:hint="eastAsia" w:ascii="仿宋" w:hAnsi="仿宋" w:eastAsia="仿宋" w:cs="仿宋"/>
          <w:color w:val="000000"/>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114" w:name="_Toc305158787"/>
      <w:r/>
      <w:bookmarkStart w:id="115" w:name="_Toc264969209"/>
      <w:r/>
      <w:bookmarkStart w:id="116" w:name="_Toc265228357"/>
      <w:r/>
      <w:bookmarkStart w:id="117" w:name="_Toc305158861"/>
      <w:r>
        <w:rPr>
          <w:rFonts w:hint="eastAsia" w:ascii="仿宋" w:hAnsi="仿宋" w:eastAsia="仿宋" w:cs="仿宋"/>
          <w:color w:val="000000"/>
          <w:sz w:val="21"/>
          <w:szCs w:val="21"/>
          <w:highlight w:val="none"/>
        </w:rPr>
        <w:t xml:space="preserve">1.采购人、采购代理机构、</w:t>
      </w:r>
      <w:bookmarkEnd w:id="114"/>
      <w:r/>
      <w:bookmarkEnd w:id="115"/>
      <w:r/>
      <w:bookmarkEnd w:id="116"/>
      <w:r/>
      <w:bookmarkEnd w:id="117"/>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1.2供应商（也称“投标人”、“申请人”）：指向采购人提供货物、工程或者服务的法人、其他组织或者自然人。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118" w:name="_Toc305158788"/>
      <w:r/>
      <w:bookmarkStart w:id="119" w:name="_Toc150774620"/>
      <w:r/>
      <w:bookmarkStart w:id="120" w:name="_Toc151193834"/>
      <w:r/>
      <w:bookmarkStart w:id="121" w:name="_Toc127161434"/>
      <w:r/>
      <w:bookmarkStart w:id="122" w:name="_Toc151190147"/>
      <w:r/>
      <w:bookmarkStart w:id="123" w:name="_Toc150509271"/>
      <w:r/>
      <w:bookmarkStart w:id="124" w:name="_Toc164351614"/>
      <w:r/>
      <w:bookmarkStart w:id="125" w:name="_Toc305158862"/>
      <w:r/>
      <w:bookmarkStart w:id="126" w:name="_Toc164229361"/>
      <w:r/>
      <w:bookmarkStart w:id="127" w:name="_Toc226965793"/>
      <w:r/>
      <w:bookmarkStart w:id="128" w:name="_Toc226309764"/>
      <w:r/>
      <w:bookmarkStart w:id="129" w:name="_Toc226965710"/>
      <w:r/>
      <w:bookmarkStart w:id="130" w:name="_Toc195842885"/>
      <w:r/>
      <w:bookmarkStart w:id="131" w:name="_Toc142311022"/>
      <w:r/>
      <w:bookmarkStart w:id="132" w:name="_Toc164608789"/>
      <w:r/>
      <w:bookmarkStart w:id="133" w:name="_Toc127151520"/>
      <w:r/>
      <w:bookmarkStart w:id="134" w:name="_Toc149720813"/>
      <w:r/>
      <w:bookmarkStart w:id="135" w:name="_Toc164229215"/>
      <w:r/>
      <w:bookmarkStart w:id="136" w:name="_Toc150480758"/>
      <w:r/>
      <w:bookmarkStart w:id="137" w:name="_Toc127151721"/>
      <w:r/>
      <w:bookmarkStart w:id="138" w:name="_Toc151193908"/>
      <w:r/>
      <w:bookmarkStart w:id="139" w:name="_Toc226337216"/>
      <w:r/>
      <w:bookmarkStart w:id="140" w:name="_Toc150774725"/>
      <w:r/>
      <w:bookmarkStart w:id="141" w:name="_Toc151193618"/>
      <w:r/>
      <w:bookmarkStart w:id="142" w:name="_Toc151193762"/>
      <w:r/>
      <w:bookmarkStart w:id="143" w:name="_Toc265228358"/>
      <w:r/>
      <w:bookmarkStart w:id="144" w:name="_Toc151193690"/>
      <w:r/>
      <w:bookmarkStart w:id="145" w:name="_Toc164608634"/>
      <w:r/>
      <w:bookmarkStart w:id="146" w:name="_Toc264969210"/>
      <w:r>
        <w:rPr>
          <w:rFonts w:hint="eastAsia" w:ascii="仿宋" w:hAnsi="仿宋" w:eastAsia="仿宋" w:cs="仿宋"/>
          <w:color w:val="000000"/>
          <w:sz w:val="21"/>
          <w:szCs w:val="21"/>
          <w:highlight w:val="none"/>
        </w:rPr>
        <w:t xml:space="preserve">2.资金来源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47" w:name="_Toc520356146"/>
      <w:r/>
      <w:bookmarkStart w:id="148" w:name="_Toc264969212"/>
      <w:r/>
      <w:bookmarkStart w:id="149" w:name="_Toc150774622"/>
      <w:r/>
      <w:bookmarkStart w:id="150" w:name="_Toc151193620"/>
      <w:r/>
      <w:bookmarkStart w:id="151" w:name="_Toc150480760"/>
      <w:r/>
      <w:bookmarkStart w:id="152" w:name="_Toc151193836"/>
      <w:r/>
      <w:bookmarkStart w:id="153" w:name="_Toc226965712"/>
      <w:r/>
      <w:bookmarkStart w:id="154" w:name="_Toc226965795"/>
      <w:r/>
      <w:bookmarkStart w:id="155" w:name="_Toc265228360"/>
      <w:r/>
      <w:bookmarkStart w:id="156" w:name="_Toc151193910"/>
      <w:r/>
      <w:bookmarkStart w:id="157" w:name="_Toc142311024"/>
      <w:r/>
      <w:bookmarkStart w:id="158" w:name="_Toc127151522"/>
      <w:r/>
      <w:bookmarkStart w:id="159" w:name="_Toc150509273"/>
      <w:r/>
      <w:bookmarkStart w:id="160" w:name="_Toc151193764"/>
      <w:r/>
      <w:bookmarkStart w:id="161" w:name="_Toc226337218"/>
      <w:r/>
      <w:bookmarkStart w:id="162" w:name="_Toc150774727"/>
      <w:r/>
      <w:bookmarkStart w:id="163" w:name="_Toc305158864"/>
      <w:r/>
      <w:bookmarkStart w:id="164" w:name="_Toc151190149"/>
      <w:r/>
      <w:bookmarkStart w:id="165" w:name="_Toc195842887"/>
      <w:r/>
      <w:bookmarkStart w:id="166" w:name="_Toc305158790"/>
      <w:r/>
      <w:bookmarkStart w:id="167" w:name="_Toc151193692"/>
      <w:r/>
      <w:bookmarkStart w:id="168" w:name="_Toc22630976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仿宋" w:hAnsi="仿宋" w:eastAsia="仿宋" w:cs="仿宋"/>
          <w:color w:val="000000"/>
          <w:sz w:val="21"/>
          <w:szCs w:val="21"/>
          <w:highlight w:val="none"/>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rPr>
        <w:t xml:space="preserve">5.8</w:t>
      </w:r>
      <w:r>
        <w:rPr>
          <w:rStyle w:val="1443"/>
          <w:rFonts w:hint="eastAsia" w:ascii="仿宋" w:hAnsi="仿宋" w:eastAsia="仿宋" w:cs="仿宋"/>
          <w:b/>
          <w:bCs/>
          <w:color w:val="000000"/>
          <w:sz w:val="21"/>
          <w:szCs w:val="21"/>
          <w:highlight w:val="none"/>
          <w:lang w:val="en-US" w:eastAsia="zh-CN"/>
        </w:rPr>
        <w:t xml:space="preserve">电子履约保函政策</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为进一步优化政府采购营商环境，规范我省政府采购履约保证金管理，持续降低供应商参与政府采购成本，根据</w:t>
      </w:r>
      <w:r>
        <w:rPr>
          <w:rStyle w:val="1443"/>
          <w:rFonts w:hint="eastAsia" w:ascii="仿宋" w:hAnsi="仿宋" w:eastAsia="仿宋" w:cs="仿宋"/>
          <w:b/>
          <w:bCs/>
          <w:color w:val="000000"/>
          <w:sz w:val="21"/>
          <w:szCs w:val="21"/>
          <w:highlight w:val="none"/>
          <w:lang w:val="en-US" w:eastAsia="zh-CN"/>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5.9政府采购中实施本国产品标准及相关政策</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本国产品标准适用于货物，包括政府采购货物项目和服务项目中涉及的货物。完成本服务项目中涉及的洗涤剂等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Style w:val="1443"/>
          <w:rFonts w:hint="eastAsia" w:ascii="仿宋" w:hAnsi="仿宋" w:eastAsia="仿宋" w:cs="仿宋"/>
          <w:b/>
          <w:bCs/>
          <w:color w:val="000000"/>
          <w:sz w:val="21"/>
          <w:szCs w:val="21"/>
          <w:highlight w:val="none"/>
          <w:lang w:val="en-US" w:eastAsia="zh-CN"/>
        </w:rPr>
      </w:r>
      <w:r/>
    </w:p>
    <w:p>
      <w:pPr>
        <w:pStyle w:val="1510"/>
        <w:ind w:left="0" w:firstLine="422"/>
        <w:spacing w:before="0"/>
        <w:shd w:val="clear" w:color="auto" w:fill="ffffff"/>
        <w:rPr>
          <w:rStyle w:val="1443"/>
          <w:rFonts w:hint="eastAsia" w:ascii="仿宋" w:hAnsi="仿宋" w:eastAsia="仿宋" w:cs="仿宋"/>
          <w:b/>
          <w:bCs/>
          <w:color w:val="000000"/>
          <w:sz w:val="21"/>
          <w:szCs w:val="21"/>
          <w:highlight w:val="none"/>
          <w:lang w:val="en-US" w:eastAsia="zh-CN"/>
        </w:rPr>
      </w:pPr>
      <w:r>
        <w:rPr>
          <w:rStyle w:val="1443"/>
          <w:rFonts w:hint="eastAsia" w:ascii="仿宋" w:hAnsi="仿宋" w:eastAsia="仿宋" w:cs="仿宋"/>
          <w:b/>
          <w:bCs/>
          <w:color w:val="000000"/>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Style w:val="1443"/>
          <w:rFonts w:hint="eastAsia" w:ascii="仿宋" w:hAnsi="仿宋" w:eastAsia="仿宋" w:cs="仿宋"/>
          <w:b/>
          <w:bCs/>
          <w:color w:val="000000"/>
          <w:sz w:val="21"/>
          <w:szCs w:val="21"/>
          <w:highlight w:val="none"/>
          <w:lang w:val="en-US" w:eastAsia="zh-CN"/>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bookmarkStart w:id="169" w:name="_1.8_计量单位"/>
      <w:r/>
      <w:bookmarkEnd w:id="169"/>
      <w:r>
        <w:rPr>
          <w:rFonts w:hint="eastAsia" w:ascii="仿宋" w:hAnsi="仿宋" w:eastAsia="仿宋" w:cs="仿宋"/>
          <w:color w:val="000000"/>
          <w:sz w:val="21"/>
          <w:szCs w:val="21"/>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170" w:name="_Toc164229364"/>
      <w:r/>
      <w:bookmarkStart w:id="171" w:name="_Toc150509274"/>
      <w:r/>
      <w:bookmarkStart w:id="172" w:name="_Toc164229218"/>
      <w:r/>
      <w:bookmarkStart w:id="173" w:name="_Toc520356147"/>
      <w:r/>
      <w:bookmarkStart w:id="174" w:name="_Toc151190150"/>
      <w:r/>
      <w:bookmarkStart w:id="175" w:name="_Toc150774728"/>
      <w:r/>
      <w:bookmarkStart w:id="176" w:name="_Toc226965796"/>
      <w:r/>
      <w:bookmarkStart w:id="177" w:name="_Toc226337219"/>
      <w:r/>
      <w:bookmarkStart w:id="178" w:name="_Toc226309767"/>
      <w:r/>
      <w:bookmarkStart w:id="179" w:name="_Toc151193621"/>
      <w:r/>
      <w:bookmarkStart w:id="180" w:name="_Toc164608637"/>
      <w:r/>
      <w:bookmarkStart w:id="181" w:name="_Toc151193837"/>
      <w:r/>
      <w:bookmarkStart w:id="182" w:name="_Toc264969213"/>
      <w:r/>
      <w:bookmarkStart w:id="183" w:name="_Toc127161437"/>
      <w:r/>
      <w:bookmarkStart w:id="184" w:name="_Toc195842888"/>
      <w:r/>
      <w:bookmarkStart w:id="185" w:name="_Toc226965713"/>
      <w:r/>
      <w:bookmarkStart w:id="186" w:name="_Toc305158791"/>
      <w:r/>
      <w:bookmarkStart w:id="187" w:name="_Toc149720816"/>
      <w:r/>
      <w:bookmarkStart w:id="188" w:name="_Toc164351617"/>
      <w:r/>
      <w:bookmarkStart w:id="189" w:name="_Toc151193693"/>
      <w:r/>
      <w:bookmarkStart w:id="190" w:name="_Toc142311025"/>
      <w:r/>
      <w:bookmarkStart w:id="191" w:name="_Toc164608792"/>
      <w:r/>
      <w:bookmarkStart w:id="192" w:name="_Toc265228361"/>
      <w:r/>
      <w:bookmarkStart w:id="193" w:name="_Toc150774623"/>
      <w:r/>
      <w:bookmarkStart w:id="194" w:name="_Toc305158865"/>
      <w:r/>
      <w:bookmarkStart w:id="195" w:name="_Toc127151724"/>
      <w:r/>
      <w:bookmarkStart w:id="196" w:name="_Toc150480761"/>
      <w:r/>
      <w:bookmarkStart w:id="197" w:name="_Toc127151523"/>
      <w:r/>
      <w:bookmarkStart w:id="198" w:name="_Toc151193765"/>
      <w:r/>
      <w:bookmarkStart w:id="199" w:name="_Toc151193911"/>
      <w:r>
        <w:rPr>
          <w:rFonts w:hint="eastAsia" w:ascii="仿宋" w:hAnsi="仿宋" w:eastAsia="仿宋" w:cs="仿宋"/>
          <w:color w:val="000000"/>
          <w:sz w:val="21"/>
          <w:szCs w:val="21"/>
          <w:highlight w:val="none"/>
        </w:rPr>
        <w:t xml:space="preserve">7.招标文件构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bookmarkStart w:id="200" w:name="_Toc150480764"/>
      <w:r/>
      <w:bookmarkStart w:id="201" w:name="_Toc226309770"/>
      <w:r/>
      <w:bookmarkStart w:id="202" w:name="_Toc265228364"/>
      <w:r/>
      <w:bookmarkStart w:id="203" w:name="_Toc151193696"/>
      <w:r/>
      <w:bookmarkStart w:id="204" w:name="_Toc151193624"/>
      <w:r/>
      <w:bookmarkStart w:id="205" w:name="_Toc142311028"/>
      <w:r/>
      <w:bookmarkStart w:id="206" w:name="_Toc151193768"/>
      <w:r/>
      <w:bookmarkStart w:id="207" w:name="_Toc516367020"/>
      <w:r/>
      <w:bookmarkStart w:id="208" w:name="_Toc305158868"/>
      <w:r/>
      <w:bookmarkStart w:id="209" w:name="_Toc226965716"/>
      <w:r/>
      <w:bookmarkStart w:id="210" w:name="_Toc520356150"/>
      <w:r/>
      <w:bookmarkStart w:id="211" w:name="_Toc195842891"/>
      <w:r/>
      <w:bookmarkStart w:id="212" w:name="_Toc150774731"/>
      <w:r/>
      <w:bookmarkStart w:id="213" w:name="_Toc226337222"/>
      <w:r/>
      <w:bookmarkStart w:id="214" w:name="_Toc264969216"/>
      <w:r/>
      <w:bookmarkStart w:id="215" w:name="_Toc226965799"/>
      <w:r/>
      <w:bookmarkStart w:id="216" w:name="_Toc150509277"/>
      <w:r/>
      <w:bookmarkStart w:id="217" w:name="_Toc305158794"/>
      <w:r/>
      <w:bookmarkStart w:id="218" w:name="_Toc151190153"/>
      <w:r/>
      <w:bookmarkStart w:id="219" w:name="_Toc150774626"/>
      <w:r/>
      <w:bookmarkStart w:id="220" w:name="_Toc151193914"/>
      <w:r/>
      <w:bookmarkStart w:id="221" w:name="_Toc151193840"/>
      <w:r/>
      <w:bookmarkStart w:id="222" w:name="_Toc127151526"/>
      <w:r>
        <w:rPr>
          <w:rFonts w:hint="eastAsia" w:ascii="仿宋" w:hAnsi="仿宋" w:eastAsia="仿宋" w:cs="仿宋"/>
          <w:color w:val="000000"/>
          <w:sz w:val="21"/>
          <w:szCs w:val="21"/>
          <w:highlight w:val="none"/>
        </w:rPr>
        <w:t xml:space="preserve">三   投标文件</w:t>
      </w:r>
      <w:bookmarkEnd w:id="207"/>
      <w:r>
        <w:rPr>
          <w:rFonts w:hint="eastAsia" w:ascii="仿宋" w:hAnsi="仿宋" w:eastAsia="仿宋" w:cs="仿宋"/>
          <w:color w:val="000000"/>
          <w:sz w:val="21"/>
          <w:szCs w:val="21"/>
          <w:highlight w:val="none"/>
        </w:rPr>
        <w:t xml:space="preserve">的编制</w:t>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23" w:name="_Toc150774627"/>
      <w:r/>
      <w:bookmarkStart w:id="224" w:name="_Toc164229222"/>
      <w:r/>
      <w:bookmarkStart w:id="225" w:name="_Toc265228365"/>
      <w:r/>
      <w:bookmarkStart w:id="226" w:name="_Toc151193769"/>
      <w:r/>
      <w:bookmarkStart w:id="227" w:name="_Toc164229368"/>
      <w:r/>
      <w:bookmarkStart w:id="228" w:name="_Toc151193625"/>
      <w:r/>
      <w:bookmarkStart w:id="229" w:name="_Toc164608796"/>
      <w:r/>
      <w:bookmarkStart w:id="230" w:name="_Toc264969217"/>
      <w:r/>
      <w:bookmarkStart w:id="231" w:name="_Toc150774732"/>
      <w:r/>
      <w:bookmarkStart w:id="232" w:name="_Toc226965800"/>
      <w:r/>
      <w:bookmarkStart w:id="233" w:name="_Toc226965717"/>
      <w:r/>
      <w:bookmarkStart w:id="234" w:name="_Toc149720820"/>
      <w:r/>
      <w:bookmarkStart w:id="235" w:name="_Toc164608641"/>
      <w:r/>
      <w:bookmarkStart w:id="236" w:name="_Toc151190154"/>
      <w:r/>
      <w:bookmarkStart w:id="237" w:name="_Toc127151527"/>
      <w:r/>
      <w:bookmarkStart w:id="238" w:name="_Toc226309771"/>
      <w:r/>
      <w:bookmarkStart w:id="239" w:name="_Toc127161441"/>
      <w:r/>
      <w:bookmarkStart w:id="240" w:name="_Toc151193915"/>
      <w:r/>
      <w:bookmarkStart w:id="241" w:name="_Toc142311029"/>
      <w:r/>
      <w:bookmarkStart w:id="242" w:name="_Toc151193841"/>
      <w:r/>
      <w:bookmarkStart w:id="243" w:name="_Toc520356151"/>
      <w:r/>
      <w:bookmarkStart w:id="244" w:name="_Toc226337223"/>
      <w:r/>
      <w:bookmarkStart w:id="245" w:name="_Toc305158869"/>
      <w:r/>
      <w:bookmarkStart w:id="246" w:name="_Toc516367021"/>
      <w:r/>
      <w:bookmarkStart w:id="247" w:name="_Toc195842892"/>
      <w:r/>
      <w:bookmarkStart w:id="248" w:name="_Toc150480765"/>
      <w:r/>
      <w:bookmarkStart w:id="249" w:name="_Toc305158795"/>
      <w:r/>
      <w:bookmarkStart w:id="250" w:name="_Toc164351621"/>
      <w:r/>
      <w:bookmarkStart w:id="251" w:name="_Toc127151728"/>
      <w:r/>
      <w:bookmarkStart w:id="252" w:name="_Toc150509278"/>
      <w:r/>
      <w:bookmarkStart w:id="253" w:name="_Toc151193697"/>
      <w:r>
        <w:rPr>
          <w:rFonts w:hint="eastAsia" w:ascii="仿宋" w:hAnsi="仿宋" w:eastAsia="仿宋" w:cs="仿宋"/>
          <w:color w:val="000000"/>
          <w:sz w:val="21"/>
          <w:szCs w:val="21"/>
          <w:highlight w:val="none"/>
        </w:rPr>
        <w:t xml:space="preserve">9.投标范围、投标文件中计量单位的使用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54" w:name="_Toc151193842"/>
      <w:r/>
      <w:bookmarkStart w:id="255" w:name="_Toc305158870"/>
      <w:r/>
      <w:bookmarkStart w:id="256" w:name="_Toc226965718"/>
      <w:r/>
      <w:bookmarkStart w:id="257" w:name="_Toc150509279"/>
      <w:r/>
      <w:bookmarkStart w:id="258" w:name="_Toc150774628"/>
      <w:r/>
      <w:bookmarkStart w:id="259" w:name="_Toc520356152"/>
      <w:r/>
      <w:bookmarkStart w:id="260" w:name="_Toc151193916"/>
      <w:r/>
      <w:bookmarkStart w:id="261" w:name="_Toc127151729"/>
      <w:r/>
      <w:bookmarkStart w:id="262" w:name="_Toc149720821"/>
      <w:r/>
      <w:bookmarkStart w:id="263" w:name="_Toc164351622"/>
      <w:r/>
      <w:bookmarkStart w:id="264" w:name="_Toc164608797"/>
      <w:r/>
      <w:bookmarkStart w:id="265" w:name="_Toc127151528"/>
      <w:r/>
      <w:bookmarkStart w:id="266" w:name="_Toc265228366"/>
      <w:r/>
      <w:bookmarkStart w:id="267" w:name="_Toc516367022"/>
      <w:r/>
      <w:bookmarkStart w:id="268" w:name="_Ref467306676"/>
      <w:r/>
      <w:bookmarkStart w:id="269" w:name="_Toc164229223"/>
      <w:r/>
      <w:bookmarkStart w:id="270" w:name="_Ref467306195"/>
      <w:r/>
      <w:bookmarkStart w:id="271" w:name="_Toc305158796"/>
      <w:r/>
      <w:bookmarkStart w:id="272" w:name="_Toc150480766"/>
      <w:r/>
      <w:bookmarkStart w:id="273" w:name="_Toc151193626"/>
      <w:r/>
      <w:bookmarkStart w:id="274" w:name="_Toc226965801"/>
      <w:r/>
      <w:bookmarkStart w:id="275" w:name="_Toc142311030"/>
      <w:r/>
      <w:bookmarkStart w:id="276" w:name="_Toc195842893"/>
      <w:r/>
      <w:bookmarkStart w:id="277" w:name="_Toc151190155"/>
      <w:r/>
      <w:bookmarkStart w:id="278" w:name="_Toc164229369"/>
      <w:r/>
      <w:bookmarkStart w:id="279" w:name="_Toc151193770"/>
      <w:r/>
      <w:bookmarkStart w:id="280" w:name="_Toc226337224"/>
      <w:r/>
      <w:bookmarkStart w:id="281" w:name="_Toc151193698"/>
      <w:r/>
      <w:bookmarkStart w:id="282" w:name="_Toc226309772"/>
      <w:r/>
      <w:bookmarkStart w:id="283" w:name="_Toc150774733"/>
      <w:r/>
      <w:bookmarkStart w:id="284" w:name="_Toc264969218"/>
      <w:r/>
      <w:bookmarkStart w:id="285" w:name="_Toc164608642"/>
      <w:r/>
      <w:bookmarkStart w:id="286" w:name="_Toc127161442"/>
      <w:r>
        <w:rPr>
          <w:rFonts w:hint="eastAsia" w:ascii="仿宋" w:hAnsi="仿宋" w:eastAsia="仿宋" w:cs="仿宋"/>
          <w:color w:val="000000"/>
          <w:sz w:val="21"/>
          <w:szCs w:val="21"/>
          <w:highlight w:val="none"/>
        </w:rPr>
        <w:t xml:space="preserve">10.投标文件</w:t>
      </w:r>
      <w:bookmarkEnd w:id="267"/>
      <w:r/>
      <w:bookmarkEnd w:id="268"/>
      <w:r/>
      <w:bookmarkEnd w:id="270"/>
      <w:r>
        <w:rPr>
          <w:rFonts w:hint="eastAsia" w:ascii="仿宋" w:hAnsi="仿宋" w:eastAsia="仿宋" w:cs="仿宋"/>
          <w:color w:val="000000"/>
          <w:sz w:val="21"/>
          <w:szCs w:val="21"/>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9"/>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87"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28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288" w:name="_Toc151193772"/>
      <w:r/>
      <w:bookmarkStart w:id="289" w:name="_Toc150774630"/>
      <w:r/>
      <w:bookmarkStart w:id="290" w:name="_Toc151193844"/>
      <w:r/>
      <w:bookmarkStart w:id="291" w:name="_Toc164351624"/>
      <w:r/>
      <w:bookmarkStart w:id="292" w:name="_Toc151193700"/>
      <w:r/>
      <w:bookmarkStart w:id="293" w:name="_Toc150774735"/>
      <w:r/>
      <w:bookmarkStart w:id="294" w:name="_Toc150509281"/>
      <w:r/>
      <w:bookmarkStart w:id="295" w:name="_Toc164229371"/>
      <w:r/>
      <w:bookmarkStart w:id="296" w:name="_Toc150480768"/>
      <w:r/>
      <w:bookmarkStart w:id="297" w:name="_Toc127161444"/>
      <w:r/>
      <w:bookmarkStart w:id="298" w:name="_Toc164608799"/>
      <w:r/>
      <w:bookmarkStart w:id="299" w:name="_Toc149720823"/>
      <w:r/>
      <w:bookmarkStart w:id="300" w:name="_Toc127151530"/>
      <w:r/>
      <w:bookmarkStart w:id="301" w:name="_Toc151190157"/>
      <w:r/>
      <w:bookmarkStart w:id="302" w:name="_Toc151193628"/>
      <w:r/>
      <w:bookmarkStart w:id="303" w:name="_Toc151193918"/>
      <w:r/>
      <w:bookmarkStart w:id="304" w:name="_Toc142311032"/>
      <w:r/>
      <w:bookmarkStart w:id="305" w:name="_Toc164608644"/>
      <w:r/>
      <w:bookmarkStart w:id="306" w:name="_Toc127151731"/>
      <w:r/>
      <w:bookmarkStart w:id="307" w:name="_Toc195842895"/>
      <w:r/>
      <w:bookmarkStart w:id="308" w:name="_Toc520356155"/>
      <w:r/>
      <w:bookmarkStart w:id="309" w:name="_Toc164229225"/>
      <w:r>
        <w:rPr>
          <w:rFonts w:hint="eastAsia" w:ascii="仿宋" w:hAnsi="仿宋" w:eastAsia="仿宋" w:cs="仿宋"/>
          <w:color w:val="000000"/>
          <w:sz w:val="21"/>
          <w:szCs w:val="21"/>
          <w:highlight w:val="none"/>
        </w:rPr>
        <w:t xml:space="preserve">11.投标报价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032"/>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w:t>
      </w:r>
      <w:r>
        <w:rPr>
          <w:rFonts w:hint="eastAsia" w:ascii="仿宋" w:hAnsi="仿宋" w:eastAsia="仿宋" w:cs="仿宋"/>
          <w:color w:val="000000"/>
          <w:szCs w:val="21"/>
          <w:highlight w:val="none"/>
        </w:rPr>
        <w:t xml:space="preserve">本项目用餐标准费用为固定包干</w:t>
      </w:r>
      <w:r>
        <w:rPr>
          <w:rFonts w:hint="eastAsia" w:ascii="仿宋" w:hAnsi="仿宋" w:eastAsia="仿宋" w:cs="仿宋"/>
          <w:color w:val="000000"/>
          <w:szCs w:val="21"/>
          <w:highlight w:val="none"/>
          <w:lang w:val="en-US" w:eastAsia="zh-CN"/>
        </w:rPr>
        <w:t xml:space="preserve">单</w:t>
      </w:r>
      <w:r>
        <w:rPr>
          <w:rFonts w:hint="eastAsia" w:ascii="仿宋" w:hAnsi="仿宋" w:eastAsia="仿宋" w:cs="仿宋"/>
          <w:color w:val="000000"/>
          <w:szCs w:val="21"/>
          <w:highlight w:val="none"/>
        </w:rPr>
        <w:t xml:space="preserve">价</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用餐标准费用</w:t>
      </w:r>
      <w:r>
        <w:rPr>
          <w:rFonts w:hint="eastAsia" w:ascii="仿宋" w:hAnsi="仿宋" w:eastAsia="仿宋" w:cs="仿宋"/>
          <w:color w:val="000000"/>
          <w:szCs w:val="21"/>
          <w:highlight w:val="none"/>
          <w:lang w:val="en-US" w:eastAsia="zh-CN"/>
        </w:rPr>
        <w:t xml:space="preserve">单价</w:t>
      </w:r>
      <w:r>
        <w:rPr>
          <w:rFonts w:hint="eastAsia" w:ascii="仿宋" w:hAnsi="仿宋" w:eastAsia="仿宋" w:cs="仿宋"/>
          <w:color w:val="000000"/>
          <w:szCs w:val="21"/>
          <w:highlight w:val="none"/>
        </w:rPr>
        <w:t xml:space="preserve">已包含完成本项目</w:t>
      </w:r>
      <w:r>
        <w:rPr>
          <w:rFonts w:hint="eastAsia" w:ascii="仿宋" w:hAnsi="仿宋" w:eastAsia="仿宋" w:cs="仿宋"/>
          <w:color w:val="000000"/>
          <w:szCs w:val="21"/>
          <w:highlight w:val="none"/>
          <w:lang w:val="en-US" w:eastAsia="zh-CN"/>
        </w:rPr>
        <w:t xml:space="preserve">各单餐</w:t>
      </w:r>
      <w:r>
        <w:rPr>
          <w:rFonts w:hint="eastAsia" w:ascii="仿宋" w:hAnsi="仿宋" w:eastAsia="仿宋" w:cs="仿宋"/>
          <w:color w:val="000000"/>
          <w:szCs w:val="21"/>
          <w:highlight w:val="none"/>
        </w:rPr>
        <w:t xml:space="preserve">用餐服务所涉及的全部费用，无任何</w:t>
      </w:r>
      <w:r>
        <w:rPr>
          <w:rFonts w:hint="eastAsia" w:ascii="仿宋" w:hAnsi="仿宋" w:eastAsia="仿宋" w:cs="仿宋"/>
          <w:color w:val="000000"/>
          <w:szCs w:val="21"/>
          <w:highlight w:val="none"/>
          <w:lang w:eastAsia="zh-CN"/>
        </w:rPr>
        <w:t xml:space="preserve">隐性</w:t>
      </w:r>
      <w:r>
        <w:rPr>
          <w:rFonts w:hint="eastAsia" w:ascii="仿宋" w:hAnsi="仿宋" w:eastAsia="仿宋" w:cs="仿宋"/>
          <w:color w:val="000000"/>
          <w:szCs w:val="21"/>
          <w:highlight w:val="none"/>
        </w:rPr>
        <w:t xml:space="preserve">费用，采购人不再支付其他任何费用。同时，除非合同条款中另有规定，否则，成交供应商所报价格在合同履行期间不因市场变化因素而变动。</w:t>
      </w:r>
      <w:r>
        <w:rPr>
          <w:rFonts w:hint="eastAsia" w:ascii="仿宋" w:hAnsi="仿宋" w:eastAsia="仿宋" w:cs="仿宋"/>
          <w:color w:val="000000"/>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310" w:name="_Toc150480769"/>
      <w:r/>
      <w:bookmarkStart w:id="311" w:name="_Toc151193701"/>
      <w:r/>
      <w:bookmarkStart w:id="312" w:name="_Toc151193773"/>
      <w:r/>
      <w:bookmarkStart w:id="313" w:name="_Toc226965804"/>
      <w:r/>
      <w:bookmarkStart w:id="314" w:name="_Ref467306513"/>
      <w:r/>
      <w:bookmarkStart w:id="315" w:name="_Toc164608645"/>
      <w:r/>
      <w:bookmarkStart w:id="316" w:name="_Toc195842896"/>
      <w:r/>
      <w:bookmarkStart w:id="317" w:name="_Toc264969221"/>
      <w:r/>
      <w:bookmarkStart w:id="318" w:name="_Toc226337227"/>
      <w:r/>
      <w:bookmarkStart w:id="319" w:name="_Toc265228369"/>
      <w:r/>
      <w:bookmarkStart w:id="320" w:name="_Toc149720824"/>
      <w:r/>
      <w:bookmarkStart w:id="321" w:name="_Toc151193919"/>
      <w:r/>
      <w:bookmarkStart w:id="322" w:name="_Toc127151531"/>
      <w:r/>
      <w:bookmarkStart w:id="323" w:name="_Toc150774736"/>
      <w:r/>
      <w:bookmarkStart w:id="324" w:name="_Toc305158799"/>
      <w:r/>
      <w:bookmarkStart w:id="325" w:name="_Toc151193845"/>
      <w:r/>
      <w:bookmarkStart w:id="326" w:name="_Toc151190158"/>
      <w:r/>
      <w:bookmarkStart w:id="327" w:name="_Toc226309775"/>
      <w:r/>
      <w:bookmarkStart w:id="328" w:name="_Toc150509282"/>
      <w:r/>
      <w:bookmarkStart w:id="329" w:name="_Toc164608800"/>
      <w:r/>
      <w:bookmarkStart w:id="330" w:name="_Toc150774631"/>
      <w:r/>
      <w:bookmarkStart w:id="331" w:name="_Toc164229372"/>
      <w:r/>
      <w:bookmarkStart w:id="332" w:name="_Toc305158873"/>
      <w:r/>
      <w:bookmarkStart w:id="333" w:name="_Toc127161445"/>
      <w:r/>
      <w:bookmarkStart w:id="334" w:name="_Toc226965721"/>
      <w:r/>
      <w:bookmarkStart w:id="335" w:name="_Toc127151732"/>
      <w:r/>
      <w:bookmarkStart w:id="336" w:name="_Toc151193629"/>
      <w:r/>
      <w:bookmarkStart w:id="337" w:name="_Toc164229226"/>
      <w:r/>
      <w:bookmarkStart w:id="338" w:name="_Toc142311033"/>
      <w:r/>
      <w:bookmarkStart w:id="339" w:name="_Toc520356156"/>
      <w:r/>
      <w:bookmarkStart w:id="340" w:name="_Toc164351625"/>
      <w:r>
        <w:rPr>
          <w:rFonts w:hint="eastAsia" w:ascii="仿宋" w:hAnsi="仿宋" w:eastAsia="仿宋" w:cs="仿宋"/>
          <w:color w:val="000000"/>
          <w:sz w:val="21"/>
          <w:szCs w:val="21"/>
          <w:highlight w:val="none"/>
        </w:rPr>
        <w:t xml:space="preserve">12.投标保证金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341" w:name="_Toc164608801"/>
      <w:r/>
      <w:bookmarkStart w:id="342" w:name="_Toc151193774"/>
      <w:r/>
      <w:bookmarkStart w:id="343" w:name="_Toc264969222"/>
      <w:r/>
      <w:bookmarkStart w:id="344" w:name="_Toc151193702"/>
      <w:r/>
      <w:bookmarkStart w:id="345" w:name="_Toc150774632"/>
      <w:r/>
      <w:bookmarkStart w:id="346" w:name="_Toc226965722"/>
      <w:r/>
      <w:bookmarkStart w:id="347" w:name="_Toc226309776"/>
      <w:r/>
      <w:bookmarkStart w:id="348" w:name="_Toc164229227"/>
      <w:r/>
      <w:bookmarkStart w:id="349" w:name="_Toc149720825"/>
      <w:r/>
      <w:bookmarkStart w:id="350" w:name="_Toc142311034"/>
      <w:r/>
      <w:bookmarkStart w:id="351" w:name="_Toc151193920"/>
      <w:r/>
      <w:bookmarkStart w:id="352" w:name="_Toc150774737"/>
      <w:r/>
      <w:bookmarkStart w:id="353" w:name="_Toc226965805"/>
      <w:r/>
      <w:bookmarkStart w:id="354" w:name="_Toc265228370"/>
      <w:r/>
      <w:bookmarkStart w:id="355" w:name="_Toc127161446"/>
      <w:r/>
      <w:bookmarkStart w:id="356" w:name="_Toc520356157"/>
      <w:r/>
      <w:bookmarkStart w:id="357" w:name="_Toc195842897"/>
      <w:r/>
      <w:bookmarkStart w:id="358" w:name="_Toc151193630"/>
      <w:r/>
      <w:bookmarkStart w:id="359" w:name="_Toc151193846"/>
      <w:r/>
      <w:bookmarkStart w:id="360" w:name="_Toc150509283"/>
      <w:r/>
      <w:bookmarkStart w:id="361" w:name="_Toc164229373"/>
      <w:r/>
      <w:bookmarkStart w:id="362" w:name="_Toc151190159"/>
      <w:r/>
      <w:bookmarkStart w:id="363" w:name="_Toc150480770"/>
      <w:r/>
      <w:bookmarkStart w:id="364" w:name="_Toc127151532"/>
      <w:r/>
      <w:bookmarkStart w:id="365" w:name="_Toc226337228"/>
      <w:r/>
      <w:bookmarkStart w:id="366" w:name="_Toc305158800"/>
      <w:r/>
      <w:bookmarkStart w:id="367" w:name="_Toc164608646"/>
      <w:r/>
      <w:bookmarkStart w:id="368" w:name="_Toc305158874"/>
      <w:r/>
      <w:bookmarkStart w:id="369" w:name="_Toc164351626"/>
      <w:r/>
      <w:bookmarkStart w:id="370" w:name="_Toc127151733"/>
      <w:r>
        <w:rPr>
          <w:rFonts w:hint="eastAsia" w:ascii="仿宋" w:hAnsi="仿宋" w:eastAsia="仿宋" w:cs="仿宋"/>
          <w:color w:val="000000"/>
          <w:sz w:val="21"/>
          <w:szCs w:val="21"/>
          <w:highlight w:val="none"/>
        </w:rPr>
        <w:t xml:space="preserve">13.投标有效期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371" w:name="_Toc164608802"/>
      <w:r/>
      <w:bookmarkStart w:id="372" w:name="_Toc127151734"/>
      <w:r/>
      <w:bookmarkStart w:id="373" w:name="_Toc226965806"/>
      <w:r/>
      <w:bookmarkStart w:id="374" w:name="_Toc226965723"/>
      <w:r/>
      <w:bookmarkStart w:id="375" w:name="_Toc149720826"/>
      <w:r/>
      <w:bookmarkStart w:id="376" w:name="_Toc305158875"/>
      <w:r/>
      <w:bookmarkStart w:id="377" w:name="_Toc151193847"/>
      <w:r/>
      <w:bookmarkStart w:id="378" w:name="_Toc226337229"/>
      <w:r/>
      <w:bookmarkStart w:id="379" w:name="_Toc151193703"/>
      <w:r/>
      <w:bookmarkStart w:id="380" w:name="_Toc150480771"/>
      <w:r/>
      <w:bookmarkStart w:id="381" w:name="_Toc150509284"/>
      <w:r/>
      <w:bookmarkStart w:id="382" w:name="_Toc151193631"/>
      <w:r/>
      <w:bookmarkStart w:id="383" w:name="_Toc150774633"/>
      <w:r/>
      <w:bookmarkStart w:id="384" w:name="_Toc265228371"/>
      <w:r/>
      <w:bookmarkStart w:id="385" w:name="_Toc142311035"/>
      <w:r/>
      <w:bookmarkStart w:id="386" w:name="_Toc127161447"/>
      <w:r/>
      <w:bookmarkStart w:id="387" w:name="_Toc226309777"/>
      <w:r/>
      <w:bookmarkStart w:id="388" w:name="_Toc195842898"/>
      <w:r/>
      <w:bookmarkStart w:id="389" w:name="_Toc151193921"/>
      <w:r/>
      <w:bookmarkStart w:id="390" w:name="_Toc164608647"/>
      <w:r/>
      <w:bookmarkStart w:id="391" w:name="_Toc264969223"/>
      <w:r/>
      <w:bookmarkStart w:id="392" w:name="_Toc151193775"/>
      <w:r/>
      <w:bookmarkStart w:id="393" w:name="_Toc164229374"/>
      <w:r/>
      <w:bookmarkStart w:id="394" w:name="_Toc150774738"/>
      <w:r/>
      <w:bookmarkStart w:id="395" w:name="_Toc520356158"/>
      <w:r/>
      <w:bookmarkStart w:id="396" w:name="_Toc305158801"/>
      <w:r/>
      <w:bookmarkStart w:id="397" w:name="_Toc164351627"/>
      <w:r/>
      <w:bookmarkStart w:id="398" w:name="_Toc164229228"/>
      <w:r/>
      <w:bookmarkStart w:id="399" w:name="_Toc151190160"/>
      <w:r/>
      <w:bookmarkStart w:id="400" w:name="_Toc127151533"/>
      <w:r>
        <w:rPr>
          <w:rFonts w:hint="eastAsia" w:ascii="仿宋" w:hAnsi="仿宋" w:eastAsia="仿宋" w:cs="仿宋"/>
          <w:color w:val="000000"/>
          <w:sz w:val="21"/>
          <w:szCs w:val="21"/>
          <w:highlight w:val="none"/>
        </w:rPr>
        <w:t xml:space="preserve">14.投标文件的签署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401" w:name="_Toc226965724"/>
      <w:r/>
      <w:bookmarkStart w:id="402" w:name="_Toc305158876"/>
      <w:r/>
      <w:bookmarkStart w:id="403" w:name="_Toc264969224"/>
      <w:r/>
      <w:bookmarkStart w:id="404" w:name="_Toc195842899"/>
      <w:r/>
      <w:bookmarkStart w:id="405" w:name="_Toc151190161"/>
      <w:r/>
      <w:bookmarkStart w:id="406" w:name="_Toc150774634"/>
      <w:r/>
      <w:bookmarkStart w:id="407" w:name="_Toc150480772"/>
      <w:r/>
      <w:bookmarkStart w:id="408" w:name="_Toc142311036"/>
      <w:r/>
      <w:bookmarkStart w:id="409" w:name="_Toc226309778"/>
      <w:r/>
      <w:bookmarkStart w:id="410" w:name="_Toc150509285"/>
      <w:r/>
      <w:bookmarkStart w:id="411" w:name="_Toc150774739"/>
      <w:r/>
      <w:bookmarkStart w:id="412" w:name="_Toc226337230"/>
      <w:r/>
      <w:bookmarkStart w:id="413" w:name="_Toc151193776"/>
      <w:r/>
      <w:bookmarkStart w:id="414" w:name="_Toc151193922"/>
      <w:r/>
      <w:bookmarkStart w:id="415" w:name="_Toc265228372"/>
      <w:r/>
      <w:bookmarkStart w:id="416" w:name="_Toc305158802"/>
      <w:r/>
      <w:bookmarkStart w:id="417" w:name="_Toc151193704"/>
      <w:r/>
      <w:bookmarkStart w:id="418" w:name="_Toc226965807"/>
      <w:r/>
      <w:bookmarkStart w:id="419" w:name="_Toc151193848"/>
      <w:r/>
      <w:bookmarkStart w:id="420" w:name="_Toc127151534"/>
      <w:r/>
      <w:bookmarkStart w:id="421" w:name="_Toc520356159"/>
      <w:r/>
      <w:bookmarkStart w:id="422" w:name="_Toc151193632"/>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423" w:name="_Toc226309780"/>
      <w:r/>
      <w:bookmarkStart w:id="424" w:name="_Toc164608805"/>
      <w:r/>
      <w:bookmarkStart w:id="425" w:name="_Toc164229231"/>
      <w:r/>
      <w:bookmarkStart w:id="426" w:name="_Toc151193778"/>
      <w:r/>
      <w:bookmarkStart w:id="427" w:name="_Toc150480774"/>
      <w:r/>
      <w:bookmarkStart w:id="428" w:name="_Toc195842901"/>
      <w:r/>
      <w:bookmarkStart w:id="429" w:name="_Toc164351630"/>
      <w:r/>
      <w:bookmarkStart w:id="430" w:name="_Toc151193924"/>
      <w:r/>
      <w:bookmarkStart w:id="431" w:name="_Toc151190163"/>
      <w:r/>
      <w:bookmarkStart w:id="432" w:name="_Toc150774636"/>
      <w:r/>
      <w:bookmarkStart w:id="433" w:name="_Toc127161450"/>
      <w:r/>
      <w:bookmarkStart w:id="434" w:name="_Toc264969226"/>
      <w:r/>
      <w:bookmarkStart w:id="435" w:name="_Toc150509287"/>
      <w:r/>
      <w:bookmarkStart w:id="436" w:name="_Toc150774741"/>
      <w:r/>
      <w:bookmarkStart w:id="437" w:name="_Toc164229377"/>
      <w:r/>
      <w:bookmarkStart w:id="438" w:name="_Toc226965809"/>
      <w:r/>
      <w:bookmarkStart w:id="439" w:name="_Toc151193850"/>
      <w:r/>
      <w:bookmarkStart w:id="440" w:name="_Toc151193634"/>
      <w:r/>
      <w:bookmarkStart w:id="441" w:name="_Toc127151737"/>
      <w:r/>
      <w:bookmarkStart w:id="442" w:name="_Toc127151536"/>
      <w:r/>
      <w:bookmarkStart w:id="443" w:name="_Toc305158804"/>
      <w:r/>
      <w:bookmarkStart w:id="444" w:name="_Toc149720829"/>
      <w:r/>
      <w:bookmarkStart w:id="445" w:name="_Toc142311038"/>
      <w:r/>
      <w:bookmarkStart w:id="446" w:name="_Toc164608650"/>
      <w:r/>
      <w:bookmarkStart w:id="447" w:name="_Toc226337232"/>
      <w:r/>
      <w:bookmarkStart w:id="448" w:name="_Toc305158878"/>
      <w:r/>
      <w:bookmarkStart w:id="449" w:name="_Toc265228374"/>
      <w:r/>
      <w:bookmarkStart w:id="450" w:name="_Toc226965726"/>
      <w:r/>
      <w:bookmarkStart w:id="451" w:name="_Toc520356161"/>
      <w:r/>
      <w:bookmarkStart w:id="452" w:name="_Toc151193706"/>
      <w:r/>
      <w:bookmarkStart w:id="453" w:name="_Toc226337234"/>
      <w:r/>
      <w:bookmarkStart w:id="454" w:name="_Toc151193926"/>
      <w:r/>
      <w:bookmarkStart w:id="455" w:name="_Toc305158880"/>
      <w:r/>
      <w:bookmarkStart w:id="456" w:name="_Toc264969228"/>
      <w:r/>
      <w:bookmarkStart w:id="457" w:name="_Toc150480776"/>
      <w:r/>
      <w:bookmarkStart w:id="458" w:name="_Toc150774743"/>
      <w:r/>
      <w:bookmarkStart w:id="459" w:name="_Toc226965728"/>
      <w:r/>
      <w:bookmarkStart w:id="460" w:name="_Toc127151538"/>
      <w:r/>
      <w:bookmarkStart w:id="461" w:name="_Toc151193852"/>
      <w:r/>
      <w:bookmarkStart w:id="462" w:name="_Toc150774638"/>
      <w:r/>
      <w:bookmarkStart w:id="463" w:name="_Toc305158806"/>
      <w:r/>
      <w:bookmarkStart w:id="464" w:name="_Toc142311040"/>
      <w:r/>
      <w:bookmarkStart w:id="465" w:name="_Toc226309782"/>
      <w:r/>
      <w:bookmarkStart w:id="466" w:name="_Toc151193708"/>
      <w:r/>
      <w:bookmarkStart w:id="467" w:name="_Toc151190165"/>
      <w:r/>
      <w:bookmarkStart w:id="468" w:name="_Toc195842903"/>
      <w:r/>
      <w:bookmarkStart w:id="469" w:name="_Toc151193636"/>
      <w:r/>
      <w:bookmarkStart w:id="470" w:name="_Toc151193780"/>
      <w:r/>
      <w:bookmarkStart w:id="471" w:name="_Toc150509289"/>
      <w:r/>
      <w:bookmarkStart w:id="472" w:name="_Toc226965811"/>
      <w:r/>
      <w:bookmarkStart w:id="473" w:name="_Toc520356163"/>
      <w:r/>
      <w:bookmarkStart w:id="474" w:name="_Toc265228376"/>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475" w:name="_Toc164229232"/>
      <w:r/>
      <w:bookmarkStart w:id="476" w:name="_Toc226965810"/>
      <w:r/>
      <w:bookmarkStart w:id="477" w:name="_Toc151193707"/>
      <w:r/>
      <w:bookmarkStart w:id="478" w:name="_Toc127161451"/>
      <w:r/>
      <w:bookmarkStart w:id="479" w:name="_Toc265228375"/>
      <w:r/>
      <w:bookmarkStart w:id="480" w:name="_Toc151193851"/>
      <w:r/>
      <w:bookmarkStart w:id="481" w:name="_Toc150509288"/>
      <w:r/>
      <w:bookmarkStart w:id="482" w:name="_Toc164608651"/>
      <w:r/>
      <w:bookmarkStart w:id="483" w:name="_Toc127151738"/>
      <w:r/>
      <w:bookmarkStart w:id="484" w:name="_Toc305158879"/>
      <w:r/>
      <w:bookmarkStart w:id="485" w:name="_Toc151193635"/>
      <w:r/>
      <w:bookmarkStart w:id="486" w:name="_Toc164229378"/>
      <w:r/>
      <w:bookmarkStart w:id="487" w:name="_Toc149720830"/>
      <w:r/>
      <w:bookmarkStart w:id="488" w:name="_Toc164608806"/>
      <w:r/>
      <w:bookmarkStart w:id="489" w:name="_Toc164351631"/>
      <w:r/>
      <w:bookmarkStart w:id="490" w:name="_Toc142311039"/>
      <w:r/>
      <w:bookmarkStart w:id="491" w:name="_Toc151193779"/>
      <w:r/>
      <w:bookmarkStart w:id="492" w:name="_Toc150774637"/>
      <w:r/>
      <w:bookmarkStart w:id="493" w:name="_Toc264969227"/>
      <w:r/>
      <w:bookmarkStart w:id="494" w:name="_Toc195842902"/>
      <w:r/>
      <w:bookmarkStart w:id="495" w:name="_Toc305158805"/>
      <w:r/>
      <w:bookmarkStart w:id="496" w:name="_Toc151190164"/>
      <w:r/>
      <w:bookmarkStart w:id="497" w:name="_Toc127151537"/>
      <w:r/>
      <w:bookmarkStart w:id="498" w:name="_Toc226337233"/>
      <w:r/>
      <w:bookmarkStart w:id="499" w:name="_Toc150480775"/>
      <w:r/>
      <w:bookmarkStart w:id="500" w:name="_Toc226309781"/>
      <w:r/>
      <w:bookmarkStart w:id="501" w:name="_Toc151193925"/>
      <w:r/>
      <w:bookmarkStart w:id="502" w:name="_Toc226965727"/>
      <w:r/>
      <w:bookmarkStart w:id="503" w:name="_Toc520356162"/>
      <w:r/>
      <w:bookmarkStart w:id="504" w:name="_Toc150774742"/>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供应商应在招标文件要求提交投标文件截止时间前，将电子投标文件提交至“苏采云”政府采购一体化平台。</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   开标、资格审查及评标</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505" w:name="_Toc151193781"/>
      <w:r/>
      <w:bookmarkStart w:id="506" w:name="_Toc150774639"/>
      <w:r/>
      <w:bookmarkStart w:id="507" w:name="_Toc127151539"/>
      <w:r/>
      <w:bookmarkStart w:id="508" w:name="_Toc127151740"/>
      <w:r/>
      <w:bookmarkStart w:id="509" w:name="_Toc151193709"/>
      <w:r/>
      <w:bookmarkStart w:id="510" w:name="_Toc164608808"/>
      <w:r/>
      <w:bookmarkStart w:id="511" w:name="_Toc150480777"/>
      <w:r/>
      <w:bookmarkStart w:id="512" w:name="_Toc265228377"/>
      <w:r/>
      <w:bookmarkStart w:id="513" w:name="_Toc164351633"/>
      <w:r/>
      <w:bookmarkStart w:id="514" w:name="_Toc151193927"/>
      <w:r/>
      <w:bookmarkStart w:id="515" w:name="_Toc127161453"/>
      <w:r/>
      <w:bookmarkStart w:id="516" w:name="_Toc305158881"/>
      <w:r/>
      <w:bookmarkStart w:id="517" w:name="_Toc226965812"/>
      <w:r/>
      <w:bookmarkStart w:id="518" w:name="_Toc305158807"/>
      <w:r/>
      <w:bookmarkStart w:id="519" w:name="_Toc520356164"/>
      <w:r/>
      <w:bookmarkStart w:id="520" w:name="_Toc150509290"/>
      <w:r/>
      <w:bookmarkStart w:id="521" w:name="_Toc142311041"/>
      <w:r/>
      <w:bookmarkStart w:id="522" w:name="_Toc164229380"/>
      <w:r/>
      <w:bookmarkStart w:id="523" w:name="_Toc195842904"/>
      <w:r/>
      <w:bookmarkStart w:id="524" w:name="_Toc226965729"/>
      <w:r/>
      <w:bookmarkStart w:id="525" w:name="_Toc150774744"/>
      <w:r/>
      <w:bookmarkStart w:id="526" w:name="_Toc264969229"/>
      <w:r/>
      <w:bookmarkStart w:id="527" w:name="_Toc226337235"/>
      <w:r/>
      <w:bookmarkStart w:id="528" w:name="_Toc164608653"/>
      <w:r/>
      <w:bookmarkStart w:id="529" w:name="_Toc149720832"/>
      <w:r/>
      <w:bookmarkStart w:id="530" w:name="_Toc150480783"/>
      <w:r/>
      <w:bookmarkStart w:id="531" w:name="_Toc151190166"/>
      <w:r/>
      <w:bookmarkStart w:id="532" w:name="_Toc520356169"/>
      <w:r/>
      <w:bookmarkStart w:id="533" w:name="_Toc226965735"/>
      <w:r/>
      <w:bookmarkStart w:id="534" w:name="_Toc151193715"/>
      <w:r/>
      <w:bookmarkStart w:id="535" w:name="_Toc264969235"/>
      <w:r/>
      <w:bookmarkStart w:id="536" w:name="_Toc265228383"/>
      <w:r/>
      <w:bookmarkStart w:id="537" w:name="_Toc195842910"/>
      <w:r/>
      <w:bookmarkStart w:id="538" w:name="_Toc142311047"/>
      <w:r/>
      <w:bookmarkStart w:id="539" w:name="_Toc305158887"/>
      <w:r/>
      <w:bookmarkStart w:id="540" w:name="_Toc226337241"/>
      <w:r/>
      <w:bookmarkStart w:id="541" w:name="_Toc305158813"/>
      <w:r/>
      <w:bookmarkStart w:id="542" w:name="_Toc150774645"/>
      <w:r/>
      <w:bookmarkStart w:id="543" w:name="_Toc150774750"/>
      <w:r/>
      <w:bookmarkStart w:id="544" w:name="_Toc151193859"/>
      <w:r/>
      <w:bookmarkStart w:id="545" w:name="_Toc151190172"/>
      <w:r/>
      <w:bookmarkStart w:id="546" w:name="_Toc151193933"/>
      <w:r/>
      <w:bookmarkStart w:id="547" w:name="_Toc151193787"/>
      <w:r/>
      <w:bookmarkStart w:id="548" w:name="_Toc226309789"/>
      <w:r/>
      <w:bookmarkStart w:id="549" w:name="_Toc150509296"/>
      <w:r/>
      <w:bookmarkStart w:id="550" w:name="_Toc127151545"/>
      <w:r/>
      <w:bookmarkStart w:id="551" w:name="_Toc226965818"/>
      <w:r/>
      <w:bookmarkStart w:id="552" w:name="_Toc226309783"/>
      <w:r/>
      <w:bookmarkStart w:id="553" w:name="_Toc164229234"/>
      <w:r/>
      <w:bookmarkStart w:id="554" w:name="_Toc151193637"/>
      <w:r/>
      <w:bookmarkStart w:id="555" w:name="_Toc151193853"/>
      <w:r/>
      <w:bookmarkStart w:id="556" w:name="_Toc151193643"/>
      <w:r>
        <w:rPr>
          <w:rFonts w:hint="eastAsia" w:ascii="仿宋" w:hAnsi="仿宋" w:eastAsia="仿宋" w:cs="仿宋"/>
          <w:color w:val="000000"/>
          <w:sz w:val="21"/>
          <w:szCs w:val="21"/>
          <w:highlight w:val="none"/>
        </w:rPr>
        <w:t xml:space="preserve">18.开标</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1"/>
      <w:r/>
      <w:bookmarkEnd w:id="552"/>
      <w:r/>
      <w:bookmarkEnd w:id="553"/>
      <w:r/>
      <w:bookmarkEnd w:id="554"/>
      <w:r/>
      <w:bookmarkEnd w:id="555"/>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557"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供应商不足3家的，不予开标。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bookmarkEnd w:id="55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558" w:name="_Toc151193782"/>
      <w:r/>
      <w:bookmarkStart w:id="559" w:name="_Toc150774640"/>
      <w:r/>
      <w:bookmarkStart w:id="560" w:name="_Toc151190167"/>
      <w:r/>
      <w:bookmarkStart w:id="561" w:name="_Toc305158882"/>
      <w:r/>
      <w:bookmarkStart w:id="562" w:name="_Toc151193928"/>
      <w:r/>
      <w:bookmarkStart w:id="563" w:name="_Toc142311042"/>
      <w:r/>
      <w:bookmarkStart w:id="564" w:name="_Toc226965813"/>
      <w:r/>
      <w:bookmarkStart w:id="565" w:name="_Toc151193638"/>
      <w:r/>
      <w:bookmarkStart w:id="566" w:name="_Toc164608654"/>
      <w:r/>
      <w:bookmarkStart w:id="567" w:name="_Toc164608809"/>
      <w:r/>
      <w:bookmarkStart w:id="568" w:name="_Toc127161454"/>
      <w:r/>
      <w:bookmarkStart w:id="569" w:name="_Toc226337236"/>
      <w:r/>
      <w:bookmarkStart w:id="570" w:name="_Toc265228378"/>
      <w:r/>
      <w:bookmarkStart w:id="571" w:name="_Toc151193854"/>
      <w:r/>
      <w:bookmarkStart w:id="572" w:name="_Toc150480778"/>
      <w:r/>
      <w:bookmarkStart w:id="573" w:name="_Toc150774745"/>
      <w:r/>
      <w:bookmarkStart w:id="574" w:name="_Toc305158808"/>
      <w:r/>
      <w:bookmarkStart w:id="575" w:name="_Toc151193710"/>
      <w:r/>
      <w:bookmarkStart w:id="576" w:name="_Toc164229235"/>
      <w:r/>
      <w:bookmarkStart w:id="577" w:name="_Toc226965730"/>
      <w:r/>
      <w:bookmarkStart w:id="578" w:name="_Toc226309784"/>
      <w:r/>
      <w:bookmarkStart w:id="579" w:name="_Toc127151741"/>
      <w:r/>
      <w:bookmarkStart w:id="580" w:name="_Toc164351634"/>
      <w:r/>
      <w:bookmarkStart w:id="581" w:name="_Toc195842905"/>
      <w:r/>
      <w:bookmarkStart w:id="582" w:name="_Toc150509291"/>
      <w:r/>
      <w:bookmarkStart w:id="583" w:name="_Toc264969230"/>
      <w:r/>
      <w:bookmarkStart w:id="584" w:name="_Toc149720833"/>
      <w:r/>
      <w:bookmarkStart w:id="585" w:name="_Toc127151540"/>
      <w:r/>
      <w:bookmarkStart w:id="586" w:name="_Toc164229381"/>
      <w:r>
        <w:rPr>
          <w:rFonts w:hint="eastAsia" w:ascii="仿宋" w:hAnsi="仿宋" w:eastAsia="仿宋" w:cs="仿宋"/>
          <w:color w:val="000000"/>
          <w:sz w:val="21"/>
          <w:szCs w:val="21"/>
          <w:highlight w:val="none"/>
        </w:rPr>
        <w:t xml:space="preserve">20.评标委员会</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587" w:name="_Toc52035616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18"/>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   </w:t>
      </w:r>
      <w:bookmarkEnd w:id="532"/>
      <w:r>
        <w:rPr>
          <w:rFonts w:hint="eastAsia" w:ascii="仿宋" w:hAnsi="仿宋" w:eastAsia="仿宋" w:cs="仿宋"/>
          <w:color w:val="000000"/>
          <w:sz w:val="21"/>
          <w:szCs w:val="21"/>
          <w:highlight w:val="none"/>
        </w:rPr>
        <w:t xml:space="preserve">确定中标</w:t>
      </w:r>
      <w:bookmarkEnd w:id="530"/>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6"/>
      <w:r/>
      <w:bookmarkStart w:id="588" w:name="_Toc305158815"/>
      <w:r/>
      <w:bookmarkEnd w:id="588"/>
      <w:r/>
      <w:bookmarkStart w:id="589" w:name="_Toc265228385"/>
      <w:r/>
      <w:bookmarkEnd w:id="589"/>
      <w:r/>
      <w:bookmarkStart w:id="590" w:name="_Toc195842912"/>
      <w:r/>
      <w:bookmarkEnd w:id="590"/>
      <w:r/>
      <w:bookmarkStart w:id="591" w:name="_Toc164229388"/>
      <w:r/>
      <w:bookmarkEnd w:id="591"/>
      <w:r/>
      <w:bookmarkStart w:id="592" w:name="_Toc164351641"/>
      <w:r/>
      <w:bookmarkEnd w:id="592"/>
      <w:r/>
      <w:bookmarkStart w:id="593" w:name="_Toc164608816"/>
      <w:r/>
      <w:bookmarkEnd w:id="593"/>
      <w:r/>
      <w:bookmarkStart w:id="594" w:name="_Toc127161461"/>
      <w:r/>
      <w:bookmarkEnd w:id="594"/>
      <w:r/>
      <w:bookmarkStart w:id="595" w:name="_Toc151193789"/>
      <w:r/>
      <w:bookmarkEnd w:id="595"/>
      <w:r/>
      <w:bookmarkStart w:id="596" w:name="_Toc226337243"/>
      <w:r/>
      <w:bookmarkEnd w:id="596"/>
      <w:r/>
      <w:bookmarkStart w:id="597" w:name="_Toc151193861"/>
      <w:r/>
      <w:bookmarkEnd w:id="597"/>
      <w:r/>
      <w:bookmarkStart w:id="598" w:name="_Toc151193935"/>
      <w:r/>
      <w:bookmarkEnd w:id="598"/>
      <w:r/>
      <w:bookmarkStart w:id="599" w:name="_Toc151193717"/>
      <w:r/>
      <w:bookmarkEnd w:id="599"/>
      <w:r/>
      <w:bookmarkStart w:id="600" w:name="_Toc164608661"/>
      <w:r/>
      <w:bookmarkEnd w:id="600"/>
      <w:r/>
      <w:bookmarkStart w:id="601" w:name="_Toc151190174"/>
      <w:r/>
      <w:bookmarkEnd w:id="601"/>
      <w:r/>
      <w:bookmarkStart w:id="602" w:name="_Toc127151748"/>
      <w:r/>
      <w:bookmarkEnd w:id="602"/>
      <w:r/>
      <w:bookmarkStart w:id="603" w:name="_Toc150774752"/>
      <w:r/>
      <w:bookmarkEnd w:id="603"/>
      <w:r/>
      <w:bookmarkStart w:id="604" w:name="_Toc226965737"/>
      <w:r/>
      <w:bookmarkEnd w:id="604"/>
      <w:r/>
      <w:bookmarkStart w:id="605" w:name="_Toc127151547"/>
      <w:r/>
      <w:bookmarkEnd w:id="605"/>
      <w:r/>
      <w:bookmarkStart w:id="606" w:name="_Toc226309791"/>
      <w:r/>
      <w:bookmarkEnd w:id="606"/>
      <w:r/>
      <w:bookmarkStart w:id="607" w:name="_Toc264969237"/>
      <w:r/>
      <w:bookmarkEnd w:id="607"/>
      <w:r/>
      <w:bookmarkStart w:id="608" w:name="_Toc164229242"/>
      <w:r/>
      <w:bookmarkEnd w:id="608"/>
      <w:r/>
      <w:bookmarkStart w:id="609" w:name="_Toc150480785"/>
      <w:r/>
      <w:bookmarkEnd w:id="609"/>
      <w:r/>
      <w:bookmarkStart w:id="610" w:name="_Toc226965820"/>
      <w:r/>
      <w:bookmarkEnd w:id="610"/>
      <w:r/>
      <w:bookmarkStart w:id="611" w:name="_Toc150774647"/>
      <w:r/>
      <w:bookmarkEnd w:id="611"/>
      <w:r/>
      <w:bookmarkStart w:id="612" w:name="_Toc151193645"/>
      <w:r/>
      <w:bookmarkEnd w:id="612"/>
      <w:r/>
      <w:bookmarkStart w:id="613" w:name="_Toc149720840"/>
      <w:r/>
      <w:bookmarkEnd w:id="613"/>
      <w:r/>
      <w:bookmarkStart w:id="614" w:name="_Toc150509298"/>
      <w:r/>
      <w:bookmarkEnd w:id="614"/>
      <w:r/>
      <w:bookmarkStart w:id="615" w:name="_Toc142311049"/>
      <w:r/>
      <w:bookmarkEnd w:id="615"/>
      <w:r/>
      <w:bookmarkStart w:id="616" w:name="_Toc305158889"/>
      <w:r/>
      <w:bookmarkEnd w:id="61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617" w:name="_Toc164229244"/>
      <w:r/>
      <w:bookmarkStart w:id="618" w:name="_Toc127151549"/>
      <w:r/>
      <w:bookmarkStart w:id="619" w:name="_Toc142311051"/>
      <w:r/>
      <w:bookmarkStart w:id="620" w:name="_Toc305158817"/>
      <w:r/>
      <w:bookmarkStart w:id="621" w:name="_Toc226965739"/>
      <w:r/>
      <w:bookmarkStart w:id="622" w:name="_Toc164351643"/>
      <w:r/>
      <w:bookmarkStart w:id="623" w:name="_Toc164608663"/>
      <w:r/>
      <w:bookmarkStart w:id="624" w:name="_Toc151193937"/>
      <w:r/>
      <w:bookmarkStart w:id="625" w:name="_Ref467306425"/>
      <w:r/>
      <w:bookmarkStart w:id="626" w:name="_Toc520356176"/>
      <w:r/>
      <w:bookmarkStart w:id="627" w:name="_Toc264969239"/>
      <w:r/>
      <w:bookmarkStart w:id="628" w:name="_Toc226337245"/>
      <w:r/>
      <w:bookmarkStart w:id="629" w:name="_Toc226309793"/>
      <w:r/>
      <w:bookmarkStart w:id="630" w:name="_Toc150509300"/>
      <w:r/>
      <w:bookmarkStart w:id="631" w:name="_Toc151193863"/>
      <w:r/>
      <w:bookmarkStart w:id="632" w:name="_Toc164608818"/>
      <w:r/>
      <w:bookmarkStart w:id="633" w:name="_Toc127151750"/>
      <w:r/>
      <w:bookmarkStart w:id="634" w:name="_Toc149720842"/>
      <w:r/>
      <w:bookmarkStart w:id="635" w:name="_Toc164229390"/>
      <w:r/>
      <w:bookmarkStart w:id="636" w:name="_Toc265228387"/>
      <w:r/>
      <w:bookmarkStart w:id="637" w:name="_Toc305158891"/>
      <w:r/>
      <w:bookmarkStart w:id="638" w:name="_Toc151190176"/>
      <w:r/>
      <w:bookmarkStart w:id="639" w:name="_Toc127161463"/>
      <w:r/>
      <w:bookmarkStart w:id="640" w:name="_Toc151193647"/>
      <w:r/>
      <w:bookmarkStart w:id="641" w:name="_Toc151193719"/>
      <w:r/>
      <w:bookmarkStart w:id="642" w:name="_Toc150480787"/>
      <w:r/>
      <w:bookmarkStart w:id="643" w:name="_Toc150774649"/>
      <w:r/>
      <w:bookmarkStart w:id="644" w:name="_Toc150774754"/>
      <w:r/>
      <w:bookmarkStart w:id="645" w:name="_Toc151193791"/>
      <w:r/>
      <w:bookmarkStart w:id="646" w:name="_Toc226965822"/>
      <w:r/>
      <w:bookmarkStart w:id="647" w:name="_Toc195842914"/>
      <w:r/>
      <w:bookmarkStart w:id="648" w:name="_Ref467307090"/>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20"/>
      <w:r/>
      <w:bookmarkEnd w:id="63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24.1.1符合专业条件的供应商或者对招标文件作实质响应的供应商不足三家的；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25.1.4因重大变故，采购任务取消的。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bookmarkEnd w:id="617"/>
      <w:r/>
      <w:bookmarkEnd w:id="618"/>
      <w:r/>
      <w:bookmarkEnd w:id="619"/>
      <w:r/>
      <w:bookmarkEnd w:id="621"/>
      <w:r/>
      <w:bookmarkEnd w:id="622"/>
      <w:r/>
      <w:bookmarkEnd w:id="623"/>
      <w:r/>
      <w:bookmarkEnd w:id="624"/>
      <w:r/>
      <w:bookmarkEnd w:id="627"/>
      <w:r/>
      <w:bookmarkEnd w:id="628"/>
      <w:r/>
      <w:bookmarkEnd w:id="629"/>
      <w:r/>
      <w:bookmarkEnd w:id="630"/>
      <w:r/>
      <w:bookmarkEnd w:id="631"/>
      <w:r/>
      <w:bookmarkEnd w:id="632"/>
      <w:r/>
      <w:bookmarkEnd w:id="633"/>
      <w:r/>
      <w:bookmarkEnd w:id="634"/>
      <w:r/>
      <w:bookmarkEnd w:id="635"/>
      <w:r/>
      <w:bookmarkEnd w:id="636"/>
      <w:r/>
      <w:bookmarkEnd w:id="638"/>
      <w:r/>
      <w:bookmarkEnd w:id="639"/>
      <w:r/>
      <w:bookmarkEnd w:id="640"/>
      <w:r/>
      <w:bookmarkEnd w:id="641"/>
      <w:r/>
      <w:bookmarkEnd w:id="642"/>
      <w:r/>
      <w:bookmarkEnd w:id="643"/>
      <w:r/>
      <w:bookmarkEnd w:id="644"/>
      <w:r/>
      <w:bookmarkEnd w:id="645"/>
      <w:r/>
      <w:bookmarkEnd w:id="646"/>
      <w:r/>
      <w:bookmarkEnd w:id="64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649" w:name="_Toc164351644"/>
      <w:r/>
      <w:bookmarkStart w:id="650" w:name="_Toc151193864"/>
      <w:r/>
      <w:bookmarkStart w:id="651" w:name="_Toc164608664"/>
      <w:r/>
      <w:bookmarkStart w:id="652" w:name="_Ref467307204"/>
      <w:r/>
      <w:bookmarkStart w:id="653" w:name="_Toc127151751"/>
      <w:r/>
      <w:bookmarkStart w:id="654" w:name="_Ref467306978"/>
      <w:r/>
      <w:bookmarkStart w:id="655" w:name="_Toc226337246"/>
      <w:r/>
      <w:bookmarkStart w:id="656" w:name="_Toc264969240"/>
      <w:r/>
      <w:bookmarkStart w:id="657" w:name="_Toc151193648"/>
      <w:r/>
      <w:bookmarkStart w:id="658" w:name="_Toc149720843"/>
      <w:r/>
      <w:bookmarkStart w:id="659" w:name="_Ref467306377"/>
      <w:r/>
      <w:bookmarkStart w:id="660" w:name="_Toc151193720"/>
      <w:r/>
      <w:bookmarkStart w:id="661" w:name="_Toc151193792"/>
      <w:r/>
      <w:bookmarkStart w:id="662" w:name="_Toc520356175"/>
      <w:r/>
      <w:bookmarkStart w:id="663" w:name="_Toc150774650"/>
      <w:r/>
      <w:bookmarkStart w:id="664" w:name="_Toc151190177"/>
      <w:r/>
      <w:bookmarkStart w:id="665" w:name="_Toc305158818"/>
      <w:r/>
      <w:bookmarkStart w:id="666" w:name="_Toc127161464"/>
      <w:r/>
      <w:bookmarkStart w:id="667" w:name="_Toc151193938"/>
      <w:r/>
      <w:bookmarkStart w:id="668" w:name="_Toc164229391"/>
      <w:r/>
      <w:bookmarkStart w:id="669" w:name="_Toc305158892"/>
      <w:r/>
      <w:bookmarkStart w:id="670" w:name="_Toc265228388"/>
      <w:r/>
      <w:bookmarkStart w:id="671" w:name="_Toc195842915"/>
      <w:r/>
      <w:bookmarkStart w:id="672" w:name="_Toc226965740"/>
      <w:r/>
      <w:bookmarkStart w:id="673" w:name="_Toc127151550"/>
      <w:r/>
      <w:bookmarkStart w:id="674" w:name="_Toc150774755"/>
      <w:r/>
      <w:bookmarkStart w:id="675" w:name="_Toc150509301"/>
      <w:r/>
      <w:bookmarkStart w:id="676" w:name="_Toc226309794"/>
      <w:r/>
      <w:bookmarkStart w:id="677" w:name="_Toc226965823"/>
      <w:r/>
      <w:bookmarkStart w:id="678" w:name="_Toc164229245"/>
      <w:r/>
      <w:bookmarkStart w:id="679" w:name="_Ref467307062"/>
      <w:r/>
      <w:bookmarkStart w:id="680" w:name="_Toc150480788"/>
      <w:r/>
      <w:bookmarkStart w:id="681" w:name="_Toc164608819"/>
      <w:r/>
      <w:bookmarkStart w:id="682" w:name="_Toc142311052"/>
      <w:r>
        <w:rPr>
          <w:rFonts w:hint="eastAsia" w:ascii="仿宋" w:hAnsi="仿宋" w:eastAsia="仿宋" w:cs="仿宋"/>
          <w:color w:val="000000"/>
          <w:sz w:val="21"/>
          <w:szCs w:val="21"/>
          <w:highlight w:val="none"/>
        </w:rPr>
        <w:t xml:space="preserve">25.签订合同</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25"/>
      <w:r/>
      <w:bookmarkEnd w:id="626"/>
      <w:r/>
      <w:bookmarkEnd w:id="648"/>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309"/>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http://gk</w:t>
      </w:r>
      <w:bookmarkStart w:id="683" w:name="_Hlt100654014"/>
      <w:r>
        <w:rPr>
          <w:rFonts w:hint="eastAsia" w:ascii="仿宋" w:hAnsi="仿宋" w:eastAsia="仿宋" w:cs="仿宋"/>
          <w:color w:val="000000"/>
          <w:sz w:val="21"/>
          <w:szCs w:val="21"/>
          <w:highlight w:val="none"/>
        </w:rPr>
        <w:t xml:space="preserve">s</w:t>
      </w:r>
      <w:bookmarkEnd w:id="683"/>
      <w:r>
        <w:rPr>
          <w:rFonts w:hint="eastAsia" w:ascii="仿宋" w:hAnsi="仿宋" w:eastAsia="仿宋" w:cs="仿宋"/>
          <w:color w:val="000000"/>
          <w:sz w:val="21"/>
          <w:szCs w:val="21"/>
          <w:highlight w:val="none"/>
        </w:rPr>
        <w:t xml:space="preserve">.m</w:t>
      </w:r>
      <w:bookmarkStart w:id="684" w:name="_Hlt100653993"/>
      <w:r/>
      <w:bookmarkStart w:id="685" w:name="_Hlt100653994"/>
      <w:r>
        <w:rPr>
          <w:rFonts w:hint="eastAsia" w:ascii="仿宋" w:hAnsi="仿宋" w:eastAsia="仿宋" w:cs="仿宋"/>
          <w:color w:val="000000"/>
          <w:sz w:val="21"/>
          <w:szCs w:val="21"/>
          <w:highlight w:val="none"/>
        </w:rPr>
        <w:t xml:space="preserve">o</w:t>
      </w:r>
      <w:bookmarkEnd w:id="684"/>
      <w:r/>
      <w:bookmarkEnd w:id="685"/>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w:t>
      </w:r>
      <w:r>
        <w:rPr>
          <w:rFonts w:hint="eastAsia" w:ascii="仿宋" w:hAnsi="仿宋" w:eastAsia="仿宋" w:cs="仿宋"/>
          <w:b/>
          <w:bCs/>
          <w:color w:val="000000"/>
          <w:sz w:val="21"/>
          <w:szCs w:val="21"/>
          <w:highlight w:val="none"/>
        </w:rPr>
        <w:t xml:space="preserve">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2"/>
        <w:spacing w:line="360" w:lineRule="auto"/>
        <w:tabs>
          <w:tab w:val="left" w:pos="900" w:leader="none"/>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32"/>
        <w:ind w:left="360"/>
        <w:spacing w:line="360" w:lineRule="auto"/>
        <w:tabs>
          <w:tab w:val="left" w:pos="360" w:leader="none"/>
          <w:tab w:val="left" w:pos="10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center"/>
        <w:spacing w:line="360" w:lineRule="auto"/>
        <w:rPr>
          <w:rStyle w:val="1217"/>
          <w:rFonts w:hint="eastAsia" w:ascii="仿宋" w:hAnsi="仿宋" w:eastAsia="仿宋" w:cs="仿宋"/>
          <w:color w:val="000000"/>
          <w:highlight w:val="none"/>
        </w:rPr>
        <w:outlineLvl w:val="0"/>
      </w:pPr>
      <w:r/>
      <w:bookmarkStart w:id="686" w:name="_Toc305158822"/>
      <w:r/>
      <w:bookmarkStart w:id="687" w:name="_Toc264969244"/>
      <w:r/>
      <w:bookmarkStart w:id="688" w:name="_Toc150774759"/>
      <w:r/>
      <w:bookmarkStart w:id="689" w:name="_Toc127151554"/>
      <w:r/>
      <w:bookmarkStart w:id="690" w:name="_Toc353873934"/>
      <w:r/>
      <w:bookmarkStart w:id="691" w:name="_Toc353825544"/>
      <w:r/>
      <w:bookmarkStart w:id="692" w:name="_Toc305158896"/>
      <w:r/>
      <w:bookmarkStart w:id="693" w:name="_Toc265228392"/>
      <w:r/>
      <w:bookmarkStart w:id="694" w:name="_Toc353873664"/>
      <w:r/>
      <w:bookmarkStart w:id="695" w:name="_Toc150480792"/>
      <w:r/>
      <w:bookmarkStart w:id="696" w:name="_Toc226965827"/>
      <w:r/>
      <w:bookmarkStart w:id="697" w:name="_Toc142311056"/>
      <w:r/>
      <w:bookmarkStart w:id="698" w:name="_Toc226337250"/>
      <w:r>
        <w:rPr>
          <w:rFonts w:hint="eastAsia" w:ascii="仿宋" w:hAnsi="仿宋" w:eastAsia="仿宋" w:cs="仿宋"/>
          <w:color w:val="000000"/>
          <w:sz w:val="24"/>
          <w:highlight w:val="none"/>
        </w:rPr>
        <w:br w:type="page" w:clear="all"/>
      </w:r>
      <w:bookmarkStart w:id="699" w:name="_Toc27092"/>
      <w:r>
        <w:rPr>
          <w:rStyle w:val="1217"/>
          <w:rFonts w:hint="eastAsia" w:ascii="仿宋" w:hAnsi="仿宋" w:eastAsia="仿宋" w:cs="仿宋"/>
          <w:color w:val="000000"/>
          <w:highlight w:val="none"/>
        </w:rPr>
        <w:t xml:space="preserve">第三章   </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Style w:val="1217"/>
          <w:rFonts w:hint="eastAsia" w:ascii="仿宋" w:hAnsi="仿宋" w:eastAsia="仿宋" w:cs="仿宋"/>
          <w:color w:val="000000"/>
          <w:highlight w:val="none"/>
        </w:rPr>
        <w:t xml:space="preserve">资格审查</w:t>
      </w:r>
      <w:bookmarkEnd w:id="699"/>
      <w:r/>
      <w:bookmarkStart w:id="700" w:name="_Toc487900382"/>
      <w:r>
        <w:rPr>
          <w:rStyle w:val="1217"/>
          <w:rFonts w:hint="eastAsia" w:ascii="仿宋" w:hAnsi="仿宋" w:eastAsia="仿宋" w:cs="仿宋"/>
          <w:color w:val="000000"/>
          <w:highlight w:val="none"/>
        </w:rPr>
      </w:r>
      <w:r/>
    </w:p>
    <w:p>
      <w:pPr>
        <w:pStyle w:val="1032"/>
        <w:jc w:val="center"/>
        <w:spacing w:line="360" w:lineRule="auto"/>
        <w:tabs>
          <w:tab w:val="left" w:pos="360" w:leader="none"/>
          <w:tab w:val="left" w:pos="900" w:leader="none"/>
        </w:tabs>
        <w:rPr>
          <w:rFonts w:hint="eastAsia" w:ascii="仿宋" w:hAnsi="仿宋" w:eastAsia="仿宋" w:cs="仿宋"/>
          <w:b/>
          <w:color w:val="000000"/>
          <w:sz w:val="24"/>
          <w:highlight w:val="none"/>
        </w:rPr>
        <w:outlineLvl w:val="1"/>
      </w:pPr>
      <w:r/>
      <w:bookmarkStart w:id="701" w:name="_Toc99301422"/>
      <w:r>
        <w:rPr>
          <w:rFonts w:hint="eastAsia" w:ascii="仿宋" w:hAnsi="仿宋" w:eastAsia="仿宋" w:cs="仿宋"/>
          <w:b/>
          <w:color w:val="000000"/>
          <w:sz w:val="24"/>
          <w:highlight w:val="none"/>
        </w:rPr>
        <w:t xml:space="preserve">一、资格审查程序</w:t>
      </w:r>
      <w:bookmarkEnd w:id="701"/>
      <w:r>
        <w:rPr>
          <w:rFonts w:hint="eastAsia" w:ascii="仿宋" w:hAnsi="仿宋" w:eastAsia="仿宋" w:cs="仿宋"/>
          <w:b/>
          <w:color w:val="000000"/>
          <w:sz w:val="24"/>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4.资格审查合格的供应商不足3家的，不进行评标。</w:t>
      </w:r>
      <w:r>
        <w:rPr>
          <w:rFonts w:hint="eastAsia" w:ascii="仿宋" w:hAnsi="仿宋" w:eastAsia="仿宋" w:cs="仿宋"/>
          <w:color w:val="000000"/>
          <w:sz w:val="21"/>
          <w:szCs w:val="21"/>
          <w:highlight w:val="none"/>
        </w:rPr>
      </w:r>
      <w:r/>
    </w:p>
    <w:p>
      <w:pPr>
        <w:pStyle w:val="1032"/>
        <w:ind w:firstLine="422"/>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二、资格审查要求</w:t>
      </w:r>
      <w:r>
        <w:rPr>
          <w:rFonts w:hint="eastAsia" w:ascii="仿宋" w:hAnsi="仿宋" w:eastAsia="仿宋" w:cs="仿宋"/>
          <w:b/>
          <w:color w:val="000000"/>
          <w:szCs w:val="21"/>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2"/>
        <w:gridCol w:w="5213"/>
        <w:gridCol w:w="2202"/>
      </w:tblGrid>
      <w:tr>
        <w:trPr>
          <w:trHeight w:val="468"/>
          <w:tblHeader/>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bookmarkStart w:id="702" w:name="_Hlt487972895"/>
            <w:r/>
            <w:bookmarkEnd w:id="702"/>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24"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2615"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c>
          <w:tcPr>
            <w:tcW w:w="1105" w:type="dxa"/>
            <w:vAlign w:val="center"/>
            <w:textDirection w:val="lrTb"/>
            <w:noWrap w:val="false"/>
          </w:tcPr>
          <w:p>
            <w:pPr>
              <w:pStyle w:val="1032"/>
              <w:jc w:val="center"/>
              <w:spacing w:line="240" w:lineRule="exact"/>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格式要求</w:t>
            </w:r>
            <w:r>
              <w:rPr>
                <w:rFonts w:hint="eastAsia" w:ascii="仿宋" w:hAnsi="仿宋" w:eastAsia="仿宋" w:cs="仿宋"/>
                <w:b/>
                <w:color w:val="000000"/>
                <w:szCs w:val="21"/>
                <w:highlight w:val="none"/>
              </w:rPr>
            </w:r>
            <w:r/>
          </w:p>
        </w:tc>
      </w:tr>
      <w:tr>
        <w:trPr>
          <w:trHeight w:val="468"/>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满足《中华人民共和国政府采购法》第二十二条规定及法律法规的其他规定</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至少应提供：</w:t>
            </w:r>
            <w:r>
              <w:rPr>
                <w:rFonts w:hint="eastAsia" w:ascii="仿宋" w:hAnsi="仿宋" w:eastAsia="仿宋" w:cs="仿宋"/>
                <w:color w:val="000000"/>
                <w:sz w:val="21"/>
                <w:szCs w:val="21"/>
                <w:highlight w:val="none"/>
                <w:lang w:val="en-US" w:eastAsia="zh-CN"/>
              </w:rPr>
            </w:r>
            <w:r/>
          </w:p>
          <w:p>
            <w:pPr>
              <w:pStyle w:val="1032"/>
              <w:shd w:val="clear" w:color="auto" w:fill="ffff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提供营业执照副本扫描件</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shd w:val="clear" w:color="auto" w:fill="ffff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上一</w:t>
            </w:r>
            <w:r>
              <w:rPr>
                <w:rFonts w:hint="eastAsia" w:ascii="仿宋" w:hAnsi="仿宋" w:eastAsia="仿宋" w:cs="仿宋"/>
                <w:color w:val="000000"/>
                <w:sz w:val="21"/>
                <w:szCs w:val="21"/>
                <w:highlight w:val="none"/>
                <w:lang w:val="en-US" w:eastAsia="zh-CN"/>
              </w:rPr>
              <w:t xml:space="preserve">年度的财务状况报告</w:t>
            </w:r>
            <w:r>
              <w:rPr>
                <w:rFonts w:hint="eastAsia" w:ascii="仿宋" w:hAnsi="仿宋" w:eastAsia="仿宋" w:cs="仿宋"/>
                <w:b/>
                <w:bCs/>
                <w:color w:val="000000"/>
                <w:sz w:val="21"/>
                <w:szCs w:val="21"/>
                <w:highlight w:val="none"/>
                <w:lang w:val="en-US" w:eastAsia="zh-CN"/>
              </w:rPr>
              <w:t xml:space="preserve">（成立不满一年不需提供），财务状况报告至少应包含资产负债表、利润表、现金流量表；</w:t>
            </w:r>
            <w:r>
              <w:rPr>
                <w:rFonts w:hint="eastAsia" w:ascii="仿宋" w:hAnsi="仿宋" w:eastAsia="仿宋" w:cs="仿宋"/>
                <w:b/>
                <w:bCs/>
                <w:color w:val="000000"/>
                <w:sz w:val="21"/>
                <w:szCs w:val="21"/>
                <w:highlight w:val="none"/>
                <w:lang w:val="en-US" w:eastAsia="zh-CN"/>
              </w:rPr>
            </w:r>
            <w:r/>
          </w:p>
          <w:p>
            <w:pPr>
              <w:pStyle w:val="1032"/>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依法缴纳税收和社会保障资金的相关材料（提供提交开标间前一年内至少一个月依法缴纳税收及缴纳社会保障资金的证明材料。供应商存在依法享受缓缴、免缴税收、社会保障资金的情形的，应提供证明材料）；</w:t>
            </w:r>
            <w:r>
              <w:rPr>
                <w:rFonts w:hint="eastAsia" w:ascii="仿宋" w:hAnsi="仿宋" w:eastAsia="仿宋" w:cs="仿宋"/>
                <w:color w:val="000000"/>
                <w:sz w:val="21"/>
                <w:szCs w:val="21"/>
                <w:highlight w:val="none"/>
                <w:lang w:val="en-US" w:eastAsia="zh-CN"/>
              </w:rPr>
            </w:r>
            <w:r/>
          </w:p>
          <w:p>
            <w:pPr>
              <w:pStyle w:val="1246"/>
              <w:spacing w:before="0" w:line="240" w:lineRule="exact"/>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val="en-US" w:eastAsia="zh-CN"/>
              </w:rPr>
              <w:t xml:space="preserve">未提供或未按要求提供的资格审查不通过。</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032"/>
              <w:spacing w:line="240" w:lineRule="exact"/>
              <w:tabs>
                <w:tab w:val="left" w:pos="1080" w:leader="none"/>
              </w:tabs>
              <w:rPr>
                <w:rFonts w:ascii="仿宋" w:hAnsi="仿宋" w:eastAsia="仿宋" w:cs="仿宋"/>
                <w:color w:val="000000"/>
                <w:szCs w:val="21"/>
                <w:highlight w:val="none"/>
              </w:rPr>
            </w:pPr>
            <w:r>
              <w:rPr>
                <w:rFonts w:hint="eastAsia" w:ascii="仿宋" w:hAnsi="仿宋" w:eastAsia="仿宋" w:cs="仿宋"/>
                <w:b/>
                <w:bCs/>
                <w:color w:val="000000"/>
                <w:highlight w:val="none"/>
                <w:lang w:val="en-US" w:eastAsia="zh-CN"/>
              </w:rPr>
              <w:t xml:space="preserve">按采购文件及“苏采云”系统明确的要求提供</w:t>
            </w:r>
            <w:r>
              <w:rPr>
                <w:rFonts w:hint="eastAsia" w:ascii="仿宋" w:hAnsi="仿宋" w:eastAsia="仿宋" w:cs="仿宋"/>
                <w:color w:val="000000"/>
                <w:szCs w:val="21"/>
                <w:highlight w:val="none"/>
              </w:rPr>
              <w:t xml:space="preserve">证明材料</w:t>
            </w:r>
            <w:r>
              <w:rPr>
                <w:rFonts w:hint="eastAsia" w:ascii="仿宋" w:hAnsi="仿宋" w:eastAsia="仿宋" w:cs="仿宋"/>
                <w:b/>
                <w:bCs/>
                <w:color w:val="000000"/>
                <w:highlight w:val="none"/>
                <w:lang w:val="en-US" w:eastAsia="zh-CN"/>
              </w:rPr>
              <w:t xml:space="preserve">并加盖公章</w:t>
            </w:r>
            <w:r>
              <w:rPr>
                <w:rFonts w:ascii="仿宋" w:hAnsi="仿宋" w:eastAsia="仿宋" w:cs="仿宋"/>
                <w:color w:val="000000"/>
                <w:szCs w:val="21"/>
                <w:highlight w:val="none"/>
              </w:rPr>
            </w:r>
            <w:r/>
          </w:p>
        </w:tc>
      </w:tr>
      <w:tr>
        <w:trPr>
          <w:trHeight w:val="468"/>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供应商资格声明函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提供了符合招标文件要求的《供应商资格声明函》。</w:t>
            </w:r>
            <w:r>
              <w:rPr>
                <w:rFonts w:hint="eastAsia" w:ascii="仿宋" w:hAnsi="仿宋" w:eastAsia="仿宋" w:cs="仿宋"/>
                <w:b/>
                <w:bCs/>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格式见《投标文件格式》</w:t>
            </w:r>
            <w:r>
              <w:rPr>
                <w:rFonts w:hint="eastAsia" w:ascii="仿宋" w:hAnsi="仿宋" w:eastAsia="仿宋" w:cs="仿宋"/>
                <w:b/>
                <w:bCs/>
                <w:color w:val="000000"/>
                <w:szCs w:val="21"/>
                <w:highlight w:val="none"/>
              </w:rPr>
            </w:r>
            <w:r/>
          </w:p>
        </w:tc>
      </w:tr>
      <w:tr>
        <w:trPr>
          <w:trHeight w:val="76"/>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供应商信用记录</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查询渠道：信用中国网站和中国政府采购网（www.creditchina.gov.cn、www.ccgp.gov.cn）；</w:t>
            </w:r>
            <w:r>
              <w:rPr>
                <w:rFonts w:hint="eastAsia" w:ascii="仿宋" w:hAnsi="仿宋" w:eastAsia="仿宋" w:cs="仿宋"/>
                <w:color w:val="000000"/>
                <w:szCs w:val="21"/>
                <w:highlight w:val="none"/>
              </w:rPr>
            </w:r>
            <w:r/>
          </w:p>
          <w:p>
            <w:pPr>
              <w:pStyle w:val="1032"/>
              <w:spacing w:line="240" w:lineRule="exact"/>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截止时点：投标截止时间以后、资格审查阶段采购人或采购代理机构的实际查询时间；</w:t>
            </w:r>
            <w:r>
              <w:rPr>
                <w:rFonts w:hint="eastAsia" w:ascii="仿宋" w:hAnsi="仿宋" w:eastAsia="仿宋" w:cs="仿宋"/>
                <w:color w:val="000000"/>
                <w:szCs w:val="21"/>
                <w:highlight w:val="none"/>
              </w:rPr>
            </w:r>
            <w:r/>
          </w:p>
          <w:p>
            <w:pPr>
              <w:pStyle w:val="1032"/>
              <w:spacing w:line="240" w:lineRule="exact"/>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无须供应商提供，由采购人查询。</w:t>
            </w:r>
            <w:r>
              <w:rPr>
                <w:rFonts w:hint="eastAsia" w:ascii="仿宋" w:hAnsi="仿宋" w:eastAsia="仿宋" w:cs="仿宋"/>
                <w:color w:val="000000"/>
                <w:szCs w:val="21"/>
                <w:highlight w:val="none"/>
              </w:rPr>
            </w:r>
            <w:r/>
          </w:p>
        </w:tc>
      </w:tr>
      <w:tr>
        <w:trPr>
          <w:trHeight w:val="933"/>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落实政府采购政策需满足的资格要求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具体要求见第一章《投标邀请》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中小企业声明函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注2：残疾人福利性单位须按招标文件要求提供《残疾人福利性单位声明函》。</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如本项目（包）是专门面向中小企业采购的，必须提供，格式见《投标文件格式》</w:t>
            </w:r>
            <w:r>
              <w:rPr>
                <w:rFonts w:hint="eastAsia" w:ascii="仿宋" w:hAnsi="仿宋" w:eastAsia="仿宋" w:cs="仿宋"/>
                <w:b/>
                <w:bCs/>
                <w:color w:val="000000"/>
                <w:szCs w:val="21"/>
                <w:highlight w:val="none"/>
              </w:rPr>
            </w:r>
            <w:r/>
          </w:p>
        </w:tc>
      </w:tr>
      <w:tr>
        <w:trPr>
          <w:trHeight w:val="1203"/>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拟分包情况说明及分包意向协议（类型二）</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1203"/>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其它落实政府采购政策的资格要求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提供证明文件的扫描件加盖公章</w:t>
            </w:r>
            <w:r>
              <w:rPr>
                <w:rFonts w:hint="eastAsia" w:ascii="仿宋" w:hAnsi="仿宋" w:eastAsia="仿宋" w:cs="仿宋"/>
                <w:color w:val="000000"/>
                <w:szCs w:val="21"/>
                <w:highlight w:val="none"/>
              </w:rPr>
            </w:r>
            <w:r/>
          </w:p>
        </w:tc>
      </w:tr>
      <w:tr>
        <w:trPr>
          <w:trHeight w:val="650"/>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本项目的特定资格要求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是否接受联合体投标</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2.联合体各成员单位均须提供本表中序号1-1.1-2的证明文件。</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6.若联合体中任一成员单位中途退出，则该联合体的</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7.本项目不接受联合体投标时，供应商不得为联合体。</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提供《联合协议》原件的电子件</w:t>
            </w:r>
            <w:r>
              <w:rPr>
                <w:rFonts w:hint="eastAsia" w:ascii="仿宋" w:hAnsi="仿宋" w:eastAsia="仿宋" w:cs="仿宋"/>
                <w:color w:val="000000"/>
                <w:szCs w:val="21"/>
                <w:highlight w:val="none"/>
              </w:rPr>
            </w:r>
            <w:r/>
          </w:p>
          <w:p>
            <w:pPr>
              <w:pStyle w:val="1283"/>
              <w:ind w:left="0" w:firstLine="0"/>
              <w:jc w:val="left"/>
              <w:spacing w:after="0" w:line="240" w:lineRule="exact"/>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Cs w:val="21"/>
                <w:highlight w:val="none"/>
              </w:rPr>
            </w:r>
            <w:r/>
          </w:p>
        </w:tc>
      </w:tr>
      <w:tr>
        <w:trPr>
          <w:trHeight w:val="460"/>
        </w:trPr>
        <w:tc>
          <w:tcPr>
            <w:tcW w:w="454" w:type="dxa"/>
            <w:vAlign w:val="center"/>
            <w:textDirection w:val="lrTb"/>
            <w:noWrap w:val="false"/>
          </w:tcPr>
          <w:p>
            <w:pPr>
              <w:pStyle w:val="1032"/>
              <w:jc w:val="center"/>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rPr>
                <w:rFonts w:hint="eastAsia" w:ascii="仿宋" w:hAnsi="仿宋" w:eastAsia="仿宋" w:cs="仿宋"/>
                <w:color w:val="000000"/>
                <w:szCs w:val="21"/>
                <w:highlight w:val="none"/>
              </w:rPr>
            </w:r>
            <w:r/>
          </w:p>
        </w:tc>
        <w:tc>
          <w:tcPr>
            <w:tcW w:w="824"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其他特定资格要求（如有）</w:t>
            </w:r>
            <w:r>
              <w:rPr>
                <w:rFonts w:hint="eastAsia" w:ascii="仿宋" w:hAnsi="仿宋" w:eastAsia="仿宋" w:cs="仿宋"/>
                <w:color w:val="000000"/>
                <w:szCs w:val="21"/>
                <w:highlight w:val="none"/>
              </w:rPr>
            </w:r>
            <w:r/>
          </w:p>
        </w:tc>
        <w:tc>
          <w:tcPr>
            <w:tcW w:w="261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032"/>
              <w:spacing w:line="240" w:lineRule="exact"/>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提供证明文件的电子件或电子证照</w:t>
            </w:r>
            <w:r>
              <w:rPr>
                <w:rFonts w:hint="eastAsia" w:ascii="仿宋" w:hAnsi="仿宋" w:eastAsia="仿宋" w:cs="仿宋"/>
                <w:color w:val="000000"/>
                <w:szCs w:val="21"/>
                <w:highlight w:val="none"/>
              </w:rPr>
            </w:r>
            <w:r/>
          </w:p>
        </w:tc>
      </w:tr>
    </w:tbl>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szCs w:val="21"/>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0"/>
      <w:r>
        <w:rPr>
          <w:rFonts w:hint="eastAsia" w:ascii="仿宋" w:hAnsi="仿宋" w:eastAsia="仿宋" w:cs="仿宋"/>
          <w:color w:val="000000"/>
          <w:highlight w:val="none"/>
        </w:rPr>
      </w:r>
      <w:r/>
    </w:p>
    <w:p>
      <w:pPr>
        <w:pStyle w:val="1032"/>
        <w:jc w:val="center"/>
        <w:spacing w:line="360" w:lineRule="auto"/>
        <w:rPr>
          <w:rStyle w:val="1217"/>
          <w:rFonts w:hint="eastAsia" w:ascii="仿宋" w:hAnsi="仿宋" w:eastAsia="仿宋" w:cs="仿宋"/>
          <w:color w:val="000000"/>
          <w:highlight w:val="none"/>
        </w:rPr>
        <w:outlineLvl w:val="0"/>
      </w:pPr>
      <w:r/>
      <w:bookmarkStart w:id="703" w:name="_Toc353825550"/>
      <w:r/>
      <w:bookmarkStart w:id="704" w:name="_Toc226965858"/>
      <w:r/>
      <w:bookmarkStart w:id="705" w:name="_Toc127161490"/>
      <w:r/>
      <w:bookmarkStart w:id="706" w:name="_Toc353873940"/>
      <w:r/>
      <w:bookmarkStart w:id="707" w:name="_Toc127151779"/>
      <w:r/>
      <w:bookmarkStart w:id="708" w:name="_Toc19769"/>
      <w:r>
        <w:rPr>
          <w:rStyle w:val="1217"/>
          <w:rFonts w:hint="eastAsia" w:ascii="仿宋" w:hAnsi="仿宋" w:eastAsia="仿宋" w:cs="仿宋"/>
          <w:color w:val="000000"/>
          <w:highlight w:val="none"/>
        </w:rPr>
        <w:t xml:space="preserve">第四章   </w:t>
      </w:r>
      <w:bookmarkEnd w:id="703"/>
      <w:r/>
      <w:bookmarkEnd w:id="704"/>
      <w:r/>
      <w:bookmarkEnd w:id="705"/>
      <w:r/>
      <w:bookmarkEnd w:id="706"/>
      <w:r/>
      <w:bookmarkEnd w:id="707"/>
      <w:r/>
      <w:bookmarkStart w:id="709" w:name="_Hlt164229061"/>
      <w:r/>
      <w:bookmarkEnd w:id="709"/>
      <w:r>
        <w:rPr>
          <w:rStyle w:val="1217"/>
          <w:rFonts w:hint="eastAsia" w:ascii="仿宋" w:hAnsi="仿宋" w:eastAsia="仿宋" w:cs="仿宋"/>
          <w:color w:val="000000"/>
          <w:highlight w:val="none"/>
        </w:rPr>
        <w:t xml:space="preserve">评标程序、评标方法和评标标准</w:t>
      </w:r>
      <w:bookmarkEnd w:id="708"/>
      <w:r>
        <w:rPr>
          <w:rStyle w:val="1217"/>
          <w:rFonts w:hint="eastAsia" w:ascii="仿宋" w:hAnsi="仿宋" w:eastAsia="仿宋" w:cs="仿宋"/>
          <w:color w:val="000000"/>
          <w:highlight w:val="none"/>
        </w:rPr>
      </w:r>
      <w:r/>
    </w:p>
    <w:p>
      <w:pPr>
        <w:pStyle w:val="1032"/>
        <w:jc w:val="center"/>
        <w:spacing w:line="360" w:lineRule="auto"/>
        <w:tabs>
          <w:tab w:val="left" w:pos="360" w:leader="none"/>
          <w:tab w:val="left" w:pos="900" w:leader="none"/>
        </w:tabs>
        <w:rPr>
          <w:rFonts w:hint="eastAsia" w:ascii="仿宋" w:hAnsi="仿宋" w:eastAsia="仿宋" w:cs="仿宋"/>
          <w:b/>
          <w:color w:val="000000"/>
          <w:highlight w:val="none"/>
        </w:rPr>
        <w:outlineLvl w:val="1"/>
      </w:pPr>
      <w:r>
        <w:rPr>
          <w:rFonts w:hint="eastAsia" w:ascii="仿宋" w:hAnsi="仿宋" w:eastAsia="仿宋" w:cs="仿宋"/>
          <w:b/>
          <w:color w:val="000000"/>
          <w:sz w:val="24"/>
          <w:highlight w:val="none"/>
        </w:rPr>
        <w:t xml:space="preserve">一、评标程序</w:t>
      </w:r>
      <w:r>
        <w:rPr>
          <w:rFonts w:hint="eastAsia" w:ascii="仿宋" w:hAnsi="仿宋" w:eastAsia="仿宋" w:cs="仿宋"/>
          <w:b/>
          <w:color w:val="000000"/>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710" w:name="_Toc164229382"/>
      <w:r/>
      <w:bookmarkStart w:id="711" w:name="_Toc305158809"/>
      <w:r/>
      <w:bookmarkStart w:id="712" w:name="_Toc150480779"/>
      <w:r/>
      <w:bookmarkStart w:id="713" w:name="_Toc127161455"/>
      <w:r/>
      <w:bookmarkStart w:id="714" w:name="_Toc150774641"/>
      <w:r/>
      <w:bookmarkStart w:id="715" w:name="_Toc151193711"/>
      <w:r/>
      <w:bookmarkStart w:id="716" w:name="_Toc149720834"/>
      <w:r/>
      <w:bookmarkStart w:id="717" w:name="_Toc151193639"/>
      <w:r/>
      <w:bookmarkStart w:id="718" w:name="_Toc164608810"/>
      <w:r/>
      <w:bookmarkStart w:id="719" w:name="_Toc226965814"/>
      <w:r/>
      <w:bookmarkStart w:id="720" w:name="_Toc195842906"/>
      <w:r/>
      <w:bookmarkStart w:id="721" w:name="_Toc226337237"/>
      <w:r/>
      <w:bookmarkStart w:id="722" w:name="_Toc265228379"/>
      <w:r/>
      <w:bookmarkStart w:id="723" w:name="_Toc305158883"/>
      <w:r/>
      <w:bookmarkStart w:id="724" w:name="_Toc151193783"/>
      <w:r/>
      <w:bookmarkStart w:id="725" w:name="_Toc164351635"/>
      <w:r/>
      <w:bookmarkStart w:id="726" w:name="_Toc151190168"/>
      <w:r/>
      <w:bookmarkStart w:id="727" w:name="_Toc164608655"/>
      <w:r/>
      <w:bookmarkStart w:id="728" w:name="_Toc142311043"/>
      <w:r/>
      <w:bookmarkStart w:id="729" w:name="_Toc264969231"/>
      <w:r/>
      <w:bookmarkStart w:id="730" w:name="_Toc164229236"/>
      <w:r/>
      <w:bookmarkStart w:id="731" w:name="_Toc151193855"/>
      <w:r/>
      <w:bookmarkStart w:id="732" w:name="_Toc226965731"/>
      <w:r/>
      <w:bookmarkStart w:id="733" w:name="_Toc127151742"/>
      <w:r/>
      <w:bookmarkStart w:id="734" w:name="_Toc127151541"/>
      <w:r/>
      <w:bookmarkStart w:id="735" w:name="_Toc150774746"/>
      <w:r/>
      <w:bookmarkStart w:id="736" w:name="_Toc226309785"/>
      <w:r/>
      <w:bookmarkStart w:id="737" w:name="_Toc151193929"/>
      <w:r/>
      <w:bookmarkStart w:id="738" w:name="_Toc150509292"/>
      <w:r/>
      <w:bookmarkStart w:id="739" w:name="_Toc353873941"/>
      <w:r/>
      <w:bookmarkStart w:id="740" w:name="_Toc353825551"/>
      <w:r/>
      <w:bookmarkStart w:id="741" w:name="_Toc353873935"/>
      <w:r/>
      <w:bookmarkStart w:id="742" w:name="_Toc195842920"/>
      <w:r/>
      <w:bookmarkStart w:id="743" w:name="_Toc305158823"/>
      <w:r/>
      <w:bookmarkStart w:id="744" w:name="_Toc226337251"/>
      <w:r/>
      <w:bookmarkStart w:id="745" w:name="_Toc150774760"/>
      <w:r/>
      <w:bookmarkStart w:id="746" w:name="_Toc265228393"/>
      <w:r/>
      <w:bookmarkStart w:id="747" w:name="_Toc264969245"/>
      <w:r/>
      <w:bookmarkStart w:id="748" w:name="_Toc150480793"/>
      <w:r/>
      <w:bookmarkStart w:id="749" w:name="_Toc127151555"/>
      <w:r/>
      <w:bookmarkStart w:id="750" w:name="_Toc305158897"/>
      <w:r/>
      <w:bookmarkStart w:id="751" w:name="_Toc353825545"/>
      <w:r/>
      <w:bookmarkStart w:id="752" w:name="_Toc226965828"/>
      <w:r/>
      <w:bookmarkStart w:id="753" w:name="_Toc142311057"/>
      <w:r/>
      <w:bookmarkStart w:id="754" w:name="_Toc353873665"/>
      <w:r>
        <w:rPr>
          <w:rFonts w:hint="eastAsia" w:ascii="仿宋" w:hAnsi="仿宋" w:eastAsia="仿宋" w:cs="仿宋"/>
          <w:color w:val="000000"/>
          <w:sz w:val="21"/>
          <w:szCs w:val="21"/>
          <w:highlight w:val="none"/>
        </w:rPr>
        <w:t xml:space="preserve">1.投标文件的符合性审查</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55" w:name="_Toc52035616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55"/>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032"/>
        <w:ind w:hanging="357"/>
        <w:jc w:val="center"/>
        <w:spacing w:line="360" w:lineRule="auto"/>
        <w:tabs>
          <w:tab w:val="left" w:pos="900" w:leader="none"/>
          <w:tab w:val="left" w:pos="1080" w:leader="none"/>
          <w:tab w:val="left" w:pos="1589"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20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305"/>
        <w:gridCol w:w="7189"/>
      </w:tblGrid>
      <w:tr>
        <w:trPr>
          <w:trHeight w:val="489"/>
          <w:tblHeader/>
        </w:trPr>
        <w:tc>
          <w:tcPr>
            <w:tcW w:w="353" w:type="dxa"/>
            <w:vAlign w:val="center"/>
            <w:textDirection w:val="lrTb"/>
            <w:noWrap w:val="false"/>
          </w:tcPr>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128" w:type="dxa"/>
            <w:vAlign w:val="center"/>
            <w:textDirection w:val="lrTb"/>
            <w:noWrap w:val="false"/>
          </w:tcPr>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3518" w:type="dxa"/>
            <w:vAlign w:val="center"/>
            <w:textDirection w:val="lrTb"/>
            <w:noWrap w:val="false"/>
          </w:tcPr>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投标函、法定代表人资格证明书、法定代表人授权委托书（如有）和政府采购供应商信用承诺书</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按招标文件要求提供投标函、法定代表人资格证明书、法定代表人授权委托书（如有）和政府采购供应商信用承诺书；格式见《投标文件格式》</w:t>
            </w:r>
            <w:r>
              <w:rPr>
                <w:rFonts w:hint="eastAsia" w:ascii="仿宋" w:hAnsi="仿宋" w:eastAsia="仿宋" w:cs="仿宋"/>
                <w:b/>
                <w:bCs/>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投标完整性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未将一个采购包中的内容拆开投标；（由评委审查，无需供应商提供材料）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投标报价未超过招标文件中规定的项目/采购包预算金额或者项目</w:t>
            </w:r>
            <w:r>
              <w:rPr>
                <w:rFonts w:ascii="仿宋" w:hAnsi="仿宋" w:eastAsia="仿宋"/>
                <w:color w:val="000000"/>
                <w:szCs w:val="21"/>
                <w:highlight w:val="none"/>
              </w:rPr>
              <w:t xml:space="preserve">/</w:t>
            </w:r>
            <w:r>
              <w:rPr>
                <w:rFonts w:hint="eastAsia" w:ascii="仿宋" w:hAnsi="仿宋" w:eastAsia="仿宋"/>
                <w:color w:val="000000"/>
                <w:szCs w:val="21"/>
                <w:highlight w:val="none"/>
                <w:lang w:val="en-US" w:eastAsia="zh-CN"/>
              </w:rPr>
              <w:t xml:space="preserve">优惠率应＞0</w:t>
            </w:r>
            <w:r>
              <w:rPr>
                <w:rFonts w:hint="eastAsia" w:ascii="仿宋" w:hAnsi="仿宋" w:eastAsia="仿宋" w:cs="仿宋"/>
                <w:color w:val="000000"/>
                <w:szCs w:val="21"/>
                <w:highlight w:val="none"/>
              </w:rPr>
              <w:t xml:space="preserve">；（由评委审查，无需供应商提供材料）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报价唯一性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投标文件未出现可选择性或可调整的报价（招标文件另有规定的除外）；提供《开标一览表》《投标分项报价表》，格式见《投标文件格式》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投标文件中承诺的投标有效期满足招标文件中载明的投标有效期的；</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详见响应函）</w:t>
            </w:r>
            <w:r>
              <w:rPr>
                <w:rFonts w:ascii="仿宋" w:hAnsi="仿宋" w:eastAsia="仿宋" w:cs="仿宋"/>
                <w:color w:val="000000"/>
                <w:szCs w:val="21"/>
                <w:highlight w:val="none"/>
                <w:lang w:val="en-US" w:eastAsia="zh-CN"/>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签署、加盖公章</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按照招标文件要求签署、加盖公章的；（由评委审查，无需供应商提供材料）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实质性格式</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Cs w:val="21"/>
                <w:highlight w:val="none"/>
              </w:rPr>
              <w:t xml:space="preserve">还需提供：合同条款偏离表，采购需求偏离表</w:t>
            </w: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★号条款响应</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投标文件满足招标文件第五章《采购需求》中★号条款要求的；</w:t>
            </w:r>
            <w:r>
              <w:rPr>
                <w:rFonts w:hint="eastAsia" w:ascii="仿宋" w:hAnsi="仿宋" w:eastAsia="仿宋" w:cs="仿宋"/>
                <w:b/>
                <w:color w:val="000000"/>
                <w:szCs w:val="21"/>
                <w:highlight w:val="none"/>
              </w:rPr>
              <w:t xml:space="preserve">如有的，根据列出的实质性条款，按照序号逐项提供相关证明材料；</w:t>
            </w:r>
            <w:r>
              <w:rPr>
                <w:rFonts w:hint="eastAsia" w:ascii="仿宋" w:hAnsi="仿宋" w:eastAsia="仿宋" w:cs="仿宋"/>
                <w:color w:val="000000"/>
                <w:szCs w:val="21"/>
                <w:highlight w:val="none"/>
              </w:rPr>
              <w:t xml:space="preserve">如没有，则无需供应商提供材料。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分包承担主体资质（如有）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分包承担主体具备《供应商须知资料表》载明的资质条件且提供了资质证书电子件（如有）；</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分包意向协议</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按招标文件规定签订并提供分包意向协议原件的电子件的；（如有）格式见《投标文件格式》</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报价的修正（如有）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不涉及报价修正，或投标文件报价出现前后不一致时，供应商对修正后的报价予以确认；（如有）（由评委审查，无需供应商提供材料）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报价合理性</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合理，或供应商的报价明显低于其他通过符合性审查供应商的报价，有可能影响产品质量或者不能诚信履约的，能够应评标委员会要求在规定时间内证明其报价合理性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进口产品</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国家有关部门对供应商的投标产品有强制性规定或要求的</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绿色包装要求</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公平竞争</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串通投标</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附加条件</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投标文件未含有采购人不能接受的附加条件的；（由评委审查，无需供应商提供材料）</w:t>
            </w:r>
            <w:r>
              <w:rPr>
                <w:rFonts w:hint="eastAsia" w:ascii="仿宋" w:hAnsi="仿宋" w:eastAsia="仿宋" w:cs="仿宋"/>
                <w:color w:val="000000"/>
                <w:szCs w:val="21"/>
                <w:highlight w:val="none"/>
              </w:rPr>
            </w:r>
            <w:r/>
          </w:p>
        </w:tc>
      </w:tr>
      <w:tr>
        <w:trPr>
          <w:trHeight w:val="685"/>
        </w:trPr>
        <w:tc>
          <w:tcPr>
            <w:tcW w:w="353" w:type="dxa"/>
            <w:vAlign w:val="center"/>
            <w:textDirection w:val="lrTb"/>
            <w:noWrap w:val="false"/>
          </w:tcPr>
          <w:p>
            <w:pPr>
              <w:pStyle w:val="1032"/>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w:t>
            </w:r>
            <w:r>
              <w:rPr>
                <w:rFonts w:hint="eastAsia" w:ascii="仿宋" w:hAnsi="仿宋" w:eastAsia="仿宋" w:cs="仿宋"/>
                <w:color w:val="000000"/>
                <w:szCs w:val="21"/>
                <w:highlight w:val="none"/>
              </w:rPr>
            </w:r>
            <w:r/>
          </w:p>
        </w:tc>
        <w:tc>
          <w:tcPr>
            <w:tcW w:w="112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其他无效情形</w:t>
            </w:r>
            <w:r>
              <w:rPr>
                <w:rFonts w:hint="eastAsia" w:ascii="仿宋" w:hAnsi="仿宋" w:eastAsia="仿宋" w:cs="仿宋"/>
                <w:color w:val="000000"/>
                <w:szCs w:val="21"/>
                <w:highlight w:val="none"/>
              </w:rPr>
            </w:r>
            <w:r/>
          </w:p>
        </w:tc>
        <w:tc>
          <w:tcPr>
            <w:tcW w:w="3518" w:type="dxa"/>
            <w:vAlign w:val="center"/>
            <w:textDirection w:val="lrTb"/>
            <w:noWrap w:val="false"/>
          </w:tcPr>
          <w:p>
            <w:pPr>
              <w:pStyle w:val="1032"/>
              <w:jc w:val="left"/>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Cs w:val="21"/>
                <w:highlight w:val="none"/>
              </w:rPr>
            </w:r>
            <w:r/>
          </w:p>
        </w:tc>
      </w:tr>
    </w:tbl>
    <w:p>
      <w:pPr>
        <w:pStyle w:val="1246"/>
        <w:tabs>
          <w:tab w:val="left" w:pos="567" w:leader="none"/>
        </w:tabs>
        <w:rPr>
          <w:rFonts w:hint="eastAsia" w:ascii="仿宋" w:hAnsi="仿宋" w:eastAsia="仿宋" w:cs="仿宋"/>
          <w:color w:val="000000"/>
          <w:highlight w:val="none"/>
        </w:rPr>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仿宋" w:hAnsi="仿宋" w:eastAsia="仿宋" w:cs="仿宋"/>
          <w:color w:val="000000"/>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309"/>
        <w:ind w:firstLine="422"/>
        <w:spacing w:line="360" w:lineRule="auto"/>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★2.2异常低价投标(响应)审查:</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本项目不适用）</w:t>
      </w:r>
      <w:r>
        <w:rPr>
          <w:rFonts w:ascii="仿宋" w:hAnsi="仿宋" w:eastAsia="仿宋" w:cs="仿宋"/>
          <w:b/>
          <w:bCs/>
          <w:color w:val="000000"/>
          <w:sz w:val="21"/>
          <w:szCs w:val="21"/>
          <w:highlight w:val="none"/>
          <w:lang w:val="en-US" w:eastAsia="zh-CN"/>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2.2.1评审过程中出现下列情形之一的，评标委员会应当启动异常低价投标(响应)审查程序:</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（1）投标（响应）报价低于全部通过符合性审查的投标人投标（响应）报价平均值50%的，即投标（响应）报价&lt;全部通过符合性审查投标人投标（响应）报价平均值×50%；</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（2）投标（响应）报价低于通过符合性审查的次低报价投标人投标（响应）报价50%的，即投标（响应）报价&lt;通过符合性审查的次低报价投标人投标（响应）报价×50%；</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（3）投标（响应）报价低于采购项目最高限价45%的，即投标（响应）报价&lt;采购项目最高限价×45%；</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（4）评标委员会基于专业判断，认为投标人报价过低，有可能影响产品质量或者不能诚信履约的其他情形。</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rPr>
          <w:rFonts w:hint="eastAsia" w:ascii="仿宋" w:hAnsi="仿宋" w:eastAsia="仿宋" w:cs="仿宋"/>
          <w:b/>
          <w:bCs/>
          <w:color w:val="000000"/>
          <w:sz w:val="21"/>
          <w:szCs w:val="21"/>
          <w:highlight w:val="none"/>
        </w:rPr>
      </w:r>
      <w:r/>
    </w:p>
    <w:p>
      <w:pPr>
        <w:pStyle w:val="1309"/>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如涉嫌恶意竞争,扰乱市场秩序的，投标人自行承担由此而产生的任何法律责任。招标人、代理机构对此不承担任何责任。若投标人不能证明其报价合理性，评标委员会将其作为无效投标处理。</w:t>
      </w:r>
      <w:r>
        <w:rPr>
          <w:rFonts w:hint="eastAsia" w:ascii="仿宋" w:hAnsi="仿宋" w:eastAsia="仿宋" w:cs="仿宋"/>
          <w:b/>
          <w:bCs/>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309"/>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对于未预留份额专门面向中小企业采购的采购项目，以及预留份额项目中的非预留部分采购包，对小微企业报价给予20%的扣除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2.5.9采购本国产品的支持政策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2.5.9.2当采购项目或者采购包中含有多种产品，供应商为该采购项目或者采购包提供的符合本国产品标准的产品成本之和占该供应商提供的全部产品成本之和的比例</w:t>
      </w:r>
      <w:r>
        <w:rPr>
          <w:rFonts w:hint="eastAsia" w:ascii="仿宋" w:hAnsi="仿宋" w:eastAsia="仿宋" w:cs="仿宋"/>
          <w:b/>
          <w:bCs/>
          <w:color w:val="000000"/>
          <w:sz w:val="21"/>
          <w:szCs w:val="21"/>
          <w:highlight w:val="none"/>
        </w:rPr>
        <w:t xml:space="preserve">达到80%</w:t>
      </w:r>
      <w:r>
        <w:rPr>
          <w:rFonts w:hint="eastAsia" w:ascii="仿宋" w:hAnsi="仿宋" w:eastAsia="仿宋" w:cs="仿宋"/>
          <w:color w:val="000000"/>
          <w:sz w:val="21"/>
          <w:szCs w:val="21"/>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仿宋" w:hAnsi="仿宋" w:eastAsia="仿宋" w:cs="仿宋"/>
          <w:b/>
          <w:bCs/>
          <w:color w:val="000000"/>
          <w:sz w:val="21"/>
          <w:szCs w:val="21"/>
          <w:highlight w:val="none"/>
        </w:rPr>
        <w:t xml:space="preserve">未达到80%</w:t>
      </w:r>
      <w:r>
        <w:rPr>
          <w:rFonts w:hint="eastAsia" w:ascii="仿宋" w:hAnsi="仿宋" w:eastAsia="仿宋" w:cs="仿宋"/>
          <w:color w:val="000000"/>
          <w:sz w:val="21"/>
          <w:szCs w:val="21"/>
          <w:highlight w:val="none"/>
        </w:rPr>
        <w:t xml:space="preserve">的，将不享受本国产品价格评审优惠。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2.5.9.3供应商需按照招标文件的要求提供《关于符合本国产品标准的声明函》（以下简称《声明函》），如不提供将不享受本国产品价格评审优惠。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39"/>
      <w:r/>
      <w:bookmarkEnd w:id="740"/>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bookmarkStart w:id="756" w:name="_Hlk107696993"/>
      <w:r>
        <w:rPr>
          <w:rFonts w:hint="eastAsia" w:ascii="仿宋" w:hAnsi="仿宋" w:eastAsia="仿宋" w:cs="仿宋"/>
          <w:color w:val="000000"/>
          <w:sz w:val="21"/>
          <w:szCs w:val="21"/>
          <w:highlight w:val="none"/>
        </w:rPr>
        <w:t xml:space="preserve">■随机抽取</w:t>
      </w:r>
      <w:bookmarkEnd w:id="756"/>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57" w:name="_Toc265228384"/>
      <w:r/>
      <w:bookmarkStart w:id="758" w:name="_Toc151193716"/>
      <w:r/>
      <w:bookmarkStart w:id="759" w:name="_Toc264969236"/>
      <w:r/>
      <w:bookmarkStart w:id="760" w:name="_Toc150774646"/>
      <w:r/>
      <w:bookmarkStart w:id="761" w:name="_Toc150480784"/>
      <w:r/>
      <w:bookmarkStart w:id="762" w:name="_Ref467307010"/>
      <w:r/>
      <w:bookmarkStart w:id="763" w:name="_Toc226965819"/>
      <w:r/>
      <w:bookmarkStart w:id="764" w:name="_Toc149720839"/>
      <w:r/>
      <w:bookmarkStart w:id="765" w:name="_Toc164608815"/>
      <w:r/>
      <w:bookmarkStart w:id="766" w:name="_Toc164608660"/>
      <w:r/>
      <w:bookmarkStart w:id="767" w:name="_Toc127151546"/>
      <w:r/>
      <w:bookmarkStart w:id="768" w:name="_Toc150774751"/>
      <w:r/>
      <w:bookmarkStart w:id="769" w:name="_Toc127161460"/>
      <w:r/>
      <w:bookmarkStart w:id="770" w:name="_Toc226309790"/>
      <w:r/>
      <w:bookmarkStart w:id="771" w:name="_Toc226337242"/>
      <w:r/>
      <w:bookmarkStart w:id="772" w:name="_Toc151193860"/>
      <w:r/>
      <w:bookmarkStart w:id="773" w:name="_Toc164229387"/>
      <w:r/>
      <w:bookmarkStart w:id="774" w:name="_Toc127151747"/>
      <w:r/>
      <w:bookmarkStart w:id="775" w:name="_Toc226965736"/>
      <w:r/>
      <w:bookmarkStart w:id="776" w:name="_Toc305158814"/>
      <w:r/>
      <w:bookmarkStart w:id="777" w:name="_Toc520356170"/>
      <w:r/>
      <w:bookmarkStart w:id="778" w:name="_Toc150509297"/>
      <w:r/>
      <w:bookmarkStart w:id="779" w:name="_Toc151193788"/>
      <w:r/>
      <w:bookmarkStart w:id="780" w:name="_Toc151193934"/>
      <w:r/>
      <w:bookmarkStart w:id="781" w:name="_Toc164229241"/>
      <w:r/>
      <w:bookmarkStart w:id="782" w:name="_Toc151190173"/>
      <w:r/>
      <w:bookmarkStart w:id="783" w:name="_Toc305158888"/>
      <w:r/>
      <w:bookmarkStart w:id="784" w:name="_Toc195842911"/>
      <w:r/>
      <w:bookmarkStart w:id="785" w:name="_Toc151193644"/>
      <w:r/>
      <w:bookmarkStart w:id="786" w:name="_Toc164351640"/>
      <w:r/>
      <w:bookmarkStart w:id="787" w:name="_Toc142311048"/>
      <w:r>
        <w:rPr>
          <w:rFonts w:hint="eastAsia" w:ascii="仿宋" w:hAnsi="仿宋" w:eastAsia="仿宋" w:cs="仿宋"/>
          <w:color w:val="000000"/>
          <w:sz w:val="21"/>
          <w:szCs w:val="21"/>
          <w:highlight w:val="none"/>
        </w:rPr>
        <w:t xml:space="preserve">中标候选人名单</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309"/>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br w:type="page" w:clear="all"/>
      </w:r>
      <w:r>
        <w:rPr>
          <w:rFonts w:hint="eastAsia" w:ascii="仿宋" w:hAnsi="仿宋" w:eastAsia="仿宋" w:cs="仿宋"/>
          <w:b/>
          <w:color w:val="000000"/>
          <w:sz w:val="24"/>
          <w:highlight w:val="none"/>
        </w:rPr>
        <w:t xml:space="preserve">二、评标标准</w:t>
      </w:r>
      <w:r>
        <w:rPr>
          <w:rFonts w:hint="eastAsia" w:ascii="仿宋" w:hAnsi="仿宋" w:eastAsia="仿宋" w:cs="仿宋"/>
          <w:b/>
          <w:color w:val="000000"/>
          <w:szCs w:val="21"/>
          <w:highlight w:val="none"/>
        </w:rPr>
      </w:r>
      <w:r/>
    </w:p>
    <w:tbl>
      <w:tblPr>
        <w:tblW w:w="504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981"/>
        <w:gridCol w:w="4998"/>
        <w:gridCol w:w="831"/>
        <w:gridCol w:w="636"/>
        <w:gridCol w:w="765"/>
        <w:gridCol w:w="761"/>
      </w:tblGrid>
      <w:tr>
        <w:trPr>
          <w:trHeight w:val="420"/>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序号</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评分因素</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评分标准和评审材料</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最低分值</w:t>
            </w:r>
            <w:r>
              <w:rPr>
                <w:rFonts w:hint="eastAsia" w:ascii="仿宋" w:hAnsi="仿宋" w:eastAsia="仿宋" w:cs="仿宋"/>
                <w:b w:val="0"/>
                <w:bCs w:val="0"/>
                <w:color w:val="000000"/>
                <w:sz w:val="21"/>
                <w:szCs w:val="21"/>
                <w:highlight w:val="none"/>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最高分值</w:t>
            </w:r>
            <w:r>
              <w:rPr>
                <w:rFonts w:hint="eastAsia" w:ascii="仿宋" w:hAnsi="仿宋" w:eastAsia="仿宋" w:cs="仿宋"/>
                <w:b w:val="0"/>
                <w:bCs w:val="0"/>
                <w:color w:val="000000"/>
                <w:sz w:val="21"/>
                <w:szCs w:val="21"/>
                <w:highlight w:val="none"/>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是否暗标评审</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是否客观分</w:t>
            </w:r>
            <w:r>
              <w:rPr>
                <w:rFonts w:hint="eastAsia" w:ascii="仿宋" w:hAnsi="仿宋" w:eastAsia="仿宋" w:cs="仿宋"/>
                <w:b w:val="0"/>
                <w:bCs w:val="0"/>
                <w:color w:val="000000"/>
                <w:sz w:val="21"/>
                <w:szCs w:val="21"/>
                <w:highlight w:val="none"/>
              </w:rPr>
            </w:r>
            <w:r/>
          </w:p>
        </w:tc>
      </w:tr>
      <w:tr>
        <w:trPr>
          <w:trHeight w:val="420"/>
        </w:trPr>
        <w:tc>
          <w:tcPr>
            <w:tcW w:w="873"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981"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价格分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998" w:type="dxa"/>
            <w:vAlign w:val="center"/>
            <w:textDirection w:val="lrTb"/>
            <w:noWrap w:val="false"/>
          </w:tcPr>
          <w:p>
            <w:pPr>
              <w:pStyle w:val="1032"/>
              <w:ind w:right="0"/>
              <w:jc w:val="left"/>
              <w:keepLines w:val="0"/>
              <w:keepNext w:val="0"/>
              <w:pageBreakBefore w:val="0"/>
              <w:spacing w:line="240" w:lineRule="exact"/>
              <w:shd w:val="clear" w:color="auto" w:fill="auto"/>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采用</w:t>
            </w:r>
            <w:r>
              <w:rPr>
                <w:rFonts w:hint="eastAsia" w:ascii="仿宋" w:hAnsi="仿宋" w:eastAsia="仿宋" w:cs="仿宋"/>
                <w:b w:val="0"/>
                <w:bCs w:val="0"/>
                <w:color w:val="000000"/>
                <w:sz w:val="21"/>
                <w:szCs w:val="21"/>
                <w:highlight w:val="none"/>
                <w:lang w:val="en-US" w:eastAsia="zh-CN"/>
              </w:rPr>
              <w:t xml:space="preserve">优惠最多</w:t>
            </w:r>
            <w:r>
              <w:rPr>
                <w:rFonts w:hint="eastAsia" w:ascii="仿宋" w:hAnsi="仿宋" w:eastAsia="仿宋" w:cs="仿宋"/>
                <w:b w:val="0"/>
                <w:bCs w:val="0"/>
                <w:color w:val="000000"/>
                <w:sz w:val="21"/>
                <w:szCs w:val="21"/>
                <w:highlight w:val="none"/>
              </w:rPr>
              <w:t xml:space="preserve">优先法计算，即满足招标文件要求且</w:t>
            </w:r>
            <w:r>
              <w:rPr>
                <w:rFonts w:hint="eastAsia" w:ascii="仿宋" w:hAnsi="仿宋" w:eastAsia="仿宋" w:cs="仿宋"/>
                <w:b w:val="0"/>
                <w:bCs w:val="0"/>
                <w:color w:val="000000"/>
                <w:sz w:val="21"/>
                <w:szCs w:val="21"/>
                <w:highlight w:val="none"/>
                <w:lang w:val="en-US" w:eastAsia="zh-CN"/>
              </w:rPr>
              <w:t xml:space="preserve">优惠率最高</w:t>
            </w:r>
            <w:r>
              <w:rPr>
                <w:rFonts w:hint="eastAsia" w:ascii="仿宋" w:hAnsi="仿宋" w:eastAsia="仿宋" w:cs="仿宋"/>
                <w:b w:val="0"/>
                <w:bCs w:val="0"/>
                <w:color w:val="000000"/>
                <w:sz w:val="21"/>
                <w:szCs w:val="21"/>
                <w:highlight w:val="none"/>
              </w:rPr>
              <w:t xml:space="preserve">的投标报价为</w:t>
            </w:r>
            <w:r>
              <w:rPr>
                <w:rFonts w:hint="eastAsia" w:ascii="仿宋" w:hAnsi="仿宋" w:eastAsia="仿宋" w:cs="仿宋"/>
                <w:b w:val="0"/>
                <w:bCs w:val="0"/>
                <w:color w:val="000000"/>
                <w:sz w:val="21"/>
                <w:szCs w:val="21"/>
                <w:highlight w:val="none"/>
                <w:lang w:val="en-US" w:eastAsia="zh-CN"/>
              </w:rPr>
              <w:t xml:space="preserve">评标</w:t>
            </w:r>
            <w:r>
              <w:rPr>
                <w:rFonts w:hint="eastAsia" w:ascii="仿宋" w:hAnsi="仿宋" w:eastAsia="仿宋" w:cs="仿宋"/>
                <w:b w:val="0"/>
                <w:bCs w:val="0"/>
                <w:color w:val="000000"/>
                <w:sz w:val="21"/>
                <w:szCs w:val="21"/>
                <w:highlight w:val="none"/>
              </w:rPr>
              <w:t xml:space="preserve">基准</w:t>
            </w:r>
            <w:r>
              <w:rPr>
                <w:rFonts w:hint="eastAsia" w:ascii="仿宋" w:hAnsi="仿宋" w:eastAsia="仿宋" w:cs="仿宋"/>
                <w:b w:val="0"/>
                <w:bCs w:val="0"/>
                <w:color w:val="000000"/>
                <w:sz w:val="21"/>
                <w:szCs w:val="21"/>
                <w:highlight w:val="none"/>
                <w:lang w:val="en-US" w:eastAsia="zh-CN"/>
              </w:rPr>
              <w:t xml:space="preserve">优惠率</w:t>
            </w:r>
            <w:r>
              <w:rPr>
                <w:rFonts w:hint="eastAsia" w:ascii="仿宋" w:hAnsi="仿宋" w:eastAsia="仿宋" w:cs="仿宋"/>
                <w:b w:val="0"/>
                <w:bCs w:val="0"/>
                <w:color w:val="000000"/>
                <w:sz w:val="21"/>
                <w:szCs w:val="21"/>
                <w:highlight w:val="none"/>
              </w:rPr>
              <w:t xml:space="preserve">，其价格分为满分。其他供应商的价格分统一按照下列公式计算（小数点保留两位）：</w:t>
            </w:r>
            <w:r>
              <w:rPr>
                <w:rFonts w:hint="eastAsia" w:ascii="仿宋" w:hAnsi="仿宋" w:eastAsia="仿宋" w:cs="仿宋"/>
                <w:b w:val="0"/>
                <w:bCs w:val="0"/>
                <w:color w:val="000000"/>
                <w:sz w:val="21"/>
                <w:szCs w:val="21"/>
                <w:highlight w:val="none"/>
              </w:rPr>
            </w:r>
            <w:r/>
          </w:p>
          <w:p>
            <w:pPr>
              <w:pStyle w:val="1032"/>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投标报价得分=(投标</w:t>
            </w:r>
            <w:r>
              <w:rPr>
                <w:rFonts w:hint="eastAsia" w:ascii="仿宋" w:hAnsi="仿宋" w:eastAsia="仿宋" w:cs="仿宋"/>
                <w:b w:val="0"/>
                <w:bCs w:val="0"/>
                <w:color w:val="000000"/>
                <w:sz w:val="21"/>
                <w:szCs w:val="21"/>
                <w:highlight w:val="none"/>
                <w:lang w:val="en-US" w:eastAsia="zh-CN"/>
              </w:rPr>
              <w:t xml:space="preserve">优惠率</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评标</w:t>
            </w:r>
            <w:r>
              <w:rPr>
                <w:rFonts w:hint="eastAsia" w:ascii="仿宋" w:hAnsi="仿宋" w:eastAsia="仿宋" w:cs="仿宋"/>
                <w:b w:val="0"/>
                <w:bCs w:val="0"/>
                <w:color w:val="000000"/>
                <w:sz w:val="21"/>
                <w:szCs w:val="21"/>
                <w:highlight w:val="none"/>
              </w:rPr>
              <w:t xml:space="preserve">基准</w:t>
            </w:r>
            <w:r>
              <w:rPr>
                <w:rFonts w:hint="eastAsia" w:ascii="仿宋" w:hAnsi="仿宋" w:eastAsia="仿宋" w:cs="仿宋"/>
                <w:b w:val="0"/>
                <w:bCs w:val="0"/>
                <w:color w:val="000000"/>
                <w:sz w:val="21"/>
                <w:szCs w:val="21"/>
                <w:highlight w:val="none"/>
                <w:lang w:val="en-US" w:eastAsia="zh-CN"/>
              </w:rPr>
              <w:t xml:space="preserve">优惠率</w:t>
            </w:r>
            <w:r>
              <w:rPr>
                <w:rFonts w:hint="eastAsia" w:ascii="仿宋" w:hAnsi="仿宋" w:eastAsia="仿宋" w:cs="仿宋"/>
                <w:b w:val="0"/>
                <w:bCs w:val="0"/>
                <w:color w:val="000000"/>
                <w:sz w:val="21"/>
                <w:szCs w:val="21"/>
                <w:highlight w:val="none"/>
              </w:rPr>
              <w:t xml:space="preserve">)×</w:t>
            </w: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rPr>
              <w:t xml:space="preserve">×100。</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31"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rPr>
            </w:r>
            <w:r/>
          </w:p>
        </w:tc>
        <w:tc>
          <w:tcPr>
            <w:tcW w:w="636"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rPr>
            </w:r>
            <w:r/>
          </w:p>
        </w:tc>
        <w:tc>
          <w:tcPr>
            <w:tcW w:w="765"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761" w:type="dxa"/>
            <w:vAlign w:val="center"/>
            <w:textDirection w:val="lrTb"/>
            <w:noWrap w:val="false"/>
          </w:tcPr>
          <w:p>
            <w:pPr>
              <w:pStyle w:val="1032"/>
              <w:jc w:val="center"/>
              <w:rPr>
                <w:rFonts w:hint="eastAsia" w:ascii="仿宋" w:hAnsi="仿宋" w:eastAsia="仿宋" w:cs="仿宋"/>
                <w:b w:val="0"/>
                <w:bCs w:val="0"/>
                <w:color w:val="000000"/>
                <w:sz w:val="21"/>
                <w:szCs w:val="21"/>
                <w:highlight w:val="none"/>
              </w:rPr>
            </w:pPr>
            <w:r>
              <w:rPr>
                <w:rStyle w:val="1489"/>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5979" w:type="dxa"/>
            <w:vAlign w:val="center"/>
            <w:textDirection w:val="lrTb"/>
            <w:noWrap w:val="false"/>
          </w:tcPr>
          <w:p>
            <w:pPr>
              <w:pStyle w:val="1032"/>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技术分（主观分）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55</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2.1</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整体服务方案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针对</w:t>
            </w:r>
            <w:r>
              <w:rPr>
                <w:rFonts w:hint="eastAsia" w:ascii="仿宋" w:hAnsi="仿宋" w:eastAsia="仿宋" w:cs="仿宋"/>
                <w:color w:val="000000"/>
                <w:szCs w:val="21"/>
                <w:highlight w:val="none"/>
                <w:lang w:val="en-US" w:eastAsia="zh-CN"/>
              </w:rPr>
              <w:t xml:space="preserve">社区卫生服务中心用餐</w:t>
            </w:r>
            <w:r>
              <w:rPr>
                <w:rFonts w:hint="eastAsia" w:ascii="仿宋" w:hAnsi="仿宋" w:eastAsia="仿宋" w:cs="仿宋"/>
                <w:color w:val="000000"/>
                <w:szCs w:val="21"/>
                <w:highlight w:val="none"/>
                <w:lang w:val="zh-CN"/>
              </w:rPr>
              <w:t xml:space="preserve">特点，</w:t>
            </w:r>
            <w:r>
              <w:rPr>
                <w:rFonts w:hint="eastAsia" w:ascii="仿宋" w:hAnsi="仿宋" w:eastAsia="仿宋" w:cs="仿宋"/>
                <w:color w:val="000000"/>
                <w:szCs w:val="21"/>
                <w:highlight w:val="none"/>
                <w:lang w:val="zh-CN" w:eastAsia="zh-CN"/>
              </w:rPr>
              <w:t xml:space="preserve">供应商</w:t>
            </w:r>
            <w:r>
              <w:rPr>
                <w:rFonts w:hint="eastAsia" w:ascii="仿宋" w:hAnsi="仿宋" w:eastAsia="仿宋" w:cs="仿宋"/>
                <w:color w:val="000000"/>
                <w:szCs w:val="21"/>
                <w:highlight w:val="none"/>
                <w:lang w:val="zh-CN"/>
              </w:rPr>
              <w:t xml:space="preserve">提供包含但不限于：</w:t>
            </w:r>
            <w:r>
              <w:rPr>
                <w:rFonts w:ascii="仿宋" w:hAnsi="仿宋" w:eastAsia="仿宋" w:cs="仿宋"/>
                <w:color w:val="000000"/>
                <w:szCs w:val="21"/>
                <w:highlight w:val="none"/>
                <w:lang w:val="zh-CN"/>
              </w:rPr>
              <w:t xml:space="preserve">①</w:t>
            </w:r>
            <w:r>
              <w:rPr>
                <w:rFonts w:hint="eastAsia" w:ascii="仿宋" w:hAnsi="仿宋" w:eastAsia="仿宋" w:cs="仿宋"/>
                <w:color w:val="000000"/>
                <w:szCs w:val="21"/>
                <w:highlight w:val="none"/>
                <w:lang w:val="zh-CN"/>
              </w:rPr>
              <w:t xml:space="preserve">经营计划；</w:t>
            </w:r>
            <w:r>
              <w:rPr>
                <w:rFonts w:ascii="仿宋" w:hAnsi="仿宋" w:eastAsia="仿宋" w:cs="仿宋"/>
                <w:color w:val="000000"/>
                <w:szCs w:val="21"/>
                <w:highlight w:val="none"/>
                <w:lang w:val="zh-CN"/>
              </w:rPr>
              <w:t xml:space="preserve">②</w:t>
            </w:r>
            <w:r>
              <w:rPr>
                <w:rFonts w:hint="eastAsia" w:ascii="仿宋" w:hAnsi="仿宋" w:eastAsia="仿宋" w:cs="仿宋"/>
                <w:color w:val="000000"/>
                <w:szCs w:val="21"/>
                <w:highlight w:val="none"/>
                <w:lang w:val="en-US" w:eastAsia="zh-CN"/>
              </w:rPr>
              <w:t xml:space="preserve">人员专业技能及</w:t>
            </w:r>
            <w:r>
              <w:rPr>
                <w:rFonts w:hint="eastAsia" w:ascii="仿宋" w:hAnsi="仿宋" w:eastAsia="仿宋" w:cs="仿宋"/>
                <w:color w:val="000000"/>
                <w:szCs w:val="21"/>
                <w:highlight w:val="none"/>
                <w:lang w:val="zh-CN"/>
              </w:rPr>
              <w:t xml:space="preserve">岗位职责；③管理制度；④工作流程</w:t>
            </w:r>
            <w:r>
              <w:rPr>
                <w:rFonts w:hint="eastAsia" w:ascii="仿宋" w:hAnsi="仿宋" w:eastAsia="仿宋" w:cs="仿宋"/>
                <w:color w:val="000000"/>
                <w:szCs w:val="21"/>
                <w:highlight w:val="none"/>
                <w:lang w:val="zh-CN" w:eastAsia="zh-CN"/>
              </w:rPr>
              <w:t xml:space="preserve">；⑤</w:t>
            </w:r>
            <w:r>
              <w:rPr>
                <w:rFonts w:hint="eastAsia" w:ascii="仿宋" w:hAnsi="仿宋" w:eastAsia="仿宋" w:cs="仿宋"/>
                <w:color w:val="000000"/>
                <w:szCs w:val="21"/>
                <w:highlight w:val="none"/>
                <w:lang w:val="en-US" w:eastAsia="zh-CN"/>
              </w:rPr>
              <w:t xml:space="preserve">人员培训；⑥台账档案；⑦设施设备维保；⑧沟通协调、整改</w:t>
            </w:r>
            <w:r>
              <w:rPr>
                <w:rFonts w:hint="eastAsia" w:ascii="仿宋" w:hAnsi="仿宋" w:eastAsia="仿宋" w:cs="仿宋"/>
                <w:color w:val="000000"/>
                <w:szCs w:val="21"/>
                <w:highlight w:val="none"/>
                <w:lang w:val="zh-CN"/>
              </w:rPr>
              <w:t xml:space="preserve">等整体服务</w:t>
            </w:r>
            <w:r>
              <w:rPr>
                <w:rFonts w:hint="eastAsia" w:ascii="仿宋" w:hAnsi="仿宋" w:eastAsia="仿宋" w:cs="仿宋"/>
                <w:color w:val="000000"/>
                <w:szCs w:val="21"/>
                <w:highlight w:val="none"/>
                <w:lang w:val="en-US" w:eastAsia="zh-CN"/>
              </w:rPr>
              <w:t xml:space="preserve">内容</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23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rPr>
            </w:pPr>
            <w:r>
              <w:rPr>
                <w:rFonts w:hint="eastAsia" w:ascii="仿宋" w:hAnsi="仿宋" w:eastAsia="仿宋" w:cs="仿宋"/>
                <w:color w:val="000000"/>
                <w:szCs w:val="21"/>
                <w:highlight w:val="none"/>
                <w:lang w:val="zh-CN" w:eastAsia="zh-CN"/>
              </w:rPr>
              <w:t xml:space="preserve">质量</w:t>
            </w:r>
            <w:r>
              <w:rPr>
                <w:rFonts w:hint="eastAsia" w:ascii="仿宋" w:hAnsi="仿宋" w:eastAsia="仿宋" w:cs="仿宋"/>
                <w:color w:val="000000"/>
                <w:szCs w:val="21"/>
                <w:highlight w:val="none"/>
                <w:lang w:val="en-US" w:eastAsia="zh-CN"/>
              </w:rPr>
              <w:t xml:space="preserve">及安全保障方案</w:t>
            </w:r>
            <w:r>
              <w:rPr>
                <w:rFonts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2537" w:type="dxa"/>
            <w:vAlign w:val="center"/>
            <w:textDirection w:val="lrTb"/>
            <w:noWrap w:val="false"/>
          </w:tcPr>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lang w:val="zh-CN" w:eastAsia="zh-CN"/>
              </w:rPr>
            </w:pPr>
            <w:r>
              <w:rPr>
                <w:rFonts w:hint="eastAsia" w:ascii="仿宋" w:hAnsi="仿宋" w:eastAsia="仿宋" w:cs="仿宋"/>
                <w:b w:val="0"/>
                <w:bCs w:val="0"/>
                <w:color w:val="000000"/>
                <w:sz w:val="21"/>
                <w:szCs w:val="21"/>
                <w:highlight w:val="none"/>
                <w:lang w:val="zh-CN" w:eastAsia="zh-CN"/>
              </w:rPr>
              <w:t xml:space="preserve">根据供应商提供的</w:t>
            </w:r>
            <w:r>
              <w:rPr>
                <w:rFonts w:ascii="仿宋" w:hAnsi="仿宋" w:eastAsia="仿宋" w:cs="仿宋"/>
                <w:b w:val="0"/>
                <w:bCs w:val="0"/>
                <w:color w:val="000000"/>
                <w:sz w:val="21"/>
                <w:szCs w:val="21"/>
                <w:highlight w:val="none"/>
                <w:lang w:val="zh-CN" w:eastAsia="zh-CN"/>
              </w:rPr>
              <w:t xml:space="preserve">①</w:t>
            </w:r>
            <w:r>
              <w:rPr>
                <w:rFonts w:hint="eastAsia" w:ascii="仿宋" w:hAnsi="仿宋" w:eastAsia="仿宋" w:cs="仿宋"/>
                <w:b w:val="0"/>
                <w:bCs w:val="0"/>
                <w:color w:val="000000"/>
                <w:sz w:val="21"/>
                <w:szCs w:val="21"/>
                <w:highlight w:val="none"/>
                <w:lang w:val="en-US" w:eastAsia="zh-CN"/>
              </w:rPr>
              <w:t xml:space="preserve">服务质量（包含但不限于人员的</w:t>
            </w:r>
            <w:r>
              <w:rPr>
                <w:rFonts w:hint="eastAsia" w:ascii="仿宋" w:hAnsi="仿宋" w:eastAsia="仿宋" w:cs="仿宋"/>
                <w:b w:val="0"/>
                <w:bCs w:val="0"/>
                <w:color w:val="000000"/>
                <w:sz w:val="21"/>
                <w:szCs w:val="21"/>
                <w:highlight w:val="none"/>
                <w:lang w:val="zh-CN" w:eastAsia="zh-CN"/>
              </w:rPr>
              <w:t xml:space="preserve">仪容仪表、服务</w:t>
            </w:r>
            <w:r>
              <w:rPr>
                <w:rFonts w:hint="eastAsia" w:ascii="仿宋" w:hAnsi="仿宋" w:eastAsia="仿宋" w:cs="仿宋"/>
                <w:b w:val="0"/>
                <w:bCs w:val="0"/>
                <w:color w:val="000000"/>
                <w:sz w:val="21"/>
                <w:szCs w:val="21"/>
                <w:highlight w:val="none"/>
                <w:lang w:val="en-US" w:eastAsia="zh-CN"/>
              </w:rPr>
              <w:t xml:space="preserve">态度、</w:t>
            </w:r>
            <w:r>
              <w:rPr>
                <w:rFonts w:hint="eastAsia" w:ascii="仿宋" w:hAnsi="仿宋" w:eastAsia="仿宋" w:cs="仿宋"/>
                <w:b w:val="0"/>
                <w:bCs w:val="0"/>
                <w:color w:val="000000"/>
                <w:sz w:val="21"/>
                <w:szCs w:val="21"/>
                <w:highlight w:val="none"/>
                <w:lang w:val="zh-CN" w:eastAsia="zh-CN"/>
              </w:rPr>
              <w:t xml:space="preserve">语言文明、服务技能、工作效率、</w:t>
            </w:r>
            <w:r>
              <w:rPr>
                <w:rFonts w:hint="eastAsia" w:ascii="仿宋" w:hAnsi="仿宋" w:eastAsia="仿宋" w:cs="仿宋"/>
                <w:b w:val="0"/>
                <w:bCs w:val="0"/>
                <w:color w:val="000000"/>
                <w:sz w:val="21"/>
                <w:szCs w:val="21"/>
                <w:highlight w:val="none"/>
                <w:lang w:val="en-US" w:eastAsia="zh-CN"/>
              </w:rPr>
              <w:t xml:space="preserve">供餐时间、沟通、协调等</w:t>
            </w:r>
            <w:r>
              <w:rPr>
                <w:rFonts w:hint="eastAsia" w:ascii="仿宋" w:hAnsi="仿宋" w:eastAsia="仿宋" w:cs="仿宋"/>
                <w:b w:val="0"/>
                <w:bCs w:val="0"/>
                <w:color w:val="000000"/>
                <w:sz w:val="21"/>
                <w:szCs w:val="21"/>
                <w:highlight w:val="none"/>
                <w:lang w:val="zh-CN" w:eastAsia="zh-CN"/>
              </w:rPr>
              <w:t xml:space="preserve">）；</w:t>
            </w:r>
            <w:r>
              <w:rPr>
                <w:rFonts w:ascii="仿宋" w:hAnsi="仿宋" w:eastAsia="仿宋" w:cs="仿宋"/>
                <w:b w:val="0"/>
                <w:bCs w:val="0"/>
                <w:color w:val="000000"/>
                <w:sz w:val="21"/>
                <w:szCs w:val="21"/>
                <w:highlight w:val="none"/>
                <w:lang w:val="zh-CN" w:eastAsia="zh-CN"/>
              </w:rPr>
              <w:t xml:space="preserve">②</w:t>
            </w:r>
            <w:r>
              <w:rPr>
                <w:rFonts w:hint="eastAsia" w:ascii="仿宋" w:hAnsi="仿宋" w:eastAsia="仿宋" w:cs="仿宋"/>
                <w:b w:val="0"/>
                <w:bCs w:val="0"/>
                <w:color w:val="000000"/>
                <w:sz w:val="21"/>
                <w:szCs w:val="21"/>
                <w:highlight w:val="none"/>
                <w:lang w:val="en-US" w:eastAsia="zh-CN"/>
              </w:rPr>
              <w:t xml:space="preserve">食品质量（包括但不限于</w:t>
            </w:r>
            <w:r>
              <w:rPr>
                <w:rFonts w:hint="eastAsia" w:ascii="仿宋" w:hAnsi="仿宋" w:eastAsia="仿宋" w:cs="仿宋"/>
                <w:b w:val="0"/>
                <w:bCs w:val="0"/>
                <w:color w:val="000000"/>
                <w:sz w:val="21"/>
                <w:szCs w:val="21"/>
                <w:highlight w:val="none"/>
                <w:lang w:val="zh-CN" w:eastAsia="zh-CN"/>
              </w:rPr>
              <w:t xml:space="preserve">菜品品种、食材质量、食品保存管理</w:t>
            </w:r>
            <w:r>
              <w:rPr>
                <w:rFonts w:hint="eastAsia" w:ascii="仿宋" w:hAnsi="仿宋" w:eastAsia="仿宋" w:cs="仿宋"/>
                <w:b w:val="0"/>
                <w:bCs w:val="0"/>
                <w:color w:val="000000"/>
                <w:sz w:val="21"/>
                <w:szCs w:val="21"/>
                <w:highlight w:val="none"/>
                <w:lang w:val="en-US" w:eastAsia="zh-CN"/>
              </w:rPr>
              <w:t xml:space="preserve">等）；</w:t>
            </w:r>
            <w:r>
              <w:rPr>
                <w:rFonts w:ascii="仿宋" w:hAnsi="仿宋" w:eastAsia="仿宋" w:cs="仿宋"/>
                <w:b w:val="0"/>
                <w:bCs w:val="0"/>
                <w:color w:val="000000"/>
                <w:sz w:val="21"/>
                <w:szCs w:val="21"/>
                <w:highlight w:val="none"/>
                <w:lang w:val="en-US" w:eastAsia="zh-CN"/>
              </w:rPr>
              <w:t xml:space="preserve">③</w:t>
            </w:r>
            <w:r>
              <w:rPr>
                <w:rFonts w:hint="eastAsia" w:ascii="仿宋" w:hAnsi="仿宋" w:eastAsia="仿宋" w:cs="仿宋"/>
                <w:b w:val="0"/>
                <w:bCs w:val="0"/>
                <w:color w:val="000000"/>
                <w:sz w:val="21"/>
                <w:szCs w:val="21"/>
                <w:highlight w:val="none"/>
                <w:lang w:val="en-US" w:eastAsia="zh-CN"/>
              </w:rPr>
              <w:t xml:space="preserve">食品留样等质量保障及④安全保障（包括但不限于烹饪操作、工作服务区域、消防、人员安全等）方案</w:t>
            </w:r>
            <w:r>
              <w:rPr>
                <w:rFonts w:hint="eastAsia" w:ascii="仿宋" w:hAnsi="仿宋" w:eastAsia="仿宋" w:cs="仿宋"/>
                <w:color w:val="000000"/>
                <w:szCs w:val="21"/>
                <w:highlight w:val="none"/>
                <w:lang w:val="en-US" w:eastAsia="zh-CN"/>
              </w:rPr>
              <w:t xml:space="preserve">⑤配合卫生、安全等合规性检查；⑥其他与本项目相关的</w:t>
            </w:r>
            <w:r>
              <w:rPr>
                <w:rFonts w:hint="eastAsia" w:ascii="仿宋" w:hAnsi="仿宋" w:eastAsia="仿宋" w:cs="仿宋"/>
                <w:color w:val="000000"/>
                <w:szCs w:val="21"/>
                <w:highlight w:val="none"/>
                <w:lang w:val="zh-CN" w:eastAsia="zh-CN"/>
              </w:rPr>
              <w:t xml:space="preserve">质量</w:t>
            </w:r>
            <w:r>
              <w:rPr>
                <w:rFonts w:hint="eastAsia" w:ascii="仿宋" w:hAnsi="仿宋" w:eastAsia="仿宋" w:cs="仿宋"/>
                <w:color w:val="000000"/>
                <w:szCs w:val="21"/>
                <w:highlight w:val="none"/>
                <w:lang w:val="en-US" w:eastAsia="zh-CN"/>
              </w:rPr>
              <w:t xml:space="preserve">及安全保障方案</w:t>
            </w:r>
            <w:r>
              <w:rPr>
                <w:rFonts w:hint="eastAsia" w:ascii="仿宋" w:hAnsi="仿宋" w:eastAsia="仿宋" w:cs="仿宋"/>
                <w:b w:val="0"/>
                <w:bCs w:val="0"/>
                <w:color w:val="000000"/>
                <w:sz w:val="21"/>
                <w:szCs w:val="21"/>
                <w:highlight w:val="none"/>
                <w:lang w:val="en-US" w:eastAsia="zh-CN"/>
              </w:rPr>
              <w:t xml:space="preserve">，由评标委员会</w:t>
            </w:r>
            <w:r>
              <w:rPr>
                <w:rFonts w:hint="eastAsia" w:ascii="仿宋" w:hAnsi="仿宋" w:eastAsia="仿宋" w:cs="仿宋"/>
                <w:b w:val="0"/>
                <w:bCs w:val="0"/>
                <w:color w:val="000000"/>
                <w:sz w:val="21"/>
                <w:szCs w:val="21"/>
                <w:highlight w:val="none"/>
                <w:lang w:val="zh-CN" w:eastAsia="zh-CN"/>
              </w:rPr>
              <w:t xml:space="preserve">进行综合</w:t>
            </w:r>
            <w:r>
              <w:rPr>
                <w:rFonts w:hint="eastAsia" w:ascii="仿宋" w:hAnsi="仿宋" w:eastAsia="仿宋" w:cs="仿宋"/>
                <w:b w:val="0"/>
                <w:bCs w:val="0"/>
                <w:color w:val="000000"/>
                <w:sz w:val="21"/>
                <w:szCs w:val="21"/>
                <w:highlight w:val="none"/>
                <w:lang w:val="en-US" w:eastAsia="zh-CN"/>
              </w:rPr>
              <w:t xml:space="preserve">评审</w:t>
            </w:r>
            <w:r>
              <w:rPr>
                <w:rFonts w:hint="eastAsia" w:ascii="仿宋" w:hAnsi="仿宋" w:eastAsia="仿宋" w:cs="仿宋"/>
                <w:b w:val="0"/>
                <w:bCs w:val="0"/>
                <w:color w:val="000000"/>
                <w:sz w:val="21"/>
                <w:szCs w:val="21"/>
                <w:highlight w:val="none"/>
                <w:lang w:val="zh-CN" w:eastAsia="zh-CN"/>
              </w:rPr>
              <w:t xml:space="preserve">：</w:t>
            </w:r>
            <w:r>
              <w:rPr>
                <w:rFonts w:hint="eastAsia" w:ascii="仿宋" w:hAnsi="仿宋" w:eastAsia="仿宋" w:cs="仿宋"/>
                <w:b w:val="0"/>
                <w:bCs w:val="0"/>
                <w:color w:val="000000"/>
                <w:sz w:val="21"/>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2.3</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卫生保障方案</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针对本项目实际需求，供应商提供</w:t>
            </w:r>
            <w:r>
              <w:rPr>
                <w:rFonts w:ascii="仿宋" w:hAnsi="仿宋" w:eastAsia="仿宋" w:cs="仿宋"/>
                <w:color w:val="000000"/>
                <w:szCs w:val="21"/>
                <w:highlight w:val="none"/>
                <w:lang w:val="en-US" w:eastAsia="zh-CN"/>
              </w:rPr>
              <w:t xml:space="preserve">①</w:t>
            </w:r>
            <w:r>
              <w:rPr>
                <w:rFonts w:hint="eastAsia" w:ascii="仿宋" w:hAnsi="仿宋" w:eastAsia="仿宋" w:cs="仿宋"/>
                <w:color w:val="000000"/>
                <w:szCs w:val="21"/>
                <w:highlight w:val="none"/>
                <w:lang w:val="zh-CN" w:eastAsia="zh-CN"/>
              </w:rPr>
              <w:t xml:space="preserve">环境卫生（</w:t>
            </w:r>
            <w:r>
              <w:rPr>
                <w:rFonts w:hint="eastAsia" w:ascii="仿宋" w:hAnsi="仿宋" w:eastAsia="仿宋" w:cs="仿宋"/>
                <w:color w:val="000000"/>
                <w:szCs w:val="21"/>
                <w:highlight w:val="none"/>
                <w:lang w:val="en-US" w:eastAsia="zh-CN"/>
              </w:rPr>
              <w:t xml:space="preserve">包含但不限于</w:t>
            </w:r>
            <w:r>
              <w:rPr>
                <w:rFonts w:hint="eastAsia" w:ascii="仿宋" w:hAnsi="仿宋" w:eastAsia="仿宋" w:cs="仿宋"/>
                <w:color w:val="000000"/>
                <w:szCs w:val="21"/>
                <w:highlight w:val="none"/>
                <w:lang w:val="zh-CN" w:eastAsia="zh-CN"/>
              </w:rPr>
              <w:t xml:space="preserve">食堂餐厅、厨房</w:t>
            </w:r>
            <w:r>
              <w:rPr>
                <w:rFonts w:hint="eastAsia" w:ascii="仿宋" w:hAnsi="仿宋" w:eastAsia="仿宋" w:cs="仿宋"/>
                <w:color w:val="000000"/>
                <w:szCs w:val="21"/>
                <w:highlight w:val="none"/>
                <w:lang w:val="en-US" w:eastAsia="zh-CN"/>
              </w:rPr>
              <w:t xml:space="preserve">、库房，餐厨废弃物卫生管理等）；</w:t>
            </w:r>
            <w:r>
              <w:rPr>
                <w:rFonts w:ascii="仿宋" w:hAnsi="仿宋" w:eastAsia="仿宋" w:cs="仿宋"/>
                <w:color w:val="000000"/>
                <w:szCs w:val="21"/>
                <w:highlight w:val="none"/>
                <w:lang w:val="en-US" w:eastAsia="zh-CN"/>
              </w:rPr>
              <w:t xml:space="preserve">②</w:t>
            </w:r>
            <w:r>
              <w:rPr>
                <w:rFonts w:hint="eastAsia" w:ascii="仿宋" w:hAnsi="仿宋" w:eastAsia="仿宋" w:cs="仿宋"/>
                <w:color w:val="000000"/>
                <w:szCs w:val="21"/>
                <w:highlight w:val="none"/>
                <w:lang w:val="en-US" w:eastAsia="zh-CN"/>
              </w:rPr>
              <w:t xml:space="preserve">厨具用具卫生（包含但不限于餐桌椅、餐具、厨具、相关设备等）；</w:t>
            </w:r>
            <w:r>
              <w:rPr>
                <w:rFonts w:ascii="仿宋" w:hAnsi="仿宋" w:eastAsia="仿宋" w:cs="仿宋"/>
                <w:color w:val="000000"/>
                <w:szCs w:val="21"/>
                <w:highlight w:val="none"/>
                <w:lang w:val="en-US" w:eastAsia="zh-CN"/>
              </w:rPr>
              <w:t xml:space="preserve">③</w:t>
            </w:r>
            <w:r>
              <w:rPr>
                <w:rFonts w:hint="eastAsia" w:ascii="仿宋" w:hAnsi="仿宋" w:eastAsia="仿宋" w:cs="仿宋"/>
                <w:color w:val="000000"/>
                <w:szCs w:val="21"/>
                <w:highlight w:val="none"/>
                <w:lang w:val="en-US" w:eastAsia="zh-CN"/>
              </w:rPr>
              <w:t xml:space="preserve">食材、菜品制作卫生；④员工身体健康及卫生⑤其他与本项目相关的卫生保障方案，由评标委员会</w:t>
            </w:r>
            <w:r>
              <w:rPr>
                <w:rFonts w:hint="eastAsia" w:ascii="仿宋" w:hAnsi="仿宋" w:eastAsia="仿宋" w:cs="仿宋"/>
                <w:color w:val="000000"/>
                <w:szCs w:val="21"/>
                <w:highlight w:val="none"/>
                <w:lang w:val="zh-CN" w:eastAsia="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eastAsia="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eastAsia="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zh-CN" w:eastAsia="zh-CN"/>
              </w:rPr>
              <w:t xml:space="preserve">未提供不得分。</w:t>
            </w:r>
            <w:r>
              <w:rPr>
                <w:rFonts w:ascii="仿宋" w:hAnsi="仿宋" w:eastAsia="仿宋" w:cs="仿宋"/>
                <w:color w:val="000000"/>
                <w:szCs w:val="21"/>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供餐方案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根据</w:t>
            </w:r>
            <w:r>
              <w:rPr>
                <w:rFonts w:hint="eastAsia" w:ascii="仿宋" w:hAnsi="仿宋" w:eastAsia="仿宋" w:cs="仿宋"/>
                <w:color w:val="000000"/>
                <w:szCs w:val="21"/>
                <w:highlight w:val="none"/>
                <w:lang w:val="en-US" w:eastAsia="zh-CN"/>
              </w:rPr>
              <w:t xml:space="preserve">采购</w:t>
            </w:r>
            <w:r>
              <w:rPr>
                <w:rFonts w:hint="eastAsia" w:ascii="仿宋" w:hAnsi="仿宋" w:eastAsia="仿宋" w:cs="仿宋"/>
                <w:color w:val="000000"/>
                <w:szCs w:val="21"/>
                <w:highlight w:val="none"/>
                <w:lang w:val="zh-CN"/>
              </w:rPr>
              <w:t xml:space="preserve">文件</w:t>
            </w:r>
            <w:r>
              <w:rPr>
                <w:rFonts w:hint="eastAsia" w:ascii="仿宋" w:hAnsi="仿宋" w:eastAsia="仿宋" w:cs="仿宋"/>
                <w:color w:val="000000"/>
                <w:szCs w:val="21"/>
                <w:highlight w:val="none"/>
                <w:lang w:val="en-US" w:eastAsia="zh-CN"/>
              </w:rPr>
              <w:t xml:space="preserve">确定</w:t>
            </w:r>
            <w:r>
              <w:rPr>
                <w:rFonts w:hint="eastAsia" w:ascii="仿宋" w:hAnsi="仿宋" w:eastAsia="仿宋" w:cs="仿宋"/>
                <w:color w:val="000000"/>
                <w:szCs w:val="21"/>
                <w:highlight w:val="none"/>
                <w:lang w:val="zh-CN"/>
              </w:rPr>
              <w:t xml:space="preserve">的餐标拟定</w:t>
            </w:r>
            <w:r>
              <w:rPr>
                <w:rFonts w:hint="eastAsia" w:ascii="仿宋" w:hAnsi="仿宋" w:eastAsia="仿宋" w:cs="仿宋"/>
                <w:color w:val="000000"/>
                <w:szCs w:val="21"/>
                <w:highlight w:val="none"/>
                <w:lang w:val="en-US" w:eastAsia="zh-CN"/>
              </w:rPr>
              <w:t xml:space="preserve">开标期间（5-6月份）当季</w:t>
            </w:r>
            <w:r>
              <w:rPr>
                <w:rFonts w:hint="eastAsia" w:ascii="仿宋" w:hAnsi="仿宋" w:eastAsia="仿宋" w:cs="仿宋"/>
                <w:color w:val="000000"/>
                <w:szCs w:val="21"/>
                <w:highlight w:val="none"/>
                <w:lang w:val="zh-CN"/>
              </w:rPr>
              <w:t xml:space="preserve">职工一周菜谱：提供早餐、午餐、晚餐的大致种类、菜品搭配设计，</w:t>
            </w:r>
            <w:r>
              <w:rPr>
                <w:rFonts w:hint="eastAsia" w:ascii="仿宋" w:hAnsi="仿宋" w:eastAsia="仿宋" w:cs="仿宋"/>
                <w:color w:val="000000"/>
                <w:szCs w:val="21"/>
                <w:highlight w:val="none"/>
                <w:lang w:val="en-US" w:eastAsia="zh-CN"/>
              </w:rPr>
              <w:t xml:space="preserve">从菜谱的</w:t>
            </w:r>
            <w:r>
              <w:rPr>
                <w:rFonts w:hint="eastAsia" w:ascii="仿宋" w:hAnsi="仿宋" w:eastAsia="仿宋" w:cs="仿宋"/>
                <w:color w:val="000000"/>
                <w:szCs w:val="21"/>
                <w:highlight w:val="none"/>
                <w:lang w:val="zh-CN"/>
              </w:rPr>
              <w:t xml:space="preserve">营养合理、品种多样、荤素搭配、</w:t>
            </w:r>
            <w:r>
              <w:rPr>
                <w:rFonts w:hint="eastAsia" w:ascii="仿宋" w:hAnsi="仿宋" w:eastAsia="仿宋" w:cs="仿宋"/>
                <w:color w:val="000000"/>
                <w:szCs w:val="21"/>
                <w:highlight w:val="none"/>
                <w:lang w:val="en-US" w:eastAsia="zh-CN"/>
              </w:rPr>
              <w:t xml:space="preserve">性价比等方面由评标委员会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w:t>
            </w:r>
            <w:r>
              <w:rPr>
                <w:rFonts w:hint="eastAsia" w:ascii="仿宋" w:hAnsi="仿宋" w:eastAsia="仿宋" w:cs="仿宋"/>
                <w:color w:val="000000"/>
                <w:szCs w:val="21"/>
                <w:highlight w:val="none"/>
                <w:lang w:val="zh-CN"/>
              </w:rPr>
              <w:t xml:space="preserve">营养合理、品种多样、荤素搭配、</w:t>
            </w:r>
            <w:r>
              <w:rPr>
                <w:rFonts w:hint="eastAsia" w:ascii="仿宋" w:hAnsi="仿宋" w:eastAsia="仿宋" w:cs="仿宋"/>
                <w:color w:val="000000"/>
                <w:szCs w:val="21"/>
                <w:highlight w:val="none"/>
                <w:lang w:val="en-US" w:eastAsia="zh-CN"/>
              </w:rPr>
              <w:t xml:space="preserve">性价比高，充分考虑社区卫生服务中心实际用餐需求，满足或优于采购需求</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菜谱内容、</w:t>
            </w:r>
            <w:r>
              <w:rPr>
                <w:rFonts w:hint="eastAsia" w:ascii="仿宋" w:hAnsi="仿宋" w:eastAsia="仿宋" w:cs="仿宋"/>
                <w:color w:val="000000"/>
                <w:szCs w:val="21"/>
                <w:highlight w:val="none"/>
                <w:lang w:val="zh-CN"/>
              </w:rPr>
              <w:t xml:space="preserve">品种、荤素搭配、</w:t>
            </w:r>
            <w:r>
              <w:rPr>
                <w:rFonts w:hint="eastAsia" w:ascii="仿宋" w:hAnsi="仿宋" w:eastAsia="仿宋" w:cs="仿宋"/>
                <w:color w:val="000000"/>
                <w:szCs w:val="21"/>
                <w:highlight w:val="none"/>
                <w:lang w:val="en-US" w:eastAsia="zh-CN"/>
              </w:rPr>
              <w:t xml:space="preserve">价格、营养等方面与采购需求匹配</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菜谱内容不完整、</w:t>
            </w:r>
            <w:r>
              <w:rPr>
                <w:rFonts w:hint="eastAsia" w:ascii="仿宋" w:hAnsi="仿宋" w:eastAsia="仿宋" w:cs="仿宋"/>
                <w:color w:val="000000"/>
                <w:szCs w:val="21"/>
                <w:highlight w:val="none"/>
                <w:lang w:val="zh-CN"/>
              </w:rPr>
              <w:t xml:space="preserve">品种、荤素搭配、</w:t>
            </w:r>
            <w:r>
              <w:rPr>
                <w:rFonts w:hint="eastAsia" w:ascii="仿宋" w:hAnsi="仿宋" w:eastAsia="仿宋" w:cs="仿宋"/>
                <w:color w:val="000000"/>
                <w:szCs w:val="21"/>
                <w:highlight w:val="none"/>
                <w:lang w:val="en-US" w:eastAsia="zh-CN"/>
              </w:rPr>
              <w:t xml:space="preserve">价格、营养等方面</w:t>
            </w:r>
            <w:r>
              <w:rPr>
                <w:rFonts w:hint="eastAsia" w:ascii="仿宋" w:hAnsi="仿宋" w:eastAsia="仿宋" w:cs="仿宋"/>
                <w:color w:val="000000"/>
                <w:szCs w:val="21"/>
                <w:highlight w:val="none"/>
                <w:lang w:val="zh-CN"/>
              </w:rPr>
              <w:t xml:space="preserve">欠缺的得</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菜谱内容、</w:t>
            </w:r>
            <w:r>
              <w:rPr>
                <w:rFonts w:hint="eastAsia" w:ascii="仿宋" w:hAnsi="仿宋" w:eastAsia="仿宋" w:cs="仿宋"/>
                <w:color w:val="000000"/>
                <w:szCs w:val="21"/>
                <w:highlight w:val="none"/>
                <w:lang w:val="zh-CN"/>
              </w:rPr>
              <w:t xml:space="preserve">品种、荤素搭配、</w:t>
            </w:r>
            <w:r>
              <w:rPr>
                <w:rFonts w:hint="eastAsia" w:ascii="仿宋" w:hAnsi="仿宋" w:eastAsia="仿宋" w:cs="仿宋"/>
                <w:color w:val="000000"/>
                <w:szCs w:val="21"/>
                <w:highlight w:val="none"/>
                <w:lang w:val="en-US" w:eastAsia="zh-CN"/>
              </w:rPr>
              <w:t xml:space="preserve">价格、营养未能结合社区卫生服务中心实际用餐需求拟定</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4</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jc w:val="center"/>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食品原</w:t>
            </w:r>
            <w:r>
              <w:rPr>
                <w:rFonts w:hint="eastAsia" w:ascii="仿宋" w:hAnsi="仿宋" w:eastAsia="仿宋" w:cs="仿宋"/>
                <w:color w:val="000000"/>
                <w:szCs w:val="21"/>
                <w:highlight w:val="none"/>
                <w:lang w:val="zh-CN"/>
              </w:rPr>
            </w:r>
            <w:r/>
          </w:p>
          <w:p>
            <w:pPr>
              <w:pStyle w:val="1032"/>
              <w:jc w:val="center"/>
              <w:spacing w:line="320" w:lineRule="exact"/>
              <w:shd w:val="clear" w:color="auto" w:fill="ffff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材料采购管理方案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针对本项目特点，</w:t>
            </w:r>
            <w:r>
              <w:rPr>
                <w:rFonts w:hint="eastAsia" w:ascii="仿宋" w:hAnsi="仿宋" w:eastAsia="仿宋" w:cs="仿宋"/>
                <w:color w:val="000000"/>
                <w:szCs w:val="21"/>
                <w:highlight w:val="none"/>
                <w:lang w:val="en-US" w:eastAsia="zh-CN"/>
              </w:rPr>
              <w:t xml:space="preserve">供应商</w:t>
            </w:r>
            <w:r>
              <w:rPr>
                <w:rFonts w:hint="eastAsia" w:ascii="仿宋" w:hAnsi="仿宋" w:eastAsia="仿宋" w:cs="仿宋"/>
                <w:color w:val="000000"/>
                <w:szCs w:val="21"/>
                <w:highlight w:val="none"/>
                <w:lang w:val="zh-CN"/>
              </w:rPr>
              <w:t xml:space="preserve">提供食材采购（包含但不仅限于：食品原材料、</w:t>
            </w:r>
            <w:r>
              <w:rPr>
                <w:rFonts w:hint="eastAsia" w:ascii="仿宋" w:hAnsi="仿宋" w:eastAsia="仿宋" w:cs="仿宋"/>
                <w:color w:val="000000"/>
                <w:szCs w:val="21"/>
                <w:highlight w:val="none"/>
                <w:lang w:val="en-US" w:eastAsia="zh-CN"/>
              </w:rPr>
              <w:t xml:space="preserve">调味品等的</w:t>
            </w:r>
            <w:r>
              <w:rPr>
                <w:rFonts w:hint="eastAsia" w:ascii="仿宋" w:hAnsi="仿宋" w:eastAsia="仿宋" w:cs="仿宋"/>
                <w:color w:val="000000"/>
                <w:szCs w:val="21"/>
                <w:highlight w:val="none"/>
                <w:lang w:val="zh-CN"/>
              </w:rPr>
              <w:t xml:space="preserve">采购</w:t>
            </w:r>
            <w:r>
              <w:rPr>
                <w:rFonts w:hint="eastAsia" w:ascii="仿宋" w:hAnsi="仿宋" w:eastAsia="仿宋" w:cs="仿宋"/>
                <w:color w:val="000000"/>
                <w:szCs w:val="21"/>
                <w:highlight w:val="none"/>
                <w:lang w:val="zh-CN" w:eastAsia="zh-CN"/>
              </w:rPr>
              <w:t xml:space="preserve">、运输车辆、</w:t>
            </w:r>
            <w:r>
              <w:rPr>
                <w:rFonts w:hint="eastAsia" w:ascii="仿宋" w:hAnsi="仿宋" w:eastAsia="仿宋" w:cs="仿宋"/>
                <w:color w:val="000000"/>
                <w:szCs w:val="21"/>
                <w:highlight w:val="none"/>
                <w:lang w:val="en-US" w:eastAsia="zh-CN"/>
              </w:rPr>
              <w:t xml:space="preserve">时效性、可朔源、检验检测、</w:t>
            </w:r>
            <w:r>
              <w:rPr>
                <w:rFonts w:hint="eastAsia" w:ascii="仿宋" w:hAnsi="仿宋" w:eastAsia="仿宋" w:cs="仿宋"/>
                <w:color w:val="000000"/>
                <w:szCs w:val="21"/>
                <w:highlight w:val="none"/>
                <w:lang w:val="zh-CN" w:eastAsia="zh-CN"/>
              </w:rPr>
              <w:t xml:space="preserve">食品验收</w:t>
            </w:r>
            <w:r>
              <w:rPr>
                <w:rFonts w:hint="eastAsia" w:ascii="仿宋" w:hAnsi="仿宋" w:eastAsia="仿宋" w:cs="仿宋"/>
                <w:color w:val="000000"/>
                <w:szCs w:val="21"/>
                <w:highlight w:val="none"/>
                <w:lang w:val="zh-CN"/>
              </w:rPr>
              <w:t xml:space="preserve">等）；食品安全</w:t>
            </w:r>
            <w:r>
              <w:rPr>
                <w:rFonts w:hint="eastAsia" w:ascii="仿宋" w:hAnsi="仿宋" w:eastAsia="仿宋" w:cs="仿宋"/>
                <w:color w:val="000000"/>
                <w:szCs w:val="21"/>
                <w:highlight w:val="none"/>
                <w:lang w:val="en-US" w:eastAsia="zh-CN"/>
              </w:rPr>
              <w:t xml:space="preserve">等</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各</w:t>
            </w: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完全契合本项目食堂及用餐特点，</w:t>
            </w:r>
            <w:r>
              <w:rPr>
                <w:rFonts w:hint="eastAsia" w:ascii="仿宋" w:hAnsi="仿宋" w:eastAsia="仿宋" w:cs="仿宋"/>
                <w:color w:val="000000"/>
                <w:szCs w:val="21"/>
                <w:highlight w:val="none"/>
                <w:lang w:val="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方案包含上述全部内容，涉及的每部分服务方案能结合本项目食堂及用餐特点提供针对性的阐述，满足采购需求、实际操作可行</w:t>
            </w:r>
            <w:r>
              <w:rPr>
                <w:rFonts w:hint="eastAsia" w:ascii="仿宋" w:hAnsi="仿宋" w:eastAsia="仿宋" w:cs="仿宋"/>
                <w:color w:val="000000"/>
                <w:szCs w:val="21"/>
                <w:highlight w:val="none"/>
                <w:lang w:val="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ascii="仿宋" w:hAnsi="仿宋" w:eastAsia="仿宋" w:cs="仿宋"/>
                <w:color w:val="000000"/>
                <w:szCs w:val="21"/>
                <w:highlight w:val="none"/>
                <w:lang w:val="en-US" w:eastAsia="zh-CN"/>
              </w:rPr>
            </w:r>
            <w:r/>
          </w:p>
          <w:p>
            <w:pPr>
              <w:pStyle w:val="1032"/>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2.6</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应急预案和投诉处理方案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针对</w:t>
            </w:r>
            <w:r>
              <w:rPr>
                <w:rFonts w:hint="eastAsia" w:ascii="仿宋" w:hAnsi="仿宋" w:eastAsia="仿宋" w:cs="仿宋"/>
                <w:color w:val="000000"/>
                <w:szCs w:val="21"/>
                <w:highlight w:val="none"/>
                <w:lang w:val="en-US" w:eastAsia="zh-CN"/>
              </w:rPr>
              <w:t xml:space="preserve">社区卫生服务中心用餐</w:t>
            </w:r>
            <w:r>
              <w:rPr>
                <w:rFonts w:hint="eastAsia" w:ascii="仿宋" w:hAnsi="仿宋" w:eastAsia="仿宋" w:cs="仿宋"/>
                <w:color w:val="000000"/>
                <w:szCs w:val="21"/>
                <w:highlight w:val="none"/>
                <w:lang w:val="zh-CN"/>
              </w:rPr>
              <w:t xml:space="preserve">特点</w:t>
            </w:r>
            <w:r>
              <w:rPr>
                <w:rFonts w:hint="eastAsia" w:ascii="仿宋" w:hAnsi="仿宋" w:eastAsia="仿宋" w:cs="仿宋"/>
                <w:color w:val="000000"/>
                <w:szCs w:val="21"/>
                <w:highlight w:val="none"/>
                <w:lang w:val="en-US" w:eastAsia="zh-CN"/>
              </w:rPr>
              <w:t xml:space="preserve">及就餐人员的特殊性，预判在服务期间可能遇到的突发状况或紧急情形</w:t>
            </w:r>
            <w:r>
              <w:rPr>
                <w:rFonts w:hint="eastAsia" w:ascii="仿宋" w:hAnsi="仿宋" w:eastAsia="仿宋" w:cs="仿宋"/>
                <w:color w:val="000000"/>
                <w:szCs w:val="21"/>
                <w:highlight w:val="none"/>
                <w:lang w:val="zh-CN"/>
              </w:rPr>
              <w:t xml:space="preserve">(包括但不限于</w:t>
            </w:r>
            <w:r>
              <w:rPr>
                <w:rFonts w:hint="eastAsia" w:ascii="仿宋" w:hAnsi="仿宋" w:eastAsia="仿宋" w:cs="仿宋"/>
                <w:color w:val="000000"/>
                <w:szCs w:val="21"/>
                <w:highlight w:val="none"/>
                <w:lang w:val="en-US" w:eastAsia="zh-CN"/>
              </w:rPr>
              <w:t xml:space="preserve">突发事件或紧急情形</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zh-CN"/>
              </w:rPr>
              <w:t xml:space="preserve">食品和消防安全、生产安全、设备设施故障、人员更替等) </w:t>
            </w:r>
            <w:r>
              <w:rPr>
                <w:rFonts w:hint="eastAsia" w:ascii="仿宋" w:hAnsi="仿宋" w:eastAsia="仿宋" w:cs="仿宋"/>
                <w:color w:val="000000"/>
                <w:szCs w:val="21"/>
                <w:highlight w:val="none"/>
                <w:lang w:val="en-US" w:eastAsia="zh-CN"/>
              </w:rPr>
              <w:t xml:space="preserve">，并给出针对性的</w:t>
            </w:r>
            <w:r>
              <w:rPr>
                <w:rFonts w:hint="eastAsia" w:ascii="仿宋" w:hAnsi="仿宋" w:eastAsia="仿宋" w:cs="仿宋"/>
                <w:color w:val="000000"/>
                <w:szCs w:val="21"/>
                <w:highlight w:val="none"/>
                <w:lang w:val="zh-CN"/>
              </w:rPr>
              <w:t xml:space="preserve">应急预案；</w:t>
            </w:r>
            <w:r>
              <w:rPr>
                <w:rFonts w:hint="eastAsia" w:ascii="仿宋" w:hAnsi="仿宋" w:eastAsia="仿宋" w:cs="仿宋"/>
                <w:color w:val="000000"/>
                <w:szCs w:val="21"/>
                <w:highlight w:val="none"/>
                <w:lang w:val="en-US" w:eastAsia="zh-CN"/>
              </w:rPr>
              <w:t xml:space="preserve">各种情形的</w:t>
            </w:r>
            <w:r>
              <w:rPr>
                <w:rFonts w:hint="eastAsia" w:ascii="仿宋" w:hAnsi="仿宋" w:eastAsia="仿宋" w:cs="仿宋"/>
                <w:color w:val="000000"/>
                <w:szCs w:val="21"/>
                <w:highlight w:val="none"/>
                <w:lang w:val="zh-CN"/>
              </w:rPr>
              <w:t xml:space="preserve">投诉</w:t>
            </w:r>
            <w:r>
              <w:rPr>
                <w:rFonts w:hint="eastAsia" w:ascii="仿宋" w:hAnsi="仿宋" w:eastAsia="仿宋" w:cs="仿宋"/>
                <w:color w:val="000000"/>
                <w:szCs w:val="21"/>
                <w:highlight w:val="none"/>
                <w:lang w:val="en-US" w:eastAsia="zh-CN"/>
              </w:rPr>
              <w:t xml:space="preserve">及</w:t>
            </w:r>
            <w:r>
              <w:rPr>
                <w:rFonts w:hint="eastAsia" w:ascii="仿宋" w:hAnsi="仿宋" w:eastAsia="仿宋" w:cs="仿宋"/>
                <w:color w:val="000000"/>
                <w:szCs w:val="21"/>
                <w:highlight w:val="none"/>
                <w:lang w:val="zh-CN"/>
              </w:rPr>
              <w:t xml:space="preserve">处理方案</w:t>
            </w:r>
            <w:r>
              <w:rPr>
                <w:rFonts w:hint="eastAsia" w:ascii="仿宋" w:hAnsi="仿宋" w:eastAsia="仿宋" w:cs="仿宋"/>
                <w:color w:val="000000"/>
                <w:szCs w:val="21"/>
                <w:highlight w:val="none"/>
                <w:lang w:val="en-US" w:eastAsia="zh-CN"/>
              </w:rPr>
              <w:t xml:space="preserve">等</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en-US" w:eastAsia="zh-CN"/>
              </w:rPr>
              <w:t xml:space="preserve">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内容包含或多于上述全部且无遗漏</w:t>
            </w:r>
            <w:r>
              <w:rPr>
                <w:rFonts w:hint="eastAsia" w:ascii="仿宋" w:hAnsi="仿宋" w:eastAsia="仿宋" w:cs="仿宋"/>
                <w:color w:val="000000"/>
                <w:szCs w:val="21"/>
                <w:highlight w:val="none"/>
                <w:lang w:val="zh-CN" w:eastAsia="zh-CN"/>
              </w:rPr>
              <w:t xml:space="preserve">，</w:t>
            </w:r>
            <w:r>
              <w:rPr>
                <w:rFonts w:hint="eastAsia" w:ascii="仿宋" w:hAnsi="仿宋" w:eastAsia="仿宋" w:cs="仿宋"/>
                <w:color w:val="000000"/>
                <w:szCs w:val="21"/>
                <w:highlight w:val="none"/>
                <w:lang w:val="en-US" w:eastAsia="zh-CN"/>
              </w:rPr>
              <w:t xml:space="preserve">各项预</w:t>
            </w:r>
            <w:r>
              <w:rPr>
                <w:rFonts w:hint="eastAsia" w:ascii="仿宋" w:hAnsi="仿宋" w:eastAsia="仿宋" w:cs="仿宋"/>
                <w:color w:val="000000"/>
                <w:szCs w:val="21"/>
                <w:highlight w:val="none"/>
                <w:lang w:val="zh-CN" w:eastAsia="zh-CN"/>
              </w:rPr>
              <w:t xml:space="preserve">案</w:t>
            </w:r>
            <w:r>
              <w:rPr>
                <w:rFonts w:hint="eastAsia" w:ascii="仿宋" w:hAnsi="仿宋" w:eastAsia="仿宋" w:cs="仿宋"/>
                <w:color w:val="000000"/>
                <w:szCs w:val="21"/>
                <w:highlight w:val="none"/>
                <w:lang w:val="en-US" w:eastAsia="zh-CN"/>
              </w:rPr>
              <w:t xml:space="preserve">及措施完全契合本项目食堂及用餐特点，</w:t>
            </w:r>
            <w:r>
              <w:rPr>
                <w:rFonts w:hint="eastAsia" w:ascii="仿宋" w:hAnsi="仿宋" w:eastAsia="仿宋" w:cs="仿宋"/>
                <w:color w:val="000000"/>
                <w:szCs w:val="21"/>
                <w:highlight w:val="none"/>
                <w:lang w:val="zh-CN" w:eastAsia="zh-CN"/>
              </w:rPr>
              <w:t xml:space="preserve">全面详实，</w:t>
            </w:r>
            <w:r>
              <w:rPr>
                <w:rFonts w:hint="eastAsia" w:ascii="仿宋" w:hAnsi="仿宋" w:eastAsia="仿宋" w:cs="仿宋"/>
                <w:color w:val="000000"/>
                <w:szCs w:val="21"/>
                <w:highlight w:val="none"/>
                <w:lang w:val="en-US" w:eastAsia="zh-CN"/>
              </w:rPr>
              <w:t xml:space="preserve">满足或优于采购需求、实操性强</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spacing w:line="320" w:lineRule="exact"/>
              <w:shd w:val="clear" w:color="auto" w:fill="ffffff"/>
              <w:rPr>
                <w:rFonts w:hint="eastAsia" w:ascii="仿宋" w:hAnsi="仿宋" w:eastAsia="仿宋" w:cs="仿宋"/>
                <w:color w:val="000000"/>
                <w:szCs w:val="21"/>
                <w:highlight w:val="none"/>
                <w:lang w:val="zh-CN" w:eastAsia="zh-CN"/>
              </w:rPr>
            </w:pPr>
            <w:r>
              <w:rPr>
                <w:rFonts w:hint="eastAsia" w:ascii="仿宋" w:hAnsi="仿宋" w:eastAsia="仿宋" w:cs="仿宋"/>
                <w:color w:val="000000"/>
                <w:szCs w:val="21"/>
                <w:highlight w:val="none"/>
                <w:lang w:val="en-US" w:eastAsia="zh-CN"/>
              </w:rPr>
              <w:t xml:space="preserve">方案包含上述全部内容，涉及的每部分预</w:t>
            </w:r>
            <w:r>
              <w:rPr>
                <w:rFonts w:hint="eastAsia" w:ascii="仿宋" w:hAnsi="仿宋" w:eastAsia="仿宋" w:cs="仿宋"/>
                <w:color w:val="000000"/>
                <w:szCs w:val="21"/>
                <w:highlight w:val="none"/>
                <w:lang w:val="zh-CN" w:eastAsia="zh-CN"/>
              </w:rPr>
              <w:t xml:space="preserve">案</w:t>
            </w:r>
            <w:r>
              <w:rPr>
                <w:rFonts w:hint="eastAsia" w:ascii="仿宋" w:hAnsi="仿宋" w:eastAsia="仿宋" w:cs="仿宋"/>
                <w:color w:val="000000"/>
                <w:szCs w:val="21"/>
                <w:highlight w:val="none"/>
                <w:lang w:val="en-US" w:eastAsia="zh-CN"/>
              </w:rPr>
              <w:t xml:space="preserve">及措施能结合本项目食堂及用餐特点提供针对性的阐述，满足采购需求、实际操作可行</w:t>
            </w:r>
            <w:r>
              <w:rPr>
                <w:rFonts w:hint="eastAsia" w:ascii="仿宋" w:hAnsi="仿宋" w:eastAsia="仿宋" w:cs="仿宋"/>
                <w:color w:val="000000"/>
                <w:szCs w:val="21"/>
                <w:highlight w:val="none"/>
                <w:lang w:val="zh-CN" w:eastAsia="zh-CN"/>
              </w:rPr>
              <w:t xml:space="preserve">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eastAsia="zh-CN"/>
              </w:rPr>
              <w:t xml:space="preserve">分；</w:t>
            </w:r>
            <w:r>
              <w:rPr>
                <w:rFonts w:hint="eastAsia" w:ascii="仿宋" w:hAnsi="仿宋" w:eastAsia="仿宋" w:cs="仿宋"/>
                <w:color w:val="000000"/>
                <w:szCs w:val="21"/>
                <w:highlight w:val="none"/>
                <w:lang w:val="zh-CN" w:eastAsia="zh-CN"/>
              </w:rPr>
            </w:r>
            <w:r/>
          </w:p>
          <w:p>
            <w:pPr>
              <w:pStyle w:val="1032"/>
              <w:ind w:firstLine="0"/>
              <w:jc w:val="left"/>
              <w:keepLines w:val="0"/>
              <w:keepNext w:val="0"/>
              <w:pageBreakBefore w:val="0"/>
              <w:spacing w:line="320" w:lineRule="exact"/>
              <w:shd w:val="clear" w:color="auto" w:fill="ffffff"/>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内容有3项以下缺漏，能满足采购需求，但未能结合本项目食堂及用餐特点提供针对性的方案得5分;</w:t>
            </w:r>
            <w:r>
              <w:rPr>
                <w:rFonts w:hint="eastAsia" w:ascii="仿宋" w:hAnsi="仿宋" w:eastAsia="仿宋" w:cs="仿宋"/>
                <w:color w:val="000000"/>
                <w:szCs w:val="21"/>
                <w:highlight w:val="none"/>
                <w:lang w:val="en-US" w:eastAsia="zh-CN"/>
              </w:rPr>
            </w:r>
            <w:r/>
          </w:p>
          <w:p>
            <w:pPr>
              <w:pStyle w:val="1032"/>
              <w:ind w:firstLine="0"/>
              <w:jc w:val="left"/>
              <w:keepLines w:val="0"/>
              <w:keepNext w:val="0"/>
              <w:pageBreakBefore w:val="0"/>
              <w:spacing w:line="320" w:lineRule="exact"/>
              <w:shd w:val="clear" w:color="auto" w:fill="ffffff"/>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内容缺漏较多（大于3项）且未能结合本项目食堂及用餐特点提供针对性的方案的得4分;</w:t>
            </w:r>
            <w:r>
              <w:rPr>
                <w:rFonts w:hint="eastAsia" w:ascii="仿宋" w:hAnsi="仿宋" w:eastAsia="仿宋" w:cs="仿宋"/>
                <w:color w:val="000000"/>
                <w:szCs w:val="21"/>
                <w:highlight w:val="none"/>
                <w:lang w:val="en-US" w:eastAsia="zh-CN"/>
              </w:rPr>
            </w:r>
            <w:r/>
          </w:p>
          <w:p>
            <w:pPr>
              <w:pStyle w:val="1032"/>
              <w:ind w:firstLine="0"/>
              <w:jc w:val="left"/>
              <w:keepLines w:val="0"/>
              <w:keepNext w:val="0"/>
              <w:pageBreakBefore w:val="0"/>
              <w:spacing w:line="32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eastAsia="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2.7</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合理化建议</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zh-CN"/>
              </w:rPr>
              <w:t xml:space="preserve">供应商针对</w:t>
            </w:r>
            <w:r>
              <w:rPr>
                <w:rFonts w:hint="eastAsia" w:ascii="仿宋" w:hAnsi="仿宋" w:eastAsia="仿宋" w:cs="仿宋"/>
                <w:color w:val="000000"/>
                <w:szCs w:val="21"/>
                <w:highlight w:val="none"/>
                <w:lang w:val="en-US" w:eastAsia="zh-CN"/>
              </w:rPr>
              <w:t xml:space="preserve">社区卫生服务中心食堂运营特点，提供降本增效、能耗管理、提升职工就餐率等方面可操作、能落地实施的合理化建议，由评标委员会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评审，每采纳一条得1分，本项最高得3分。</w:t>
            </w:r>
            <w:r>
              <w:rPr>
                <w:rFonts w:hint="eastAsia" w:ascii="仿宋" w:hAnsi="仿宋" w:eastAsia="仿宋" w:cs="仿宋"/>
                <w:color w:val="000000"/>
                <w:szCs w:val="21"/>
                <w:highlight w:val="none"/>
                <w:lang w:val="en-US" w:eastAsia="zh-CN"/>
              </w:rPr>
            </w:r>
            <w:r/>
          </w:p>
          <w:p>
            <w:pPr>
              <w:pStyle w:val="1032"/>
              <w:spacing w:line="320" w:lineRule="exact"/>
              <w:shd w:val="clear" w:color="auto" w:fill="ffffff"/>
              <w:rPr>
                <w:color w:val="000000"/>
                <w:highlight w:val="none"/>
                <w:lang w:val="en-US"/>
              </w:rPr>
            </w:pPr>
            <w:r>
              <w:rPr>
                <w:rFonts w:hint="eastAsia" w:ascii="仿宋" w:hAnsi="仿宋" w:eastAsia="仿宋" w:cs="仿宋"/>
                <w:color w:val="000000"/>
                <w:szCs w:val="21"/>
                <w:highlight w:val="none"/>
                <w:lang w:val="en-US" w:eastAsia="zh-CN"/>
              </w:rPr>
              <w:t xml:space="preserve">未提供或提供的合理化建议未被采纳的不得分。</w:t>
            </w:r>
            <w:r>
              <w:rPr>
                <w:color w:val="000000"/>
                <w:highlight w:val="none"/>
                <w:lang w:val="en-US"/>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2.8</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rPr>
            </w:pPr>
            <w:r>
              <w:rPr>
                <w:rFonts w:hint="eastAsia" w:ascii="仿宋" w:hAnsi="仿宋" w:eastAsia="仿宋" w:cs="仿宋"/>
                <w:color w:val="000000"/>
                <w:szCs w:val="21"/>
                <w:highlight w:val="none"/>
                <w:lang w:val="en-US" w:eastAsia="zh-CN"/>
              </w:rPr>
              <w:t xml:space="preserve">增值服务</w:t>
            </w:r>
            <w:r>
              <w:rPr>
                <w:rFonts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供应商针对</w:t>
            </w:r>
            <w:r>
              <w:rPr>
                <w:rFonts w:hint="eastAsia" w:ascii="仿宋" w:hAnsi="仿宋" w:eastAsia="仿宋" w:cs="仿宋"/>
                <w:color w:val="000000"/>
                <w:szCs w:val="21"/>
                <w:highlight w:val="none"/>
                <w:lang w:val="en-US" w:eastAsia="zh-CN"/>
              </w:rPr>
              <w:t xml:space="preserve">社区卫生服务中心食堂运营特点，提供针对食堂运营或就餐人员拟定可操作、能落地实施的优于采购需求的增值服务，由评标委员会</w:t>
            </w:r>
            <w:r>
              <w:rPr>
                <w:rFonts w:hint="eastAsia" w:ascii="仿宋" w:hAnsi="仿宋" w:eastAsia="仿宋" w:cs="仿宋"/>
                <w:color w:val="000000"/>
                <w:szCs w:val="21"/>
                <w:highlight w:val="none"/>
                <w:lang w:val="zh-CN"/>
              </w:rPr>
              <w:t xml:space="preserve">进行综合</w:t>
            </w:r>
            <w:r>
              <w:rPr>
                <w:rFonts w:hint="eastAsia" w:ascii="仿宋" w:hAnsi="仿宋" w:eastAsia="仿宋" w:cs="仿宋"/>
                <w:color w:val="000000"/>
                <w:szCs w:val="21"/>
                <w:highlight w:val="none"/>
                <w:lang w:val="en-US" w:eastAsia="zh-CN"/>
              </w:rPr>
              <w:t xml:space="preserve">评审，每采纳一条得1分，本项最高得4分</w:t>
            </w:r>
            <w:r>
              <w:rPr>
                <w:rFonts w:hint="eastAsia" w:ascii="仿宋" w:hAnsi="仿宋" w:eastAsia="仿宋" w:cs="仿宋"/>
                <w:color w:val="000000"/>
                <w:szCs w:val="21"/>
                <w:highlight w:val="none"/>
                <w:lang w:val="zh-CN"/>
              </w:rPr>
              <w:t xml:space="preserve">：</w:t>
            </w:r>
            <w:r>
              <w:rPr>
                <w:rFonts w:hint="eastAsia" w:ascii="仿宋" w:hAnsi="仿宋" w:eastAsia="仿宋" w:cs="仿宋"/>
                <w:color w:val="000000"/>
                <w:szCs w:val="21"/>
                <w:highlight w:val="none"/>
                <w:lang w:val="zh-CN"/>
              </w:rPr>
            </w:r>
            <w:r/>
          </w:p>
          <w:p>
            <w:pPr>
              <w:pStyle w:val="1032"/>
              <w:spacing w:line="320" w:lineRule="exact"/>
              <w:shd w:val="clear" w:color="auto" w:fill="ffff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未提供或提供的增值服务未被采纳的不得分。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5979" w:type="dxa"/>
            <w:vAlign w:val="center"/>
            <w:textDirection w:val="lrTb"/>
            <w:noWrap w:val="false"/>
          </w:tcPr>
          <w:p>
            <w:pPr>
              <w:pStyle w:val="1032"/>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商务分（客观分）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rPr>
            </w:pPr>
            <w:r>
              <w:rPr>
                <w:rFonts w:hint="eastAsia" w:ascii="仿宋" w:hAnsi="仿宋" w:eastAsia="仿宋" w:cs="仿宋"/>
                <w:b w:val="0"/>
                <w:bCs w:val="0"/>
                <w:color w:val="000000"/>
                <w:sz w:val="21"/>
                <w:szCs w:val="21"/>
                <w:highlight w:val="none"/>
                <w:lang w:val="en-US" w:eastAsia="zh-CN"/>
              </w:rPr>
              <w:t xml:space="preserve">3.1</w:t>
            </w:r>
            <w:r>
              <w:rPr>
                <w:rFonts w:ascii="仿宋" w:hAnsi="仿宋" w:eastAsia="仿宋" w:cs="仿宋"/>
                <w:b w:val="0"/>
                <w:bCs w:val="0"/>
                <w:color w:val="000000"/>
                <w:sz w:val="21"/>
                <w:szCs w:val="21"/>
                <w:highlight w:val="none"/>
                <w:lang w:val="en-US"/>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eastAsia="zh-CN"/>
              </w:rPr>
            </w:pPr>
            <w:r>
              <w:rPr>
                <w:rFonts w:hint="eastAsia" w:ascii="仿宋" w:hAnsi="仿宋" w:eastAsia="仿宋" w:cs="仿宋"/>
                <w:color w:val="000000"/>
                <w:szCs w:val="21"/>
                <w:highlight w:val="none"/>
                <w:lang w:val="en-US" w:eastAsia="zh-CN"/>
              </w:rPr>
              <w:t xml:space="preserve">企业认证</w:t>
            </w:r>
            <w:r>
              <w:rPr>
                <w:rFonts w:hint="eastAsia" w:ascii="仿宋" w:hAnsi="仿宋" w:eastAsia="仿宋" w:cs="仿宋"/>
                <w:b w:val="0"/>
                <w:bCs w:val="0"/>
                <w:color w:val="000000"/>
                <w:sz w:val="21"/>
                <w:szCs w:val="21"/>
                <w:highlight w:val="none"/>
                <w:lang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供应商具有有效的质量管理体系认证证书、环境管理体系认证证书</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职业健康安全管理体系认证证书</w:t>
            </w:r>
            <w:r>
              <w:rPr>
                <w:rFonts w:hint="eastAsia" w:ascii="仿宋" w:hAnsi="仿宋" w:eastAsia="仿宋" w:cs="仿宋"/>
                <w:color w:val="000000"/>
                <w:szCs w:val="21"/>
                <w:highlight w:val="none"/>
                <w:lang w:eastAsia="zh-CN"/>
              </w:rPr>
              <w:t xml:space="preserve">、食品安全管理体系认证</w:t>
            </w:r>
            <w:r>
              <w:rPr>
                <w:rFonts w:hint="eastAsia" w:ascii="仿宋" w:hAnsi="仿宋" w:eastAsia="仿宋" w:cs="仿宋"/>
                <w:color w:val="000000"/>
                <w:szCs w:val="21"/>
                <w:highlight w:val="none"/>
                <w:lang w:val="en-US" w:eastAsia="zh-CN"/>
              </w:rPr>
              <w:t xml:space="preserve">证书</w:t>
            </w:r>
            <w:r>
              <w:rPr>
                <w:rFonts w:hint="eastAsia" w:ascii="仿宋" w:hAnsi="仿宋" w:eastAsia="仿宋" w:cs="仿宋"/>
                <w:color w:val="000000"/>
                <w:szCs w:val="21"/>
                <w:highlight w:val="none"/>
              </w:rPr>
              <w:t xml:space="preserve">的，每有一个证书得</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分，最高得</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rPr>
              <w:t xml:space="preserve">分。</w:t>
            </w:r>
            <w:r>
              <w:rPr>
                <w:rFonts w:hint="eastAsia" w:ascii="仿宋" w:hAnsi="仿宋" w:eastAsia="仿宋" w:cs="仿宋"/>
                <w:color w:val="000000"/>
                <w:szCs w:val="21"/>
                <w:highlight w:val="none"/>
              </w:rPr>
            </w:r>
            <w:r/>
          </w:p>
          <w:p>
            <w:pPr>
              <w:pStyle w:val="1032"/>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注：</w:t>
            </w:r>
            <w:r>
              <w:rPr>
                <w:rFonts w:hint="eastAsia" w:ascii="仿宋" w:hAnsi="仿宋" w:eastAsia="仿宋" w:cs="仿宋"/>
                <w:color w:val="000000"/>
                <w:szCs w:val="21"/>
                <w:highlight w:val="none"/>
              </w:rPr>
              <w:t xml:space="preserve">提供证书</w:t>
            </w:r>
            <w:r>
              <w:rPr>
                <w:rFonts w:hint="eastAsia" w:ascii="仿宋" w:hAnsi="仿宋" w:eastAsia="仿宋" w:cs="仿宋"/>
                <w:color w:val="000000"/>
                <w:szCs w:val="21"/>
                <w:highlight w:val="none"/>
                <w:lang w:val="en-US" w:eastAsia="zh-CN"/>
              </w:rPr>
              <w:t xml:space="preserve">扫描件</w:t>
            </w:r>
            <w:r>
              <w:rPr>
                <w:rFonts w:hint="eastAsia" w:ascii="仿宋" w:hAnsi="仿宋" w:eastAsia="仿宋" w:cs="仿宋"/>
                <w:color w:val="000000"/>
                <w:szCs w:val="21"/>
                <w:highlight w:val="none"/>
              </w:rPr>
              <w:t xml:space="preserve">和国家认监委网站查询为有效状态的网页截图</w:t>
            </w:r>
            <w:r>
              <w:rPr>
                <w:rFonts w:hint="eastAsia" w:ascii="仿宋" w:hAnsi="仿宋" w:eastAsia="仿宋" w:cs="仿宋"/>
                <w:color w:val="000000"/>
                <w:szCs w:val="21"/>
                <w:highlight w:val="none"/>
                <w:lang w:val="en-US" w:eastAsia="zh-CN"/>
              </w:rPr>
              <w:t xml:space="preserve">加盖公章</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未按要求提供或提供不全的不得分。</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类似业绩</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供应商近三年（开标截止时间往前推，时间以合同签订时间为准）具有类似集中用餐单位食堂业绩，每提供一个业绩得2分，本项最高得10分。</w:t>
            </w:r>
            <w:r>
              <w:rPr>
                <w:rFonts w:ascii="仿宋" w:hAnsi="仿宋" w:eastAsia="仿宋" w:cs="仿宋"/>
                <w:color w:val="000000"/>
                <w:szCs w:val="21"/>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lang w:val="en-US" w:eastAsia="zh-CN"/>
              </w:rPr>
              <w:t xml:space="preserve">注：提供能体现评审内容的业绩合同扫描件；同一项目不同年度的业绩不重复计分。未按要求提供或提供的合同不能体现评审内容的不得分。</w:t>
            </w:r>
            <w:r>
              <w:rPr>
                <w:rFonts w:hint="eastAsia"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企业荣誉</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highlight w:val="none"/>
                <w:lang w:val="en-US"/>
              </w:rPr>
            </w:pP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lang w:val="en-US"/>
              </w:rPr>
              <w:t xml:space="preserve">获得</w:t>
            </w:r>
            <w:r>
              <w:rPr>
                <w:rFonts w:hint="eastAsia" w:ascii="仿宋" w:hAnsi="仿宋" w:eastAsia="仿宋" w:cs="仿宋"/>
                <w:color w:val="000000"/>
                <w:highlight w:val="none"/>
                <w:lang w:val="en-US" w:eastAsia="zh-CN"/>
              </w:rPr>
              <w:t xml:space="preserve">过政府部门或</w:t>
            </w:r>
            <w:r>
              <w:rPr>
                <w:rFonts w:hint="eastAsia" w:ascii="仿宋" w:hAnsi="仿宋" w:eastAsia="仿宋" w:cs="仿宋"/>
                <w:color w:val="000000"/>
                <w:highlight w:val="none"/>
                <w:lang w:val="en-US"/>
              </w:rPr>
              <w:t xml:space="preserve">党政机关表彰或奖项的，有1个得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rPr>
              <w:t xml:space="preserve">分，本项最高得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rPr>
              <w:t xml:space="preserve">分。</w:t>
            </w:r>
            <w:r>
              <w:rPr>
                <w:rFonts w:hint="eastAsia" w:ascii="仿宋" w:hAnsi="仿宋" w:eastAsia="仿宋" w:cs="仿宋"/>
                <w:color w:val="000000"/>
                <w:highlight w:val="none"/>
                <w:lang w:val="en-US"/>
              </w:rPr>
            </w:r>
            <w:r/>
          </w:p>
          <w:p>
            <w:pPr>
              <w:pStyle w:val="1032"/>
              <w:spacing w:line="320" w:lineRule="exact"/>
              <w:shd w:val="clear" w:color="auto" w:fill="ffffff"/>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w:t>
            </w:r>
            <w:r>
              <w:rPr>
                <w:rFonts w:hint="eastAsia" w:ascii="仿宋" w:hAnsi="仿宋" w:eastAsia="仿宋" w:cs="仿宋"/>
                <w:color w:val="000000"/>
                <w:highlight w:val="none"/>
                <w:lang w:val="en-US"/>
              </w:rPr>
              <w:t xml:space="preserve">提供</w:t>
            </w:r>
            <w:r>
              <w:rPr>
                <w:rFonts w:hint="eastAsia" w:ascii="仿宋" w:hAnsi="仿宋" w:eastAsia="仿宋" w:cs="仿宋"/>
                <w:color w:val="000000"/>
                <w:highlight w:val="none"/>
                <w:lang w:val="en-US" w:eastAsia="zh-CN"/>
              </w:rPr>
              <w:t xml:space="preserve">表彰发文或</w:t>
            </w:r>
            <w:r>
              <w:rPr>
                <w:rFonts w:hint="eastAsia" w:ascii="仿宋" w:hAnsi="仿宋" w:eastAsia="仿宋" w:cs="仿宋"/>
                <w:color w:val="000000"/>
                <w:highlight w:val="none"/>
                <w:lang w:val="en-US"/>
              </w:rPr>
              <w:t xml:space="preserve">证书或奖项复印件等证明材料并加盖</w:t>
            </w:r>
            <w:r>
              <w:rPr>
                <w:rFonts w:hint="eastAsia" w:ascii="仿宋" w:hAnsi="仿宋" w:eastAsia="仿宋" w:cs="仿宋"/>
                <w:color w:val="000000"/>
                <w:highlight w:val="none"/>
                <w:lang w:val="en-US" w:eastAsia="zh-CN"/>
              </w:rPr>
              <w:t xml:space="preserve">公章，否则不得分。</w:t>
            </w:r>
            <w:r>
              <w:rPr>
                <w:rFonts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项目负责人</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1.拟派项目负责人</w:t>
            </w:r>
            <w:r>
              <w:rPr>
                <w:rFonts w:hint="eastAsia" w:ascii="仿宋" w:hAnsi="仿宋" w:eastAsia="仿宋" w:cs="仿宋"/>
                <w:color w:val="000000"/>
                <w:highlight w:val="none"/>
                <w:lang w:val="en-US"/>
              </w:rPr>
              <w:t xml:space="preserve">具有高级（三级）公共营养师证书的，得</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val="en-US"/>
              </w:rPr>
              <w:t xml:space="preserve">分</w:t>
            </w:r>
            <w:r>
              <w:rPr>
                <w:rFonts w:hint="eastAsia" w:ascii="仿宋" w:hAnsi="仿宋" w:eastAsia="仿宋" w:cs="仿宋"/>
                <w:color w:val="000000"/>
                <w:highlight w:val="none"/>
                <w:lang w:val="en-US" w:eastAsia="zh-CN"/>
              </w:rPr>
              <w:t xml:space="preserve">;中级（四级）公共营养师证书的，得2分。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2.拟派项目负责人持有高级餐饮职业经理人证书的，得1分。</w:t>
            </w:r>
            <w:r>
              <w:rPr>
                <w:rFonts w:ascii="仿宋" w:hAnsi="仿宋" w:eastAsia="仿宋" w:cs="仿宋"/>
                <w:color w:val="000000"/>
                <w:highlight w:val="none"/>
                <w:lang w:val="en-US" w:eastAsia="zh-CN"/>
              </w:rPr>
            </w:r>
            <w:r/>
          </w:p>
          <w:p>
            <w:pPr>
              <w:pStyle w:val="1032"/>
              <w:spacing w:line="320" w:lineRule="exact"/>
              <w:shd w:val="clear" w:color="auto" w:fill="ffffff"/>
              <w:rPr>
                <w:color w:val="000000"/>
                <w:highlight w:val="none"/>
                <w:lang w:val="en-US"/>
              </w:rPr>
            </w:pPr>
            <w:r>
              <w:rPr>
                <w:rFonts w:hint="eastAsia" w:ascii="仿宋" w:hAnsi="仿宋" w:eastAsia="仿宋" w:cs="仿宋"/>
                <w:color w:val="000000"/>
                <w:highlight w:val="none"/>
                <w:lang w:val="en-US" w:eastAsia="zh-CN"/>
              </w:rPr>
              <w:t xml:space="preserve">注：同时提供人员相关证书、身份证、健康证复印件及社保机构出具的供应商为其缴纳的开标截止时间前三个月内任意一个月社保证明材料扫描件，未按要求提供或未提供的不得分。</w:t>
            </w:r>
            <w:r>
              <w:rPr>
                <w:color w:val="000000"/>
                <w:highlight w:val="none"/>
                <w:lang w:val="en-US"/>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rPr>
            </w:r>
            <w:r/>
          </w:p>
        </w:tc>
      </w:tr>
      <w:tr>
        <w:trPr>
          <w:trHeight w:val="482"/>
        </w:trPr>
        <w:tc>
          <w:tcPr>
            <w:tcW w:w="44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98" w:type="dxa"/>
            <w:vAlign w:val="center"/>
            <w:textDirection w:val="lrTb"/>
            <w:noWrap w:val="false"/>
          </w:tcPr>
          <w:p>
            <w:pPr>
              <w:pStyle w:val="1032"/>
              <w:ind w:firstLine="28"/>
              <w:jc w:val="center"/>
              <w:spacing w:line="320" w:lineRule="exact"/>
              <w:shd w:val="clear" w:color="auto" w:fill="ffffff"/>
              <w:rPr>
                <w:rFonts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人员配备（除项目负责人）</w:t>
            </w:r>
            <w:r>
              <w:rPr>
                <w:rFonts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2537" w:type="dxa"/>
            <w:vAlign w:val="center"/>
            <w:textDirection w:val="lrTb"/>
            <w:noWrap w:val="false"/>
          </w:tcPr>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1.具有中式烹调师高级（三级）及以上证书的，每有一人得2分，最高得6分；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2.具有食品检验检测员证书的，每有一人得2分；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3.具有营养配餐员证书的，每有一人得2分；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注：</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1.同一人员只计一次得分，不累计和重复得分。</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2.中式烹调师证书的颁发机构2020年12月31日及之前由中华人民共和国人力资源和社会保障部门颁发；2021年1月1日及以后由经人力资源和社会保障部门备案公布的社会培训组织、技工院校颁发。</w:t>
            </w:r>
            <w:r>
              <w:rPr>
                <w:rFonts w:hint="eastAsia" w:ascii="仿宋" w:hAnsi="仿宋" w:eastAsia="仿宋" w:cs="仿宋"/>
                <w:color w:val="000000"/>
                <w:highlight w:val="none"/>
                <w:lang w:val="en-US" w:eastAsia="zh-CN"/>
              </w:rPr>
            </w:r>
            <w:r/>
          </w:p>
          <w:p>
            <w:pPr>
              <w:pStyle w:val="1032"/>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3.响应文件中同时提供人员相关证书、身份证、健康证复印件及社保机构出具的供应商为其缴纳的开标截止时间前三个月内任意一个月社保证明材料扫描件，未按要求提供或未提供的不得分。</w:t>
            </w:r>
            <w:r>
              <w:rPr>
                <w:rFonts w:hint="eastAsia"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323"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ascii="仿宋" w:hAnsi="仿宋" w:eastAsia="仿宋" w:cs="仿宋"/>
                <w:b w:val="0"/>
                <w:bCs w:val="0"/>
                <w:color w:val="000000"/>
                <w:sz w:val="21"/>
                <w:szCs w:val="21"/>
                <w:highlight w:val="none"/>
                <w:lang w:val="en-US" w:eastAsia="zh-CN"/>
              </w:rPr>
            </w:r>
            <w:r/>
          </w:p>
        </w:tc>
        <w:tc>
          <w:tcPr>
            <w:tcW w:w="388"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bidi="ar-SA"/>
              </w:rPr>
            </w:r>
            <w:r/>
          </w:p>
        </w:tc>
        <w:tc>
          <w:tcPr>
            <w:tcW w:w="386" w:type="dxa"/>
            <w:vAlign w:val="center"/>
            <w:textDirection w:val="lrTb"/>
            <w:noWrap w:val="false"/>
          </w:tcPr>
          <w:p>
            <w:pPr>
              <w:pStyle w:val="1032"/>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bidi="ar-SA"/>
              </w:rPr>
            </w:pPr>
            <w:r>
              <w:rPr>
                <w:rFonts w:hint="eastAsia" w:ascii="仿宋" w:hAnsi="仿宋" w:eastAsia="仿宋" w:cs="仿宋"/>
                <w:b w:val="0"/>
                <w:bCs w:val="0"/>
                <w:color w:val="000000"/>
                <w:sz w:val="21"/>
                <w:szCs w:val="21"/>
                <w:highlight w:val="none"/>
                <w:lang w:val="en-US" w:eastAsia="zh-CN"/>
              </w:rPr>
              <w:t xml:space="preserve">是</w:t>
            </w:r>
            <w:r>
              <w:rPr>
                <w:rFonts w:hint="eastAsia" w:ascii="仿宋" w:hAnsi="仿宋" w:eastAsia="仿宋" w:cs="仿宋"/>
                <w:b w:val="0"/>
                <w:bCs w:val="0"/>
                <w:color w:val="000000"/>
                <w:sz w:val="21"/>
                <w:szCs w:val="21"/>
                <w:highlight w:val="none"/>
                <w:lang w:val="en-US" w:eastAsia="zh-CN" w:bidi="ar-SA"/>
              </w:rPr>
            </w:r>
            <w:r/>
          </w:p>
        </w:tc>
      </w:tr>
    </w:tbl>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contextualSpacing/>
        <w:ind w:firstLine="422"/>
        <w:spacing w:line="360"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仿宋"/>
          <w:color w:val="000000"/>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仿宋"/>
          <w:color w:val="000000"/>
          <w:szCs w:val="21"/>
          <w:highlight w:val="none"/>
        </w:rPr>
      </w:r>
      <w:r/>
    </w:p>
    <w:p>
      <w:pPr>
        <w:pStyle w:val="1032"/>
        <w:contextualSpacing/>
        <w:ind w:firstLine="422"/>
        <w:jc w:val="left"/>
        <w:spacing w:line="360" w:lineRule="auto"/>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rPr>
          <w:rFonts w:hint="eastAsia" w:ascii="仿宋" w:hAnsi="仿宋" w:eastAsia="仿宋" w:cs="仿宋"/>
          <w:b/>
          <w:bCs/>
          <w:color w:val="000000"/>
          <w:szCs w:val="21"/>
          <w:highlight w:val="none"/>
        </w:rPr>
      </w:r>
      <w:r/>
    </w:p>
    <w:p>
      <w:pPr>
        <w:pStyle w:val="1032"/>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3.评标时，未能按以上要求提供相应证明的，不作为评审依据，不得分。</w:t>
      </w:r>
      <w:r>
        <w:rPr>
          <w:rFonts w:hint="eastAsia" w:ascii="仿宋" w:hAnsi="仿宋" w:eastAsia="仿宋" w:cs="仿宋"/>
          <w:color w:val="000000"/>
          <w:szCs w:val="21"/>
          <w:highlight w:val="none"/>
        </w:rPr>
      </w:r>
      <w:r/>
    </w:p>
    <w:p>
      <w:pPr>
        <w:pStyle w:val="1032"/>
        <w:contextualSpacing/>
        <w:ind w:firstLine="420"/>
        <w:jc w:val="left"/>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Cs w:val="21"/>
          <w:highlight w:val="none"/>
        </w:rPr>
      </w:r>
      <w:r/>
    </w:p>
    <w:p>
      <w:pPr>
        <w:pStyle w:val="1032"/>
        <w:contextualSpacing/>
        <w:ind w:firstLine="420"/>
        <w:spacing w:line="360" w:lineRule="auto"/>
        <w:widowControl/>
        <w:rPr>
          <w:rFonts w:hint="eastAsia" w:ascii="仿宋" w:hAnsi="仿宋" w:eastAsia="仿宋" w:cs="仿宋"/>
          <w:color w:val="000000"/>
          <w:szCs w:val="21"/>
          <w:highlight w:val="none"/>
        </w:rPr>
        <w:sectPr>
          <w:headerReference w:type="default" r:id="rId14"/>
          <w:footnotePr/>
          <w:endnotePr/>
          <w:type w:val="nextPage"/>
          <w:pgSz w:w="11907" w:h="16840" w:orient="portrait"/>
          <w:pgMar w:top="1440" w:right="1080" w:bottom="1440" w:left="1080" w:header="851" w:footer="851" w:gutter="0"/>
          <w:cols w:num="1" w:sep="0" w:space="1701" w:equalWidth="1"/>
          <w:docGrid w:linePitch="360"/>
        </w:sectPr>
      </w:pPr>
      <w:r>
        <w:rPr>
          <w:rFonts w:hint="eastAsia" w:ascii="仿宋" w:hAnsi="仿宋" w:eastAsia="仿宋" w:cs="仿宋"/>
          <w:color w:val="000000"/>
          <w:szCs w:val="21"/>
          <w:highlight w:val="none"/>
        </w:rPr>
        <w:t xml:space="preserve">5.供应商按评分细则所有得分项目均视为对本次招标的承诺，成交后均作为合同的组成部分。</w:t>
      </w:r>
      <w:bookmarkStart w:id="788" w:name="_Hlk139629014"/>
      <w:r/>
      <w:bookmarkStart w:id="789" w:name="_Hlk138940374"/>
      <w:r>
        <w:rPr>
          <w:rFonts w:hint="eastAsia" w:ascii="仿宋" w:hAnsi="仿宋" w:eastAsia="仿宋" w:cs="仿宋"/>
          <w:color w:val="000000"/>
          <w:szCs w:val="21"/>
          <w:highlight w:val="none"/>
        </w:rPr>
      </w:r>
      <w:r/>
    </w:p>
    <w:p>
      <w:pPr>
        <w:pStyle w:val="1032"/>
        <w:contextualSpacing/>
        <w:ind w:firstLine="643"/>
        <w:jc w:val="center"/>
        <w:spacing w:line="360" w:lineRule="auto"/>
        <w:widowControl/>
        <w:rPr>
          <w:rStyle w:val="1217"/>
          <w:rFonts w:hint="eastAsia" w:ascii="仿宋" w:hAnsi="仿宋" w:eastAsia="仿宋" w:cs="仿宋"/>
          <w:color w:val="000000"/>
          <w:highlight w:val="none"/>
        </w:rPr>
      </w:pPr>
      <w:r/>
      <w:bookmarkStart w:id="790" w:name="_Toc4942"/>
      <w:r>
        <w:rPr>
          <w:rStyle w:val="1217"/>
          <w:rFonts w:hint="eastAsia" w:ascii="仿宋" w:hAnsi="仿宋" w:eastAsia="仿宋" w:cs="仿宋"/>
          <w:color w:val="000000"/>
          <w:highlight w:val="none"/>
        </w:rPr>
        <w:t xml:space="preserve">第五章   </w:t>
      </w:r>
      <w:bookmarkStart w:id="791" w:name="_Hlk119590621"/>
      <w:r>
        <w:rPr>
          <w:rStyle w:val="1217"/>
          <w:rFonts w:hint="eastAsia" w:ascii="仿宋" w:hAnsi="仿宋" w:eastAsia="仿宋" w:cs="仿宋"/>
          <w:color w:val="000000"/>
          <w:highlight w:val="none"/>
        </w:rPr>
        <w:t xml:space="preserve">采购需求</w:t>
      </w:r>
      <w:r>
        <w:rPr>
          <w:rStyle w:val="1217"/>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bookmarkEnd w:id="790"/>
      <w:r>
        <w:rPr>
          <w:rFonts w:hint="eastAsia" w:ascii="仿宋" w:hAnsi="仿宋" w:eastAsia="仿宋" w:cs="仿宋"/>
          <w:color w:val="000000"/>
          <w:highlight w:val="none"/>
        </w:rPr>
      </w:r>
      <w:r/>
    </w:p>
    <w:p>
      <w:pPr>
        <w:pStyle w:val="1504"/>
        <w:ind w:firstLine="422"/>
        <w:jc w:val="both"/>
        <w:keepLines w:val="0"/>
        <w:keepNext w:val="0"/>
        <w:pageBreakBefore w:val="0"/>
        <w:spacing w:line="360" w:lineRule="auto"/>
        <w:shd w:val="clear" w:color="auto" w:fill="ffffff"/>
        <w:widowControl w:val="off"/>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rPr>
        <w:t xml:space="preserve">一、采购标的</w:t>
      </w:r>
      <w:r>
        <w:rPr>
          <w:rFonts w:hint="eastAsia" w:ascii="仿宋" w:hAnsi="仿宋" w:eastAsia="仿宋" w:cs="仿宋"/>
          <w:b/>
          <w:bCs w:val="0"/>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u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项目名称：</w:t>
      </w:r>
      <w:r>
        <w:rPr>
          <w:rFonts w:hint="eastAsia" w:ascii="仿宋" w:hAnsi="仿宋" w:eastAsia="仿宋" w:cs="仿宋"/>
          <w:b/>
          <w:bCs/>
          <w:i w:val="0"/>
          <w:iCs w:val="0"/>
          <w:caps w:val="0"/>
          <w:color w:val="000000"/>
          <w:spacing w:val="0"/>
          <w:sz w:val="21"/>
          <w:szCs w:val="21"/>
          <w:highlight w:val="none"/>
          <w:u w:val="none"/>
          <w:shd w:val="clear" w:color="auto" w:fill="ffffff"/>
          <w:lang w:eastAsia="zh-CN"/>
        </w:rPr>
        <w:t xml:space="preserve">常州市钟楼区五星街道社区卫生服务中心职工食堂委托经营服务</w:t>
      </w:r>
      <w:r>
        <w:rPr>
          <w:rFonts w:hint="eastAsia" w:ascii="仿宋" w:hAnsi="仿宋" w:eastAsia="仿宋" w:cs="仿宋"/>
          <w:color w:val="000000"/>
          <w:sz w:val="21"/>
          <w:szCs w:val="21"/>
          <w:highlight w:val="none"/>
          <w:u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项目预算金额：</w:t>
      </w:r>
      <w:r>
        <w:rPr>
          <w:rFonts w:hint="eastAsia" w:ascii="仿宋" w:hAnsi="仿宋" w:eastAsia="仿宋" w:cs="仿宋"/>
          <w:color w:val="000000"/>
          <w:sz w:val="21"/>
          <w:szCs w:val="21"/>
          <w:highlight w:val="none"/>
          <w:lang w:val="en-US" w:eastAsia="zh-CN"/>
        </w:rPr>
        <w:t xml:space="preserve">人民币135万元/三年（约45万元/年）</w:t>
      </w:r>
      <w:r>
        <w:rPr>
          <w:rFonts w:hint="eastAsia" w:ascii="仿宋" w:hAnsi="仿宋" w:eastAsia="仿宋" w:cs="仿宋"/>
          <w:color w:val="000000"/>
          <w:sz w:val="21"/>
          <w:szCs w:val="21"/>
          <w:highlight w:val="none"/>
        </w:rPr>
      </w:r>
      <w:r/>
    </w:p>
    <w:p>
      <w:pPr>
        <w:pStyle w:val="1054"/>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项目最高限价：</w:t>
      </w:r>
      <w:r>
        <w:rPr>
          <w:rFonts w:hint="eastAsia" w:ascii="仿宋" w:hAnsi="仿宋" w:eastAsia="仿宋" w:cs="仿宋"/>
          <w:color w:val="000000"/>
          <w:sz w:val="21"/>
          <w:szCs w:val="21"/>
          <w:highlight w:val="none"/>
          <w:lang w:val="en-US" w:eastAsia="zh-CN"/>
        </w:rPr>
        <w:t xml:space="preserve">人民币135万元/三年（约45万元/年）</w:t>
      </w:r>
      <w:r>
        <w:rPr>
          <w:rFonts w:hint="eastAsia" w:ascii="仿宋" w:hAnsi="仿宋" w:eastAsia="仿宋" w:cs="仿宋"/>
          <w:color w:val="000000"/>
          <w:sz w:val="21"/>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本项目以各单餐用餐标准为基数，供应商在响应文件中填报固定优惠率（优惠率应大于0）。</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每餐须按照单餐用餐标准*（1+成交优惠率）（元/人/餐）】的价格提供餐食，最终按照实际就餐次数据实结算。</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结算价举例：如单餐用餐标准为15元/人/餐，成交优惠率为20%，则成交供应商须按15*（1+20%）=18元/人/餐的标准向采购人提供餐食，实际结算价为15元/人/餐。年度结算金额不得高于45万元，高出部分不予结算。</w:t>
      </w:r>
      <w:r>
        <w:rPr>
          <w:rFonts w:hint="eastAsia" w:ascii="仿宋" w:hAnsi="仿宋" w:eastAsia="仿宋" w:cs="仿宋"/>
          <w:b/>
          <w:bCs/>
          <w:color w:val="000000"/>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采购需求：</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1）供应商主要负责提供常州市钟楼区五星街道社区卫生服务中心职工就餐服务及少量临时接待、检修人员等人员的就餐服务；</w:t>
      </w:r>
      <w:r>
        <w:rPr>
          <w:rFonts w:hint="eastAsia" w:ascii="仿宋" w:hAnsi="仿宋" w:eastAsia="仿宋" w:cs="仿宋"/>
          <w:color w:val="000000"/>
          <w:sz w:val="21"/>
          <w:szCs w:val="21"/>
          <w:highlight w:val="none"/>
          <w:lang w:eastAsia="zh-CN"/>
        </w:rPr>
        <w:t xml:space="preserve">在确保职工正常就餐供应的前提下，可兼营小炒、点心等；同时负责食堂全流程运营管理，包括但不限于食材采购、菜品制作、就餐服务、环境卫生、设施设备维护等</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经营模式：供应商自负盈亏，</w:t>
      </w:r>
      <w:r>
        <w:rPr>
          <w:rFonts w:hint="eastAsia" w:ascii="仿宋" w:hAnsi="仿宋" w:eastAsia="仿宋" w:cs="仿宋"/>
          <w:color w:val="000000"/>
          <w:sz w:val="21"/>
          <w:szCs w:val="21"/>
          <w:highlight w:val="none"/>
          <w:lang w:val="en-US" w:eastAsia="zh-CN"/>
        </w:rPr>
        <w:t xml:space="preserve">费用根据确定的餐费标准按实际就餐次数结算，</w:t>
      </w:r>
      <w:r>
        <w:rPr>
          <w:rFonts w:hint="eastAsia" w:ascii="仿宋" w:hAnsi="仿宋" w:eastAsia="仿宋" w:cs="仿宋"/>
          <w:b/>
          <w:bCs/>
          <w:color w:val="000000"/>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合同履行期限：暂定三年，合同一年一签。</w:t>
      </w:r>
      <w:r>
        <w:rPr>
          <w:rFonts w:hint="eastAsia" w:ascii="仿宋" w:hAnsi="仿宋" w:eastAsia="仿宋" w:cs="仿宋"/>
          <w:color w:val="000000"/>
          <w:sz w:val="21"/>
          <w:szCs w:val="21"/>
          <w:highlight w:val="none"/>
          <w:lang w:val="en-US" w:eastAsia="zh-CN"/>
        </w:rPr>
        <w:t xml:space="preserve">一年</w:t>
      </w:r>
      <w:r>
        <w:rPr>
          <w:rFonts w:hint="eastAsia" w:ascii="仿宋" w:hAnsi="仿宋" w:eastAsia="仿宋" w:cs="仿宋"/>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color w:val="000000"/>
          <w:sz w:val="21"/>
          <w:szCs w:val="21"/>
          <w:highlight w:val="none"/>
          <w:lang w:val="en-US" w:eastAsia="zh-CN"/>
        </w:rPr>
        <w:t xml:space="preserve">可续签</w:t>
      </w:r>
      <w:r>
        <w:rPr>
          <w:rFonts w:hint="eastAsia" w:ascii="仿宋" w:hAnsi="仿宋" w:eastAsia="仿宋" w:cs="仿宋"/>
          <w:color w:val="000000"/>
          <w:sz w:val="21"/>
          <w:szCs w:val="21"/>
          <w:highlight w:val="none"/>
          <w:lang w:eastAsia="zh-CN"/>
        </w:rPr>
        <w:t xml:space="preserve">下一</w:t>
      </w:r>
      <w:r>
        <w:rPr>
          <w:rFonts w:hint="eastAsia" w:ascii="仿宋" w:hAnsi="仿宋" w:eastAsia="仿宋" w:cs="仿宋"/>
          <w:color w:val="000000"/>
          <w:sz w:val="21"/>
          <w:szCs w:val="21"/>
          <w:highlight w:val="none"/>
          <w:lang w:val="en-US" w:eastAsia="zh-CN"/>
        </w:rPr>
        <w:t xml:space="preserve">年度</w:t>
      </w:r>
      <w:r>
        <w:rPr>
          <w:rFonts w:hint="eastAsia" w:ascii="仿宋" w:hAnsi="仿宋" w:eastAsia="仿宋" w:cs="仿宋"/>
          <w:color w:val="000000"/>
          <w:sz w:val="21"/>
          <w:szCs w:val="21"/>
          <w:highlight w:val="none"/>
          <w:lang w:eastAsia="zh-CN"/>
        </w:rPr>
        <w:t xml:space="preserve">的服务合同，续签最多不超过2次。</w:t>
      </w:r>
      <w:r>
        <w:rPr>
          <w:rFonts w:hint="eastAsia" w:ascii="仿宋" w:hAnsi="仿宋" w:eastAsia="仿宋" w:cs="仿宋"/>
          <w:color w:val="000000"/>
          <w:sz w:val="21"/>
          <w:szCs w:val="21"/>
          <w:highlight w:val="none"/>
          <w:lang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本项目是否接受联合体：否。</w:t>
      </w:r>
      <w:r>
        <w:rPr>
          <w:rFonts w:hint="eastAsia" w:ascii="仿宋" w:hAnsi="仿宋" w:eastAsia="仿宋" w:cs="仿宋"/>
          <w:color w:val="000000"/>
          <w:sz w:val="21"/>
          <w:szCs w:val="21"/>
          <w:highlight w:val="none"/>
          <w:lang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本项目是否接受进口产品响应：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是/否接受分支机构参与响应：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是/否属于政府购买服务：</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054"/>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是/否专门面向中小企业预留采购份额：</w:t>
      </w:r>
      <w:r>
        <w:rPr>
          <w:rFonts w:hint="eastAsia" w:ascii="仿宋" w:hAnsi="仿宋" w:eastAsia="仿宋" w:cs="仿宋"/>
          <w:b/>
          <w:bCs/>
          <w:color w:val="000000"/>
          <w:sz w:val="21"/>
          <w:szCs w:val="21"/>
          <w:highlight w:val="none"/>
          <w:lang w:val="en-US" w:eastAsia="zh-CN"/>
        </w:rPr>
        <w:t xml:space="preserve">是，</w:t>
      </w:r>
      <w:r>
        <w:rPr>
          <w:rFonts w:hint="eastAsia" w:ascii="仿宋" w:hAnsi="仿宋" w:eastAsia="仿宋" w:cs="仿宋"/>
          <w:b/>
          <w:bCs/>
          <w:color w:val="000000"/>
          <w:sz w:val="21"/>
          <w:szCs w:val="21"/>
          <w:highlight w:val="none"/>
        </w:rPr>
        <w:t xml:space="preserve">本项目专门面向中小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11.</w:t>
      </w:r>
      <w:r>
        <w:rPr>
          <w:rFonts w:hint="eastAsia" w:ascii="仿宋" w:hAnsi="仿宋" w:eastAsia="仿宋" w:cs="仿宋"/>
          <w:color w:val="000000"/>
          <w:sz w:val="21"/>
          <w:szCs w:val="21"/>
          <w:highlight w:val="none"/>
        </w:rPr>
        <w:t xml:space="preserve">本项目的特定资格要求：</w:t>
      </w:r>
      <w:r>
        <w:rPr>
          <w:rFonts w:hint="eastAsia" w:ascii="仿宋" w:hAnsi="仿宋" w:eastAsia="仿宋" w:cs="仿宋"/>
          <w:color w:val="000000"/>
          <w:sz w:val="21"/>
          <w:szCs w:val="21"/>
          <w:highlight w:val="none"/>
        </w:rPr>
      </w:r>
      <w:r/>
    </w:p>
    <w:p>
      <w:pPr>
        <w:pStyle w:val="1054"/>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供应商应具有有效期内的《食品经营许可证》且经营项目必须包含“餐饮服务管理（承包集中用餐单位食堂）或（承包单位食堂）”；【备注：如供应商提供的《食品经营许可证》中的经营场所非本项目所在地，须承诺成交后在采购人要求的时间内按规定在项目所在地办理合规的《食品经营许可证》。承诺函格式自拟，未提供承诺函或承诺的内容不符合要求的，作无效响应处理】  </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项目类别：</w:t>
      </w:r>
      <w:r>
        <w:rPr>
          <w:rFonts w:hint="eastAsia" w:ascii="仿宋" w:hAnsi="仿宋" w:eastAsia="仿宋" w:cs="仿宋"/>
          <w:b/>
          <w:bCs/>
          <w:color w:val="000000"/>
          <w:sz w:val="21"/>
          <w:szCs w:val="21"/>
          <w:highlight w:val="none"/>
          <w:lang w:val="en-US" w:eastAsia="zh-CN"/>
        </w:rPr>
        <w:t xml:space="preserve">服务</w:t>
      </w:r>
      <w:r>
        <w:rPr>
          <w:rFonts w:hint="eastAsia" w:ascii="仿宋" w:hAnsi="仿宋" w:eastAsia="仿宋" w:cs="仿宋"/>
          <w:b/>
          <w:bCs/>
          <w:color w:val="000000"/>
          <w:sz w:val="21"/>
          <w:szCs w:val="21"/>
          <w:highlight w:val="none"/>
        </w:rPr>
        <w:t xml:space="preserve">类</w:t>
      </w:r>
      <w:r>
        <w:rPr>
          <w:rFonts w:hint="eastAsia" w:ascii="仿宋" w:hAnsi="仿宋" w:eastAsia="仿宋" w:cs="仿宋"/>
          <w:color w:val="000000"/>
          <w:sz w:val="21"/>
          <w:szCs w:val="21"/>
          <w:highlight w:val="none"/>
        </w:rPr>
      </w:r>
      <w:r/>
    </w:p>
    <w:p>
      <w:pPr>
        <w:pStyle w:val="1504"/>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二、商务要求</w:t>
      </w:r>
      <w:r>
        <w:rPr>
          <w:rFonts w:hint="eastAsia" w:ascii="仿宋" w:hAnsi="仿宋" w:eastAsia="仿宋" w:cs="仿宋"/>
          <w:b/>
          <w:bCs/>
          <w:color w:val="000000"/>
          <w:sz w:val="21"/>
          <w:szCs w:val="21"/>
          <w:highlight w:val="none"/>
        </w:rPr>
      </w:r>
      <w:r/>
    </w:p>
    <w:p>
      <w:pPr>
        <w:pStyle w:val="1032"/>
        <w:numPr>
          <w:ilvl w:val="0"/>
          <w:numId w:val="0"/>
        </w:numPr>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rPr>
        <w:t xml:space="preserve">交付（实施）的时间（期限）和地点（范围）</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交付（实施）的时间（期限）</w:t>
      </w:r>
      <w:r>
        <w:rPr>
          <w:rFonts w:hint="eastAsia" w:ascii="仿宋" w:hAnsi="仿宋" w:eastAsia="仿宋" w:cs="仿宋"/>
          <w:color w:val="000000"/>
          <w:sz w:val="21"/>
          <w:szCs w:val="21"/>
          <w:highlight w:val="none"/>
          <w:lang w:eastAsia="zh-CN"/>
        </w:rPr>
        <w:t xml:space="preserve">：暂定三年，合同一年一签。</w:t>
      </w:r>
      <w:r>
        <w:rPr>
          <w:rFonts w:hint="eastAsia" w:ascii="仿宋" w:hAnsi="仿宋" w:eastAsia="仿宋" w:cs="仿宋"/>
          <w:color w:val="000000"/>
          <w:sz w:val="21"/>
          <w:szCs w:val="21"/>
          <w:highlight w:val="none"/>
          <w:lang w:val="en-US" w:eastAsia="zh-CN"/>
        </w:rPr>
        <w:t xml:space="preserve">一年</w:t>
      </w:r>
      <w:r>
        <w:rPr>
          <w:rFonts w:hint="eastAsia" w:ascii="仿宋" w:hAnsi="仿宋" w:eastAsia="仿宋" w:cs="仿宋"/>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color w:val="000000"/>
          <w:sz w:val="21"/>
          <w:szCs w:val="21"/>
          <w:highlight w:val="none"/>
          <w:lang w:val="en-US" w:eastAsia="zh-CN"/>
        </w:rPr>
        <w:t xml:space="preserve">可续签</w:t>
      </w:r>
      <w:r>
        <w:rPr>
          <w:rFonts w:hint="eastAsia" w:ascii="仿宋" w:hAnsi="仿宋" w:eastAsia="仿宋" w:cs="仿宋"/>
          <w:color w:val="000000"/>
          <w:sz w:val="21"/>
          <w:szCs w:val="21"/>
          <w:highlight w:val="none"/>
          <w:lang w:eastAsia="zh-CN"/>
        </w:rPr>
        <w:t xml:space="preserve">下一</w:t>
      </w:r>
      <w:r>
        <w:rPr>
          <w:rFonts w:hint="eastAsia" w:ascii="仿宋" w:hAnsi="仿宋" w:eastAsia="仿宋" w:cs="仿宋"/>
          <w:color w:val="000000"/>
          <w:sz w:val="21"/>
          <w:szCs w:val="21"/>
          <w:highlight w:val="none"/>
          <w:lang w:val="en-US" w:eastAsia="zh-CN"/>
        </w:rPr>
        <w:t xml:space="preserve">年度</w:t>
      </w:r>
      <w:r>
        <w:rPr>
          <w:rFonts w:hint="eastAsia" w:ascii="仿宋" w:hAnsi="仿宋" w:eastAsia="仿宋" w:cs="仿宋"/>
          <w:color w:val="000000"/>
          <w:sz w:val="21"/>
          <w:szCs w:val="21"/>
          <w:highlight w:val="none"/>
          <w:lang w:eastAsia="zh-CN"/>
        </w:rPr>
        <w:t xml:space="preserve">的服务合同，续签最多不超过2次。</w:t>
      </w:r>
      <w:r>
        <w:rPr>
          <w:rFonts w:hint="eastAsia" w:ascii="仿宋" w:hAnsi="仿宋" w:eastAsia="仿宋" w:cs="仿宋"/>
          <w:color w:val="000000"/>
          <w:sz w:val="21"/>
          <w:szCs w:val="21"/>
          <w:highlight w:val="none"/>
          <w:lang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交付（实施）的地点（范围）</w:t>
      </w:r>
      <w:r>
        <w:rPr>
          <w:rFonts w:hint="eastAsia" w:ascii="仿宋" w:hAnsi="仿宋" w:eastAsia="仿宋" w:cs="仿宋"/>
          <w:color w:val="000000"/>
          <w:sz w:val="21"/>
          <w:szCs w:val="21"/>
          <w:highlight w:val="none"/>
          <w:lang w:eastAsia="zh-CN"/>
        </w:rPr>
        <w:t xml:space="preserve">：常州市关河西路282号 ，</w:t>
      </w:r>
      <w:r>
        <w:rPr>
          <w:rFonts w:hint="eastAsia" w:ascii="仿宋" w:hAnsi="仿宋" w:eastAsia="仿宋" w:cs="仿宋"/>
          <w:color w:val="000000"/>
          <w:sz w:val="21"/>
          <w:szCs w:val="21"/>
          <w:highlight w:val="none"/>
          <w:lang w:val="en-US" w:eastAsia="zh-CN"/>
        </w:rPr>
        <w:t xml:space="preserve">常州市钟楼区五星街道社区卫生服务中心内</w:t>
      </w:r>
      <w:r>
        <w:rPr>
          <w:rFonts w:hint="eastAsia" w:ascii="仿宋" w:hAnsi="仿宋" w:eastAsia="仿宋" w:cs="仿宋"/>
          <w:color w:val="000000"/>
          <w:sz w:val="21"/>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付款条件（进度和方式）</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结算周期及流程：</w:t>
      </w:r>
      <w:r>
        <w:rPr>
          <w:rFonts w:hint="eastAsia" w:ascii="仿宋" w:hAnsi="仿宋" w:eastAsia="仿宋" w:cs="仿宋"/>
          <w:color w:val="000000"/>
          <w:sz w:val="21"/>
          <w:szCs w:val="21"/>
          <w:highlight w:val="none"/>
        </w:rPr>
        <w:t xml:space="preserve">双方</w:t>
      </w:r>
      <w:r>
        <w:rPr>
          <w:rFonts w:hint="eastAsia" w:ascii="仿宋" w:hAnsi="仿宋" w:eastAsia="仿宋" w:cs="仿宋"/>
          <w:color w:val="000000"/>
          <w:sz w:val="21"/>
          <w:szCs w:val="21"/>
          <w:highlight w:val="none"/>
          <w:lang w:val="en-US" w:eastAsia="zh-CN"/>
        </w:rPr>
        <w:t xml:space="preserve">在</w:t>
      </w:r>
      <w:r>
        <w:rPr>
          <w:rFonts w:hint="eastAsia" w:ascii="仿宋" w:hAnsi="仿宋" w:eastAsia="仿宋" w:cs="仿宋"/>
          <w:color w:val="000000"/>
          <w:sz w:val="21"/>
          <w:szCs w:val="21"/>
          <w:highlight w:val="none"/>
        </w:rPr>
        <w:t xml:space="preserve">每月10日前（遇节假日顺延），核对上月实际用餐数据（含用餐人数、用餐次数、用餐标准等），确认无误后签署《月度用餐结算确认单》；成交供应商需在签署确认单后3个工作日内，向采购人开具合格的增值税发票，采购人在收到合格发票后支付上月结算费用。</w:t>
      </w:r>
      <w:r>
        <w:rPr>
          <w:rFonts w:hint="eastAsia" w:ascii="仿宋" w:hAnsi="仿宋" w:eastAsia="仿宋" w:cs="仿宋"/>
          <w:color w:val="000000"/>
          <w:sz w:val="21"/>
          <w:szCs w:val="21"/>
          <w:highlight w:val="none"/>
        </w:rPr>
        <w:t xml:space="preserve">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b/>
          <w:bCs/>
          <w:color w:val="000000"/>
          <w:sz w:val="21"/>
          <w:szCs w:val="21"/>
          <w:highlight w:val="none"/>
          <w:lang w:val="en-US" w:eastAsia="zh-CN"/>
        </w:rPr>
        <w:t xml:space="preserve">年度结算金额不得高于45万元，高出部分不予结算。</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：暂留2个月结算费用作为</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，合同履行期满，且供应商无违约行为、无未结清费用、资产移交合格后，采购人在15个工作日内将</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无息退还供应商。</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水电费结算：水电费按实际发生额每月结算一次，</w:t>
      </w:r>
      <w:r>
        <w:rPr>
          <w:rFonts w:hint="eastAsia" w:ascii="仿宋" w:hAnsi="仿宋" w:eastAsia="仿宋" w:cs="仿宋"/>
          <w:color w:val="000000"/>
          <w:sz w:val="21"/>
          <w:szCs w:val="21"/>
          <w:highlight w:val="none"/>
        </w:rPr>
        <w:t xml:space="preserve">由采购人代为缴纳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供应商需在收到</w:t>
      </w:r>
      <w:r>
        <w:rPr>
          <w:rFonts w:hint="eastAsia" w:ascii="仿宋" w:hAnsi="仿宋" w:eastAsia="仿宋" w:cs="仿宋"/>
          <w:color w:val="000000"/>
          <w:sz w:val="21"/>
          <w:szCs w:val="21"/>
          <w:highlight w:val="none"/>
          <w:lang w:val="en-US" w:eastAsia="zh-CN"/>
        </w:rPr>
        <w:t xml:space="preserve">采购人的</w:t>
      </w:r>
      <w:r>
        <w:rPr>
          <w:rFonts w:hint="eastAsia" w:ascii="仿宋" w:hAnsi="仿宋" w:eastAsia="仿宋" w:cs="仿宋"/>
          <w:color w:val="000000"/>
          <w:sz w:val="21"/>
          <w:szCs w:val="21"/>
          <w:highlight w:val="none"/>
        </w:rPr>
        <w:t xml:space="preserve">缴费凭证后3个工作日内，将水电费足额支付给采购人</w:t>
      </w:r>
      <w:r>
        <w:rPr>
          <w:rFonts w:hint="eastAsia" w:ascii="仿宋" w:hAnsi="仿宋" w:eastAsia="仿宋" w:cs="仿宋"/>
          <w:color w:val="000000"/>
          <w:sz w:val="21"/>
          <w:szCs w:val="21"/>
          <w:highlight w:val="none"/>
          <w:lang w:val="en-US" w:eastAsia="zh-CN"/>
        </w:rPr>
        <w:t xml:space="preserve">或从应结算费用中扣除</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包装和运输</w:t>
      </w:r>
      <w:r>
        <w:rPr>
          <w:rFonts w:hint="eastAsia" w:ascii="仿宋" w:hAnsi="仿宋" w:eastAsia="仿宋" w:cs="仿宋"/>
          <w:color w:val="000000"/>
          <w:sz w:val="21"/>
          <w:szCs w:val="21"/>
          <w:highlight w:val="none"/>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货物类必须要求供应商满足《关于印发〈商品包装政府采购需求标准（试行）〉、〈快递包装政府采购需求标准（试行）〉的通知》（财办库〔2020〕123号））的规定。</w:t>
      </w:r>
      <w:r>
        <w:rPr>
          <w:rFonts w:hint="eastAsia" w:ascii="仿宋" w:hAnsi="仿宋" w:eastAsia="仿宋" w:cs="仿宋"/>
          <w:color w:val="000000"/>
          <w:sz w:val="21"/>
          <w:szCs w:val="21"/>
          <w:highlight w:val="none"/>
          <w:lang w:val="en-US" w:eastAsia="zh-CN"/>
        </w:rPr>
      </w:r>
      <w:r/>
    </w:p>
    <w:p>
      <w:pPr>
        <w:pStyle w:val="1032"/>
        <w:ind w:left="0" w:right="0" w:firstLine="420"/>
        <w:jc w:val="both"/>
        <w:keepLines w:val="0"/>
        <w:keepNext w:val="0"/>
        <w:pageBreakBefore w:val="0"/>
        <w:spacing w:line="360" w:lineRule="auto"/>
        <w:widowControl w:val="off"/>
        <w:rPr>
          <w:rFonts w:ascii="仿宋" w:hAnsi="仿宋" w:eastAsia="仿宋" w:cs="仿宋"/>
          <w:color w:val="000000"/>
          <w:sz w:val="21"/>
          <w:szCs w:val="21"/>
          <w:highlight w:val="none"/>
          <w:lang w:val="en-US" w:eastAsia="zh-CN"/>
        </w:rPr>
        <w:outlineLvl w:val="9"/>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售后服务（质保期等）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详见技术要求</w:t>
      </w:r>
      <w:r>
        <w:rPr>
          <w:rFonts w:ascii="仿宋" w:hAnsi="仿宋" w:eastAsia="仿宋" w:cs="仿宋"/>
          <w:color w:val="000000"/>
          <w:sz w:val="21"/>
          <w:szCs w:val="21"/>
          <w:highlight w:val="none"/>
          <w:lang w:val="en-US" w:eastAsia="zh-CN"/>
        </w:rPr>
      </w:r>
      <w:r/>
    </w:p>
    <w:p>
      <w:pPr>
        <w:pStyle w:val="1032"/>
        <w:ind w:left="0" w:right="0" w:firstLine="420"/>
        <w:jc w:val="both"/>
        <w:keepLines w:val="0"/>
        <w:keepNext w:val="0"/>
        <w:pageBreakBefore w:val="0"/>
        <w:spacing w:line="360" w:lineRule="auto"/>
        <w:widowControl w:val="off"/>
        <w:rPr>
          <w:rFonts w:hint="eastAsia" w:ascii="仿宋" w:hAnsi="仿宋" w:eastAsia="仿宋" w:cs="仿宋"/>
          <w:i/>
          <w:color w:val="000000"/>
          <w:sz w:val="21"/>
          <w:szCs w:val="21"/>
          <w:highlight w:val="none"/>
        </w:rPr>
        <w:outlineLvl w:val="9"/>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保险：无</w:t>
      </w:r>
      <w:r>
        <w:rPr>
          <w:rFonts w:hint="eastAsia" w:ascii="仿宋" w:hAnsi="仿宋" w:eastAsia="仿宋" w:cs="仿宋"/>
          <w:i/>
          <w:color w:val="000000"/>
          <w:sz w:val="21"/>
          <w:szCs w:val="21"/>
          <w:highlight w:val="none"/>
        </w:rPr>
      </w:r>
      <w:r/>
    </w:p>
    <w:p>
      <w:pPr>
        <w:pStyle w:val="1504"/>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三、技术要求</w:t>
      </w:r>
      <w:r>
        <w:rPr>
          <w:rFonts w:hint="eastAsia" w:ascii="仿宋" w:hAnsi="仿宋" w:eastAsia="仿宋" w:cs="仿宋"/>
          <w:b/>
          <w:bCs/>
          <w:color w:val="000000"/>
          <w:sz w:val="21"/>
          <w:szCs w:val="21"/>
          <w:highlight w:val="none"/>
        </w:rPr>
      </w:r>
      <w:r/>
    </w:p>
    <w:p>
      <w:pPr>
        <w:pStyle w:val="1032"/>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本项目采购需求涉及的服务要求及技术标准，采用现行相关的国家标准、行业标准及企业标准，当相关标准互相冲突时，以高一级的标准为准；所有这些采用的标准如有新旧版本冲突，合同履行时按有关机构发布的最新版本的标准执行。本项目所参照的国家、行业、地方标准如有被新版本所替代的，采用新版本或旧版本为检测标准的检测报告及证明材料都将被接受。</w:t>
      </w:r>
      <w:r>
        <w:rPr>
          <w:rFonts w:hint="eastAsia" w:ascii="仿宋" w:hAnsi="仿宋" w:eastAsia="仿宋" w:cs="仿宋"/>
          <w:b/>
          <w:bCs/>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0"/>
      </w:pPr>
      <w:r/>
      <w:bookmarkStart w:id="792" w:name="heading_1"/>
      <w:r/>
      <w:bookmarkStart w:id="793" w:name="_Toc10798"/>
      <w:r>
        <w:rPr>
          <w:rFonts w:hint="eastAsia" w:ascii="仿宋" w:hAnsi="仿宋" w:eastAsia="仿宋" w:cs="仿宋"/>
          <w:b/>
          <w:bCs w:val="0"/>
          <w:i w:val="0"/>
          <w:iCs w:val="0"/>
          <w:color w:val="000000"/>
          <w:sz w:val="21"/>
          <w:szCs w:val="21"/>
          <w:highlight w:val="none"/>
          <w:lang w:val="en-US" w:eastAsia="zh-CN"/>
        </w:rPr>
        <w:t xml:space="preserve">A</w:t>
      </w:r>
      <w:r>
        <w:rPr>
          <w:rFonts w:hint="eastAsia" w:ascii="仿宋" w:hAnsi="仿宋" w:eastAsia="仿宋" w:cs="仿宋"/>
          <w:b/>
          <w:bCs w:val="0"/>
          <w:i w:val="0"/>
          <w:iCs w:val="0"/>
          <w:color w:val="000000"/>
          <w:sz w:val="21"/>
          <w:szCs w:val="21"/>
          <w:highlight w:val="none"/>
        </w:rPr>
        <w:t xml:space="preserve">、用餐标准及相关约定</w:t>
      </w:r>
      <w:bookmarkEnd w:id="792"/>
      <w:r/>
      <w:bookmarkEnd w:id="793"/>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1"/>
      </w:pPr>
      <w:r/>
      <w:bookmarkStart w:id="794" w:name="heading_2"/>
      <w:r>
        <w:rPr>
          <w:rFonts w:hint="eastAsia" w:ascii="仿宋" w:hAnsi="仿宋" w:eastAsia="仿宋" w:cs="仿宋"/>
          <w:b/>
          <w:bCs w:val="0"/>
          <w:i w:val="0"/>
          <w:iCs w:val="0"/>
          <w:color w:val="000000"/>
          <w:sz w:val="21"/>
          <w:szCs w:val="21"/>
          <w:highlight w:val="none"/>
        </w:rPr>
        <w:t xml:space="preserve">（一）用餐清单及标准</w:t>
      </w:r>
      <w:bookmarkEnd w:id="794"/>
      <w:r>
        <w:rPr>
          <w:rFonts w:hint="eastAsia" w:ascii="仿宋" w:hAnsi="仿宋" w:eastAsia="仿宋" w:cs="仿宋"/>
          <w:b/>
          <w:bCs w:val="0"/>
          <w:i w:val="0"/>
          <w:iCs w:val="0"/>
          <w:color w:val="000000"/>
          <w:sz w:val="21"/>
          <w:szCs w:val="21"/>
          <w:highlight w:val="none"/>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685"/>
        <w:gridCol w:w="1423"/>
        <w:gridCol w:w="1596"/>
        <w:gridCol w:w="1536"/>
        <w:gridCol w:w="1248"/>
        <w:gridCol w:w="2351"/>
      </w:tblGrid>
      <w:tr>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序号</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用餐时间</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预估用餐人数（人）</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用餐标准</w:t>
            </w:r>
            <w:r>
              <w:rPr>
                <w:rFonts w:hint="eastAsia" w:ascii="仿宋" w:hAnsi="仿宋" w:eastAsia="仿宋" w:cs="仿宋"/>
                <w:b/>
                <w:bCs w:val="0"/>
                <w:i w:val="0"/>
                <w:iCs w:val="0"/>
                <w:color w:val="000000"/>
                <w:sz w:val="21"/>
                <w:szCs w:val="21"/>
                <w:highlight w:val="none"/>
              </w:rPr>
            </w:r>
            <w:r/>
          </w:p>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（元/人/餐）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ascii="仿宋" w:hAnsi="仿宋" w:eastAsia="仿宋" w:cs="仿宋"/>
                <w:b/>
                <w:bCs w:val="0"/>
                <w:i w:val="0"/>
                <w:iCs w:val="0"/>
                <w:color w:val="000000"/>
                <w:sz w:val="21"/>
                <w:szCs w:val="21"/>
                <w:highlight w:val="none"/>
                <w:lang w:val="en-US" w:eastAsia="zh-CN"/>
              </w:rPr>
            </w:pPr>
            <w:r>
              <w:rPr>
                <w:rFonts w:hint="eastAsia" w:ascii="仿宋" w:hAnsi="仿宋" w:eastAsia="仿宋" w:cs="仿宋"/>
                <w:b/>
                <w:bCs w:val="0"/>
                <w:i w:val="0"/>
                <w:iCs w:val="0"/>
                <w:color w:val="000000"/>
                <w:sz w:val="21"/>
                <w:szCs w:val="21"/>
                <w:highlight w:val="none"/>
              </w:rPr>
              <w:t xml:space="preserve">用餐天数</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val="en-US" w:eastAsia="zh-CN"/>
              </w:rPr>
              <w:t xml:space="preserve">天/月）</w:t>
            </w:r>
            <w:r>
              <w:rPr>
                <w:rFonts w:ascii="仿宋" w:hAnsi="仿宋" w:eastAsia="仿宋" w:cs="仿宋"/>
                <w:b/>
                <w:bCs w:val="0"/>
                <w:i w:val="0"/>
                <w:iCs w:val="0"/>
                <w:color w:val="000000"/>
                <w:sz w:val="21"/>
                <w:szCs w:val="21"/>
                <w:highlight w:val="none"/>
                <w:lang w:val="en-US" w:eastAsia="zh-CN"/>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备注</w:t>
            </w:r>
            <w:r>
              <w:rPr>
                <w:rFonts w:hint="eastAsia" w:ascii="仿宋" w:hAnsi="仿宋" w:eastAsia="仿宋" w:cs="仿宋"/>
                <w:b/>
                <w:bCs w:val="0"/>
                <w:i w:val="0"/>
                <w:iCs w:val="0"/>
                <w:color w:val="000000"/>
                <w:sz w:val="21"/>
                <w:szCs w:val="21"/>
                <w:highlight w:val="none"/>
              </w:rPr>
            </w:r>
            <w:r/>
          </w:p>
        </w:tc>
      </w:tr>
      <w:tr>
        <w:trPr>
          <w:trHeight w:val="432"/>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早餐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8</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5</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30</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对值班职工提供，可对全体职工开放</w:t>
            </w:r>
            <w:r>
              <w:rPr>
                <w:rFonts w:hint="eastAsia" w:ascii="仿宋" w:hAnsi="仿宋" w:eastAsia="仿宋" w:cs="仿宋"/>
                <w:b/>
                <w:bCs w:val="0"/>
                <w:i w:val="0"/>
                <w:iCs w:val="0"/>
                <w:color w:val="000000"/>
                <w:sz w:val="21"/>
                <w:szCs w:val="21"/>
                <w:highlight w:val="none"/>
              </w:rPr>
            </w:r>
            <w:r/>
          </w:p>
        </w:tc>
      </w:tr>
      <w:tr>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2</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中餐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90</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15</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22</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全体职工主要用餐时段</w:t>
            </w:r>
            <w:r>
              <w:rPr>
                <w:rFonts w:hint="eastAsia" w:ascii="仿宋" w:hAnsi="仿宋" w:eastAsia="仿宋" w:cs="仿宋"/>
                <w:b/>
                <w:bCs w:val="0"/>
                <w:i w:val="0"/>
                <w:iCs w:val="0"/>
                <w:color w:val="000000"/>
                <w:sz w:val="21"/>
                <w:szCs w:val="21"/>
                <w:highlight w:val="none"/>
              </w:rPr>
            </w:r>
            <w:r/>
          </w:p>
        </w:tc>
      </w:tr>
      <w:tr>
        <w:trPr/>
        <w:tc>
          <w:tcPr>
            <w:tcMar>
              <w:left w:w="120" w:type="dxa"/>
              <w:top w:w="60" w:type="dxa"/>
              <w:right w:w="120" w:type="dxa"/>
              <w:bottom w:w="30" w:type="dxa"/>
            </w:tcMar>
            <w:tcW w:w="685"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423"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晚餐</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9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8</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536"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15</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1248"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30</w:t>
            </w:r>
            <w:r>
              <w:rPr>
                <w:rFonts w:hint="eastAsia" w:ascii="仿宋" w:hAnsi="仿宋" w:eastAsia="仿宋" w:cs="仿宋"/>
                <w:b/>
                <w:bCs w:val="0"/>
                <w:i w:val="0"/>
                <w:iCs w:val="0"/>
                <w:color w:val="000000"/>
                <w:sz w:val="21"/>
                <w:szCs w:val="21"/>
                <w:highlight w:val="none"/>
              </w:rPr>
            </w:r>
            <w:r/>
          </w:p>
        </w:tc>
        <w:tc>
          <w:tcPr>
            <w:tcMar>
              <w:left w:w="120" w:type="dxa"/>
              <w:top w:w="60" w:type="dxa"/>
              <w:right w:w="120" w:type="dxa"/>
              <w:bottom w:w="30" w:type="dxa"/>
            </w:tcMar>
            <w:tcW w:w="2351" w:type="dxa"/>
            <w:vAlign w:val="center"/>
            <w:textDirection w:val="lrTb"/>
            <w:noWrap w:val="false"/>
          </w:tcPr>
          <w:p>
            <w:pPr>
              <w:pStyle w:val="1032"/>
              <w:jc w:val="center"/>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对值班职工提供</w:t>
            </w:r>
            <w:r>
              <w:rPr>
                <w:rFonts w:hint="eastAsia" w:ascii="仿宋" w:hAnsi="仿宋" w:eastAsia="仿宋" w:cs="仿宋"/>
                <w:b/>
                <w:bCs w:val="0"/>
                <w:i w:val="0"/>
                <w:iCs w:val="0"/>
                <w:color w:val="000000"/>
                <w:sz w:val="21"/>
                <w:szCs w:val="21"/>
                <w:highlight w:val="none"/>
              </w:rPr>
            </w:r>
            <w:r/>
          </w:p>
        </w:tc>
      </w:tr>
    </w:tbl>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1"/>
      </w:pPr>
      <w:r/>
      <w:bookmarkStart w:id="795" w:name="heading_3"/>
      <w:r>
        <w:rPr>
          <w:rFonts w:hint="eastAsia" w:ascii="仿宋" w:hAnsi="仿宋" w:eastAsia="仿宋" w:cs="仿宋"/>
          <w:b/>
          <w:bCs w:val="0"/>
          <w:i w:val="0"/>
          <w:iCs w:val="0"/>
          <w:color w:val="000000"/>
          <w:sz w:val="21"/>
          <w:szCs w:val="21"/>
          <w:highlight w:val="none"/>
        </w:rPr>
        <w:t xml:space="preserve">（二）伙食具体要求</w:t>
      </w:r>
      <w:bookmarkEnd w:id="795"/>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1.职工用餐要求：</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（1）早餐：提供粥类、牛奶、包子、生煎、麻糕、油条、煮鸡蛋等品类中任意3样，保障值班职工用餐需求，可向全体职工开放供应。</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（2）中餐、晚餐：每餐</w:t>
      </w:r>
      <w:r>
        <w:rPr>
          <w:rFonts w:hint="eastAsia" w:ascii="仿宋" w:hAnsi="仿宋" w:eastAsia="仿宋" w:cs="仿宋"/>
          <w:b/>
          <w:bCs w:val="0"/>
          <w:i w:val="0"/>
          <w:iCs w:val="0"/>
          <w:color w:val="000000"/>
          <w:sz w:val="21"/>
          <w:szCs w:val="21"/>
          <w:highlight w:val="none"/>
          <w:lang w:val="en-US" w:eastAsia="zh-CN"/>
        </w:rPr>
        <w:t xml:space="preserve">标准</w:t>
      </w:r>
      <w:r>
        <w:rPr>
          <w:rFonts w:hint="eastAsia" w:ascii="仿宋" w:hAnsi="仿宋" w:eastAsia="仿宋" w:cs="仿宋"/>
          <w:b/>
          <w:bCs w:val="0"/>
          <w:i w:val="0"/>
          <w:iCs w:val="0"/>
          <w:color w:val="000000"/>
          <w:sz w:val="21"/>
          <w:szCs w:val="21"/>
          <w:highlight w:val="none"/>
        </w:rPr>
        <w:t xml:space="preserve">提供不少于</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rPr>
        <w:t xml:space="preserve">1大荤</w:t>
      </w:r>
      <w:r>
        <w:rPr>
          <w:rFonts w:hint="eastAsia" w:ascii="仿宋" w:hAnsi="仿宋" w:eastAsia="仿宋" w:cs="仿宋"/>
          <w:b/>
          <w:bCs w:val="0"/>
          <w:i w:val="0"/>
          <w:iCs w:val="0"/>
          <w:color w:val="000000"/>
          <w:sz w:val="21"/>
          <w:szCs w:val="21"/>
          <w:highlight w:val="none"/>
          <w:lang w:val="en-US" w:eastAsia="zh-CN"/>
        </w:rPr>
        <w:t xml:space="preserve">+</w:t>
      </w:r>
      <w:r>
        <w:rPr>
          <w:rFonts w:hint="eastAsia" w:ascii="仿宋" w:hAnsi="仿宋" w:eastAsia="仿宋" w:cs="仿宋"/>
          <w:b/>
          <w:bCs w:val="0"/>
          <w:i w:val="0"/>
          <w:iCs w:val="0"/>
          <w:color w:val="000000"/>
          <w:sz w:val="21"/>
          <w:szCs w:val="21"/>
          <w:highlight w:val="none"/>
        </w:rPr>
        <w:t xml:space="preserve">1小荤</w:t>
      </w:r>
      <w:r>
        <w:rPr>
          <w:rFonts w:hint="eastAsia" w:ascii="仿宋" w:hAnsi="仿宋" w:eastAsia="仿宋" w:cs="仿宋"/>
          <w:b/>
          <w:bCs w:val="0"/>
          <w:i w:val="0"/>
          <w:iCs w:val="0"/>
          <w:color w:val="000000"/>
          <w:sz w:val="21"/>
          <w:szCs w:val="21"/>
          <w:highlight w:val="none"/>
          <w:lang w:val="en-US" w:eastAsia="zh-CN"/>
        </w:rPr>
        <w:t xml:space="preserve">+</w:t>
      </w:r>
      <w:r>
        <w:rPr>
          <w:rFonts w:hint="eastAsia" w:ascii="仿宋" w:hAnsi="仿宋" w:eastAsia="仿宋" w:cs="仿宋"/>
          <w:b/>
          <w:bCs w:val="0"/>
          <w:i w:val="0"/>
          <w:iCs w:val="0"/>
          <w:color w:val="000000"/>
          <w:sz w:val="21"/>
          <w:szCs w:val="21"/>
          <w:highlight w:val="none"/>
        </w:rPr>
        <w:t xml:space="preserve">2素菜</w:t>
      </w:r>
      <w:r>
        <w:rPr>
          <w:rFonts w:hint="eastAsia" w:ascii="仿宋" w:hAnsi="仿宋" w:eastAsia="仿宋" w:cs="仿宋"/>
          <w:b/>
          <w:bCs w:val="0"/>
          <w:i w:val="0"/>
          <w:iCs w:val="0"/>
          <w:color w:val="000000"/>
          <w:sz w:val="21"/>
          <w:szCs w:val="21"/>
          <w:highlight w:val="none"/>
          <w:lang w:val="en-US" w:eastAsia="zh-CN"/>
        </w:rPr>
        <w:t xml:space="preserve">+</w:t>
      </w:r>
      <w:r>
        <w:rPr>
          <w:rFonts w:hint="eastAsia" w:ascii="仿宋" w:hAnsi="仿宋" w:eastAsia="仿宋" w:cs="仿宋"/>
          <w:b/>
          <w:bCs w:val="0"/>
          <w:i w:val="0"/>
          <w:iCs w:val="0"/>
          <w:color w:val="000000"/>
          <w:sz w:val="21"/>
          <w:szCs w:val="21"/>
          <w:highlight w:val="none"/>
        </w:rPr>
        <w:t xml:space="preserve">1汤</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rPr>
        <w:t xml:space="preserve">；食堂需提前公示职工一周菜谱，中餐及晚餐菜谱不得重复。菜肴品种丰富，定期更新菜品，积极创新菜肴品种，根据季节变化推出适宜菜品。</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（3）自行点餐标准：同类性质冷菜价格≤</w:t>
      </w:r>
      <w:r>
        <w:rPr>
          <w:rFonts w:hint="eastAsia" w:ascii="仿宋" w:hAnsi="仿宋" w:eastAsia="仿宋" w:cs="仿宋"/>
          <w:b/>
          <w:bCs w:val="0"/>
          <w:i w:val="0"/>
          <w:iCs w:val="0"/>
          <w:color w:val="000000"/>
          <w:sz w:val="21"/>
          <w:szCs w:val="21"/>
          <w:highlight w:val="none"/>
        </w:rPr>
        <w:t xml:space="preserve">裕芳斋冷菜价，热菜价格≤舅婆家热菜价</w:t>
      </w:r>
      <w:r>
        <w:rPr>
          <w:rFonts w:hint="eastAsia" w:ascii="仿宋" w:hAnsi="仿宋" w:eastAsia="仿宋" w:cs="仿宋"/>
          <w:b/>
          <w:bCs w:val="0"/>
          <w:i w:val="0"/>
          <w:iCs w:val="0"/>
          <w:color w:val="000000"/>
          <w:sz w:val="21"/>
          <w:szCs w:val="21"/>
          <w:highlight w:val="none"/>
        </w:rPr>
        <w:t xml:space="preserve">，价格需公示。</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val="en-US" w:eastAsia="zh-CN"/>
        </w:rPr>
      </w:pPr>
      <w:r>
        <w:rPr>
          <w:rFonts w:hint="eastAsia" w:ascii="仿宋" w:hAnsi="仿宋" w:eastAsia="仿宋" w:cs="仿宋"/>
          <w:b/>
          <w:bCs w:val="0"/>
          <w:i w:val="0"/>
          <w:iCs w:val="0"/>
          <w:color w:val="000000"/>
          <w:sz w:val="21"/>
          <w:szCs w:val="21"/>
          <w:highlight w:val="none"/>
        </w:rPr>
        <w:t xml:space="preserve">2.</w:t>
      </w:r>
      <w:r>
        <w:rPr>
          <w:rFonts w:hint="eastAsia" w:ascii="仿宋" w:hAnsi="仿宋" w:eastAsia="仿宋" w:cs="仿宋"/>
          <w:b/>
          <w:bCs w:val="0"/>
          <w:i w:val="0"/>
          <w:iCs w:val="0"/>
          <w:color w:val="000000"/>
          <w:sz w:val="21"/>
          <w:szCs w:val="21"/>
          <w:highlight w:val="none"/>
          <w:lang w:val="en-US" w:eastAsia="zh-CN"/>
        </w:rPr>
        <w:t xml:space="preserve">在确保上述就餐正常供应后，可根据职工和患者、家属需要兼营小炒、点心等，承接中心临时接待、检修人员工作餐等少量餐饮服务。</w:t>
      </w:r>
      <w:r>
        <w:rPr>
          <w:rFonts w:hint="eastAsia" w:ascii="仿宋" w:hAnsi="仿宋" w:eastAsia="仿宋" w:cs="仿宋"/>
          <w:b/>
          <w:bCs w:val="0"/>
          <w:i w:val="0"/>
          <w:iCs w:val="0"/>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val="en-US" w:eastAsia="zh-CN"/>
        </w:rPr>
        <w:t xml:space="preserve">三）</w:t>
      </w:r>
      <w:r>
        <w:rPr>
          <w:rFonts w:hint="eastAsia" w:ascii="仿宋" w:hAnsi="仿宋" w:eastAsia="仿宋" w:cs="仿宋"/>
          <w:b/>
          <w:bCs w:val="0"/>
          <w:i w:val="0"/>
          <w:iCs w:val="0"/>
          <w:color w:val="000000"/>
          <w:sz w:val="21"/>
          <w:szCs w:val="21"/>
          <w:highlight w:val="none"/>
        </w:rPr>
        <w:t xml:space="preserve">职工饭卡管理</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采购人职工用餐人数合计约100人，职工饭卡每月固定充值330元，按每年12个月计算，饭卡内金额仅限在食堂用餐消费，年底清零。</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outlineLvl w:val="1"/>
      </w:pPr>
      <w:r/>
      <w:bookmarkStart w:id="796" w:name="heading_4"/>
      <w:r>
        <w:rPr>
          <w:rFonts w:hint="eastAsia" w:ascii="仿宋" w:hAnsi="仿宋" w:eastAsia="仿宋" w:cs="仿宋"/>
          <w:b/>
          <w:bCs w:val="0"/>
          <w:i w:val="0"/>
          <w:iCs w:val="0"/>
          <w:color w:val="000000"/>
          <w:sz w:val="21"/>
          <w:szCs w:val="21"/>
          <w:highlight w:val="none"/>
        </w:rPr>
        <w:t xml:space="preserve">（</w:t>
      </w:r>
      <w:r>
        <w:rPr>
          <w:rFonts w:hint="eastAsia" w:ascii="仿宋" w:hAnsi="仿宋" w:eastAsia="仿宋" w:cs="仿宋"/>
          <w:b/>
          <w:bCs w:val="0"/>
          <w:i w:val="0"/>
          <w:iCs w:val="0"/>
          <w:color w:val="000000"/>
          <w:sz w:val="21"/>
          <w:szCs w:val="21"/>
          <w:highlight w:val="none"/>
          <w:lang w:val="en-US" w:eastAsia="zh-CN"/>
        </w:rPr>
        <w:t xml:space="preserve">四</w:t>
      </w:r>
      <w:r>
        <w:rPr>
          <w:rFonts w:hint="eastAsia" w:ascii="仿宋" w:hAnsi="仿宋" w:eastAsia="仿宋" w:cs="仿宋"/>
          <w:b/>
          <w:bCs w:val="0"/>
          <w:i w:val="0"/>
          <w:iCs w:val="0"/>
          <w:color w:val="000000"/>
          <w:sz w:val="21"/>
          <w:szCs w:val="21"/>
          <w:highlight w:val="none"/>
        </w:rPr>
        <w:t xml:space="preserve">）用餐标准费用组成</w:t>
      </w:r>
      <w:bookmarkEnd w:id="796"/>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本项目用餐标准费用为固定包干</w:t>
      </w:r>
      <w:r>
        <w:rPr>
          <w:rFonts w:hint="eastAsia" w:ascii="仿宋" w:hAnsi="仿宋" w:eastAsia="仿宋" w:cs="仿宋"/>
          <w:b/>
          <w:bCs w:val="0"/>
          <w:i w:val="0"/>
          <w:iCs w:val="0"/>
          <w:color w:val="000000"/>
          <w:sz w:val="21"/>
          <w:szCs w:val="21"/>
          <w:highlight w:val="none"/>
          <w:lang w:val="en-US" w:eastAsia="zh-CN"/>
        </w:rPr>
        <w:t xml:space="preserve">单</w:t>
      </w:r>
      <w:r>
        <w:rPr>
          <w:rFonts w:hint="eastAsia" w:ascii="仿宋" w:hAnsi="仿宋" w:eastAsia="仿宋" w:cs="仿宋"/>
          <w:b/>
          <w:bCs w:val="0"/>
          <w:i w:val="0"/>
          <w:iCs w:val="0"/>
          <w:color w:val="000000"/>
          <w:sz w:val="21"/>
          <w:szCs w:val="21"/>
          <w:highlight w:val="none"/>
        </w:rPr>
        <w:t xml:space="preserve">价</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rPr>
        <w:t xml:space="preserve">用餐标准费用</w:t>
      </w:r>
      <w:r>
        <w:rPr>
          <w:rFonts w:hint="eastAsia" w:ascii="仿宋" w:hAnsi="仿宋" w:eastAsia="仿宋" w:cs="仿宋"/>
          <w:b/>
          <w:bCs w:val="0"/>
          <w:i w:val="0"/>
          <w:iCs w:val="0"/>
          <w:color w:val="000000"/>
          <w:sz w:val="21"/>
          <w:szCs w:val="21"/>
          <w:highlight w:val="none"/>
          <w:lang w:val="en-US" w:eastAsia="zh-CN"/>
        </w:rPr>
        <w:t xml:space="preserve">单价</w:t>
      </w:r>
      <w:r>
        <w:rPr>
          <w:rFonts w:hint="eastAsia" w:ascii="仿宋" w:hAnsi="仿宋" w:eastAsia="仿宋" w:cs="仿宋"/>
          <w:b/>
          <w:bCs w:val="0"/>
          <w:i w:val="0"/>
          <w:iCs w:val="0"/>
          <w:color w:val="000000"/>
          <w:sz w:val="21"/>
          <w:szCs w:val="21"/>
          <w:highlight w:val="none"/>
        </w:rPr>
        <w:t xml:space="preserve">已包含完成本项目用餐服务所涉及的全部费用，无任何隐形费用，具体包括但不限于：</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1.人力成本：食堂所有工作人员的工资、奖金、福利、法定节假日加班费、社会保险（五险）、人身意外险/公众责任险等全部费用</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2.食材及辅料成本：食材、调味品、食用油、粮食、蔬菜、肉类、水产等原材料，以及洗涤用品、消毒用品、一次性餐具等各类辅材费用</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3.运营及管理成本：食堂水电费用、燃气费用（如有）、设施设备日常维护维修费用、油烟管道及净化器清洗费用、各类检验检测费用、管道疏通费用等</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lang w:eastAsia="zh-CN"/>
        </w:rPr>
      </w:pPr>
      <w:r>
        <w:rPr>
          <w:rFonts w:hint="eastAsia" w:ascii="仿宋" w:hAnsi="仿宋" w:eastAsia="仿宋" w:cs="仿宋"/>
          <w:b/>
          <w:bCs w:val="0"/>
          <w:i w:val="0"/>
          <w:iCs w:val="0"/>
          <w:color w:val="000000"/>
          <w:sz w:val="21"/>
          <w:szCs w:val="21"/>
          <w:highlight w:val="none"/>
        </w:rPr>
        <w:t xml:space="preserve">4.合规及风险成本：办理经营所需证照的相关费用、环保处置费用、应对各类检查的相关费用，以及食品安全、安全生产、劳资纠纷等各类风险产生的费用</w:t>
      </w:r>
      <w:r>
        <w:rPr>
          <w:rFonts w:hint="eastAsia" w:ascii="仿宋" w:hAnsi="仿宋" w:eastAsia="仿宋" w:cs="仿宋"/>
          <w:b/>
          <w:bCs w:val="0"/>
          <w:i w:val="0"/>
          <w:iCs w:val="0"/>
          <w:color w:val="000000"/>
          <w:sz w:val="21"/>
          <w:szCs w:val="21"/>
          <w:highlight w:val="none"/>
          <w:lang w:eastAsia="zh-CN"/>
        </w:rPr>
        <w:t xml:space="preserve">。</w:t>
      </w:r>
      <w:r>
        <w:rPr>
          <w:rFonts w:hint="eastAsia" w:ascii="仿宋" w:hAnsi="仿宋" w:eastAsia="仿宋" w:cs="仿宋"/>
          <w:b/>
          <w:bCs w:val="0"/>
          <w:i w:val="0"/>
          <w:iCs w:val="0"/>
          <w:color w:val="000000"/>
          <w:sz w:val="21"/>
          <w:szCs w:val="21"/>
          <w:highlight w:val="none"/>
          <w:lang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5.其他费用：菜品留样、台账记录、电子化宣传、食堂环境卫生整治等相关费用，以及供应商为完成本项目服务所需的其他全部费用。</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val="0"/>
          <w:i w:val="0"/>
          <w:iCs w:val="0"/>
          <w:color w:val="000000"/>
          <w:sz w:val="21"/>
          <w:szCs w:val="21"/>
          <w:highlight w:val="none"/>
        </w:rPr>
      </w:pPr>
      <w:r>
        <w:rPr>
          <w:rFonts w:hint="eastAsia" w:ascii="仿宋" w:hAnsi="仿宋" w:eastAsia="仿宋" w:cs="仿宋"/>
          <w:b/>
          <w:bCs w:val="0"/>
          <w:i w:val="0"/>
          <w:iCs w:val="0"/>
          <w:color w:val="000000"/>
          <w:sz w:val="21"/>
          <w:szCs w:val="21"/>
          <w:highlight w:val="none"/>
        </w:rPr>
        <w:t xml:space="preserve">采购文件明确包含的费用、风险费、政策性文件规定的各项应有费用，以及完成本采购需求规定服务内容所涉及的一切相关费用，均由供应商承担，采购人不再支付任何额外费用；采购文件未列明但供应商认为必需的费用，亦包含在用餐标准内，采购人不另行增加费用。各类风险和政策性调整等风险已涵盖在用餐标准中，除合同约定调整外，最终结算时一律不调整用餐标准。</w:t>
      </w:r>
      <w:r>
        <w:rPr>
          <w:rFonts w:hint="eastAsia" w:ascii="仿宋" w:hAnsi="仿宋" w:eastAsia="仿宋" w:cs="仿宋"/>
          <w:b/>
          <w:bCs w:val="0"/>
          <w:i w:val="0"/>
          <w:iCs w:val="0"/>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797" w:name="_Toc15460"/>
      <w:r/>
      <w:bookmarkStart w:id="798" w:name="heading_5"/>
      <w:r>
        <w:rPr>
          <w:rFonts w:hint="eastAsia" w:ascii="仿宋" w:hAnsi="仿宋" w:eastAsia="仿宋" w:cs="仿宋"/>
          <w:b/>
          <w:color w:val="000000"/>
          <w:sz w:val="21"/>
          <w:szCs w:val="21"/>
          <w:highlight w:val="none"/>
          <w:lang w:val="en-US" w:eastAsia="zh-CN"/>
        </w:rPr>
        <w:t xml:space="preserve">B</w:t>
      </w:r>
      <w:r>
        <w:rPr>
          <w:rFonts w:hint="eastAsia" w:ascii="仿宋" w:hAnsi="仿宋" w:eastAsia="仿宋" w:cs="仿宋"/>
          <w:b/>
          <w:color w:val="000000"/>
          <w:sz w:val="21"/>
          <w:szCs w:val="21"/>
          <w:highlight w:val="none"/>
        </w:rPr>
        <w:t xml:space="preserve">、服务要求</w:t>
      </w:r>
      <w:bookmarkEnd w:id="797"/>
      <w:r/>
      <w:bookmarkEnd w:id="798"/>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799" w:name="heading_6"/>
      <w:r>
        <w:rPr>
          <w:rFonts w:hint="eastAsia" w:ascii="仿宋" w:hAnsi="仿宋" w:eastAsia="仿宋" w:cs="仿宋"/>
          <w:b/>
          <w:color w:val="000000"/>
          <w:sz w:val="21"/>
          <w:szCs w:val="21"/>
          <w:highlight w:val="none"/>
        </w:rPr>
        <w:t xml:space="preserve">（一）供餐时间要求</w:t>
      </w:r>
      <w:bookmarkEnd w:id="799"/>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1.早餐：7:00-7:30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2.中餐：10:45-12:00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3.晚餐：16:45-17:15</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需严格遵守上述供餐时间，不得擅自提前；确保每餐饭菜在规定供餐时间前10分钟准备就绪，菜品温度符合规范（热菜温度≥60℃，汤品温度≥70℃）；因特殊情况（如食材采购延误、设备故障等）需调整供餐时间的，供应商需提前30分钟书面报备采购人相关负责人，经同意后方可调整，并及时通知就餐职工，避免影响职工就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0" w:name="heading_7"/>
      <w:r>
        <w:rPr>
          <w:rFonts w:hint="eastAsia" w:ascii="仿宋" w:hAnsi="仿宋" w:eastAsia="仿宋" w:cs="仿宋"/>
          <w:b/>
          <w:color w:val="000000"/>
          <w:sz w:val="21"/>
          <w:szCs w:val="21"/>
          <w:highlight w:val="none"/>
        </w:rPr>
        <w:t xml:space="preserve">（二）人员要求</w:t>
      </w:r>
      <w:bookmarkEnd w:id="800"/>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1.用工管理：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成交供应商拥有依法自主用工权，用工安全及相关风险全部由供应商自负；供应商自行安排食堂工作人员，负责员工工资、福利等全部费用，</w:t>
      </w:r>
      <w:r>
        <w:rPr>
          <w:rFonts w:hint="eastAsia" w:ascii="仿宋" w:hAnsi="仿宋" w:eastAsia="仿宋" w:cs="仿宋"/>
          <w:color w:val="000000"/>
          <w:sz w:val="21"/>
          <w:szCs w:val="21"/>
          <w:highlight w:val="none"/>
          <w:lang w:val="en-US" w:eastAsia="zh-CN"/>
        </w:rPr>
        <w:t xml:space="preserve">供应商应严格按照《劳动法》《劳动合同法》等相关法律法规的规定，规范用工并按时足额支付职工薪酬，确保符合属地最低工资标准和社会保险缴费等要求，以保障用工合法性、保护员工合法权益。</w:t>
      </w:r>
      <w:r>
        <w:rPr>
          <w:rFonts w:hint="eastAsia" w:ascii="仿宋" w:hAnsi="仿宋" w:eastAsia="仿宋" w:cs="仿宋"/>
          <w:color w:val="000000"/>
          <w:sz w:val="21"/>
          <w:szCs w:val="21"/>
          <w:highlight w:val="none"/>
        </w:rPr>
        <w:t xml:space="preserve">必须为员工购买人身意外险或公众责任险等商业保险，否则一切后果由供应商自行承担。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服务期内，采购人支付的用餐标准费用不予调增。供应商员工因社保、工资、福利等问题产生的纠纷和发生职业暴露、工伤、疾病乃至死亡的一切责任及费用均由成交供应商全部负责，采购人不承担与此相关的责任。</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供应商需保证服务期间员工队伍的稳定，不得因用工问题影响合同履行。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供应商追偿。</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2.健康要求：所有饮食从业人员必须按照《食品安全法》规定，每年进行健康检查，取得有效健康证后方可持证上岗，健康证需定期复核并公示。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3.项目负责人：需具备食品营养相关专业、行政管理专业背景，或具有食品相关行业从业经验，能够全面负责食堂运营管理工作。</w:t>
      </w:r>
      <w:r>
        <w:rPr>
          <w:rFonts w:hint="eastAsia" w:ascii="仿宋" w:hAnsi="仿宋" w:eastAsia="仿宋" w:cs="仿宋"/>
          <w:color w:val="000000"/>
          <w:sz w:val="21"/>
          <w:szCs w:val="21"/>
          <w:highlight w:val="none"/>
        </w:rPr>
        <w:t xml:space="preserve">项目负责人需全职在岗，不得兼任其他项目工作，如需请假，需提前书面报备采购人，指定临时负责人并做好工作交接，确保食堂运营不受影响。</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4.工作人员</w:t>
      </w:r>
      <w:r>
        <w:rPr>
          <w:rFonts w:hint="eastAsia" w:ascii="仿宋" w:hAnsi="仿宋" w:eastAsia="仿宋" w:cs="仿宋"/>
          <w:color w:val="000000"/>
          <w:sz w:val="21"/>
          <w:szCs w:val="21"/>
          <w:highlight w:val="none"/>
          <w:lang w:val="en-US" w:eastAsia="zh-CN"/>
        </w:rPr>
        <w:t xml:space="preserve">资历</w:t>
      </w:r>
      <w:r>
        <w:rPr>
          <w:rFonts w:hint="eastAsia" w:ascii="仿宋" w:hAnsi="仿宋" w:eastAsia="仿宋" w:cs="仿宋"/>
          <w:color w:val="000000"/>
          <w:sz w:val="21"/>
          <w:szCs w:val="21"/>
          <w:highlight w:val="none"/>
        </w:rPr>
        <w:t xml:space="preserve">：厨师需熟练掌握主要菜系制作、主要面点制作及相关</w:t>
      </w:r>
      <w:r>
        <w:rPr>
          <w:rFonts w:hint="eastAsia" w:ascii="仿宋" w:hAnsi="仿宋" w:eastAsia="仿宋" w:cs="仿宋"/>
          <w:color w:val="000000"/>
          <w:sz w:val="21"/>
          <w:szCs w:val="21"/>
          <w:highlight w:val="none"/>
          <w:lang w:val="en-US" w:eastAsia="zh-CN"/>
        </w:rPr>
        <w:t xml:space="preserve">食材营养</w:t>
      </w:r>
      <w:r>
        <w:rPr>
          <w:rFonts w:hint="eastAsia" w:ascii="仿宋" w:hAnsi="仿宋" w:eastAsia="仿宋" w:cs="仿宋"/>
          <w:color w:val="000000"/>
          <w:sz w:val="21"/>
          <w:szCs w:val="21"/>
          <w:highlight w:val="none"/>
        </w:rPr>
        <w:t xml:space="preserve">配制方法；其他服务人员需具备相应工作经验，持证上岗；</w:t>
      </w:r>
      <w:r>
        <w:rPr>
          <w:rFonts w:hint="eastAsia" w:ascii="仿宋" w:hAnsi="仿宋" w:eastAsia="仿宋" w:cs="仿宋"/>
          <w:color w:val="000000"/>
          <w:sz w:val="21"/>
          <w:szCs w:val="21"/>
          <w:highlight w:val="none"/>
          <w:lang w:eastAsia="zh-CN"/>
        </w:rPr>
        <w:t xml:space="preserve">配备卫生安全监督员，专门负责本食堂加工制作过程的卫生和安全监督工作；</w:t>
      </w:r>
      <w:r>
        <w:rPr>
          <w:rFonts w:hint="eastAsia" w:ascii="仿宋" w:hAnsi="仿宋" w:eastAsia="仿宋" w:cs="仿宋"/>
          <w:color w:val="000000"/>
          <w:sz w:val="21"/>
          <w:szCs w:val="21"/>
          <w:highlight w:val="none"/>
        </w:rPr>
        <w:t xml:space="preserve">人员配置需满足实际供餐服务需求，不得影响正常供餐。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1" w:name="heading_8"/>
      <w:r>
        <w:rPr>
          <w:rFonts w:hint="eastAsia" w:ascii="仿宋" w:hAnsi="仿宋" w:eastAsia="仿宋" w:cs="仿宋"/>
          <w:b/>
          <w:color w:val="000000"/>
          <w:sz w:val="21"/>
          <w:szCs w:val="21"/>
          <w:highlight w:val="none"/>
        </w:rPr>
        <w:t xml:space="preserve">（三）食品安全与安全生产要求</w:t>
      </w:r>
      <w:bookmarkEnd w:id="801"/>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1.食品安全管理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建立健全食品安全责任制，成交供应商需与采购人签订安全责任书，严格按照《中华人民共和国食品安全法》《产品质量法》及采购人相关要求组织生产经营，提供安全合格食品；若因供应商原因引发食品安全事故，造成的一切损失及后果均由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（2）建立内部安全监督管理体系，配备专业食品卫生质量监督员，所有员工需与供应商签订卫生安全责任书，将卫生安全责任落实到个人。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（3）建立食品安全预警制度，所有相关制度需张贴上墙；出现食品安全相关问题时，需及时向采购人和相关部门报告，并采取有效急救措施，最大限度降低损失。</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严格执行食品留样制度，</w:t>
      </w:r>
      <w:r>
        <w:rPr>
          <w:rFonts w:hint="eastAsia" w:ascii="仿宋" w:hAnsi="仿宋" w:eastAsia="仿宋" w:cs="仿宋"/>
          <w:color w:val="000000"/>
          <w:sz w:val="21"/>
          <w:szCs w:val="21"/>
          <w:highlight w:val="none"/>
          <w:lang w:eastAsia="zh-CN"/>
        </w:rPr>
        <w:t xml:space="preserve">按食堂安全卫生管理要求，做好每天的食品留样和蔬菜有机磷检测，并做好台帐登记和管理工作。</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2.安全生产管理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加强安全生产教育培训，杜绝安全隐患；做好水电管理，落实相应安全生产措施，严守设备操作流程；生熟食品及加工用具分类放置，防止交叉污染；无关人员严禁进入厨房及保管室；易燃易爆物品按规定存放，工作人员离开厨房前，需妥善放置各类食品，关好门窗，检查电源开关、设备、炉灶等，做好防火、防盗、防毒工作，杜绝意外事故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（2）严格遵守《安全生产法》相关规定，若发生重大安全事故、设备设施损坏、人身事故，一切后果由供应商承担。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（3）每年组织开展停电停水、食物中毒、消防演练等应急预案培训，并做好完整台账记录。</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4）服务期间，供应商对员工的安全负责，如因安全作业或安全预防措施不到位，造成的一切安全责任由供应商承担，与采购人无关。</w:t>
      </w:r>
      <w:r>
        <w:rPr>
          <w:rFonts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2" w:name="heading_9"/>
      <w:r>
        <w:rPr>
          <w:rFonts w:hint="eastAsia" w:ascii="仿宋" w:hAnsi="仿宋" w:eastAsia="仿宋" w:cs="仿宋"/>
          <w:b/>
          <w:color w:val="000000"/>
          <w:sz w:val="21"/>
          <w:szCs w:val="21"/>
          <w:highlight w:val="none"/>
        </w:rPr>
        <w:t xml:space="preserve">（四）经营管理要求</w:t>
      </w:r>
      <w:bookmarkEnd w:id="802"/>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1.制度建设：成交供应商需在开展经营后1个月内，</w:t>
      </w:r>
      <w:r>
        <w:rPr>
          <w:rFonts w:hint="eastAsia" w:ascii="仿宋" w:hAnsi="仿宋" w:eastAsia="仿宋" w:cs="仿宋"/>
          <w:color w:val="000000"/>
          <w:sz w:val="21"/>
          <w:szCs w:val="21"/>
          <w:highlight w:val="none"/>
          <w:lang w:eastAsia="zh-CN"/>
        </w:rPr>
        <w:t xml:space="preserve">建立健全各类餐饮卫生管理制度</w:t>
      </w:r>
      <w:r>
        <w:rPr>
          <w:rFonts w:hint="eastAsia" w:ascii="仿宋" w:hAnsi="仿宋" w:eastAsia="仿宋" w:cs="仿宋"/>
          <w:color w:val="000000"/>
          <w:sz w:val="21"/>
          <w:szCs w:val="21"/>
          <w:highlight w:val="none"/>
        </w:rPr>
        <w:t xml:space="preserve">、安全操作规程、各环节岗位责任制等管理制度，并严格执行。</w:t>
      </w:r>
      <w:r>
        <w:rPr>
          <w:rFonts w:hint="eastAsia" w:ascii="仿宋" w:hAnsi="仿宋" w:eastAsia="仿宋" w:cs="仿宋"/>
          <w:color w:val="000000"/>
          <w:sz w:val="21"/>
          <w:szCs w:val="21"/>
          <w:highlight w:val="none"/>
          <w:lang w:eastAsia="zh-CN"/>
        </w:rPr>
        <w:t xml:space="preserve">加强从业人员的培训与管理，严把员工素质关，做到管理规范化、服务标准化，杜绝任何食品安全卫生责任事故的发生。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2.成本与价格管理：供应商需遵循双方共同确立的“利润率指导价格”原则，为医护人员提供大众餐饮、特色餐饮等服务，为少量病患提供病员餐饮等服务。</w:t>
      </w:r>
      <w:r>
        <w:rPr>
          <w:rFonts w:hint="eastAsia" w:ascii="仿宋" w:hAnsi="仿宋" w:eastAsia="仿宋" w:cs="仿宋"/>
          <w:color w:val="000000"/>
          <w:sz w:val="21"/>
          <w:szCs w:val="21"/>
          <w:highlight w:val="none"/>
          <w:lang w:val="en-US" w:eastAsia="zh-CN"/>
        </w:rPr>
        <w:t xml:space="preserve">厨房工程类的非成交供应商责任所造成的维修费用由采购人协商解决。</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3.费用承担：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（1）食堂运营期间，厨房设备类、工程类维修费、各项检验检测费、油烟管道和油烟分离器清洗费、油烟处置费、管道疏通费等，均由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供应商承担（不可抗力引起的损坏除外）。</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除现有餐具外，合同履行期限内</w:t>
      </w:r>
      <w:r>
        <w:rPr>
          <w:rFonts w:hint="eastAsia" w:ascii="仿宋" w:hAnsi="仿宋" w:eastAsia="仿宋" w:cs="仿宋"/>
          <w:color w:val="000000"/>
          <w:sz w:val="21"/>
          <w:szCs w:val="21"/>
          <w:highlight w:val="none"/>
        </w:rPr>
        <w:t xml:space="preserve">食堂用餐餐具、</w:t>
      </w:r>
      <w:r>
        <w:rPr>
          <w:rFonts w:hint="eastAsia" w:ascii="仿宋" w:hAnsi="仿宋" w:eastAsia="仿宋" w:cs="仿宋"/>
          <w:color w:val="000000"/>
          <w:sz w:val="21"/>
          <w:szCs w:val="21"/>
          <w:highlight w:val="none"/>
        </w:rPr>
        <w:t xml:space="preserve">洗涤用品、卫生用品等所有易耗品，由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供应商提供并承担相关费用。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（3）食堂工作人员的招聘、管理、工资、福利、法定节假日加班费等，由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合同履行期限内</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满足市场监督管理</w:t>
      </w:r>
      <w:r>
        <w:rPr>
          <w:rFonts w:hint="eastAsia" w:ascii="仿宋" w:hAnsi="仿宋" w:eastAsia="仿宋" w:cs="仿宋"/>
          <w:color w:val="000000"/>
          <w:sz w:val="21"/>
          <w:szCs w:val="21"/>
          <w:highlight w:val="none"/>
        </w:rPr>
        <w:t xml:space="preserve">、卫生、</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税务等院外行政管理部门</w:t>
      </w:r>
      <w:r>
        <w:rPr>
          <w:rFonts w:hint="eastAsia" w:ascii="仿宋" w:hAnsi="仿宋" w:eastAsia="仿宋" w:cs="仿宋"/>
          <w:color w:val="000000"/>
          <w:sz w:val="21"/>
          <w:szCs w:val="21"/>
          <w:highlight w:val="none"/>
          <w:lang w:val="en-US" w:eastAsia="zh-CN"/>
        </w:rPr>
        <w:t xml:space="preserve">合规</w:t>
      </w:r>
      <w:r>
        <w:rPr>
          <w:rFonts w:hint="eastAsia" w:ascii="仿宋" w:hAnsi="仿宋" w:eastAsia="仿宋" w:cs="仿宋"/>
          <w:color w:val="000000"/>
          <w:sz w:val="21"/>
          <w:szCs w:val="21"/>
          <w:highlight w:val="none"/>
        </w:rPr>
        <w:t xml:space="preserve">要求产生的</w:t>
      </w:r>
      <w:r>
        <w:rPr>
          <w:rFonts w:hint="eastAsia" w:ascii="仿宋" w:hAnsi="仿宋" w:eastAsia="仿宋" w:cs="仿宋"/>
          <w:color w:val="000000"/>
          <w:sz w:val="21"/>
          <w:szCs w:val="21"/>
          <w:highlight w:val="none"/>
        </w:rPr>
        <w:t xml:space="preserve">相关费用，由</w:t>
      </w:r>
      <w:r>
        <w:rPr>
          <w:rFonts w:hint="eastAsia" w:ascii="仿宋" w:hAnsi="仿宋" w:eastAsia="仿宋" w:cs="仿宋"/>
          <w:color w:val="000000"/>
          <w:sz w:val="21"/>
          <w:szCs w:val="21"/>
          <w:highlight w:val="none"/>
          <w:lang w:val="en-US" w:eastAsia="zh-CN"/>
        </w:rPr>
        <w:t xml:space="preserve">成交供应商</w:t>
      </w:r>
      <w:r>
        <w:rPr>
          <w:rFonts w:hint="eastAsia" w:ascii="仿宋" w:hAnsi="仿宋" w:eastAsia="仿宋" w:cs="仿宋"/>
          <w:color w:val="000000"/>
          <w:sz w:val="21"/>
          <w:szCs w:val="21"/>
          <w:highlight w:val="none"/>
        </w:rPr>
        <w:t xml:space="preserve">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（5）油烟管道和净化器清洗费用由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供应商承担，供应商需与有资质的公司签订清洗合同，每季度清理油烟管道内外部一次，全年共四次，并留存清洗记录备查。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（6）供应商需承担运营期间的部分环保责任，因运营等人为原因引起的环保责任和环保罚款，全部由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（7）成交供应商需按市场监督管理局要求办理相关经营证照</w:t>
      </w:r>
      <w:r>
        <w:rPr>
          <w:rFonts w:hint="eastAsia" w:ascii="仿宋" w:hAnsi="仿宋" w:eastAsia="仿宋" w:cs="仿宋"/>
          <w:color w:val="000000"/>
          <w:sz w:val="21"/>
          <w:szCs w:val="21"/>
          <w:highlight w:val="none"/>
          <w:lang w:val="en-US" w:eastAsia="zh-CN"/>
        </w:rPr>
        <w:t xml:space="preserve">并承担</w:t>
      </w:r>
      <w:r>
        <w:rPr>
          <w:rFonts w:hint="eastAsia" w:ascii="仿宋" w:hAnsi="仿宋" w:eastAsia="仿宋" w:cs="仿宋"/>
          <w:color w:val="000000"/>
          <w:sz w:val="21"/>
          <w:szCs w:val="21"/>
          <w:highlight w:val="none"/>
        </w:rPr>
        <w:t xml:space="preserve">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8）就餐环境文化宣传费用</w:t>
      </w: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4.卫生要求：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厨房环境干净整洁，工作区无杂物，物品按规定归类定位放置；</w:t>
      </w:r>
      <w:r>
        <w:rPr>
          <w:rFonts w:hint="eastAsia" w:ascii="仿宋" w:hAnsi="仿宋" w:eastAsia="仿宋" w:cs="仿宋"/>
          <w:color w:val="000000"/>
          <w:sz w:val="21"/>
          <w:szCs w:val="21"/>
          <w:highlight w:val="none"/>
        </w:rPr>
        <w:t xml:space="preserve">餐后及时对厨具、餐具进行清洗、消毒，并分类放在固定位置；对厨房、餐厅进行全面打扫、冲洗；</w:t>
      </w:r>
      <w:r>
        <w:rPr>
          <w:rFonts w:hint="eastAsia" w:ascii="仿宋" w:hAnsi="仿宋" w:eastAsia="仿宋" w:cs="仿宋"/>
          <w:color w:val="000000"/>
          <w:sz w:val="21"/>
          <w:szCs w:val="21"/>
          <w:highlight w:val="none"/>
          <w:lang w:val="en-US" w:eastAsia="zh-CN"/>
        </w:rPr>
        <w:t xml:space="preserve">泔水、垃圾等废弃物应按规定存放；</w:t>
      </w:r>
      <w:r>
        <w:rPr>
          <w:rFonts w:hint="eastAsia" w:ascii="仿宋" w:hAnsi="仿宋" w:eastAsia="仿宋" w:cs="仿宋"/>
          <w:color w:val="000000"/>
          <w:sz w:val="21"/>
          <w:szCs w:val="21"/>
          <w:highlight w:val="none"/>
        </w:rPr>
        <w:t xml:space="preserve">对剩余饭菜按规定妥善处理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当餐及时清除，无明显异味。</w:t>
      </w:r>
      <w:r>
        <w:rPr>
          <w:rFonts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（2）每日对厨具、餐具进行清洗、消毒，对厨房、餐厅及周边环境进行保洁；每周开展一次大扫除。</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（3）每日进行下水道清理，因供应商操作原因引起的管道堵塞，由供应商负责疏通并承担相关费用。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4）食堂环境卫生干净明亮、整洁有序，大厅天花板、装饰物、墙壁及门窗无污迹，桌椅无污迹油迹，服务台面、垃圾桶表面、服务台玻璃表面无污迹油迹；食堂内无蚊蝇、蟑螂、老鼠等。</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5.设施设备管理：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成交供应商需对采购人提供的设施设备进行日常维护、维修，费用由供应商自行承担；如涉及人为损坏，需照价赔偿；如因正常损耗或确需添置餐具、厨房设备设施等，需报采购人确认同意后，由供应商自费添置。</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（2）食堂如需新增炉灶自动熄火保护装置，相关费用由供应商承担。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（3）按照医院评审规范和要求，接受涉及食堂方面的相关条例考核和检查，根据采购人要求规范台账记录；增加电子化宣传内容，根据采购人要求及食堂实际经营需要，添置现代化、时尚、便捷的设施设备。</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3" w:name="heading_10"/>
      <w:r>
        <w:rPr>
          <w:rFonts w:hint="eastAsia" w:ascii="仿宋" w:hAnsi="仿宋" w:eastAsia="仿宋" w:cs="仿宋"/>
          <w:b/>
          <w:color w:val="000000"/>
          <w:sz w:val="21"/>
          <w:szCs w:val="21"/>
          <w:highlight w:val="none"/>
        </w:rPr>
        <w:t xml:space="preserve">（五）采购与加工流程要求</w:t>
      </w:r>
      <w:bookmarkEnd w:id="803"/>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供应商应</w:t>
      </w:r>
      <w:r>
        <w:rPr>
          <w:rFonts w:hint="eastAsia" w:ascii="仿宋" w:hAnsi="仿宋" w:eastAsia="仿宋" w:cs="仿宋"/>
          <w:color w:val="000000"/>
          <w:sz w:val="21"/>
          <w:szCs w:val="21"/>
          <w:highlight w:val="none"/>
        </w:rPr>
        <w:t xml:space="preserve">严格把控食材质量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强化原材料质量控制；加强食品保存管理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1.菜单制订：</w:t>
      </w:r>
      <w:r>
        <w:rPr>
          <w:rFonts w:hint="eastAsia" w:ascii="仿宋" w:hAnsi="仿宋" w:eastAsia="仿宋" w:cs="仿宋"/>
          <w:color w:val="000000"/>
          <w:sz w:val="21"/>
          <w:szCs w:val="21"/>
          <w:highlight w:val="none"/>
          <w:lang w:val="en-US" w:eastAsia="zh-CN"/>
        </w:rPr>
        <w:t xml:space="preserve">成交</w:t>
      </w:r>
      <w:r>
        <w:rPr>
          <w:rFonts w:hint="eastAsia" w:ascii="仿宋" w:hAnsi="仿宋" w:eastAsia="仿宋" w:cs="仿宋"/>
          <w:color w:val="000000"/>
          <w:sz w:val="21"/>
          <w:szCs w:val="21"/>
          <w:highlight w:val="none"/>
        </w:rPr>
        <w:t xml:space="preserve">供应商管理人员需结合市场、季节、营养及采购人要求等因素，制定每周食谱及菜单，并报送采购人相关部门备案，严格按照备案食谱供应菜品。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2.食材采购：</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（1）食材采购管理：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① 供应商自主采购食材，采购人有权对采购渠道、食材质量进行监督、检查、抽查；供应商需在合同签订后10个工作日内，提交主要食材供应商名单（含供应商名称、资质证明、联系方式、合作协议等），</w:t>
      </w:r>
      <w:r>
        <w:rPr>
          <w:rFonts w:hint="eastAsia" w:ascii="仿宋" w:hAnsi="仿宋" w:eastAsia="仿宋" w:cs="仿宋"/>
          <w:color w:val="000000"/>
          <w:sz w:val="21"/>
          <w:szCs w:val="21"/>
          <w:highlight w:val="none"/>
          <w:lang w:val="en-US" w:eastAsia="zh-CN"/>
        </w:rPr>
        <w:t xml:space="preserve">向</w:t>
      </w:r>
      <w:r>
        <w:rPr>
          <w:rFonts w:hint="eastAsia" w:ascii="仿宋" w:hAnsi="仿宋" w:eastAsia="仿宋" w:cs="仿宋"/>
          <w:color w:val="000000"/>
          <w:sz w:val="21"/>
          <w:szCs w:val="21"/>
          <w:highlight w:val="none"/>
        </w:rPr>
        <w:t xml:space="preserve">采购人</w:t>
      </w:r>
      <w:r>
        <w:rPr>
          <w:rFonts w:hint="eastAsia" w:ascii="仿宋" w:hAnsi="仿宋" w:eastAsia="仿宋" w:cs="仿宋"/>
          <w:color w:val="000000"/>
          <w:sz w:val="21"/>
          <w:szCs w:val="21"/>
          <w:highlight w:val="none"/>
          <w:lang w:val="en-US" w:eastAsia="zh-CN"/>
        </w:rPr>
        <w:t xml:space="preserve">报备</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② 食材采购需具有可追溯性，渠道合法、安全，必须从持有食品经营许可证的经营单位、大型连锁超市、正规食蔬基地、原厂家或授权经销商等正规渠道采购，严禁从无资质、无保障的渠道采购食材。</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③ 采购时需按国家规定索取食材检验合格证明、进货凭证（发票、收据等），建立完整的食材采购台账，详细记录食材名称、采购日期、采购数量、供应商名称、联系方式、检验合格证明编号等信息，台账需留存不少于2年，供采购人及相关监管部门检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（2）食材质量要求：蔬菜新鲜、色泽鲜亮、形状完好；肉类有光泽、色红均匀、肉质紧实、不黏手、无异味；鱼虾类色泽正常、无红变，甲壳光泽新鲜；尽量少用半成品。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3.库房管理：严格执行库房管理制度和索证索票制度，做好台账登记，采购人有权对台账进行随机检查；库房物品需按相关要求分类存放，做到隔墙离地、保持清洁。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4.菜品加工：严格按照食品安全操作规范进行菜品加工，加工后的饭菜需做好保热、保洁工作，确保菜品温度和质量。</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（2）严格控制菜品单次烹饪数量，蔬菜类菜品一次烹饪完成，衔接时间控制合理，不得出现菜品出锅时间过长、菜品不新鲜或明显浪费现象；注重现场菜品保温管理，及时按规定加热，不得出现冷饭冷菜现象。</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4" w:name="heading_11"/>
      <w:r>
        <w:rPr>
          <w:rFonts w:hint="eastAsia" w:ascii="仿宋" w:hAnsi="仿宋" w:eastAsia="仿宋" w:cs="仿宋"/>
          <w:b/>
          <w:color w:val="000000"/>
          <w:sz w:val="21"/>
          <w:szCs w:val="21"/>
          <w:highlight w:val="none"/>
        </w:rPr>
        <w:t xml:space="preserve">（六）资产管理要求</w:t>
      </w:r>
      <w:bookmarkEnd w:id="804"/>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1.采购人提供的资产，经供应商现场验收确认后，双方办理合同期间资产使用移交手续并签字确认，各持一份；严格按照国有资产管理制度进行监管。</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履行期间，供应商需正常合理使用采购人提供的资产，不得转让、转卖、出借、改拆，保证承包经营结束时资产移交验收完好、合格，并留存定期维修保养记录；对非正常损坏的资产，供应商需予以修复或按建造安装价、采购价赔偿。</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3.供应商需在规定区域内作业，不得随意改变各功能区用途，不得扩大经营场所，不得随意搭盖；未经采购人同意，不得对食堂供水、供电线路进行改造，不得改变房屋结构及装饰。</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4.合同履行期内，供应商自行投资购置的辅助设备，在退出承包经营时，由供应商自行搬走，不结算残余值，现场需恢复原样。</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bookmarkStart w:id="805" w:name="heading_12"/>
      <w:r>
        <w:rPr>
          <w:rFonts w:hint="eastAsia" w:ascii="仿宋" w:hAnsi="仿宋" w:eastAsia="仿宋" w:cs="仿宋"/>
          <w:b/>
          <w:color w:val="000000"/>
          <w:sz w:val="21"/>
          <w:szCs w:val="21"/>
          <w:highlight w:val="none"/>
        </w:rPr>
        <w:t xml:space="preserve">（七）监督与配合要求</w:t>
      </w:r>
      <w:bookmarkEnd w:id="805"/>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eastAsia="zh-CN"/>
        </w:rPr>
        <w:t xml:space="preserve">成交供应商</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eastAsia="zh-CN"/>
        </w:rPr>
        <w:t xml:space="preserve">餐饮</w:t>
      </w:r>
      <w:r>
        <w:rPr>
          <w:rFonts w:hint="eastAsia" w:ascii="仿宋" w:hAnsi="仿宋" w:eastAsia="仿宋" w:cs="仿宋"/>
          <w:color w:val="000000"/>
          <w:sz w:val="21"/>
          <w:szCs w:val="21"/>
          <w:highlight w:val="none"/>
        </w:rPr>
        <w:t xml:space="preserve">服务，</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提供经营场地，</w:t>
      </w:r>
      <w:r>
        <w:rPr>
          <w:rFonts w:hint="eastAsia" w:ascii="仿宋" w:hAnsi="仿宋" w:eastAsia="仿宋" w:cs="仿宋"/>
          <w:color w:val="000000"/>
          <w:sz w:val="21"/>
          <w:szCs w:val="21"/>
          <w:highlight w:val="none"/>
          <w:lang w:eastAsia="zh-CN"/>
        </w:rPr>
        <w:t xml:space="preserve">成交供应商</w:t>
      </w:r>
      <w:r>
        <w:rPr>
          <w:rFonts w:hint="eastAsia" w:ascii="仿宋" w:hAnsi="仿宋" w:eastAsia="仿宋" w:cs="仿宋"/>
          <w:color w:val="000000"/>
          <w:sz w:val="21"/>
          <w:szCs w:val="21"/>
          <w:highlight w:val="none"/>
        </w:rPr>
        <w:t xml:space="preserve">按本合同约定自行组织经营。委派专业厨房工作人员及管理人员到</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进行专业餐饮管理、经营，为</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提供膳食服务，规范经营。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相关部门负责监督和指导餐厅经营管理工作。供应商需配合采购人的管理，合法经营，严格遵守采购人的各项规章制度、考核细则，遵纪守法，遵守职业道德，服从采购人的监督管理。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供应商的</w:t>
      </w:r>
      <w:r>
        <w:rPr>
          <w:rFonts w:hint="eastAsia" w:ascii="仿宋" w:hAnsi="仿宋" w:eastAsia="仿宋" w:cs="仿宋"/>
          <w:color w:val="000000"/>
          <w:sz w:val="21"/>
          <w:szCs w:val="21"/>
          <w:highlight w:val="none"/>
        </w:rPr>
        <w:t xml:space="preserve">所有员工必须经过采购人及相关管理部门的入职审核（包括但不限于无犯罪证明、健康体检证明等），未通过审核的员工，采购人有权要求予以更换或辞退。</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接受采购人财务监督，采购人有权查阅食堂账册、营业额等台账，供应商需积极配合，如实提供相关资料。</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.采购人有权建立监管小组（或膳食管理委员会）并制定监管细则，对供应商的原材料采购、菜品品种、价格、成本、饮食产品质量、</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卫生要求等进行全过程检查、监督和管理指导</w:t>
      </w:r>
      <w:r>
        <w:rPr>
          <w:rFonts w:hint="eastAsia" w:ascii="仿宋" w:hAnsi="仿宋" w:eastAsia="仿宋" w:cs="仿宋"/>
          <w:color w:val="000000"/>
          <w:sz w:val="21"/>
          <w:szCs w:val="21"/>
          <w:highlight w:val="none"/>
          <w:lang w:eastAsia="zh-CN"/>
        </w:rPr>
        <w:t xml:space="preserve">，对违规行为予以处罚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5.承包范围内所有设备及水电如发生损坏由成交供应商负责维修确保设备正常,采购人不定期安全生产检查。</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06" w:name="_Toc2742"/>
      <w:r/>
      <w:bookmarkStart w:id="807" w:name="heading_13"/>
      <w:r>
        <w:rPr>
          <w:rFonts w:hint="eastAsia" w:ascii="仿宋" w:hAnsi="仿宋" w:eastAsia="仿宋" w:cs="仿宋"/>
          <w:b/>
          <w:color w:val="000000"/>
          <w:sz w:val="21"/>
          <w:szCs w:val="21"/>
          <w:highlight w:val="none"/>
          <w:lang w:val="en-US" w:eastAsia="zh-CN"/>
        </w:rPr>
        <w:t xml:space="preserve">D</w:t>
      </w:r>
      <w:r>
        <w:rPr>
          <w:rFonts w:hint="eastAsia" w:ascii="仿宋" w:hAnsi="仿宋" w:eastAsia="仿宋" w:cs="仿宋"/>
          <w:b/>
          <w:color w:val="000000"/>
          <w:sz w:val="21"/>
          <w:szCs w:val="21"/>
          <w:highlight w:val="none"/>
        </w:rPr>
        <w:t xml:space="preserve">、结算方式</w:t>
      </w:r>
      <w:bookmarkEnd w:id="806"/>
      <w:r/>
      <w:bookmarkEnd w:id="807"/>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1.结算周期及流程：</w:t>
      </w:r>
      <w:r>
        <w:rPr>
          <w:rFonts w:hint="eastAsia" w:ascii="仿宋" w:hAnsi="仿宋" w:eastAsia="仿宋" w:cs="仿宋"/>
          <w:color w:val="000000"/>
          <w:sz w:val="21"/>
          <w:szCs w:val="21"/>
          <w:highlight w:val="none"/>
        </w:rPr>
        <w:t xml:space="preserve">双方</w:t>
      </w:r>
      <w:r>
        <w:rPr>
          <w:rFonts w:hint="eastAsia" w:ascii="仿宋" w:hAnsi="仿宋" w:eastAsia="仿宋" w:cs="仿宋"/>
          <w:color w:val="000000"/>
          <w:sz w:val="21"/>
          <w:szCs w:val="21"/>
          <w:highlight w:val="none"/>
          <w:lang w:val="en-US" w:eastAsia="zh-CN"/>
        </w:rPr>
        <w:t xml:space="preserve">在</w:t>
      </w:r>
      <w:r>
        <w:rPr>
          <w:rFonts w:hint="eastAsia" w:ascii="仿宋" w:hAnsi="仿宋" w:eastAsia="仿宋" w:cs="仿宋"/>
          <w:color w:val="000000"/>
          <w:sz w:val="21"/>
          <w:szCs w:val="21"/>
          <w:highlight w:val="none"/>
        </w:rPr>
        <w:t xml:space="preserve">每月10日前（遇节假日顺延），核对上月实际用餐数据（含用餐人数、用餐次数、用餐标准等），确认无误后签署《月度用餐结算确认单》；成交供应商需在签署确认单后3个工作日内，向采购人开具合格的增值税发票，采购人在收到合格发票后支付上月结算费用。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：暂留2个月结算费用作为</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，合同履行期满，且供应商无违约行为、无未结清费用、资产移交合格后，采购人在15个工作日内将</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无息退还供应商。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3.水电费结算：水电费按实际发生额每月结算一次，</w:t>
      </w:r>
      <w:r>
        <w:rPr>
          <w:rFonts w:hint="eastAsia" w:ascii="仿宋" w:hAnsi="仿宋" w:eastAsia="仿宋" w:cs="仿宋"/>
          <w:color w:val="000000"/>
          <w:sz w:val="21"/>
          <w:szCs w:val="21"/>
          <w:highlight w:val="none"/>
        </w:rPr>
        <w:t xml:space="preserve">由采购人代为缴纳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供应商需在收到</w:t>
      </w:r>
      <w:r>
        <w:rPr>
          <w:rFonts w:hint="eastAsia" w:ascii="仿宋" w:hAnsi="仿宋" w:eastAsia="仿宋" w:cs="仿宋"/>
          <w:color w:val="000000"/>
          <w:sz w:val="21"/>
          <w:szCs w:val="21"/>
          <w:highlight w:val="none"/>
          <w:lang w:val="en-US" w:eastAsia="zh-CN"/>
        </w:rPr>
        <w:t xml:space="preserve">采购人的</w:t>
      </w:r>
      <w:r>
        <w:rPr>
          <w:rFonts w:hint="eastAsia" w:ascii="仿宋" w:hAnsi="仿宋" w:eastAsia="仿宋" w:cs="仿宋"/>
          <w:color w:val="000000"/>
          <w:sz w:val="21"/>
          <w:szCs w:val="21"/>
          <w:highlight w:val="none"/>
        </w:rPr>
        <w:t xml:space="preserve">缴费凭证后3个工作日内，将水电费足额支付给采购人</w:t>
      </w:r>
      <w:r>
        <w:rPr>
          <w:rFonts w:hint="eastAsia" w:ascii="仿宋" w:hAnsi="仿宋" w:eastAsia="仿宋" w:cs="仿宋"/>
          <w:color w:val="000000"/>
          <w:sz w:val="21"/>
          <w:szCs w:val="21"/>
          <w:highlight w:val="none"/>
          <w:lang w:val="en-US" w:eastAsia="zh-CN"/>
        </w:rPr>
        <w:t xml:space="preserve">或从应结算费用中扣除</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bidi="ar-SA"/>
        </w:rPr>
        <w:outlineLvl w:val="0"/>
      </w:pPr>
      <w:r/>
      <w:bookmarkStart w:id="808" w:name="_Toc13457"/>
      <w:r/>
      <w:bookmarkStart w:id="809" w:name="heading_14"/>
      <w:r>
        <w:rPr>
          <w:rFonts w:hint="eastAsia" w:ascii="仿宋" w:hAnsi="仿宋" w:eastAsia="仿宋" w:cs="仿宋"/>
          <w:b/>
          <w:color w:val="000000"/>
          <w:sz w:val="21"/>
          <w:szCs w:val="21"/>
          <w:highlight w:val="none"/>
          <w:lang w:val="en-US" w:eastAsia="zh-CN"/>
        </w:rPr>
        <w:t xml:space="preserve">四</w:t>
      </w:r>
      <w:r>
        <w:rPr>
          <w:rFonts w:hint="eastAsia" w:ascii="仿宋" w:hAnsi="仿宋" w:eastAsia="仿宋" w:cs="仿宋"/>
          <w:b/>
          <w:color w:val="000000"/>
          <w:sz w:val="21"/>
          <w:szCs w:val="21"/>
          <w:highlight w:val="none"/>
        </w:rPr>
        <w:t xml:space="preserve">、</w:t>
      </w:r>
      <w:r>
        <w:rPr>
          <w:rFonts w:hint="eastAsia" w:ascii="仿宋" w:hAnsi="仿宋" w:eastAsia="仿宋" w:cs="仿宋"/>
          <w:b/>
          <w:bCs/>
          <w:color w:val="000000"/>
          <w:sz w:val="21"/>
          <w:szCs w:val="21"/>
          <w:highlight w:val="none"/>
          <w:lang w:val="en-US" w:eastAsia="zh-CN" w:bidi="ar-SA"/>
        </w:rPr>
        <w:t xml:space="preserve">采购标的的其他技术、服务等要求</w:t>
      </w:r>
      <w:bookmarkEnd w:id="808"/>
      <w:r>
        <w:rPr>
          <w:rFonts w:hint="eastAsia" w:ascii="仿宋" w:hAnsi="仿宋" w:eastAsia="仿宋" w:cs="仿宋"/>
          <w:b/>
          <w:bCs/>
          <w:color w:val="000000"/>
          <w:sz w:val="21"/>
          <w:szCs w:val="21"/>
          <w:highlight w:val="none"/>
          <w:lang w:val="en-US" w:eastAsia="zh-CN" w:bidi="ar-SA"/>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10" w:name="_Toc19837"/>
      <w:r>
        <w:rPr>
          <w:rFonts w:hint="eastAsia" w:ascii="仿宋" w:hAnsi="仿宋" w:eastAsia="仿宋" w:cs="仿宋"/>
          <w:b/>
          <w:bCs/>
          <w:color w:val="000000"/>
          <w:sz w:val="21"/>
          <w:szCs w:val="21"/>
          <w:highlight w:val="none"/>
          <w:lang w:val="en-US" w:eastAsia="zh-CN" w:bidi="ar-SA"/>
        </w:rPr>
        <w:t xml:space="preserve">（一）</w:t>
      </w:r>
      <w:r>
        <w:rPr>
          <w:rFonts w:hint="eastAsia" w:ascii="仿宋" w:hAnsi="仿宋" w:eastAsia="仿宋" w:cs="仿宋"/>
          <w:b/>
          <w:color w:val="000000"/>
          <w:sz w:val="21"/>
          <w:szCs w:val="21"/>
          <w:highlight w:val="none"/>
        </w:rPr>
        <w:t xml:space="preserve">考核要求</w:t>
      </w:r>
      <w:bookmarkEnd w:id="809"/>
      <w:r/>
      <w:bookmarkEnd w:id="810"/>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1.采购人每季度开展食堂服务满意度调查，发放职工测评问卷</w:t>
      </w:r>
      <w:r>
        <w:rPr>
          <w:rFonts w:hint="eastAsia" w:ascii="仿宋" w:hAnsi="仿宋" w:eastAsia="仿宋" w:cs="仿宋"/>
          <w:color w:val="000000"/>
          <w:sz w:val="21"/>
          <w:szCs w:val="21"/>
          <w:highlight w:val="none"/>
          <w:lang w:val="en-US" w:eastAsia="zh-CN"/>
        </w:rPr>
        <w:t xml:space="preserve">不少于</w:t>
      </w:r>
      <w:r>
        <w:rPr>
          <w:rFonts w:hint="eastAsia" w:ascii="仿宋" w:hAnsi="仿宋" w:eastAsia="仿宋" w:cs="仿宋"/>
          <w:color w:val="000000"/>
          <w:sz w:val="21"/>
          <w:szCs w:val="21"/>
          <w:highlight w:val="none"/>
        </w:rPr>
        <w:t xml:space="preserve">30份，服务满意度≥85%为合格。</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2.服务满意度在合格标准基础上，每低1%，罚款1000元。</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3.当服务满意度＜75%时，采购人有权要求成交供应商限期整改，并对其处以5000至10000元的罚金；连续2次满意度低于75%时，采购人有权单方面解除本合同，并不承担由此带来的</w:t>
      </w:r>
      <w:r>
        <w:rPr>
          <w:rFonts w:hint="eastAsia" w:ascii="仿宋" w:hAnsi="仿宋" w:eastAsia="仿宋" w:cs="仿宋"/>
          <w:color w:val="000000"/>
          <w:sz w:val="21"/>
          <w:szCs w:val="21"/>
          <w:highlight w:val="none"/>
          <w:lang w:val="en-US" w:eastAsia="zh-CN"/>
        </w:rPr>
        <w:t xml:space="preserve">任何</w:t>
      </w:r>
      <w:r>
        <w:rPr>
          <w:rFonts w:hint="eastAsia" w:ascii="仿宋" w:hAnsi="仿宋" w:eastAsia="仿宋" w:cs="仿宋"/>
          <w:color w:val="000000"/>
          <w:sz w:val="21"/>
          <w:szCs w:val="21"/>
          <w:highlight w:val="none"/>
        </w:rPr>
        <w:t xml:space="preserve">责任。</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color w:val="000000"/>
          <w:sz w:val="21"/>
          <w:szCs w:val="21"/>
          <w:highlight w:val="none"/>
        </w:rPr>
        <w:outlineLvl w:val="0"/>
      </w:pPr>
      <w:r/>
      <w:bookmarkStart w:id="811" w:name="_Toc110"/>
      <w:r/>
      <w:bookmarkStart w:id="812" w:name="heading_15"/>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lang w:val="en-US" w:eastAsia="zh-CN"/>
        </w:rPr>
        <w:t xml:space="preserve">二）</w:t>
      </w:r>
      <w:r>
        <w:rPr>
          <w:rFonts w:hint="eastAsia" w:ascii="仿宋" w:hAnsi="仿宋" w:eastAsia="仿宋" w:cs="仿宋"/>
          <w:b/>
          <w:color w:val="000000"/>
          <w:sz w:val="21"/>
          <w:szCs w:val="21"/>
          <w:highlight w:val="none"/>
        </w:rPr>
        <w:t xml:space="preserve">场地及设施设备</w:t>
      </w:r>
      <w:bookmarkEnd w:id="811"/>
      <w:r>
        <w:rPr>
          <w:rFonts w:hint="eastAsia" w:ascii="仿宋" w:hAnsi="仿宋" w:eastAsia="仿宋" w:cs="仿宋"/>
          <w:b/>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1.所有权与使用权：</w:t>
      </w:r>
      <w:r>
        <w:rPr>
          <w:rFonts w:hint="eastAsia" w:ascii="仿宋" w:hAnsi="仿宋" w:eastAsia="仿宋" w:cs="仿宋"/>
          <w:color w:val="000000"/>
          <w:sz w:val="21"/>
          <w:szCs w:val="21"/>
          <w:highlight w:val="none"/>
        </w:rPr>
        <w:t xml:space="preserve">食堂所有权归采购人所有，成交供应商在合同履行期内拥有合法经营权和收益权，不得擅自转让、出租、出借经营权。严格按采购人规定范围经营，不得随意扩大经营范围，采购人对经营范围有最终解释权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场地及设施设备</w:t>
      </w:r>
      <w:r>
        <w:rPr>
          <w:rFonts w:hint="eastAsia" w:ascii="仿宋" w:hAnsi="仿宋" w:eastAsia="仿宋" w:cs="仿宋"/>
          <w:color w:val="000000"/>
          <w:sz w:val="21"/>
          <w:szCs w:val="21"/>
          <w:highlight w:val="none"/>
          <w:lang w:val="en-US" w:eastAsia="zh-CN"/>
        </w:rPr>
        <w:t xml:space="preserve">范围：</w:t>
      </w:r>
      <w:r>
        <w:rPr>
          <w:rFonts w:hint="eastAsia" w:ascii="仿宋" w:hAnsi="仿宋" w:eastAsia="仿宋" w:cs="仿宋"/>
          <w:color w:val="000000"/>
          <w:sz w:val="21"/>
          <w:szCs w:val="21"/>
          <w:highlight w:val="none"/>
        </w:rPr>
        <w:t xml:space="preserve">采购人提供</w:t>
      </w:r>
      <w:r>
        <w:rPr>
          <w:rFonts w:hint="eastAsia" w:ascii="仿宋" w:hAnsi="仿宋" w:eastAsia="仿宋" w:cs="仿宋"/>
          <w:color w:val="000000"/>
          <w:sz w:val="21"/>
          <w:szCs w:val="21"/>
          <w:highlight w:val="none"/>
          <w:lang w:val="en-US" w:eastAsia="zh-CN"/>
        </w:rPr>
        <w:t xml:space="preserve">现有</w:t>
      </w:r>
      <w:r>
        <w:rPr>
          <w:rFonts w:hint="eastAsia" w:ascii="仿宋" w:hAnsi="仿宋" w:eastAsia="仿宋" w:cs="仿宋"/>
          <w:color w:val="000000"/>
          <w:sz w:val="21"/>
          <w:szCs w:val="21"/>
          <w:highlight w:val="none"/>
        </w:rPr>
        <w:t xml:space="preserve">食堂所有房屋（含餐厅、厨房、库房、辅助用房等）、餐厅餐桌椅、餐具，以及食堂内现有相关设施设备（包括厨具、相关设备等），供成交供应商运营使用。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3.移交要求：合同签订后3个工作日内，双方共同完成资产现场验收，签署《食堂资产移交清单》，明确资产完好状态；成交供应商需对移交资产进行拍照留存，作为合同终止时资产移交的依据。</w:t>
      </w:r>
      <w:bookmarkEnd w:id="812"/>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outlineLvl w:val="0"/>
      </w:pPr>
      <w:r/>
      <w:bookmarkStart w:id="813" w:name="_Toc27374"/>
      <w:r>
        <w:rPr>
          <w:rFonts w:hint="eastAsia" w:ascii="仿宋" w:hAnsi="仿宋" w:eastAsia="仿宋" w:cs="仿宋"/>
          <w:b/>
          <w:bCs/>
          <w:color w:val="000000"/>
          <w:sz w:val="21"/>
          <w:szCs w:val="21"/>
          <w:highlight w:val="none"/>
          <w:lang w:val="en-US" w:eastAsia="zh-CN"/>
        </w:rPr>
        <w:t xml:space="preserve">（三）</w:t>
      </w:r>
      <w:r>
        <w:rPr>
          <w:rFonts w:hint="eastAsia" w:ascii="仿宋" w:hAnsi="仿宋" w:eastAsia="仿宋" w:cs="仿宋"/>
          <w:b/>
          <w:bCs/>
          <w:color w:val="000000"/>
          <w:sz w:val="21"/>
          <w:szCs w:val="21"/>
          <w:highlight w:val="none"/>
        </w:rPr>
        <w:t xml:space="preserve">其他要求</w:t>
      </w:r>
      <w:bookmarkEnd w:id="813"/>
      <w:r>
        <w:rPr>
          <w:rFonts w:hint="eastAsia" w:ascii="仿宋" w:hAnsi="仿宋" w:eastAsia="仿宋" w:cs="仿宋"/>
          <w:b/>
          <w:bCs/>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1.成交供应商承包经营期间所发生的所有债权、债务及劳资纠纷、员工人身伤害等，全部由成交供应商负责并依法承担责任。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2.供应商需严格遵守国家相关法律法规及采购人各项规定，合法合规经营，若存在违规经营行为，采购人有权终止合同，并追究供应商相关责任。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
        </w:rPr>
        <w:t xml:space="preserve">服务期满</w:t>
      </w:r>
      <w:r>
        <w:rPr>
          <w:rFonts w:hint="eastAsia" w:ascii="仿宋" w:hAnsi="仿宋" w:eastAsia="仿宋" w:cs="仿宋"/>
          <w:color w:val="000000"/>
          <w:sz w:val="21"/>
          <w:szCs w:val="21"/>
          <w:highlight w:val="none"/>
        </w:rPr>
        <w:t xml:space="preserve">后在新的</w:t>
      </w:r>
      <w:r>
        <w:rPr>
          <w:rFonts w:hint="eastAsia" w:ascii="仿宋" w:hAnsi="仿宋" w:eastAsia="仿宋" w:cs="仿宋"/>
          <w:color w:val="000000"/>
          <w:sz w:val="21"/>
          <w:szCs w:val="21"/>
          <w:highlight w:val="none"/>
          <w:lang w:val="en-US" w:eastAsia="zh-CN"/>
        </w:rPr>
        <w:t xml:space="preserve">成交供应商（如有）</w:t>
      </w:r>
      <w:r>
        <w:rPr>
          <w:rFonts w:hint="eastAsia" w:ascii="仿宋" w:hAnsi="仿宋" w:eastAsia="仿宋" w:cs="仿宋"/>
          <w:color w:val="000000"/>
          <w:sz w:val="21"/>
          <w:szCs w:val="21"/>
          <w:highlight w:val="none"/>
        </w:rPr>
        <w:t xml:space="preserve">接管相应服务管理工作前，</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应继续提供相应服务及管理，过渡期服务管理标准和服务费用标准不变，由</w:t>
      </w:r>
      <w:r>
        <w:rPr>
          <w:rFonts w:hint="eastAsia" w:ascii="仿宋" w:hAnsi="仿宋" w:eastAsia="仿宋" w:cs="仿宋"/>
          <w:color w:val="000000"/>
          <w:sz w:val="21"/>
          <w:szCs w:val="21"/>
          <w:highlight w:val="none"/>
          <w:lang w:val="en-US" w:eastAsia="zh-CN"/>
        </w:rPr>
        <w:t xml:space="preserve">成交供应商</w:t>
      </w:r>
      <w:r>
        <w:rPr>
          <w:rFonts w:hint="eastAsia" w:ascii="仿宋" w:hAnsi="仿宋" w:eastAsia="仿宋" w:cs="仿宋"/>
          <w:color w:val="000000"/>
          <w:sz w:val="21"/>
          <w:szCs w:val="21"/>
          <w:highlight w:val="none"/>
        </w:rPr>
        <w:t xml:space="preserve">收取；过渡期满后，必须按规定进行交接撤离。</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资产移交要求：合同终止（含提前终止）后1个月内，成交供应商需将采购人提供的全部资产（含房屋、设施设备、餐具、餐桌椅等），按《食堂资产移交清单》记载的完好状态，移交新的承包经营者或采购人指定人员；移交时需确保设备正常使用，无损坏、无丢失、无擅自改装，食堂环境卫生清理干净，无残留食材、杂物。移交完成后，由原成交供应商、现成交供应商（如有）、采购人监管部门三方现场验收，签署《资产移交验收单》，验收合格后，双方结清所有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应急保障要求：遇突发公共卫生事件、停水停电、设备故障等紧急情况，供应商需立即启动应急预案，及时采取应急措施，保障职工基本就餐需求；如因供应商应急处置不力，造成严重影响的，采购人有权终止合同并由成交供应商承担一切损失。</w:t>
      </w:r>
      <w:r>
        <w:rPr>
          <w:rFonts w:hint="eastAsia" w:ascii="仿宋" w:hAnsi="仿宋" w:eastAsia="仿宋" w:cs="仿宋"/>
          <w:color w:val="000000"/>
          <w:sz w:val="21"/>
          <w:szCs w:val="21"/>
          <w:highlight w:val="none"/>
          <w:lang w:val="en-US" w:eastAsia="zh-CN"/>
        </w:rPr>
      </w:r>
      <w:r/>
    </w:p>
    <w:p>
      <w:pPr>
        <w:pStyle w:val="1032"/>
        <w:ind w:firstLine="422"/>
        <w:jc w:val="left"/>
        <w:keepLines w:val="0"/>
        <w:keepNext w:val="0"/>
        <w:pageBreakBefore w:val="0"/>
        <w:spacing w:line="360" w:lineRule="auto"/>
        <w:shd w:val="clear" w:color="auto" w:fill="ffffff"/>
        <w:widowControl w:val="off"/>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五、</w:t>
      </w:r>
      <w:r>
        <w:rPr>
          <w:rFonts w:hint="eastAsia" w:ascii="仿宋" w:hAnsi="仿宋" w:eastAsia="仿宋" w:cs="仿宋"/>
          <w:b/>
          <w:bCs/>
          <w:color w:val="000000"/>
          <w:sz w:val="21"/>
          <w:szCs w:val="21"/>
          <w:highlight w:val="none"/>
        </w:rPr>
        <w:t xml:space="preserve">实质性要求</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无</w:t>
      </w:r>
      <w:r>
        <w:rPr>
          <w:rFonts w:ascii="仿宋" w:hAnsi="仿宋" w:eastAsia="仿宋" w:cs="仿宋"/>
          <w:b/>
          <w:bCs/>
          <w:color w:val="000000"/>
          <w:sz w:val="21"/>
          <w:szCs w:val="21"/>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六</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W w:w="1101"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tc>
        <w:tc>
          <w:tcPr>
            <w:tcW w:w="4699"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对应中小企业划分标准所属行业</w:t>
            </w:r>
            <w:r>
              <w:rPr>
                <w:rFonts w:hint="eastAsia" w:ascii="仿宋" w:hAnsi="仿宋" w:eastAsia="仿宋" w:cs="仿宋"/>
                <w:color w:val="000000"/>
                <w:sz w:val="21"/>
                <w:szCs w:val="21"/>
                <w:highlight w:val="none"/>
              </w:rPr>
            </w:r>
            <w:r/>
          </w:p>
        </w:tc>
      </w:tr>
      <w:tr>
        <w:trPr>
          <w:cantSplit/>
          <w:trHeight w:val="567"/>
        </w:trPr>
        <w:tc>
          <w:tcPr>
            <w:tcW w:w="1101"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032"/>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b/>
                <w:bCs/>
                <w:i w:val="0"/>
                <w:iCs w:val="0"/>
                <w:caps w:val="0"/>
                <w:color w:val="000000"/>
                <w:spacing w:val="0"/>
                <w:sz w:val="21"/>
                <w:szCs w:val="21"/>
                <w:highlight w:val="none"/>
                <w:u w:val="none"/>
                <w:shd w:val="clear" w:color="auto" w:fill="ffffff"/>
                <w:lang w:eastAsia="zh-CN"/>
              </w:rPr>
              <w:t xml:space="preserve">职工食堂委托经营服务</w:t>
            </w:r>
            <w:r>
              <w:rPr>
                <w:rFonts w:hint="eastAsia" w:ascii="仿宋" w:hAnsi="仿宋" w:eastAsia="仿宋" w:cs="仿宋"/>
                <w:color w:val="000000"/>
                <w:sz w:val="21"/>
                <w:szCs w:val="21"/>
                <w:highlight w:val="none"/>
                <w:lang w:val="en-US" w:eastAsia="zh-CN"/>
              </w:rPr>
            </w:r>
            <w:r/>
          </w:p>
        </w:tc>
        <w:tc>
          <w:tcPr>
            <w:tcW w:w="4699" w:type="dxa"/>
            <w:vAlign w:val="center"/>
            <w:textDirection w:val="lrTb"/>
            <w:noWrap w:val="false"/>
          </w:tcPr>
          <w:p>
            <w:pPr>
              <w:pStyle w:val="1032"/>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餐饮业</w:t>
            </w:r>
            <w:r>
              <w:rPr>
                <w:rFonts w:hint="eastAsia" w:ascii="仿宋" w:hAnsi="仿宋" w:eastAsia="仿宋" w:cs="仿宋"/>
                <w:color w:val="000000"/>
                <w:sz w:val="21"/>
                <w:szCs w:val="21"/>
                <w:highlight w:val="none"/>
                <w:lang w:val="en-US" w:eastAsia="zh-CN"/>
              </w:rPr>
            </w:r>
            <w:r/>
          </w:p>
        </w:tc>
      </w:tr>
    </w:tbl>
    <w:p>
      <w:pPr>
        <w:pStyle w:val="1032"/>
        <w:ind w:firstLine="420"/>
        <w:jc w:val="left"/>
        <w:spacing w:before="120" w:line="360" w:lineRule="auto"/>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032"/>
        <w:rPr>
          <w:rFonts w:hint="eastAsia" w:ascii="仿宋" w:hAnsi="仿宋" w:eastAsia="仿宋" w:cs="仿宋"/>
          <w:color w:val="000000"/>
          <w:highlight w:val="none"/>
        </w:rPr>
      </w:pPr>
      <w:r/>
      <w:bookmarkEnd w:id="788"/>
      <w:r/>
      <w:bookmarkEnd w:id="789"/>
      <w:r/>
      <w:bookmarkEnd w:id="791"/>
      <w:r>
        <w:rPr>
          <w:rFonts w:hint="eastAsia" w:ascii="仿宋" w:hAnsi="仿宋" w:eastAsia="仿宋" w:cs="仿宋"/>
          <w:color w:val="000000"/>
          <w:highlight w:val="none"/>
        </w:rPr>
      </w:r>
      <w:r/>
    </w:p>
    <w:p>
      <w:pPr>
        <w:pStyle w:val="1216"/>
        <w:rPr>
          <w:rStyle w:val="1217"/>
          <w:rFonts w:hint="eastAsia" w:ascii="仿宋" w:hAnsi="仿宋" w:eastAsia="仿宋" w:cs="仿宋"/>
          <w:b w:val="0"/>
          <w:color w:val="000000"/>
          <w:highlight w:val="none"/>
        </w:rPr>
      </w:pPr>
      <w:r/>
      <w:bookmarkStart w:id="814" w:name="_Hlk139628515"/>
      <w:r>
        <w:rPr>
          <w:rFonts w:hint="eastAsia" w:ascii="仿宋" w:hAnsi="仿宋" w:eastAsia="仿宋" w:cs="仿宋"/>
          <w:color w:val="000000"/>
          <w:sz w:val="28"/>
          <w:szCs w:val="28"/>
          <w:highlight w:val="none"/>
        </w:rPr>
        <w:br w:type="page" w:clear="all"/>
      </w:r>
      <w:bookmarkStart w:id="815" w:name="_Toc27685"/>
      <w:r>
        <w:rPr>
          <w:rStyle w:val="1217"/>
          <w:rFonts w:hint="eastAsia" w:ascii="仿宋" w:hAnsi="仿宋" w:eastAsia="仿宋" w:cs="仿宋"/>
          <w:b w:val="0"/>
          <w:color w:val="000000"/>
          <w:highlight w:val="none"/>
        </w:rPr>
        <w:t xml:space="preserve">第六章  </w:t>
      </w:r>
      <w:bookmarkStart w:id="816" w:name="_Hlk138941606"/>
      <w:r>
        <w:rPr>
          <w:rStyle w:val="1217"/>
          <w:rFonts w:hint="eastAsia" w:ascii="仿宋" w:hAnsi="仿宋" w:eastAsia="仿宋" w:cs="仿宋"/>
          <w:b w:val="0"/>
          <w:color w:val="000000"/>
          <w:highlight w:val="none"/>
        </w:rPr>
        <w:t xml:space="preserve"> </w:t>
      </w:r>
      <w:bookmarkStart w:id="817" w:name="_Hlk119591849"/>
      <w:r>
        <w:rPr>
          <w:rStyle w:val="1217"/>
          <w:rFonts w:hint="eastAsia" w:ascii="仿宋" w:hAnsi="仿宋" w:eastAsia="仿宋" w:cs="仿宋"/>
          <w:b w:val="0"/>
          <w:color w:val="000000"/>
          <w:highlight w:val="none"/>
        </w:rPr>
        <w:t xml:space="preserve">拟签订的合同文本</w:t>
      </w:r>
      <w:bookmarkEnd w:id="815"/>
      <w:r/>
      <w:bookmarkEnd w:id="816"/>
      <w:r/>
      <w:bookmarkEnd w:id="817"/>
      <w:r>
        <w:rPr>
          <w:rStyle w:val="1217"/>
          <w:rFonts w:hint="eastAsia" w:ascii="仿宋" w:hAnsi="仿宋" w:eastAsia="仿宋" w:cs="仿宋"/>
          <w:b w:val="0"/>
          <w:color w:val="000000"/>
          <w:highlight w:val="none"/>
        </w:rPr>
      </w:r>
      <w:r/>
    </w:p>
    <w:p>
      <w:pPr>
        <w:pStyle w:val="1216"/>
        <w:contextualSpacing/>
        <w:ind w:firstLine="422"/>
        <w:spacing w:before="0" w:after="0" w:line="360" w:lineRule="auto"/>
        <w:rPr>
          <w:rFonts w:hint="eastAsia" w:ascii="仿宋" w:hAnsi="仿宋" w:eastAsia="仿宋" w:cs="仿宋"/>
          <w:color w:val="000000"/>
          <w:sz w:val="21"/>
          <w:szCs w:val="21"/>
          <w:highlight w:val="none"/>
        </w:rPr>
      </w:pPr>
      <w:r/>
      <w:bookmarkEnd w:id="814"/>
      <w:r/>
      <w:bookmarkStart w:id="818" w:name="_Hlk132754170"/>
      <w:r/>
      <w:bookmarkEnd w:id="818"/>
      <w:r>
        <w:rPr>
          <w:rFonts w:hint="eastAsia" w:ascii="仿宋" w:hAnsi="仿宋" w:eastAsia="仿宋" w:cs="仿宋"/>
          <w:color w:val="000000"/>
          <w:sz w:val="21"/>
          <w:szCs w:val="21"/>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505"/>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032"/>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合同编号：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32"/>
          <w:szCs w:val="32"/>
          <w:highlight w:val="none"/>
        </w:rPr>
        <w:t xml:space="preserve">        </w:t>
      </w:r>
      <w:r>
        <w:rPr>
          <w:rFonts w:hint="eastAsia" w:ascii="仿宋" w:hAnsi="仿宋" w:eastAsia="仿宋" w:cs="仿宋"/>
          <w:b/>
          <w:color w:val="000000"/>
          <w:sz w:val="28"/>
          <w:szCs w:val="28"/>
          <w:highlight w:val="none"/>
        </w:rPr>
      </w:r>
      <w:r/>
    </w:p>
    <w:p>
      <w:pPr>
        <w:pStyle w:val="1032"/>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32"/>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3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lang w:val="en-US" w:eastAsia="zh-CN"/>
        </w:rPr>
        <w:t xml:space="preserve">服  务</w:t>
      </w:r>
      <w:r>
        <w:rPr>
          <w:rFonts w:hint="eastAsia" w:ascii="仿宋" w:hAnsi="仿宋" w:eastAsia="仿宋" w:cs="仿宋"/>
          <w:b/>
          <w:color w:val="000000"/>
          <w:sz w:val="44"/>
          <w:szCs w:val="44"/>
          <w:highlight w:val="none"/>
        </w:rPr>
        <w:t xml:space="preserve"> 合 同</w:t>
      </w:r>
      <w:r>
        <w:rPr>
          <w:rFonts w:hint="eastAsia" w:ascii="仿宋" w:hAnsi="仿宋" w:eastAsia="仿宋" w:cs="仿宋"/>
          <w:b/>
          <w:color w:val="000000"/>
          <w:sz w:val="44"/>
          <w:szCs w:val="44"/>
          <w:highlight w:val="none"/>
        </w:rPr>
      </w:r>
      <w:r/>
    </w:p>
    <w:p>
      <w:pPr>
        <w:pStyle w:val="1032"/>
        <w:jc w:val="center"/>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1313"/>
        <w:ind w:firstLine="480"/>
        <w:rPr>
          <w:rFonts w:hint="eastAsia" w:ascii="仿宋" w:hAnsi="仿宋" w:eastAsia="仿宋" w:cs="仿宋"/>
          <w:color w:val="000000"/>
          <w:highlight w:val="none"/>
        </w:rP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131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313"/>
        <w:ind w:firstLine="480"/>
        <w:rPr>
          <w:rFonts w:hint="eastAsia" w:ascii="仿宋" w:hAnsi="仿宋" w:eastAsia="仿宋" w:cs="仿宋"/>
          <w:color w:val="000000"/>
          <w:highlight w:val="none"/>
          <w:lang w:eastAsia="zh-CN"/>
        </w:rPr>
      </w:pPr>
      <w:r>
        <w:rPr>
          <w:rFonts w:hint="eastAsia" w:ascii="仿宋" w:hAnsi="仿宋" w:eastAsia="仿宋" w:cs="仿宋"/>
          <w:b/>
          <w:color w:val="000000"/>
          <w:highlight w:val="none"/>
          <w:lang w:val="en-US" w:eastAsia="zh-CN"/>
        </w:rPr>
        <w:t xml:space="preserve"> </w:t>
      </w:r>
      <w:r>
        <w:rPr>
          <w:rFonts w:hint="eastAsia" w:ascii="仿宋" w:hAnsi="仿宋" w:eastAsia="仿宋" w:cs="仿宋"/>
          <w:color w:val="000000"/>
          <w:highlight w:val="none"/>
          <w:lang w:eastAsia="zh-CN"/>
        </w:rPr>
      </w:r>
      <w:r/>
    </w:p>
    <w:p>
      <w:pPr>
        <w:pStyle w:val="131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spacing w:before="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left="960"/>
        <w:spacing w:before="1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职工食堂委托经营服务</w:t>
      </w:r>
      <w:r>
        <w:rPr>
          <w:rFonts w:hint="eastAsia" w:ascii="仿宋" w:hAnsi="仿宋" w:eastAsia="仿宋" w:cs="仿宋"/>
          <w:color w:val="000000"/>
          <w:sz w:val="28"/>
          <w:szCs w:val="28"/>
          <w:highlight w:val="none"/>
        </w:rPr>
      </w:r>
      <w:r/>
    </w:p>
    <w:p>
      <w:pPr>
        <w:pStyle w:val="1032"/>
        <w:ind w:left="960"/>
        <w:spacing w:before="12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w:t>
      </w:r>
      <w:r>
        <w:rPr>
          <w:rFonts w:hint="eastAsia" w:ascii="仿宋" w:hAnsi="仿宋" w:eastAsia="仿宋" w:cs="仿宋"/>
          <w:color w:val="000000"/>
          <w:sz w:val="28"/>
          <w:szCs w:val="28"/>
          <w:highlight w:val="none"/>
          <w:lang w:val="en-US" w:eastAsia="zh-CN"/>
        </w:rPr>
        <w:t xml:space="preserve">编号</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r>
      <w:r/>
    </w:p>
    <w:p>
      <w:pPr>
        <w:pStyle w:val="1032"/>
        <w:ind w:left="960"/>
        <w:spacing w:before="1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lang w:eastAsia="zh-CN"/>
        </w:rPr>
        <w:t xml:space="preserve">常州市钟楼区五星街道社区卫生服务中心</w:t>
      </w:r>
      <w:r>
        <w:rPr>
          <w:rFonts w:hint="eastAsia" w:ascii="仿宋" w:hAnsi="仿宋" w:eastAsia="仿宋" w:cs="仿宋"/>
          <w:color w:val="000000"/>
          <w:sz w:val="28"/>
          <w:szCs w:val="28"/>
          <w:highlight w:val="none"/>
        </w:rPr>
      </w:r>
      <w:r/>
    </w:p>
    <w:p>
      <w:pPr>
        <w:pStyle w:val="1032"/>
        <w:ind w:left="960"/>
        <w:spacing w:before="120"/>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none"/>
        </w:rPr>
      </w:r>
      <w:r/>
    </w:p>
    <w:p>
      <w:pPr>
        <w:pStyle w:val="1032"/>
        <w:ind w:left="960"/>
        <w:spacing w:before="12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签订地：</w:t>
      </w:r>
      <w:r>
        <w:rPr>
          <w:rFonts w:hint="eastAsia" w:ascii="仿宋" w:hAnsi="仿宋" w:eastAsia="仿宋" w:cs="仿宋"/>
          <w:color w:val="000000"/>
          <w:sz w:val="28"/>
          <w:szCs w:val="28"/>
          <w:highlight w:val="none"/>
          <w:lang w:eastAsia="zh-CN"/>
        </w:rPr>
        <w:t xml:space="preserve">常州市钟楼区五星街道社区卫生服务中心</w:t>
      </w:r>
      <w:r>
        <w:rPr>
          <w:rFonts w:hint="eastAsia" w:ascii="仿宋" w:hAnsi="仿宋" w:eastAsia="仿宋" w:cs="仿宋"/>
          <w:color w:val="000000"/>
          <w:sz w:val="28"/>
          <w:szCs w:val="28"/>
          <w:highlight w:val="none"/>
          <w:lang w:val="en-US" w:eastAsia="zh-CN"/>
        </w:rPr>
      </w:r>
      <w:r/>
    </w:p>
    <w:p>
      <w:pPr>
        <w:pStyle w:val="1032"/>
        <w:ind w:left="960" w:firstLine="0"/>
        <w:spacing w:before="120"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签订日期：</w:t>
      </w:r>
      <w:r>
        <w:rPr>
          <w:rFonts w:hint="eastAsia" w:ascii="仿宋" w:hAnsi="仿宋" w:eastAsia="仿宋" w:cs="仿宋"/>
          <w:color w:val="000000"/>
          <w:sz w:val="28"/>
          <w:szCs w:val="28"/>
          <w:highlight w:val="none"/>
          <w:u w:val="none"/>
        </w:rPr>
        <w:t xml:space="preserve">202</w:t>
      </w:r>
      <w:r>
        <w:rPr>
          <w:rFonts w:hint="eastAsia" w:ascii="仿宋" w:hAnsi="仿宋" w:eastAsia="仿宋" w:cs="仿宋"/>
          <w:color w:val="000000"/>
          <w:sz w:val="28"/>
          <w:szCs w:val="28"/>
          <w:highlight w:val="none"/>
          <w:u w:val="none"/>
          <w:lang w:val="en-US" w:eastAsia="zh-CN"/>
        </w:rPr>
        <w:t xml:space="preserve">6</w:t>
      </w:r>
      <w:r>
        <w:rPr>
          <w:rFonts w:hint="eastAsia" w:ascii="仿宋" w:hAnsi="仿宋" w:eastAsia="仿宋" w:cs="仿宋"/>
          <w:color w:val="000000"/>
          <w:sz w:val="28"/>
          <w:szCs w:val="28"/>
          <w:highlight w:val="none"/>
          <w:u w:val="none"/>
        </w:rPr>
        <w:t xml:space="preserve">年</w:t>
      </w:r>
      <w:r>
        <w:rPr>
          <w:rFonts w:hint="eastAsia" w:ascii="仿宋" w:hAnsi="仿宋" w:eastAsia="仿宋" w:cs="仿宋"/>
          <w:color w:val="000000"/>
          <w:sz w:val="28"/>
          <w:szCs w:val="28"/>
          <w:highlight w:val="none"/>
          <w:u w:val="none"/>
          <w:lang w:val="en-US" w:eastAsia="zh-CN"/>
        </w:rPr>
        <w:t xml:space="preserve">  月  日</w:t>
      </w:r>
      <w:r>
        <w:rPr>
          <w:rFonts w:hint="eastAsia" w:ascii="仿宋" w:hAnsi="仿宋" w:eastAsia="仿宋" w:cs="仿宋"/>
          <w:color w:val="000000"/>
          <w:sz w:val="28"/>
          <w:szCs w:val="28"/>
          <w:highlight w:val="none"/>
        </w:rPr>
      </w:r>
      <w:r/>
    </w:p>
    <w:p>
      <w:pPr>
        <w:pStyle w:val="1032"/>
        <w:rPr>
          <w:color w:val="000000"/>
          <w:highlight w:val="none"/>
        </w:rPr>
      </w:pPr>
      <w:r>
        <w:rPr>
          <w:color w:val="000000"/>
          <w:highlight w:val="none"/>
        </w:rPr>
      </w:r>
      <w:r/>
    </w:p>
    <w:p>
      <w:pPr>
        <w:pStyle w:val="1032"/>
        <w:numPr>
          <w:ilvl w:val="0"/>
          <w:numId w:val="0"/>
        </w:numPr>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1032"/>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br w:type="page" w:clear="all"/>
      </w:r>
      <w:r>
        <w:rPr>
          <w:rFonts w:hint="eastAsia" w:ascii="仿宋" w:hAnsi="仿宋" w:eastAsia="仿宋" w:cs="仿宋"/>
          <w:color w:val="000000"/>
          <w:sz w:val="24"/>
          <w:szCs w:val="24"/>
          <w:highlight w:val="none"/>
          <w:lang w:val="en-US" w:eastAsia="zh-CN"/>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甲方: 常州市钟楼区五星街道社区卫生服务中心                         合同编号</w:t>
      </w:r>
      <w:r>
        <w:rPr>
          <w:rFonts w:hint="eastAsia" w:ascii="仿宋" w:hAnsi="仿宋" w:eastAsia="仿宋" w:cs="仿宋"/>
          <w:b/>
          <w:color w:val="000000"/>
          <w:sz w:val="21"/>
          <w:szCs w:val="21"/>
          <w:highlight w:val="none"/>
          <w:lang w:val="en-US" w:eastAsia="zh-CN" w:bidi="ar-SA"/>
        </w:rPr>
        <w:t xml:space="preserve">：</w:t>
      </w:r>
      <w:r>
        <w:rPr>
          <w:rFonts w:hint="eastAsia" w:ascii="仿宋" w:hAnsi="仿宋" w:eastAsia="仿宋" w:cs="仿宋"/>
          <w:color w:val="000000"/>
          <w:sz w:val="21"/>
          <w:szCs w:val="21"/>
          <w:highlight w:val="none"/>
          <w:lang w:val="en-US" w:eastAsia="zh-CN" w:bidi="ar-SA"/>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乙方:                                        签订地点：</w:t>
      </w:r>
      <w:r>
        <w:rPr>
          <w:rFonts w:hint="eastAsia" w:ascii="仿宋" w:hAnsi="仿宋" w:eastAsia="仿宋" w:cs="仿宋"/>
          <w:color w:val="000000"/>
          <w:sz w:val="21"/>
          <w:szCs w:val="21"/>
          <w:highlight w:val="none"/>
          <w:lang w:val="en-US" w:eastAsia="zh-CN" w:bidi="ar-SA"/>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合同时间: 20   年    月    日</w:t>
      </w:r>
      <w:r>
        <w:rPr>
          <w:rFonts w:hint="eastAsia" w:ascii="仿宋" w:hAnsi="仿宋" w:eastAsia="仿宋" w:cs="仿宋"/>
          <w:color w:val="000000"/>
          <w:sz w:val="21"/>
          <w:szCs w:val="21"/>
          <w:highlight w:val="none"/>
          <w:lang w:val="en-US" w:eastAsia="zh-CN" w:bidi="ar-SA"/>
        </w:rPr>
      </w:r>
      <w:r/>
    </w:p>
    <w:p>
      <w:pPr>
        <w:pStyle w:val="1032"/>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032"/>
        <w:ind w:firstLine="420"/>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年</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月</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lang w:val="zh-CN"/>
        </w:rPr>
        <w:t xml:space="preserve">日</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u w:val="single"/>
          <w:lang w:val="en-US" w:eastAsia="zh-CN"/>
        </w:rPr>
        <w:t xml:space="preserve">常州市钟楼区五星街道社区卫生服务中心</w:t>
      </w:r>
      <w:r>
        <w:rPr>
          <w:rFonts w:hint="eastAsia" w:ascii="仿宋" w:hAnsi="仿宋" w:eastAsia="仿宋" w:cs="仿宋"/>
          <w:color w:val="000000"/>
          <w:sz w:val="21"/>
          <w:szCs w:val="21"/>
          <w:highlight w:val="none"/>
        </w:rPr>
        <w:t xml:space="preserve">以</w:t>
      </w:r>
      <w:r>
        <w:rPr>
          <w:rFonts w:hint="eastAsia" w:ascii="仿宋" w:hAnsi="仿宋" w:eastAsia="仿宋" w:cs="仿宋"/>
          <w:color w:val="000000"/>
          <w:sz w:val="21"/>
          <w:szCs w:val="21"/>
          <w:highlight w:val="none"/>
          <w:u w:val="single"/>
          <w:lang w:val="en-US" w:eastAsia="zh-CN"/>
        </w:rPr>
        <w:t xml:space="preserve">公开招标方式</w:t>
      </w:r>
      <w:r>
        <w:rPr>
          <w:rFonts w:hint="eastAsia" w:ascii="仿宋" w:hAnsi="仿宋" w:eastAsia="仿宋" w:cs="仿宋"/>
          <w:color w:val="000000"/>
          <w:sz w:val="21"/>
          <w:szCs w:val="21"/>
          <w:highlight w:val="none"/>
        </w:rPr>
        <w:t xml:space="preserve">对采购编号为</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rPr>
        <w:t xml:space="preserve">的</w:t>
      </w:r>
      <w:r>
        <w:rPr>
          <w:rFonts w:hint="eastAsia" w:ascii="仿宋" w:hAnsi="仿宋" w:eastAsia="仿宋" w:cs="仿宋"/>
          <w:color w:val="000000"/>
          <w:sz w:val="21"/>
          <w:szCs w:val="21"/>
          <w:highlight w:val="none"/>
          <w:u w:val="single"/>
          <w:lang w:val="en-US" w:eastAsia="zh-CN"/>
        </w:rPr>
        <w:t xml:space="preserve"> </w:t>
      </w:r>
      <w:r>
        <w:rPr>
          <w:rFonts w:hint="eastAsia" w:ascii="仿宋" w:hAnsi="仿宋" w:eastAsia="仿宋" w:cs="仿宋"/>
          <w:color w:val="000000"/>
          <w:sz w:val="21"/>
          <w:szCs w:val="21"/>
          <w:highlight w:val="none"/>
          <w:u w:val="single"/>
          <w:lang w:val="zh-CN" w:eastAsia="zh-CN"/>
        </w:rPr>
        <w:t xml:space="preserve">职工食堂委托经营服务</w:t>
      </w:r>
      <w:r>
        <w:rPr>
          <w:rFonts w:hint="eastAsia" w:ascii="仿宋" w:hAnsi="仿宋" w:eastAsia="仿宋" w:cs="仿宋"/>
          <w:color w:val="000000"/>
          <w:sz w:val="21"/>
          <w:szCs w:val="21"/>
          <w:highlight w:val="none"/>
          <w:u w:val="single"/>
          <w:lang w:val="zh-CN"/>
        </w:rPr>
        <w:t xml:space="preserve"> </w:t>
      </w:r>
      <w:r>
        <w:rPr>
          <w:rFonts w:hint="eastAsia" w:ascii="仿宋" w:hAnsi="仿宋" w:eastAsia="仿宋" w:cs="仿宋"/>
          <w:color w:val="000000"/>
          <w:sz w:val="21"/>
          <w:szCs w:val="21"/>
          <w:highlight w:val="none"/>
        </w:rPr>
        <w:t xml:space="preserve">进行了采购。经评定，</w:t>
      </w:r>
      <w:r>
        <w:rPr>
          <w:rFonts w:hint="eastAsia" w:ascii="仿宋" w:hAnsi="仿宋" w:eastAsia="仿宋" w:cs="仿宋"/>
          <w:color w:val="000000"/>
          <w:sz w:val="21"/>
          <w:szCs w:val="21"/>
          <w:highlight w:val="none"/>
          <w:u w:val="single"/>
          <w:lang w:val="zh-CN"/>
        </w:rPr>
        <w:t xml:space="preserve">（</w:t>
      </w:r>
      <w:r>
        <w:rPr>
          <w:rFonts w:hint="eastAsia" w:ascii="仿宋" w:hAnsi="仿宋" w:eastAsia="仿宋" w:cs="仿宋"/>
          <w:color w:val="000000"/>
          <w:sz w:val="21"/>
          <w:szCs w:val="21"/>
          <w:highlight w:val="none"/>
          <w:u w:val="single"/>
          <w:lang w:val="en-US" w:eastAsia="zh-CN"/>
        </w:rPr>
        <w:t xml:space="preserve">乙方</w:t>
      </w:r>
      <w:r>
        <w:rPr>
          <w:rFonts w:hint="eastAsia" w:ascii="仿宋" w:hAnsi="仿宋" w:eastAsia="仿宋" w:cs="仿宋"/>
          <w:color w:val="000000"/>
          <w:sz w:val="21"/>
          <w:szCs w:val="21"/>
          <w:highlight w:val="none"/>
          <w:u w:val="single"/>
          <w:lang w:val="zh-CN"/>
        </w:rPr>
        <w:t xml:space="preserve">名称）</w:t>
      </w:r>
      <w:r>
        <w:rPr>
          <w:rFonts w:hint="eastAsia" w:ascii="仿宋" w:hAnsi="仿宋" w:eastAsia="仿宋" w:cs="仿宋"/>
          <w:color w:val="000000"/>
          <w:sz w:val="21"/>
          <w:szCs w:val="21"/>
          <w:highlight w:val="none"/>
        </w:rPr>
        <w:t xml:space="preserve">为该项目</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zh-CN"/>
        </w:rPr>
        <w:outlineLvl w:val="0"/>
      </w:pPr>
      <w:r/>
      <w:bookmarkStart w:id="819" w:name="_Toc17449"/>
      <w:r/>
      <w:bookmarkStart w:id="820" w:name="_Toc1609"/>
      <w:r/>
      <w:bookmarkStart w:id="821" w:name="_Toc680"/>
      <w:r>
        <w:rPr>
          <w:rFonts w:hint="eastAsia" w:ascii="仿宋" w:hAnsi="仿宋" w:eastAsia="仿宋" w:cs="仿宋"/>
          <w:color w:val="000000"/>
          <w:sz w:val="21"/>
          <w:szCs w:val="21"/>
          <w:highlight w:val="none"/>
          <w:lang w:val="zh-CN"/>
        </w:rPr>
        <w:t xml:space="preserve">依据《中华人民共和国民法典》、</w:t>
      </w:r>
      <w:r>
        <w:rPr>
          <w:rFonts w:hint="eastAsia" w:ascii="仿宋" w:hAnsi="仿宋" w:eastAsia="仿宋" w:cs="仿宋"/>
          <w:color w:val="000000"/>
          <w:sz w:val="21"/>
          <w:szCs w:val="21"/>
          <w:highlight w:val="none"/>
          <w:lang w:val="zh-CN" w:eastAsia="zh-CN"/>
        </w:rPr>
        <w:t xml:space="preserve">《中华人民共和国食品安全法》</w:t>
      </w:r>
      <w:r>
        <w:rPr>
          <w:rFonts w:hint="eastAsia" w:ascii="仿宋" w:hAnsi="仿宋" w:eastAsia="仿宋" w:cs="仿宋"/>
          <w:color w:val="000000"/>
          <w:sz w:val="21"/>
          <w:szCs w:val="21"/>
          <w:highlight w:val="none"/>
          <w:lang w:val="zh-CN"/>
        </w:rPr>
        <w:t xml:space="preserve">等有关的法律法规，以及本采购项目的</w:t>
      </w:r>
      <w:r>
        <w:rPr>
          <w:rFonts w:hint="eastAsia" w:ascii="仿宋" w:hAnsi="仿宋" w:eastAsia="仿宋" w:cs="仿宋"/>
          <w:color w:val="000000"/>
          <w:sz w:val="21"/>
          <w:szCs w:val="21"/>
          <w:highlight w:val="none"/>
          <w:lang w:val="en-US" w:eastAsia="zh-CN"/>
        </w:rPr>
        <w:t xml:space="preserve">招标</w:t>
      </w:r>
      <w:r>
        <w:rPr>
          <w:rFonts w:hint="eastAsia" w:ascii="仿宋" w:hAnsi="仿宋" w:eastAsia="仿宋" w:cs="仿宋"/>
          <w:color w:val="000000"/>
          <w:sz w:val="21"/>
          <w:szCs w:val="21"/>
          <w:highlight w:val="none"/>
          <w:lang w:val="zh-CN"/>
        </w:rPr>
        <w:t xml:space="preserve">文件等采购文件、乙方的《投标（响应）文件》及《中标（成交）通知书》，甲乙双方同意签订本合同。</w:t>
      </w:r>
      <w:bookmarkEnd w:id="819"/>
      <w:r/>
      <w:bookmarkEnd w:id="820"/>
      <w:r/>
      <w:bookmarkEnd w:id="821"/>
      <w:r>
        <w:rPr>
          <w:rFonts w:hint="eastAsia" w:ascii="仿宋" w:hAnsi="仿宋" w:eastAsia="仿宋" w:cs="仿宋"/>
          <w:color w:val="000000"/>
          <w:sz w:val="21"/>
          <w:szCs w:val="21"/>
          <w:highlight w:val="none"/>
          <w:lang w:val="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第一条 采购内容</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1.项目名称:常州市钟楼区五星街道社区卫生服务中心职工食堂委托经营服务</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2.项目概况:乙方主要负责提供常州市钟楼区五星街道社区卫生服务中心职工就餐服务及少量临时接待、检修人员等人员的就餐服务；</w:t>
      </w:r>
      <w:r>
        <w:rPr>
          <w:rFonts w:hint="eastAsia" w:ascii="仿宋" w:hAnsi="仿宋" w:eastAsia="仿宋" w:cs="仿宋"/>
          <w:color w:val="000000"/>
          <w:sz w:val="21"/>
          <w:szCs w:val="21"/>
          <w:highlight w:val="none"/>
        </w:rPr>
        <w:t xml:space="preserve">在确保职工正常就餐供应的前提下，可兼营小炒、点心等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同时负责食堂全流程运营管理，包括但不限于食材采购、菜品制作、就餐服务、环境卫生、设施设备维护等</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.经营模式：</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自负盈亏，费用按固定用餐标准和实际就餐次数据实结算。</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场地及设施设备：</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1）所有权与使用权：</w:t>
      </w:r>
      <w:r>
        <w:rPr>
          <w:rFonts w:hint="eastAsia" w:ascii="仿宋" w:hAnsi="仿宋" w:eastAsia="仿宋" w:cs="仿宋"/>
          <w:color w:val="000000"/>
          <w:sz w:val="21"/>
          <w:szCs w:val="21"/>
          <w:highlight w:val="none"/>
        </w:rPr>
        <w:t xml:space="preserve">食堂所有权归</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所有，</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在合同履行期内拥有合法经营权和收益权，不得擅自转让、出租、出借经营权。严格按</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规定范围经营，不得随意扩大经营范围，</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对经营范围有最终解释权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场地及设施设备</w:t>
      </w:r>
      <w:r>
        <w:rPr>
          <w:rFonts w:hint="eastAsia" w:ascii="仿宋" w:hAnsi="仿宋" w:eastAsia="仿宋" w:cs="仿宋"/>
          <w:color w:val="000000"/>
          <w:sz w:val="21"/>
          <w:szCs w:val="21"/>
          <w:highlight w:val="none"/>
          <w:lang w:val="en-US" w:eastAsia="zh-CN"/>
        </w:rPr>
        <w:t xml:space="preserve">范围：</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val="en-US" w:eastAsia="zh-CN"/>
        </w:rPr>
        <w:t xml:space="preserve">现有</w:t>
      </w:r>
      <w:r>
        <w:rPr>
          <w:rFonts w:hint="eastAsia" w:ascii="仿宋" w:hAnsi="仿宋" w:eastAsia="仿宋" w:cs="仿宋"/>
          <w:color w:val="000000"/>
          <w:sz w:val="21"/>
          <w:szCs w:val="21"/>
          <w:highlight w:val="none"/>
        </w:rPr>
        <w:t xml:space="preserve">食堂所有房屋（含餐厅、厨房、库房、辅助用房等）、餐厅餐桌椅、餐具，以及食堂内现有相关设施设备（包括厨具、相关设备等），供</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运营使用。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3）移交要求：合同签订后3个工作日内，双方共同完成资产现场验收，签署《食堂资产移交清单》，明确资产完好状态；乙方需对移交资产进行拍照留存，作为合同终止时资产移交的依据。</w:t>
      </w:r>
      <w:r>
        <w:rPr>
          <w:rFonts w:ascii="仿宋" w:hAnsi="仿宋" w:eastAsia="仿宋" w:cs="仿宋"/>
          <w:color w:val="000000"/>
          <w:sz w:val="21"/>
          <w:szCs w:val="21"/>
          <w:highlight w:val="none"/>
          <w:lang w:val="en-US" w:eastAsia="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第二条 服务期限</w:t>
      </w:r>
      <w:r>
        <w:rPr>
          <w:rFonts w:hint="eastAsia" w:ascii="仿宋" w:hAnsi="仿宋" w:eastAsia="仿宋" w:cs="仿宋"/>
          <w:b/>
          <w:bCs/>
          <w:color w:val="000000"/>
          <w:sz w:val="21"/>
          <w:szCs w:val="21"/>
          <w:highlight w:val="none"/>
          <w:lang w:val="en-US" w:eastAsia="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b/>
          <w:bCs/>
          <w:color w:val="000000"/>
          <w:sz w:val="21"/>
          <w:szCs w:val="21"/>
          <w:highlight w:val="none"/>
          <w:lang w:val="en-US" w:eastAsia="zh-CN"/>
        </w:rPr>
        <w:t xml:space="preserve">1.</w:t>
      </w:r>
      <w:r>
        <w:rPr>
          <w:rFonts w:hint="eastAsia" w:ascii="仿宋" w:hAnsi="仿宋" w:eastAsia="仿宋" w:cs="仿宋"/>
          <w:b/>
          <w:bCs/>
          <w:color w:val="000000"/>
          <w:sz w:val="21"/>
          <w:szCs w:val="21"/>
          <w:highlight w:val="none"/>
          <w:lang w:eastAsia="zh-CN"/>
        </w:rPr>
        <w:t xml:space="preserve">暂定三年，合同一年一签。</w:t>
      </w:r>
      <w:r>
        <w:rPr>
          <w:rFonts w:hint="eastAsia" w:ascii="仿宋" w:hAnsi="仿宋" w:eastAsia="仿宋" w:cs="仿宋"/>
          <w:b/>
          <w:bCs/>
          <w:color w:val="000000"/>
          <w:sz w:val="21"/>
          <w:szCs w:val="21"/>
          <w:highlight w:val="none"/>
          <w:lang w:val="en-US" w:eastAsia="zh-CN"/>
        </w:rPr>
        <w:t xml:space="preserve">一年</w:t>
      </w:r>
      <w:r>
        <w:rPr>
          <w:rFonts w:hint="eastAsia" w:ascii="仿宋" w:hAnsi="仿宋" w:eastAsia="仿宋" w:cs="仿宋"/>
          <w:b/>
          <w:bCs/>
          <w:color w:val="000000"/>
          <w:sz w:val="21"/>
          <w:szCs w:val="21"/>
          <w:highlight w:val="none"/>
          <w:lang w:eastAsia="zh-CN"/>
        </w:rPr>
        <w:t xml:space="preserve">合同服务期满后，甲方根据考核结果确定是否续签服务合同，若考核情况良好，</w:t>
      </w:r>
      <w:r>
        <w:rPr>
          <w:rFonts w:hint="eastAsia" w:ascii="仿宋" w:hAnsi="仿宋" w:eastAsia="仿宋" w:cs="仿宋"/>
          <w:b/>
          <w:bCs/>
          <w:color w:val="000000"/>
          <w:sz w:val="21"/>
          <w:szCs w:val="21"/>
          <w:highlight w:val="none"/>
          <w:lang w:val="en-US" w:eastAsia="zh-CN"/>
        </w:rPr>
        <w:t xml:space="preserve">可续签</w:t>
      </w:r>
      <w:r>
        <w:rPr>
          <w:rFonts w:hint="eastAsia" w:ascii="仿宋" w:hAnsi="仿宋" w:eastAsia="仿宋" w:cs="仿宋"/>
          <w:b/>
          <w:bCs/>
          <w:color w:val="000000"/>
          <w:sz w:val="21"/>
          <w:szCs w:val="21"/>
          <w:highlight w:val="none"/>
          <w:lang w:eastAsia="zh-CN"/>
        </w:rPr>
        <w:t xml:space="preserve">下一</w:t>
      </w:r>
      <w:r>
        <w:rPr>
          <w:rFonts w:hint="eastAsia" w:ascii="仿宋" w:hAnsi="仿宋" w:eastAsia="仿宋" w:cs="仿宋"/>
          <w:b/>
          <w:bCs/>
          <w:color w:val="000000"/>
          <w:sz w:val="21"/>
          <w:szCs w:val="21"/>
          <w:highlight w:val="none"/>
          <w:lang w:val="en-US" w:eastAsia="zh-CN"/>
        </w:rPr>
        <w:t xml:space="preserve">年度</w:t>
      </w:r>
      <w:r>
        <w:rPr>
          <w:rFonts w:hint="eastAsia" w:ascii="仿宋" w:hAnsi="仿宋" w:eastAsia="仿宋" w:cs="仿宋"/>
          <w:b/>
          <w:bCs/>
          <w:color w:val="000000"/>
          <w:sz w:val="21"/>
          <w:szCs w:val="21"/>
          <w:highlight w:val="none"/>
          <w:lang w:eastAsia="zh-CN"/>
        </w:rPr>
        <w:t xml:space="preserve">的服务合同，续签最多不超过2次。</w:t>
      </w:r>
      <w:r>
        <w:rPr>
          <w:rFonts w:hint="eastAsia" w:ascii="仿宋" w:hAnsi="仿宋" w:eastAsia="仿宋" w:cs="仿宋"/>
          <w:b/>
          <w:bCs/>
          <w:color w:val="000000"/>
          <w:sz w:val="21"/>
          <w:szCs w:val="21"/>
          <w:highlight w:val="none"/>
          <w:lang w:eastAsia="zh-CN"/>
        </w:rPr>
      </w:r>
      <w:r/>
    </w:p>
    <w:p>
      <w:pPr>
        <w:pStyle w:val="1032"/>
        <w:numPr>
          <w:ilvl w:val="0"/>
          <w:numId w:val="0"/>
        </w:numPr>
        <w:ind w:firstLine="422"/>
        <w:jc w:val="both"/>
        <w:keepLines w:val="0"/>
        <w:keepNext w:val="0"/>
        <w:pageBreakBefore w:val="0"/>
        <w:spacing w:line="360" w:lineRule="auto"/>
        <w:widowControl w:val="off"/>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2.本合同服务期限为：2026年   月   日至2027年   月   日。</w:t>
      </w:r>
      <w:r>
        <w:rPr>
          <w:rFonts w:ascii="仿宋" w:hAnsi="仿宋" w:eastAsia="仿宋" w:cs="仿宋"/>
          <w:b/>
          <w:bCs/>
          <w:color w:val="000000"/>
          <w:sz w:val="21"/>
          <w:szCs w:val="21"/>
          <w:highlight w:val="none"/>
          <w:lang w:val="en-US" w:eastAsia="zh-CN"/>
        </w:rPr>
      </w:r>
      <w:r/>
    </w:p>
    <w:p>
      <w:pPr>
        <w:pStyle w:val="1032"/>
        <w:numPr>
          <w:ilvl w:val="0"/>
          <w:numId w:val="0"/>
        </w:numPr>
        <w:ind w:firstLine="422"/>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第三条 组成本合同的有关文件</w:t>
      </w:r>
      <w:r>
        <w:rPr>
          <w:rFonts w:hint="eastAsia" w:ascii="仿宋" w:hAnsi="仿宋" w:eastAsia="仿宋" w:cs="仿宋"/>
          <w:b/>
          <w:bCs/>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下列关于本次采购活动方式相适应的文件及有关附件是本合同不可分割的组成部分，与本合同具有同等法律效力，这些文件包括但不限于:</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1.采购文件；</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2.响应文件；</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3.中标（成交）通知书；</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4.甲方</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eastAsia="zh-CN"/>
        </w:rPr>
        <w:t xml:space="preserve">的</w:t>
      </w:r>
      <w:r>
        <w:rPr>
          <w:rFonts w:hint="eastAsia" w:ascii="仿宋" w:hAnsi="仿宋" w:eastAsia="仿宋" w:cs="仿宋"/>
          <w:color w:val="000000"/>
          <w:sz w:val="21"/>
          <w:szCs w:val="21"/>
          <w:highlight w:val="none"/>
        </w:rPr>
        <w:t xml:space="preserve">设施、设备</w:t>
      </w:r>
      <w:r>
        <w:rPr>
          <w:rFonts w:hint="eastAsia" w:ascii="仿宋" w:hAnsi="仿宋" w:eastAsia="仿宋" w:cs="仿宋"/>
          <w:color w:val="000000"/>
          <w:sz w:val="21"/>
          <w:szCs w:val="21"/>
          <w:highlight w:val="none"/>
          <w:lang w:eastAsia="zh-CN"/>
        </w:rPr>
        <w:t xml:space="preserve">清单</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5.乙方在投标过程中所作的其它有关承诺、声明、书面澄清；</w:t>
      </w:r>
      <w:r>
        <w:rPr>
          <w:rFonts w:hint="eastAsia" w:ascii="仿宋" w:hAnsi="仿宋" w:eastAsia="仿宋" w:cs="仿宋"/>
          <w:color w:val="000000"/>
          <w:sz w:val="21"/>
          <w:szCs w:val="21"/>
          <w:highlight w:val="none"/>
          <w:lang w:val="en-US" w:eastAsia="zh-CN"/>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6.甲乙双方商定的其他文件等。</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2" w:name="_Toc32431"/>
      <w:r>
        <w:rPr>
          <w:rFonts w:hint="eastAsia" w:ascii="仿宋" w:hAnsi="仿宋" w:eastAsia="仿宋" w:cs="仿宋"/>
          <w:b/>
          <w:bCs/>
          <w:color w:val="000000"/>
          <w:sz w:val="21"/>
          <w:szCs w:val="21"/>
          <w:highlight w:val="none"/>
          <w:lang w:val="en-US" w:eastAsia="zh-CN"/>
        </w:rPr>
        <w:t xml:space="preserve">第四条 </w:t>
      </w:r>
      <w:r>
        <w:rPr>
          <w:rFonts w:hint="eastAsia" w:ascii="仿宋" w:hAnsi="仿宋" w:eastAsia="仿宋" w:cs="仿宋"/>
          <w:b/>
          <w:color w:val="000000"/>
          <w:sz w:val="21"/>
          <w:szCs w:val="21"/>
          <w:highlight w:val="none"/>
        </w:rPr>
        <w:t xml:space="preserve">结算方式</w:t>
      </w:r>
      <w:bookmarkEnd w:id="822"/>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1.结算周期及流程：</w:t>
      </w:r>
      <w:r>
        <w:rPr>
          <w:rFonts w:hint="eastAsia" w:ascii="仿宋" w:hAnsi="仿宋" w:eastAsia="仿宋" w:cs="仿宋"/>
          <w:color w:val="000000"/>
          <w:sz w:val="21"/>
          <w:szCs w:val="21"/>
          <w:highlight w:val="none"/>
        </w:rPr>
        <w:t xml:space="preserve">双方</w:t>
      </w:r>
      <w:r>
        <w:rPr>
          <w:rFonts w:hint="eastAsia" w:ascii="仿宋" w:hAnsi="仿宋" w:eastAsia="仿宋" w:cs="仿宋"/>
          <w:color w:val="000000"/>
          <w:sz w:val="21"/>
          <w:szCs w:val="21"/>
          <w:highlight w:val="none"/>
          <w:lang w:val="en-US" w:eastAsia="zh-CN"/>
        </w:rPr>
        <w:t xml:space="preserve">在</w:t>
      </w:r>
      <w:r>
        <w:rPr>
          <w:rFonts w:hint="eastAsia" w:ascii="仿宋" w:hAnsi="仿宋" w:eastAsia="仿宋" w:cs="仿宋"/>
          <w:color w:val="000000"/>
          <w:sz w:val="21"/>
          <w:szCs w:val="21"/>
          <w:highlight w:val="none"/>
        </w:rPr>
        <w:t xml:space="preserve">每月10日前（遇节假日顺延），核对上月实际用餐数据（含用餐人数、用餐次数、用餐标准等），确认无误后签署《月度用餐结算确认单》；</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需在签署确认单后3个工作日内，向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开具合格的增值税发票，</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在收到合格发票后支付上月结算费用。</w:t>
      </w:r>
      <w:r>
        <w:rPr>
          <w:rFonts w:hint="eastAsia" w:ascii="仿宋" w:hAnsi="仿宋" w:eastAsia="仿宋" w:cs="仿宋"/>
          <w:color w:val="000000"/>
          <w:sz w:val="21"/>
          <w:szCs w:val="21"/>
          <w:highlight w:val="none"/>
        </w:rPr>
        <w:t xml:space="preserve">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甲方</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color w:val="000000"/>
          <w:sz w:val="21"/>
          <w:szCs w:val="21"/>
          <w:highlight w:val="none"/>
          <w:lang w:val="en-US" w:eastAsia="zh-CN"/>
        </w:rPr>
        <w:t xml:space="preserve">年度结算金额不得高于45万元，高出部分不予结算。</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：暂留2个月结算费用作为</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，合同履行期满，且</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无违约行为、无未结清费用、资产移交合格后，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在15个工作日内将</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rPr>
        <w:t xml:space="preserve">无息退还</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numPr>
          <w:ilvl w:val="0"/>
          <w:numId w:val="0"/>
        </w:numPr>
        <w:ind w:firstLine="420"/>
        <w:jc w:val="both"/>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rPr>
        <w:t xml:space="preserve">3.水电费结算：水电费按实际发生额每月结算一次，</w:t>
      </w: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代为缴纳</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需在收到</w:t>
      </w:r>
      <w:r>
        <w:rPr>
          <w:rFonts w:hint="eastAsia" w:ascii="仿宋" w:hAnsi="仿宋" w:eastAsia="仿宋" w:cs="仿宋"/>
          <w:color w:val="000000"/>
          <w:sz w:val="21"/>
          <w:szCs w:val="21"/>
          <w:highlight w:val="none"/>
          <w:lang w:val="en-US" w:eastAsia="zh-CN"/>
        </w:rPr>
        <w:t xml:space="preserve">甲方的</w:t>
      </w:r>
      <w:r>
        <w:rPr>
          <w:rFonts w:hint="eastAsia" w:ascii="仿宋" w:hAnsi="仿宋" w:eastAsia="仿宋" w:cs="仿宋"/>
          <w:color w:val="000000"/>
          <w:sz w:val="21"/>
          <w:szCs w:val="21"/>
          <w:highlight w:val="none"/>
        </w:rPr>
        <w:t xml:space="preserve">缴费凭证后3个工作日内，将水电费足额支付给</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en-US" w:eastAsia="zh-CN"/>
        </w:rPr>
        <w:t xml:space="preserve">或从应结算费用中扣除</w:t>
      </w:r>
      <w:r>
        <w:rPr>
          <w:rFonts w:hint="eastAsia" w:ascii="仿宋" w:hAnsi="仿宋" w:eastAsia="仿宋" w:cs="仿宋"/>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3" w:name="_Toc8315"/>
      <w:r>
        <w:rPr>
          <w:rFonts w:hint="eastAsia" w:ascii="仿宋" w:hAnsi="仿宋" w:eastAsia="仿宋" w:cs="仿宋"/>
          <w:b/>
          <w:bCs/>
          <w:color w:val="000000"/>
          <w:sz w:val="21"/>
          <w:szCs w:val="21"/>
          <w:highlight w:val="none"/>
          <w:lang w:val="en-US" w:eastAsia="zh-CN"/>
        </w:rPr>
        <w:t xml:space="preserve">第五条 </w:t>
      </w:r>
      <w:r>
        <w:rPr>
          <w:rFonts w:hint="eastAsia" w:ascii="仿宋" w:hAnsi="仿宋" w:eastAsia="仿宋" w:cs="仿宋"/>
          <w:b/>
          <w:color w:val="000000"/>
          <w:sz w:val="21"/>
          <w:szCs w:val="21"/>
          <w:highlight w:val="none"/>
        </w:rPr>
        <w:t xml:space="preserve">用餐标准及相关约定</w:t>
      </w:r>
      <w:bookmarkEnd w:id="823"/>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b/>
          <w:color w:val="000000"/>
          <w:sz w:val="21"/>
          <w:szCs w:val="21"/>
          <w:highlight w:val="none"/>
        </w:rPr>
        <w:outlineLvl w:val="1"/>
      </w:pPr>
      <w:r>
        <w:rPr>
          <w:rFonts w:hint="eastAsia" w:ascii="仿宋" w:hAnsi="仿宋" w:eastAsia="仿宋" w:cs="仿宋"/>
          <w:b/>
          <w:color w:val="000000"/>
          <w:sz w:val="21"/>
          <w:szCs w:val="21"/>
          <w:highlight w:val="none"/>
        </w:rPr>
        <w:t xml:space="preserve">（一）用餐清单及标准</w:t>
      </w:r>
      <w:r>
        <w:rPr>
          <w:rFonts w:hint="eastAsia" w:ascii="仿宋" w:hAnsi="仿宋" w:eastAsia="仿宋" w:cs="仿宋"/>
          <w:b/>
          <w:color w:val="000000"/>
          <w:sz w:val="21"/>
          <w:szCs w:val="21"/>
          <w:highlight w:val="none"/>
        </w:rPr>
      </w:r>
      <w:r/>
    </w:p>
    <w:tbl>
      <w:tblPr>
        <w:tblW w:w="10799" w:type="dxa"/>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504"/>
        <w:gridCol w:w="1176"/>
        <w:gridCol w:w="1559"/>
        <w:gridCol w:w="1519"/>
        <w:gridCol w:w="912"/>
        <w:gridCol w:w="1500"/>
        <w:gridCol w:w="1212"/>
        <w:gridCol w:w="2417"/>
      </w:tblGrid>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用餐时间</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预估用餐人数（人）</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结算</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优惠率（%)</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菜品</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用餐天数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天/月）</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rPr>
            </w:r>
            <w:r/>
          </w:p>
        </w:tc>
      </w:tr>
      <w:tr>
        <w:trPr>
          <w:trHeight w:val="516"/>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早餐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对值班职工提供，可对全体职工开放</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中餐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全体职工主要用餐时段</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晚餐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w:t>
            </w:r>
            <w:r>
              <w:rPr>
                <w:rFonts w:hint="eastAsia" w:ascii="仿宋" w:hAnsi="仿宋" w:eastAsia="仿宋" w:cs="仿宋"/>
                <w:color w:val="000000"/>
                <w:sz w:val="21"/>
                <w:szCs w:val="21"/>
                <w:highlight w:val="none"/>
              </w:rPr>
            </w:r>
            <w:r/>
          </w:p>
        </w:tc>
      </w:tr>
    </w:tbl>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（二）伙食具体要求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1.职工用餐要求：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（1）早餐：提供粥类、牛奶、包子、生煎、麻糕、油条、煮鸡蛋等品类中任意3样，保障值班职工用餐需求，可向全体职工开放供应。</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（2）中餐、晚餐：每餐</w:t>
      </w:r>
      <w:r>
        <w:rPr>
          <w:rFonts w:hint="eastAsia" w:ascii="仿宋" w:hAnsi="仿宋" w:eastAsia="仿宋" w:cs="仿宋"/>
          <w:color w:val="000000"/>
          <w:sz w:val="21"/>
          <w:szCs w:val="21"/>
          <w:highlight w:val="none"/>
          <w:lang w:val="en-US" w:eastAsia="zh-CN"/>
        </w:rPr>
        <w:t xml:space="preserve">标准</w:t>
      </w:r>
      <w:r>
        <w:rPr>
          <w:rFonts w:hint="eastAsia" w:ascii="仿宋" w:hAnsi="仿宋" w:eastAsia="仿宋" w:cs="仿宋"/>
          <w:color w:val="000000"/>
          <w:sz w:val="21"/>
          <w:szCs w:val="21"/>
          <w:highlight w:val="none"/>
        </w:rPr>
        <w:t xml:space="preserve">提供不少于</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1大荤</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1小荤</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2素菜</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1汤</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；食堂需提前公示职工一周菜谱，中餐及晚餐菜谱不得重复。菜肴品种丰富，定期更新菜品，积极创新菜肴品种，根据季节变化推出适宜菜品。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（3）自行点餐标准：同类性质冷菜价格≤</w:t>
      </w:r>
      <w:r>
        <w:rPr>
          <w:rFonts w:hint="eastAsia" w:ascii="仿宋" w:hAnsi="仿宋" w:eastAsia="仿宋" w:cs="仿宋"/>
          <w:color w:val="000000"/>
          <w:sz w:val="21"/>
          <w:szCs w:val="21"/>
          <w:highlight w:val="none"/>
        </w:rPr>
        <w:t xml:space="preserve">裕芳斋冷菜价，热菜价格≤舅婆家热菜价</w:t>
      </w:r>
      <w:r>
        <w:rPr>
          <w:rFonts w:hint="eastAsia" w:ascii="仿宋" w:hAnsi="仿宋" w:eastAsia="仿宋" w:cs="仿宋"/>
          <w:color w:val="000000"/>
          <w:sz w:val="21"/>
          <w:szCs w:val="21"/>
          <w:highlight w:val="none"/>
        </w:rPr>
        <w:t xml:space="preserve">，价格需公示。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在确保上述就餐正常供应后，可根据职工和患者、家属需要兼营小炒、点心等，承接中心临时接待、检修人员工作餐等少量餐饮服务。</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三）</w:t>
      </w:r>
      <w:r>
        <w:rPr>
          <w:rFonts w:hint="eastAsia" w:ascii="仿宋" w:hAnsi="仿宋" w:eastAsia="仿宋" w:cs="仿宋"/>
          <w:b/>
          <w:bCs/>
          <w:color w:val="000000"/>
          <w:sz w:val="21"/>
          <w:szCs w:val="21"/>
          <w:highlight w:val="none"/>
        </w:rPr>
        <w:t xml:space="preserve">职工饭卡管理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职工用餐人数合计约100人，职工饭卡每月固定充值330元，按每年12个月计算，饭卡内金额仅限在食堂用餐消费，年底清零。</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w:t>
      </w:r>
      <w:r>
        <w:rPr>
          <w:rFonts w:hint="eastAsia" w:ascii="仿宋" w:hAnsi="仿宋" w:eastAsia="仿宋" w:cs="仿宋"/>
          <w:b/>
          <w:color w:val="000000"/>
          <w:sz w:val="21"/>
          <w:szCs w:val="21"/>
          <w:highlight w:val="none"/>
          <w:lang w:val="en-US" w:eastAsia="zh-CN"/>
        </w:rPr>
        <w:t xml:space="preserve">四</w:t>
      </w:r>
      <w:r>
        <w:rPr>
          <w:rFonts w:hint="eastAsia" w:ascii="仿宋" w:hAnsi="仿宋" w:eastAsia="仿宋" w:cs="仿宋"/>
          <w:b/>
          <w:color w:val="000000"/>
          <w:sz w:val="21"/>
          <w:szCs w:val="21"/>
          <w:highlight w:val="none"/>
        </w:rPr>
        <w:t xml:space="preserve">）用餐标准费用组成</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本项目用餐标准费用为固定包干</w:t>
      </w:r>
      <w:r>
        <w:rPr>
          <w:rFonts w:hint="eastAsia" w:ascii="仿宋" w:hAnsi="仿宋" w:eastAsia="仿宋" w:cs="仿宋"/>
          <w:color w:val="000000"/>
          <w:sz w:val="21"/>
          <w:szCs w:val="21"/>
          <w:highlight w:val="none"/>
          <w:lang w:val="en-US" w:eastAsia="zh-CN"/>
        </w:rPr>
        <w:t xml:space="preserve">单</w:t>
      </w:r>
      <w:r>
        <w:rPr>
          <w:rFonts w:hint="eastAsia" w:ascii="仿宋" w:hAnsi="仿宋" w:eastAsia="仿宋" w:cs="仿宋"/>
          <w:color w:val="000000"/>
          <w:sz w:val="21"/>
          <w:szCs w:val="21"/>
          <w:highlight w:val="none"/>
        </w:rPr>
        <w:t xml:space="preserve">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用餐标准费用</w:t>
      </w:r>
      <w:r>
        <w:rPr>
          <w:rFonts w:hint="eastAsia" w:ascii="仿宋" w:hAnsi="仿宋" w:eastAsia="仿宋" w:cs="仿宋"/>
          <w:color w:val="000000"/>
          <w:sz w:val="21"/>
          <w:szCs w:val="21"/>
          <w:highlight w:val="none"/>
          <w:lang w:val="en-US" w:eastAsia="zh-CN"/>
        </w:rPr>
        <w:t xml:space="preserve">单价</w:t>
      </w:r>
      <w:r>
        <w:rPr>
          <w:rFonts w:hint="eastAsia" w:ascii="仿宋" w:hAnsi="仿宋" w:eastAsia="仿宋" w:cs="仿宋"/>
          <w:color w:val="000000"/>
          <w:sz w:val="21"/>
          <w:szCs w:val="21"/>
          <w:highlight w:val="none"/>
        </w:rPr>
        <w:t xml:space="preserve">已包含完成本项目用餐服务所涉及的全部费用，无任何隐形费用，具体包括但不限于：</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1.人力成本：食堂所有工作人员的工资、奖金、福利、法定节假日加班费、社会保险（五险）、人身意外险/公众责任险等全部费用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2.食材及辅料成本：食材、调味品、食用油、粮食、蔬菜、肉类、水产等原材料，以及洗涤用品、消毒用品、一次性餐具等各类辅材费用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3.运营及管理成本：食堂水电费用、燃气费用（如有）、设施设备日常维护维修费用、油烟管道及净化器清洗费用、各类检验检测费用、管道疏通费用等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4.合规及风险成本：办理经营所需证照的相关费用、环保处置费用、应对各类检查的相关费用，以及食品安全、安全生产、劳资纠纷等各类风险产生的费用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5.其他费用：菜品留样、台账记录、电子化宣传、食堂环境卫生整治等相关费用，以及</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为完成本项目服务所需的其他全部费用。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采购文件明确包含的费用、风险费、政策性文件规定的各项应有费用，以及完成本采购需求规定服务内容所涉及的一切相关费用，均由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不再支付任何额外费用；采购文件未列明但</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认为必需的费用，亦包含在用餐标准内，</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不另行增加费用。各类风险和政策性调整等风险已涵盖在用餐标准中，除合同约定调整外，最终结算时一律不调整用餐标准。</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4" w:name="_Toc15312"/>
      <w:r>
        <w:rPr>
          <w:rFonts w:hint="eastAsia" w:ascii="仿宋" w:hAnsi="仿宋" w:eastAsia="仿宋" w:cs="仿宋"/>
          <w:b/>
          <w:color w:val="000000"/>
          <w:sz w:val="21"/>
          <w:szCs w:val="21"/>
          <w:highlight w:val="none"/>
          <w:lang w:val="en-US" w:eastAsia="zh-CN"/>
        </w:rPr>
        <w:t xml:space="preserve">第六条 </w:t>
      </w:r>
      <w:r>
        <w:rPr>
          <w:rFonts w:hint="eastAsia" w:ascii="仿宋" w:hAnsi="仿宋" w:eastAsia="仿宋" w:cs="仿宋"/>
          <w:b/>
          <w:color w:val="000000"/>
          <w:sz w:val="21"/>
          <w:szCs w:val="21"/>
          <w:highlight w:val="none"/>
        </w:rPr>
        <w:t xml:space="preserve">服务要求</w:t>
      </w:r>
      <w:bookmarkEnd w:id="824"/>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（一）供餐时间要求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1.早餐：7:00-7:30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2.中餐：10:45-12:00</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3.晚餐：16:45-17:15</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严格遵守上述供餐时间，不得擅自提前；确保每餐饭菜在规定供餐时间前10分钟准备就绪，菜品温度符合规范（热菜温度≥60℃，汤品温度≥70℃）；因特殊情况（如食材采购延误、设备故障等）需调整供餐时间的，</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需提前30分钟书面报备</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相关负责人，经同意后方可调整，并及时通知就餐职工，避免影响职工就餐。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（二）人员要求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1.用工管理：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拥有依法自主用工权，用工安全及相关风险全部由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自负；</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自行安排食堂工作人员，负责员工工资、福利等全部费用，</w:t>
      </w:r>
      <w:r>
        <w:rPr>
          <w:rFonts w:hint="eastAsia" w:ascii="仿宋" w:hAnsi="仿宋" w:eastAsia="仿宋" w:cs="仿宋"/>
          <w:color w:val="000000"/>
          <w:sz w:val="21"/>
          <w:szCs w:val="21"/>
          <w:highlight w:val="none"/>
          <w:lang w:val="en-US" w:eastAsia="zh-CN"/>
        </w:rPr>
        <w:t xml:space="preserve">乙方应严格按照《劳动法》《劳动合同法》等相关法律法规的规定，规范用工并按时足额支付职工薪酬，确保符合属地最低工资标准和社会保险缴费等要求，以保障用工合法性、保护员工合法权益。</w:t>
      </w:r>
      <w:r>
        <w:rPr>
          <w:rFonts w:hint="eastAsia" w:ascii="仿宋" w:hAnsi="仿宋" w:eastAsia="仿宋" w:cs="仿宋"/>
          <w:color w:val="000000"/>
          <w:sz w:val="21"/>
          <w:szCs w:val="21"/>
          <w:highlight w:val="none"/>
        </w:rPr>
        <w:t xml:space="preserve">必须为员工购买人身意外险或公众责任险等商业保险，否则一切后果由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2）服务期内，甲方支付的用餐标准费用不予调增。乙方员工因社保、工资、福利等问题产生的纠纷和发生职业暴露、工伤、疾病乃至死亡的一切责任及费用均由乙方全部负责，甲方不承担与此相关的责任。</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乙方需保证服务期间员工队伍的稳定，不得因用工问题影响合同履行。应建立与员工争议的有效投诉处理机制，确保发生用工矛盾、员工维权等问题的，能够及时予以解决，不得影响合同正常履行。若产生重大法律纠纷、影响合同正常履行等情形的，甲方有权提前解除合同，对甲方造成影响和损失的，甲方有权向乙方追偿。</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2.健康要求：所有饮食从业人员必须按照《食品安全法》规定，每年进行健康检查，取得有效健康证后方可持证上岗，健康证需定期复核并公示。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3.项目负责人：需具备食品营养相关专业、行政管理专业背景，或具有食品相关行业从业经验，能够全面负责食堂运营管理工作。</w:t>
      </w:r>
      <w:r>
        <w:rPr>
          <w:rFonts w:hint="eastAsia" w:ascii="仿宋" w:hAnsi="仿宋" w:eastAsia="仿宋" w:cs="仿宋"/>
          <w:color w:val="000000"/>
          <w:sz w:val="21"/>
          <w:szCs w:val="21"/>
          <w:highlight w:val="none"/>
        </w:rPr>
        <w:t xml:space="preserve">项目负责人需全职在岗，不得兼任其他项目工作，如需请假，需提前书面报备</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，指定临时负责人并做好工作交接，确保食堂运营不受影响。</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4.工作人员</w:t>
      </w:r>
      <w:r>
        <w:rPr>
          <w:rFonts w:hint="eastAsia" w:ascii="仿宋" w:hAnsi="仿宋" w:eastAsia="仿宋" w:cs="仿宋"/>
          <w:color w:val="000000"/>
          <w:sz w:val="21"/>
          <w:szCs w:val="21"/>
          <w:highlight w:val="none"/>
          <w:lang w:val="en-US" w:eastAsia="zh-CN"/>
        </w:rPr>
        <w:t xml:space="preserve">资历</w:t>
      </w:r>
      <w:r>
        <w:rPr>
          <w:rFonts w:hint="eastAsia" w:ascii="仿宋" w:hAnsi="仿宋" w:eastAsia="仿宋" w:cs="仿宋"/>
          <w:color w:val="000000"/>
          <w:sz w:val="21"/>
          <w:szCs w:val="21"/>
          <w:highlight w:val="none"/>
        </w:rPr>
        <w:t xml:space="preserve">：厨师需熟练掌握主要菜系制作、主要面点制作及相关</w:t>
      </w:r>
      <w:r>
        <w:rPr>
          <w:rFonts w:hint="eastAsia" w:ascii="仿宋" w:hAnsi="仿宋" w:eastAsia="仿宋" w:cs="仿宋"/>
          <w:color w:val="000000"/>
          <w:sz w:val="21"/>
          <w:szCs w:val="21"/>
          <w:highlight w:val="none"/>
          <w:lang w:val="en-US" w:eastAsia="zh-CN"/>
        </w:rPr>
        <w:t xml:space="preserve">食材营养</w:t>
      </w:r>
      <w:r>
        <w:rPr>
          <w:rFonts w:hint="eastAsia" w:ascii="仿宋" w:hAnsi="仿宋" w:eastAsia="仿宋" w:cs="仿宋"/>
          <w:color w:val="000000"/>
          <w:sz w:val="21"/>
          <w:szCs w:val="21"/>
          <w:highlight w:val="none"/>
        </w:rPr>
        <w:t xml:space="preserve">配制方法；其他服务人员需具备相应工作经验，持证上岗；</w:t>
      </w:r>
      <w:r>
        <w:rPr>
          <w:rFonts w:hint="eastAsia" w:ascii="仿宋" w:hAnsi="仿宋" w:eastAsia="仿宋" w:cs="仿宋"/>
          <w:color w:val="000000"/>
          <w:sz w:val="21"/>
          <w:szCs w:val="21"/>
          <w:highlight w:val="none"/>
          <w:lang w:eastAsia="zh-CN"/>
        </w:rPr>
        <w:t xml:space="preserve">配备卫生安全监督员，专门负责本食堂加工制作过程的卫生和安全监督工作；</w:t>
      </w:r>
      <w:r>
        <w:rPr>
          <w:rFonts w:hint="eastAsia" w:ascii="仿宋" w:hAnsi="仿宋" w:eastAsia="仿宋" w:cs="仿宋"/>
          <w:color w:val="000000"/>
          <w:sz w:val="21"/>
          <w:szCs w:val="21"/>
          <w:highlight w:val="none"/>
        </w:rPr>
        <w:t xml:space="preserve">人员配置需满足实际供餐服务需求，不得影响正常供餐。</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（三）食品安全与安全生产要求</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1.食品安全管理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（1）建立健全食品安全责任制，</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签订安全责任书，严格按照《中华人民共和国食品安全法》《产品质量法》及</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相关要求组织生产经营，提供安全合格食品；若因</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原因引发食品安全事故，造成的一切损失及后果均由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（2）建立内部安全监督管理体系，配备专业食品卫生质量监督员，所有员工需与</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签订卫生安全责任书，将卫生安全责任落实到个人。</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（3）建立食品安全预警制度，所有相关制度需张贴上墙；出现食品安全相关问题时，需及时向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和相关部门报告，并采取有效急救措施，最大限度降低损失。</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严格执行食品留样制度，</w:t>
      </w:r>
      <w:r>
        <w:rPr>
          <w:rFonts w:hint="eastAsia" w:ascii="仿宋" w:hAnsi="仿宋" w:eastAsia="仿宋" w:cs="仿宋"/>
          <w:color w:val="000000"/>
          <w:sz w:val="21"/>
          <w:szCs w:val="21"/>
          <w:highlight w:val="none"/>
          <w:lang w:eastAsia="zh-CN"/>
        </w:rPr>
        <w:t xml:space="preserve">按食堂安全卫生管理要求，做好每天的食品留样和蔬菜有机磷检测，并做好台帐登记和管理工作。</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2.安全生产管理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加强安全生产教育培训，杜绝安全隐患；做好水电管理，落实相应安全生产措施，严守设备操作流程；生熟食品及加工用具分类放置，防止交叉污染；无关人员严禁进入厨房及保管室；易燃易爆物品按规定存放，工作人员离开厨房前，需妥善放置各类食品，关好门窗，检查电源开关、设备、炉灶等，做好防火、防盗、防毒工作，杜绝意外事故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（2）严格遵守《安全生产法》相关规定，若发生重大安全事故、设备设施损坏、人身事故，一切后果由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（3）每年组织开展停电停水、食物中毒、消防演练等应急预案培训，并做好完整台账记录。</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4）服务期间，乙方对员工的安全负责，如因安全作业或安全预防措施不到位，造成的一切安全责任由乙方承担，与甲方无关。</w:t>
      </w:r>
      <w:r>
        <w:rPr>
          <w:rFonts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（四）经营管理要求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1.制度建设：</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需在开展经营后1个月内，</w:t>
      </w:r>
      <w:r>
        <w:rPr>
          <w:rFonts w:hint="eastAsia" w:ascii="仿宋" w:hAnsi="仿宋" w:eastAsia="仿宋" w:cs="仿宋"/>
          <w:color w:val="000000"/>
          <w:sz w:val="21"/>
          <w:szCs w:val="21"/>
          <w:highlight w:val="none"/>
          <w:lang w:eastAsia="zh-CN"/>
        </w:rPr>
        <w:t xml:space="preserve">建立健全各类餐饮卫生管理制度</w:t>
      </w:r>
      <w:r>
        <w:rPr>
          <w:rFonts w:hint="eastAsia" w:ascii="仿宋" w:hAnsi="仿宋" w:eastAsia="仿宋" w:cs="仿宋"/>
          <w:color w:val="000000"/>
          <w:sz w:val="21"/>
          <w:szCs w:val="21"/>
          <w:highlight w:val="none"/>
        </w:rPr>
        <w:t xml:space="preserve">、安全操作规程、各环节岗位责任制等管理制度，并严格执行。</w:t>
      </w:r>
      <w:r>
        <w:rPr>
          <w:rFonts w:hint="eastAsia" w:ascii="仿宋" w:hAnsi="仿宋" w:eastAsia="仿宋" w:cs="仿宋"/>
          <w:color w:val="000000"/>
          <w:sz w:val="21"/>
          <w:szCs w:val="21"/>
          <w:highlight w:val="none"/>
          <w:lang w:eastAsia="zh-CN"/>
        </w:rPr>
        <w:t xml:space="preserve">加强从业人员的培训与管理，严把员工素质关，做到管理规范化、服务标准化，杜绝任何食品安全卫生责任事故的发生。</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2.成本与价格管理：</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需遵循双方共同确立的“利润率指导价格”原则，为医护人员提供大众餐饮、特色餐饮等服务，为少量病患提供病员餐饮等服务。</w:t>
      </w:r>
      <w:r>
        <w:rPr>
          <w:rFonts w:hint="eastAsia" w:ascii="仿宋" w:hAnsi="仿宋" w:eastAsia="仿宋" w:cs="仿宋"/>
          <w:color w:val="000000"/>
          <w:sz w:val="21"/>
          <w:szCs w:val="21"/>
          <w:highlight w:val="none"/>
          <w:lang w:val="en-US" w:eastAsia="zh-CN"/>
        </w:rPr>
        <w:t xml:space="preserve">厨房工程类的非乙方责任所造成的维修费用由甲方协商解决。</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3.费用承担：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（1）食堂运营期间，厨房设备类、工程类维修费、各项检验检测费、油烟管道和油烟分离器清洗费、油烟处置费、管道疏通费等，均由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承担（不可抗力引起的损坏除外）。</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除现有餐具外，合同履行期限内</w:t>
      </w:r>
      <w:r>
        <w:rPr>
          <w:rFonts w:hint="eastAsia" w:ascii="仿宋" w:hAnsi="仿宋" w:eastAsia="仿宋" w:cs="仿宋"/>
          <w:color w:val="000000"/>
          <w:sz w:val="21"/>
          <w:szCs w:val="21"/>
          <w:highlight w:val="none"/>
        </w:rPr>
        <w:t xml:space="preserve">食堂用餐餐具、</w:t>
      </w:r>
      <w:r>
        <w:rPr>
          <w:rFonts w:hint="eastAsia" w:ascii="仿宋" w:hAnsi="仿宋" w:eastAsia="仿宋" w:cs="仿宋"/>
          <w:color w:val="000000"/>
          <w:sz w:val="21"/>
          <w:szCs w:val="21"/>
          <w:highlight w:val="none"/>
        </w:rPr>
        <w:t xml:space="preserve">洗涤用品、卫生用品等所有易耗品，由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提供并承担相关费用。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（3）食堂工作人员的招聘、管理、工资、福利、法定节假日加班费等，由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合同履行期限内</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满足市场监督管理</w:t>
      </w:r>
      <w:r>
        <w:rPr>
          <w:rFonts w:hint="eastAsia" w:ascii="仿宋" w:hAnsi="仿宋" w:eastAsia="仿宋" w:cs="仿宋"/>
          <w:color w:val="000000"/>
          <w:sz w:val="21"/>
          <w:szCs w:val="21"/>
          <w:highlight w:val="none"/>
        </w:rPr>
        <w:t xml:space="preserve">、卫生、</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税务等院外行政管理部门</w:t>
      </w:r>
      <w:r>
        <w:rPr>
          <w:rFonts w:hint="eastAsia" w:ascii="仿宋" w:hAnsi="仿宋" w:eastAsia="仿宋" w:cs="仿宋"/>
          <w:color w:val="000000"/>
          <w:sz w:val="21"/>
          <w:szCs w:val="21"/>
          <w:highlight w:val="none"/>
          <w:lang w:val="en-US" w:eastAsia="zh-CN"/>
        </w:rPr>
        <w:t xml:space="preserve">合规</w:t>
      </w:r>
      <w:r>
        <w:rPr>
          <w:rFonts w:hint="eastAsia" w:ascii="仿宋" w:hAnsi="仿宋" w:eastAsia="仿宋" w:cs="仿宋"/>
          <w:color w:val="000000"/>
          <w:sz w:val="21"/>
          <w:szCs w:val="21"/>
          <w:highlight w:val="none"/>
        </w:rPr>
        <w:t xml:space="preserve">要求产生的</w:t>
      </w:r>
      <w:r>
        <w:rPr>
          <w:rFonts w:hint="eastAsia" w:ascii="仿宋" w:hAnsi="仿宋" w:eastAsia="仿宋" w:cs="仿宋"/>
          <w:color w:val="000000"/>
          <w:sz w:val="21"/>
          <w:szCs w:val="21"/>
          <w:highlight w:val="none"/>
        </w:rPr>
        <w:t xml:space="preserve">相关费用，由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自行承担。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（5）油烟管道和净化器清洗费用由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需与有资质的公司签订清洗合同，每季度清理油烟管道内外部一次，全年共四次，并留存清洗记录备查。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需承担运营期间的部分环保责任，因运营等人为原因引起的环保责任和环保罚款，全部由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需按市场监督管理局要求办理相关经营证照</w:t>
      </w:r>
      <w:r>
        <w:rPr>
          <w:rFonts w:hint="eastAsia" w:ascii="仿宋" w:hAnsi="仿宋" w:eastAsia="仿宋" w:cs="仿宋"/>
          <w:color w:val="000000"/>
          <w:sz w:val="21"/>
          <w:szCs w:val="21"/>
          <w:highlight w:val="none"/>
          <w:lang w:val="en-US" w:eastAsia="zh-CN"/>
        </w:rPr>
        <w:t xml:space="preserve">并承担</w:t>
      </w:r>
      <w:r>
        <w:rPr>
          <w:rFonts w:hint="eastAsia" w:ascii="仿宋" w:hAnsi="仿宋" w:eastAsia="仿宋" w:cs="仿宋"/>
          <w:color w:val="000000"/>
          <w:sz w:val="21"/>
          <w:szCs w:val="21"/>
          <w:highlight w:val="none"/>
        </w:rPr>
        <w:t xml:space="preserve">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8）就餐环境文化宣传费用</w:t>
      </w: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4.卫生要求：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厨房环境干净整洁，工作区无杂物，物品按规定归类定位放置；</w:t>
      </w:r>
      <w:r>
        <w:rPr>
          <w:rFonts w:hint="eastAsia" w:ascii="仿宋" w:hAnsi="仿宋" w:eastAsia="仿宋" w:cs="仿宋"/>
          <w:color w:val="000000"/>
          <w:sz w:val="21"/>
          <w:szCs w:val="21"/>
          <w:highlight w:val="none"/>
        </w:rPr>
        <w:t xml:space="preserve">餐后及时对厨具、餐具进行清洗、消毒，并分类放在固定位置；对厨房、餐厅进行全面打扫、冲洗；</w:t>
      </w:r>
      <w:r>
        <w:rPr>
          <w:rFonts w:hint="eastAsia" w:ascii="仿宋" w:hAnsi="仿宋" w:eastAsia="仿宋" w:cs="仿宋"/>
          <w:color w:val="000000"/>
          <w:sz w:val="21"/>
          <w:szCs w:val="21"/>
          <w:highlight w:val="none"/>
          <w:lang w:val="en-US" w:eastAsia="zh-CN"/>
        </w:rPr>
        <w:t xml:space="preserve">泔水、垃圾等废弃物应按规定存放；</w:t>
      </w:r>
      <w:r>
        <w:rPr>
          <w:rFonts w:hint="eastAsia" w:ascii="仿宋" w:hAnsi="仿宋" w:eastAsia="仿宋" w:cs="仿宋"/>
          <w:color w:val="000000"/>
          <w:sz w:val="21"/>
          <w:szCs w:val="21"/>
          <w:highlight w:val="none"/>
        </w:rPr>
        <w:t xml:space="preserve">对剩余饭菜按规定妥善处理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当餐及时清除，无明显异味。</w:t>
      </w:r>
      <w:r>
        <w:rPr>
          <w:rFonts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（2）每日对厨具、餐具进行清洗、消毒，对厨房、餐厅及周边环境进行保洁；每周开展一次大扫除。</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（3）每日进行下水道清理，因</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操作原因引起的管道堵塞，由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负责疏通并承担相关费用。</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4）食堂环境卫生干净明亮、整洁有序，大厅天花板、装饰物、墙壁及门窗无污迹，桌椅无污迹油迹，服务台面、垃圾桶表面、服务台玻璃表面无污迹油迹；食堂内无蚊蝇、蟑螂、老鼠等。</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5.设施设备管理：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需对</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提供的设施设备进行日常维护、维修，费用由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自行承担；如涉及人为损坏，需照价赔偿；如因正常损耗或确需添置餐具、厨房设备设施等，需报</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确认同意后，由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自费添置。</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（2）食堂如需新增炉灶自动熄火保护装置，相关费用由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（3）按照医院评审规范和要求，接受涉及食堂方面的相关条例考核和检查，根据</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要求规范台账记录；增加电子化宣传内容，根据</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要求及食堂实际经营需要，添置现代化、时尚、便捷的设施设备。</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（五）采购与加工流程要求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乙方应</w:t>
      </w:r>
      <w:r>
        <w:rPr>
          <w:rFonts w:hint="eastAsia" w:ascii="仿宋" w:hAnsi="仿宋" w:eastAsia="仿宋" w:cs="仿宋"/>
          <w:color w:val="000000"/>
          <w:sz w:val="21"/>
          <w:szCs w:val="21"/>
          <w:highlight w:val="none"/>
        </w:rPr>
        <w:t xml:space="preserve">严格把控食材质量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强化原材料质量控制；加强食品保存管理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1.菜单制订：</w:t>
      </w:r>
      <w:r>
        <w:rPr>
          <w:rFonts w:hint="eastAsia" w:ascii="仿宋" w:hAnsi="仿宋" w:eastAsia="仿宋" w:cs="仿宋"/>
          <w:color w:val="000000"/>
          <w:sz w:val="21"/>
          <w:szCs w:val="21"/>
          <w:highlight w:val="none"/>
          <w:lang w:val="en-US" w:eastAsia="zh-CN"/>
        </w:rPr>
        <w:t xml:space="preserve">乙方</w:t>
      </w:r>
      <w:r>
        <w:rPr>
          <w:rFonts w:hint="eastAsia" w:ascii="仿宋" w:hAnsi="仿宋" w:eastAsia="仿宋" w:cs="仿宋"/>
          <w:color w:val="000000"/>
          <w:sz w:val="21"/>
          <w:szCs w:val="21"/>
          <w:highlight w:val="none"/>
        </w:rPr>
        <w:t xml:space="preserve">管理人员需结合市场、季节、营养及</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要求等因素，制定每周食谱及菜单，并报送</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相关部门备案，严格按照备案食谱供应菜品。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2.食材采购：</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（1）食材采购管理：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① </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自主采购食材，</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有权对采购渠道、食材质量进行监督、检查、抽查；</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需在合同签订后10个工作日内，提交主要食材</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名单（含</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名称、资质证明、联系方式、合作协议等），</w:t>
      </w:r>
      <w:r>
        <w:rPr>
          <w:rFonts w:hint="eastAsia" w:ascii="仿宋" w:hAnsi="仿宋" w:eastAsia="仿宋" w:cs="仿宋"/>
          <w:color w:val="000000"/>
          <w:sz w:val="21"/>
          <w:szCs w:val="21"/>
          <w:highlight w:val="none"/>
          <w:lang w:val="en-US" w:eastAsia="zh-CN"/>
        </w:rPr>
        <w:t xml:space="preserve">向</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lang w:val="en-US" w:eastAsia="zh-CN"/>
        </w:rPr>
        <w:t xml:space="preserve">报备</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② 食材采购需具有可追溯性，渠道合法、安全，必须从持有食品经营许可证的经营单位、大型连锁超市、正规食蔬基地、原厂家或授权经销商等正规渠道采购，严禁从无资质、无保障的渠道采购食材。</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③ 采购时需按国家规定索取食材检验合格证明、进货凭证（发票、收据等），建立完整的食材采购台账，详细记录食材名称、采购日期、采购数量、</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名称、联系方式、检验合格证明编号等信息，台账需留存不少于2年，供</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及相关监管部门检查。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（2）食材质量要求：蔬菜新鲜、色泽鲜亮、形状完好；肉类有光泽、色红均匀、肉质紧实、不黏手、无异味；鱼虾类色泽正常、无红变，甲壳光泽新鲜；尽量少用半成品。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3.库房管理：严格执行库房管理制度和索证索票制度，做好台账登记，</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有权对台账进行随机检查；库房物品需按相关要求分类存放，做到隔墙离地、保持清洁。</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4.菜品加工：严格按照食品安全操作规范进行菜品加工，加工后的饭菜需做好保热、保洁工作，确保菜品温度和质量。</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（2）严格控制菜品单次烹饪数量，蔬菜类菜品一次烹饪完成，衔接时间控制合理，不得出现菜品出锅时间过长、菜品不新鲜或明显浪费现象；注重现场菜品保温管理，及时按规定加热，不得出现冷饭冷菜现象。</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（六）资产管理要求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提供的资产，经</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现场验收确认后，双方办理合同期间资产使用移交手续并签字确认，各持一份；严格按照国有资产管理制度进行监管。</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2.合同履行期间，</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需正常合理使用</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提供的资产，不得转让、转卖、出借、改拆，保证承包经营结束时资产移交验收完好、合格，并留存定期维修保养记录；对非正常损坏的资产，</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需予以修复或按建造安装价、采购价赔偿。</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需在规定区域内作业，不得随意改变各功能区用途，不得扩大经营场所，不得随意搭盖；未经</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同意，不得对食堂供水、供电线路进行改造，不得改变房屋结构及装饰。</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4.合同履行期内，</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自行投资购置的辅助设备，在退出承包经营时，由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自行搬走，不结算残余值，现场需恢复原样。</w:t>
      </w:r>
      <w:r>
        <w:rPr>
          <w:rFonts w:hint="eastAsia" w:ascii="仿宋" w:hAnsi="仿宋" w:eastAsia="仿宋" w:cs="仿宋"/>
          <w:color w:val="000000"/>
          <w:sz w:val="21"/>
          <w:szCs w:val="21"/>
          <w:highlight w:val="none"/>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1"/>
      </w:pPr>
      <w:r>
        <w:rPr>
          <w:rFonts w:hint="eastAsia" w:ascii="仿宋" w:hAnsi="仿宋" w:eastAsia="仿宋" w:cs="仿宋"/>
          <w:b/>
          <w:color w:val="000000"/>
          <w:sz w:val="21"/>
          <w:szCs w:val="21"/>
          <w:highlight w:val="none"/>
        </w:rPr>
        <w:t xml:space="preserve">（七）监督与配合要求</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提供</w:t>
      </w:r>
      <w:r>
        <w:rPr>
          <w:rFonts w:hint="eastAsia" w:ascii="仿宋" w:hAnsi="仿宋" w:eastAsia="仿宋" w:cs="仿宋"/>
          <w:color w:val="000000"/>
          <w:sz w:val="21"/>
          <w:szCs w:val="21"/>
          <w:highlight w:val="none"/>
          <w:lang w:eastAsia="zh-CN"/>
        </w:rPr>
        <w:t xml:space="preserve">餐饮</w:t>
      </w:r>
      <w:r>
        <w:rPr>
          <w:rFonts w:hint="eastAsia" w:ascii="仿宋" w:hAnsi="仿宋" w:eastAsia="仿宋" w:cs="仿宋"/>
          <w:color w:val="000000"/>
          <w:sz w:val="21"/>
          <w:szCs w:val="21"/>
          <w:highlight w:val="none"/>
        </w:rPr>
        <w:t xml:space="preserve">服务，</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提供经营场地，</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按本合同约定自行组织经营。委派专业厨房工作人员及管理人员到</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进行专业餐饮管理、经营，为</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提供膳食服务，规范经营。</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相关部门负责监督和指导餐厅经营管理工作。</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需配合</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的管理，合法经营，严格遵守</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的各项规章制度、考核细则，遵纪守法，遵守职业道德，服从</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的监督管理。</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乙方的</w:t>
      </w:r>
      <w:r>
        <w:rPr>
          <w:rFonts w:hint="eastAsia" w:ascii="仿宋" w:hAnsi="仿宋" w:eastAsia="仿宋" w:cs="仿宋"/>
          <w:color w:val="000000"/>
          <w:sz w:val="21"/>
          <w:szCs w:val="21"/>
          <w:highlight w:val="none"/>
        </w:rPr>
        <w:t xml:space="preserve">所有员工必须经过</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及相关管理部门的入职审核（包括但不限于无犯罪证明、健康体检证明等），未通过审核的员工，</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有权要求予以更换或辞退。</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接受</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财务监督，</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有权查阅食堂账册、营业额等台账，</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需积极配合，如实提供相关资料。</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有权建立监管小组（或膳食管理委员会）并制定监管细则，对</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的原材料采购、菜品品种、价格、成本、饮食产品质量、</w:t>
      </w:r>
      <w:r>
        <w:rPr>
          <w:rFonts w:hint="eastAsia" w:ascii="仿宋" w:hAnsi="仿宋" w:eastAsia="仿宋" w:cs="仿宋"/>
          <w:color w:val="000000"/>
          <w:sz w:val="21"/>
          <w:szCs w:val="21"/>
          <w:highlight w:val="none"/>
          <w:lang w:val="en-US" w:eastAsia="zh-CN"/>
        </w:rPr>
        <w:t xml:space="preserve">安全、</w:t>
      </w:r>
      <w:r>
        <w:rPr>
          <w:rFonts w:hint="eastAsia" w:ascii="仿宋" w:hAnsi="仿宋" w:eastAsia="仿宋" w:cs="仿宋"/>
          <w:color w:val="000000"/>
          <w:sz w:val="21"/>
          <w:szCs w:val="21"/>
          <w:highlight w:val="none"/>
        </w:rPr>
        <w:t xml:space="preserve">卫生要求等进行全过程检查、监督和管理指导</w:t>
      </w:r>
      <w:r>
        <w:rPr>
          <w:rFonts w:hint="eastAsia" w:ascii="仿宋" w:hAnsi="仿宋" w:eastAsia="仿宋" w:cs="仿宋"/>
          <w:color w:val="000000"/>
          <w:sz w:val="21"/>
          <w:szCs w:val="21"/>
          <w:highlight w:val="none"/>
          <w:lang w:eastAsia="zh-CN"/>
        </w:rPr>
        <w:t xml:space="preserve">，对违规行为予以处罚</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5.承包范围内所有设备及水电如发生损坏由乙方负责维修确保设备正常,甲方不定期安全生产检查。</w:t>
      </w:r>
      <w:r>
        <w:rPr>
          <w:rFonts w:hint="eastAsia" w:ascii="仿宋" w:hAnsi="仿宋" w:eastAsia="仿宋" w:cs="仿宋"/>
          <w:color w:val="000000"/>
          <w:sz w:val="21"/>
          <w:szCs w:val="21"/>
          <w:highlight w:val="none"/>
          <w:lang w:val="en-US" w:eastAsia="zh-CN"/>
        </w:rPr>
      </w:r>
      <w:r/>
    </w:p>
    <w:p>
      <w:pPr>
        <w:pStyle w:val="1032"/>
        <w:ind w:left="0" w:firstLine="482"/>
        <w:jc w:val="left"/>
        <w:keepLines w:val="0"/>
        <w:keepNext w:val="0"/>
        <w:pageBreakBefore w:val="0"/>
        <w:spacing w:line="360" w:lineRule="auto"/>
        <w:widowControl w:val="off"/>
        <w:rPr>
          <w:rFonts w:hint="eastAsia" w:ascii="仿宋" w:hAnsi="仿宋" w:eastAsia="仿宋" w:cs="仿宋"/>
          <w:color w:val="000000"/>
          <w:sz w:val="21"/>
          <w:szCs w:val="21"/>
          <w:highlight w:val="none"/>
        </w:rPr>
        <w:outlineLvl w:val="0"/>
      </w:pPr>
      <w:r/>
      <w:bookmarkStart w:id="825" w:name="_Toc17045"/>
      <w:r>
        <w:rPr>
          <w:rFonts w:hint="eastAsia" w:ascii="仿宋" w:hAnsi="仿宋" w:eastAsia="仿宋" w:cs="仿宋"/>
          <w:b/>
          <w:bCs/>
          <w:color w:val="000000"/>
          <w:sz w:val="24"/>
          <w:szCs w:val="24"/>
          <w:highlight w:val="none"/>
          <w:lang w:val="en-US" w:eastAsia="zh-CN"/>
        </w:rPr>
        <w:t xml:space="preserve">第七条 </w:t>
      </w:r>
      <w:r>
        <w:rPr>
          <w:rFonts w:hint="eastAsia" w:ascii="仿宋" w:hAnsi="仿宋" w:eastAsia="仿宋" w:cs="仿宋"/>
          <w:b/>
          <w:color w:val="000000"/>
          <w:sz w:val="21"/>
          <w:szCs w:val="21"/>
          <w:highlight w:val="none"/>
        </w:rPr>
        <w:t xml:space="preserve">考核要求</w:t>
      </w:r>
      <w:bookmarkEnd w:id="825"/>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每季度开展食堂服务满意度调查，发放职工测评问卷</w:t>
      </w:r>
      <w:r>
        <w:rPr>
          <w:rFonts w:hint="eastAsia" w:ascii="仿宋" w:hAnsi="仿宋" w:eastAsia="仿宋" w:cs="仿宋"/>
          <w:color w:val="000000"/>
          <w:sz w:val="21"/>
          <w:szCs w:val="21"/>
          <w:highlight w:val="none"/>
          <w:lang w:val="en-US" w:eastAsia="zh-CN"/>
        </w:rPr>
        <w:t xml:space="preserve">不少于</w:t>
      </w:r>
      <w:r>
        <w:rPr>
          <w:rFonts w:hint="eastAsia" w:ascii="仿宋" w:hAnsi="仿宋" w:eastAsia="仿宋" w:cs="仿宋"/>
          <w:color w:val="000000"/>
          <w:sz w:val="21"/>
          <w:szCs w:val="21"/>
          <w:highlight w:val="none"/>
        </w:rPr>
        <w:t xml:space="preserve">30份，服务满意度≥85%为合格。</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2.服务满意度在合格标准基础上，每低1%，罚款1000元。</w:t>
      </w:r>
      <w:r>
        <w:rPr>
          <w:rFonts w:hint="eastAsia" w:ascii="仿宋" w:hAnsi="仿宋" w:eastAsia="仿宋" w:cs="仿宋"/>
          <w:color w:val="000000"/>
          <w:sz w:val="21"/>
          <w:szCs w:val="21"/>
          <w:highlight w:val="none"/>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3.当服务满意度＜75%时，</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有权要求</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限期整改，并对其处以5000至10000元的罚金；连续2次满意度低于75%时，</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有权单方面解除本合同，并不承担由此带来的</w:t>
      </w:r>
      <w:r>
        <w:rPr>
          <w:rFonts w:hint="eastAsia" w:ascii="仿宋" w:hAnsi="仿宋" w:eastAsia="仿宋" w:cs="仿宋"/>
          <w:color w:val="000000"/>
          <w:sz w:val="21"/>
          <w:szCs w:val="21"/>
          <w:highlight w:val="none"/>
          <w:lang w:val="en-US" w:eastAsia="zh-CN"/>
        </w:rPr>
        <w:t xml:space="preserve">任何</w:t>
      </w:r>
      <w:r>
        <w:rPr>
          <w:rFonts w:hint="eastAsia" w:ascii="仿宋" w:hAnsi="仿宋" w:eastAsia="仿宋" w:cs="仿宋"/>
          <w:color w:val="000000"/>
          <w:sz w:val="21"/>
          <w:szCs w:val="21"/>
          <w:highlight w:val="none"/>
        </w:rPr>
        <w:t xml:space="preserve">责任。</w:t>
      </w:r>
      <w:r>
        <w:rPr>
          <w:rFonts w:hint="eastAsia" w:ascii="仿宋" w:hAnsi="仿宋" w:eastAsia="仿宋" w:cs="仿宋"/>
          <w:color w:val="000000"/>
          <w:sz w:val="21"/>
          <w:szCs w:val="21"/>
          <w:highlight w:val="none"/>
        </w:rPr>
      </w:r>
      <w:r/>
    </w:p>
    <w:p>
      <w:pPr>
        <w:pStyle w:val="1032"/>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第八条 履约验收</w:t>
      </w:r>
      <w:r>
        <w:rPr>
          <w:rFonts w:hint="eastAsia" w:ascii="仿宋" w:hAnsi="仿宋" w:eastAsia="仿宋" w:cs="仿宋"/>
          <w:b/>
          <w:bCs/>
          <w:color w:val="000000"/>
          <w:sz w:val="24"/>
          <w:szCs w:val="24"/>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1.甲方成立验收小组，按照采购合同的约定对乙方的履约情况进行验收。乙方配合并提供相关资料。</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2.甲方可根据项目特点对服务期内的服务实施情况进行分期考核，综合考核情况和服务效果进行验收。</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3.验收依据：本合同、采购文件、相关法律法规及甲方相关考核要求、资产移交清单。</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4.验收范围：包括乙方供餐服务质量、甲方提供资产的使用维护情况、乙方合规经营情况及合同约定的其他履约内容。</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5.验收结果的处理</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（1）验收合格：双方签署验收文件，作为结算、续签依据。</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（2）验收不合格：甲方出具整改通知，乙方逾期未改、整改不到位的，视为违约，甲方有权处罚或解除合同。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（3）验收争议：双方协商解决，协商不成按合同争议解决方式处理。</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验收结果与采购合同约定的资金支付及履约保证金返还条件挂钩。履约验收的各项资料存档备查。</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color w:val="000000"/>
          <w:sz w:val="21"/>
          <w:szCs w:val="21"/>
          <w:highlight w:val="none"/>
          <w:lang w:val="en-US" w:eastAsia="zh-CN"/>
        </w:rPr>
      </w:r>
      <w:r/>
    </w:p>
    <w:p>
      <w:pPr>
        <w:pStyle w:val="1032"/>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第九条 违约责任</w:t>
      </w:r>
      <w:r>
        <w:rPr>
          <w:rFonts w:hint="eastAsia" w:ascii="仿宋" w:hAnsi="仿宋" w:eastAsia="仿宋" w:cs="仿宋"/>
          <w:b/>
          <w:bCs/>
          <w:color w:val="000000"/>
          <w:sz w:val="24"/>
          <w:szCs w:val="24"/>
          <w:highlight w:val="none"/>
          <w:lang w:val="en-US" w:eastAsia="zh-CN"/>
        </w:rPr>
      </w:r>
      <w:r/>
    </w:p>
    <w:p>
      <w:pPr>
        <w:pStyle w:val="1032"/>
        <w:ind w:left="0"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（一）甲方违约</w:t>
      </w:r>
      <w:r>
        <w:rPr>
          <w:rFonts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1.甲方未按时支付结算费用，经催告15日内仍未支付的，每逾期一日按欠付金额0.5‰支付违约金（累计不超过5%）。</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2.甲方未按约定提供场地、设备致乙方无法经营的，赔偿实际损失。</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3.甲方无故干涉乙方合法经营或自身原因引发安全事故的，承担全部责任及损失。</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（二）乙方违约责任</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1.食品安全违约：食材采购不合规、未按规定留样等，每次罚款2000-5000元；情节严重或整改不合格的，甲方有权解除合同并索赔；引发食品安全事故的，乙方承担全部损失，甲方有权解除合同、没收</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lang w:val="en-US" w:eastAsia="zh-CN"/>
        </w:rPr>
        <w:t xml:space="preserve">并将其列入黑名单。</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服务质量违约：未按约定供餐，每次罚款1000-2000元，月累计3次及以上加罚5000元并扣当月10%结算费用，连续2个月违规甲方有权解除合同；季度满意度不达标按约定扣费，连续2次或年累计3次＜75%，甲方有权解除合同、没收</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lang w:val="en-US" w:eastAsia="zh-CN"/>
        </w:rPr>
        <w:t xml:space="preserve">并索赔；服务人员被有效投诉，每次罚款500元，累计5次及以上未按要求更换人员加罚2000元。</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3.合规经营违约：未给员工购买社保及相关保险、员工无有效健康证上岗、违规排放或处置餐厨垃圾、擅自转包分包或扩大经营范围的，按约定罚款；逾期未整改或累计违规达3次及以上，甲方有权解除合同、没收</w:t>
      </w:r>
      <w:r>
        <w:rPr>
          <w:rFonts w:hint="eastAsia" w:ascii="仿宋" w:hAnsi="仿宋" w:eastAsia="仿宋" w:cs="仿宋"/>
          <w:color w:val="000000"/>
          <w:sz w:val="21"/>
          <w:szCs w:val="21"/>
          <w:highlight w:val="none"/>
          <w:lang w:eastAsia="zh-CN"/>
        </w:rPr>
        <w:t xml:space="preserve">履约保证金</w:t>
      </w:r>
      <w:r>
        <w:rPr>
          <w:rFonts w:hint="eastAsia" w:ascii="仿宋" w:hAnsi="仿宋" w:eastAsia="仿宋" w:cs="仿宋"/>
          <w:color w:val="000000"/>
          <w:sz w:val="21"/>
          <w:szCs w:val="21"/>
          <w:highlight w:val="none"/>
          <w:lang w:val="en-US" w:eastAsia="zh-CN"/>
        </w:rPr>
        <w:t xml:space="preserve">并索赔。</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（三）违约责任补充约定</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1.违约金不足以弥补实际损失的，违约方另行补足差额。</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2.乙方罚款可从结算费用或履约保证金中扣除，不足部分3日内补足，逾期按每日0.5‰支付滞纳金。</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3.一方违约未整改的，另一方有权进一步处罚直至解除合同。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4.不可抗力导致无法履约的，互不担责，双方协商后续事宜。</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第十条 不可抗力</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1.不可抗力，是指不能预见、不能避免并不能克服的客观情况，如战争、动乱、瘟疫、严重火灾、洪水、地震、风暴或其他自然灾害等。</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3.发生不可抗力事件，任何一方均不对因不可抗力无法履行或迟延履行本合同义务而使另一方蒙受的任何损失承担责任，法律另有规定的除外。</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4.合同各方应根据不可抗力对本合同履行的影响程度，协商确定是否终止本合同或是继续履行本合同。</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第十一条 争议的解决</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1.因履行本合同引起的或与本合同有关的争议，甲、乙双方应首先通过友好协商解决，如果协商不能解决争议，则向甲方所在地有管辖权的人民法院提起诉讼。</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2.在争议处理期间，除争议部分外本合同应继续履行。</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第十二条 合同转包或分包</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1.乙方不得将合同标的转包给他人履行。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2.乙方不得将合同标的分包给他人履行。</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3.乙方如有转包或未经甲方同意的分包行为，甲方有权解除合同。</w:t>
      </w:r>
      <w:r>
        <w:rPr>
          <w:rFonts w:hint="eastAsia" w:ascii="仿宋" w:hAnsi="仿宋" w:eastAsia="仿宋" w:cs="仿宋"/>
          <w:color w:val="000000"/>
          <w:sz w:val="21"/>
          <w:szCs w:val="21"/>
          <w:highlight w:val="none"/>
          <w:lang w:val="en-US" w:eastAsia="zh-CN"/>
        </w:rPr>
      </w:r>
      <w:r/>
    </w:p>
    <w:p>
      <w:pPr>
        <w:pStyle w:val="1032"/>
        <w:ind w:left="0"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第十三条 合同生效及其他</w:t>
      </w:r>
      <w:r>
        <w:rPr>
          <w:rFonts w:hint="eastAsia" w:ascii="仿宋" w:hAnsi="仿宋" w:eastAsia="仿宋" w:cs="仿宋"/>
          <w:b/>
          <w:bCs/>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1.本合同由甲乙双方签字、盖章后生效。</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2.本合同一式伍份，甲乙双方各执贰份，见证方执壹份。</w:t>
      </w:r>
      <w:r>
        <w:rPr>
          <w:rFonts w:hint="eastAsia" w:ascii="仿宋" w:hAnsi="仿宋" w:eastAsia="仿宋" w:cs="仿宋"/>
          <w:color w:val="000000"/>
          <w:sz w:val="21"/>
          <w:szCs w:val="21"/>
          <w:highlight w:val="none"/>
          <w:lang w:val="en-US" w:eastAsia="zh-CN"/>
        </w:rPr>
      </w:r>
      <w:r/>
    </w:p>
    <w:p>
      <w:pPr>
        <w:pStyle w:val="1032"/>
        <w:ind w:left="0"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color w:val="000000"/>
          <w:sz w:val="21"/>
          <w:szCs w:val="21"/>
          <w:highlight w:val="none"/>
          <w:lang w:val="en-US" w:eastAsia="zh-CN"/>
        </w:rPr>
      </w:r>
      <w:r/>
    </w:p>
    <w:p>
      <w:pPr>
        <w:pStyle w:val="1058"/>
        <w:ind w:left="420" w:firstLine="0"/>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甲方：                       乙方： </w:t>
      </w:r>
      <w:r>
        <w:rPr>
          <w:rFonts w:hint="eastAsia" w:ascii="仿宋" w:hAnsi="仿宋" w:eastAsia="仿宋" w:cs="仿宋"/>
          <w:color w:val="000000"/>
          <w:sz w:val="21"/>
          <w:szCs w:val="21"/>
          <w:highlight w:val="none"/>
        </w:rPr>
      </w:r>
      <w:r/>
    </w:p>
    <w:p>
      <w:pPr>
        <w:pStyle w:val="1058"/>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地址：                        地址： </w:t>
      </w:r>
      <w:r>
        <w:rPr>
          <w:rFonts w:hint="eastAsia" w:ascii="仿宋" w:hAnsi="仿宋" w:eastAsia="仿宋" w:cs="仿宋"/>
          <w:color w:val="000000"/>
          <w:sz w:val="21"/>
          <w:szCs w:val="21"/>
          <w:highlight w:val="none"/>
        </w:rPr>
      </w:r>
      <w:r/>
    </w:p>
    <w:p>
      <w:pPr>
        <w:pStyle w:val="1058"/>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lang w:val="en-US" w:eastAsia="zh-CN"/>
        </w:rPr>
        <w:t xml:space="preserve"> </w:t>
      </w:r>
      <w:r>
        <w:rPr>
          <w:rFonts w:hint="eastAsia" w:ascii="仿宋" w:hAnsi="仿宋" w:eastAsia="仿宋" w:cs="仿宋"/>
          <w:color w:val="000000"/>
          <w:sz w:val="21"/>
          <w:szCs w:val="21"/>
          <w:highlight w:val="none"/>
        </w:rPr>
        <w:t xml:space="preserve">法定代表人或授权代表：        法定代表人或授权代表：</w:t>
      </w:r>
      <w:r>
        <w:rPr>
          <w:rFonts w:hint="eastAsia" w:ascii="仿宋" w:hAnsi="仿宋" w:eastAsia="仿宋" w:cs="仿宋"/>
          <w:color w:val="000000"/>
          <w:sz w:val="21"/>
          <w:szCs w:val="21"/>
          <w:highlight w:val="none"/>
        </w:rPr>
      </w:r>
      <w:r/>
    </w:p>
    <w:p>
      <w:pPr>
        <w:pStyle w:val="1058"/>
        <w:ind w:firstLine="420"/>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联系电话：                   联系电话：          </w:t>
      </w:r>
      <w:r>
        <w:rPr>
          <w:rFonts w:hint="eastAsia" w:ascii="仿宋" w:hAnsi="仿宋" w:eastAsia="仿宋" w:cs="仿宋"/>
          <w:color w:val="000000"/>
          <w:sz w:val="21"/>
          <w:szCs w:val="21"/>
          <w:highlight w:val="none"/>
        </w:rPr>
      </w:r>
      <w:r/>
    </w:p>
    <w:p>
      <w:pPr>
        <w:pStyle w:val="1058"/>
        <w:jc w:val="center"/>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签订日期：      年    月   日</w:t>
      </w:r>
      <w:bookmarkStart w:id="826" w:name="_Toc120614244"/>
      <w:r/>
      <w:bookmarkStart w:id="827" w:name="_Toc16938590"/>
      <w:r/>
      <w:bookmarkStart w:id="828" w:name="_Toc20823346"/>
      <w:r/>
      <w:bookmarkStart w:id="829" w:name="_Hlt16619350"/>
      <w:r/>
      <w:bookmarkStart w:id="830" w:name="_Hlt16619369"/>
      <w:r/>
      <w:bookmarkEnd w:id="830"/>
      <w:r>
        <w:rPr>
          <w:rFonts w:hint="eastAsia" w:ascii="仿宋" w:hAnsi="仿宋" w:eastAsia="仿宋" w:cs="仿宋"/>
          <w:color w:val="000000"/>
          <w:sz w:val="21"/>
          <w:szCs w:val="21"/>
          <w:highlight w:val="none"/>
        </w:rPr>
      </w:r>
      <w:r/>
    </w:p>
    <w:p>
      <w:pPr>
        <w:pStyle w:val="1032"/>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br w:type="page" w:clear="all"/>
      </w:r>
      <w:r>
        <w:rPr>
          <w:rFonts w:hint="eastAsia" w:ascii="仿宋" w:hAnsi="仿宋" w:eastAsia="仿宋" w:cs="仿宋"/>
          <w:color w:val="000000"/>
          <w:sz w:val="21"/>
          <w:szCs w:val="21"/>
          <w:highlight w:val="none"/>
        </w:rPr>
      </w:r>
      <w:r/>
    </w:p>
    <w:p>
      <w:pPr>
        <w:pStyle w:val="1034"/>
        <w:jc w:val="center"/>
        <w:spacing w:line="48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lang w:eastAsia="zh-CN"/>
        </w:rPr>
        <w:t xml:space="preserve">食堂</w:t>
      </w:r>
      <w:r>
        <w:rPr>
          <w:rFonts w:hint="eastAsia" w:ascii="仿宋" w:hAnsi="仿宋" w:eastAsia="仿宋" w:cs="仿宋"/>
          <w:color w:val="000000"/>
          <w:sz w:val="32"/>
          <w:szCs w:val="32"/>
          <w:highlight w:val="none"/>
        </w:rPr>
        <w:t xml:space="preserve">满意度测评制度及测评表</w:t>
      </w:r>
      <w:r>
        <w:rPr>
          <w:rFonts w:hint="eastAsia" w:ascii="仿宋" w:hAnsi="仿宋" w:eastAsia="仿宋" w:cs="仿宋"/>
          <w:color w:val="000000"/>
          <w:sz w:val="32"/>
          <w:szCs w:val="32"/>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会餐总人数：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人         参加测评人数：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人</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汇总日期：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tbl>
      <w:tblPr>
        <w:tblStyle w:val="1078"/>
        <w:tblW w:w="94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763"/>
        <w:gridCol w:w="717"/>
        <w:gridCol w:w="1467"/>
        <w:gridCol w:w="1298"/>
        <w:gridCol w:w="3368"/>
      </w:tblGrid>
      <w:tr>
        <w:trPr>
          <w:trHeight w:val="871"/>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测评内容</w:t>
            </w:r>
            <w:r>
              <w:rPr>
                <w:rFonts w:hint="eastAsia" w:ascii="仿宋" w:hAnsi="仿宋" w:eastAsia="仿宋" w:cs="仿宋"/>
                <w:color w:val="000000"/>
                <w:sz w:val="24"/>
                <w:highlight w:val="none"/>
              </w:rPr>
            </w:r>
            <w:r/>
          </w:p>
        </w:tc>
        <w:tc>
          <w:tcPr>
            <w:tcW w:w="717"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满意</w:t>
            </w:r>
            <w:r>
              <w:rPr>
                <w:rFonts w:hint="eastAsia" w:ascii="仿宋" w:hAnsi="仿宋" w:eastAsia="仿宋" w:cs="仿宋"/>
                <w:color w:val="000000"/>
                <w:sz w:val="24"/>
                <w:highlight w:val="none"/>
              </w:rPr>
            </w:r>
            <w:r/>
          </w:p>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基本满意</w:t>
            </w:r>
            <w:r>
              <w:rPr>
                <w:rFonts w:hint="eastAsia" w:ascii="仿宋" w:hAnsi="仿宋" w:eastAsia="仿宋" w:cs="仿宋"/>
                <w:color w:val="000000"/>
                <w:sz w:val="24"/>
                <w:highlight w:val="none"/>
              </w:rPr>
            </w:r>
            <w:r/>
          </w:p>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不满意</w:t>
            </w:r>
            <w:r>
              <w:rPr>
                <w:rFonts w:hint="eastAsia" w:ascii="仿宋" w:hAnsi="仿宋" w:eastAsia="仿宋" w:cs="仿宋"/>
                <w:color w:val="000000"/>
                <w:sz w:val="24"/>
                <w:highlight w:val="none"/>
              </w:rPr>
            </w:r>
            <w:r/>
          </w:p>
        </w:tc>
        <w:tc>
          <w:tcPr>
            <w:tcW w:w="3368"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满意率=（满意票数+基本满意票数）÷测评总票数</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饭菜卫生状况</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环境卫生</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饭菜分量</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饭菜价格</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饭菜口味</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菜式品种</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饭菜保温</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tcW w:w="811"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c>
          <w:tcPr>
            <w:tcW w:w="1763" w:type="dxa"/>
            <w:vAlign w:val="top"/>
            <w:textDirection w:val="lrTb"/>
            <w:noWrap w:val="false"/>
          </w:tcPr>
          <w:p>
            <w:pPr>
              <w:pStyle w:val="1032"/>
              <w:jc w:val="cente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服务态度</w:t>
            </w:r>
            <w:r>
              <w:rPr>
                <w:rFonts w:hint="eastAsia" w:ascii="仿宋" w:hAnsi="仿宋" w:eastAsia="仿宋" w:cs="仿宋"/>
                <w:color w:val="000000"/>
                <w:sz w:val="24"/>
                <w:highlight w:val="none"/>
              </w:rPr>
            </w:r>
            <w:r/>
          </w:p>
        </w:tc>
        <w:tc>
          <w:tcPr>
            <w:tcW w:w="71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67"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298"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68" w:type="dxa"/>
            <w:vAlign w:val="top"/>
            <w:textDirection w:val="lrTb"/>
            <w:noWrap w:val="false"/>
          </w:tcPr>
          <w:p>
            <w:pPr>
              <w:pStyle w:val="1032"/>
              <w:jc w:val="right"/>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r>
      <w:tr>
        <w:trPr/>
        <w:tc>
          <w:tcPr>
            <w:gridSpan w:val="6"/>
            <w:tcW w:w="9424" w:type="dxa"/>
            <w:vAlign w:val="top"/>
            <w:textDirection w:val="lrTb"/>
            <w:noWrap w:val="false"/>
          </w:tcPr>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人员</w:t>
            </w:r>
            <w:r>
              <w:rPr>
                <w:rFonts w:hint="eastAsia" w:ascii="仿宋" w:hAnsi="仿宋" w:eastAsia="仿宋" w:cs="仿宋"/>
                <w:color w:val="000000"/>
                <w:sz w:val="24"/>
                <w:highlight w:val="none"/>
              </w:rPr>
              <w:t xml:space="preserve">满意度：</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人员</w:t>
            </w:r>
            <w:r>
              <w:rPr>
                <w:rFonts w:hint="eastAsia" w:ascii="仿宋" w:hAnsi="仿宋" w:eastAsia="仿宋" w:cs="仿宋"/>
                <w:color w:val="000000"/>
                <w:sz w:val="24"/>
                <w:highlight w:val="none"/>
              </w:rPr>
              <w:t xml:space="preserve">满意度=八项测评内容满意率之和÷8）</w:t>
            </w:r>
            <w:r>
              <w:rPr>
                <w:rFonts w:hint="eastAsia" w:ascii="仿宋" w:hAnsi="仿宋" w:eastAsia="仿宋" w:cs="仿宋"/>
                <w:color w:val="000000"/>
                <w:sz w:val="24"/>
                <w:highlight w:val="none"/>
              </w:rPr>
            </w:r>
            <w:r/>
          </w:p>
        </w:tc>
      </w:tr>
    </w:tbl>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测评汇总人签字：</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测评小组人员签字：</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食堂负责人签字：</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注：1、计算百分率时，百分号前保留两位小数；计算满意度时，百分号前保留整数。</w:t>
      </w:r>
      <w:r>
        <w:rPr>
          <w:rFonts w:hint="eastAsia" w:ascii="仿宋" w:hAnsi="仿宋" w:eastAsia="仿宋" w:cs="仿宋"/>
          <w:color w:val="000000"/>
          <w:sz w:val="24"/>
          <w:highlight w:val="none"/>
        </w:rPr>
      </w:r>
      <w:r/>
    </w:p>
    <w:p>
      <w:pPr>
        <w:pStyle w:val="1032"/>
        <w:ind w:firstLine="480"/>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2、本表一式两份，一份</w:t>
      </w:r>
      <w:r>
        <w:rPr>
          <w:rFonts w:hint="eastAsia" w:ascii="仿宋" w:hAnsi="仿宋" w:eastAsia="仿宋" w:cs="仿宋"/>
          <w:color w:val="000000"/>
          <w:sz w:val="24"/>
          <w:highlight w:val="none"/>
          <w:lang w:eastAsia="zh-CN"/>
        </w:rPr>
        <w:t xml:space="preserve">医院</w:t>
      </w:r>
      <w:r>
        <w:rPr>
          <w:rFonts w:hint="eastAsia" w:ascii="仿宋" w:hAnsi="仿宋" w:eastAsia="仿宋" w:cs="仿宋"/>
          <w:color w:val="000000"/>
          <w:sz w:val="24"/>
          <w:highlight w:val="none"/>
        </w:rPr>
        <w:t xml:space="preserve">保留，一份送食堂负责人。</w:t>
      </w:r>
      <w:r>
        <w:rPr>
          <w:rFonts w:hint="eastAsia" w:ascii="仿宋" w:hAnsi="仿宋" w:eastAsia="仿宋" w:cs="仿宋"/>
          <w:color w:val="000000"/>
          <w:sz w:val="24"/>
          <w:highlight w:val="none"/>
        </w:rPr>
      </w:r>
      <w:r/>
    </w:p>
    <w:p>
      <w:pPr>
        <w:pStyle w:val="1032"/>
        <w:jc w:val="left"/>
        <w:spacing w:line="480" w:lineRule="auto"/>
        <w:rPr>
          <w:rFonts w:hint="eastAsia" w:ascii="仿宋" w:hAnsi="仿宋" w:eastAsia="仿宋" w:cs="仿宋"/>
          <w:color w:val="000000"/>
          <w:sz w:val="21"/>
          <w:szCs w:val="21"/>
          <w:highlight w:val="none"/>
        </w:rPr>
        <w:outlineLvl w:val="9"/>
      </w:pPr>
      <w:r>
        <w:rPr>
          <w:rFonts w:hint="eastAsia" w:ascii="仿宋" w:hAnsi="仿宋" w:eastAsia="仿宋" w:cs="仿宋"/>
          <w:b/>
          <w:bCs/>
          <w:color w:val="000000"/>
          <w:sz w:val="24"/>
          <w:highlight w:val="none"/>
        </w:rPr>
        <w:t xml:space="preserve">注：上述格式及内容仅供参考，具体以甲乙双方签订合同时内容为准。</w:t>
      </w:r>
      <w:r>
        <w:rPr>
          <w:rFonts w:hint="eastAsia" w:ascii="仿宋" w:hAnsi="仿宋" w:eastAsia="仿宋" w:cs="仿宋"/>
          <w:color w:val="000000"/>
          <w:sz w:val="21"/>
          <w:szCs w:val="21"/>
          <w:highlight w:val="none"/>
        </w:rPr>
      </w:r>
      <w:r/>
    </w:p>
    <w:p>
      <w:pPr>
        <w:pStyle w:val="1276"/>
        <w:contextualSpacing/>
        <w:jc w:val="center"/>
        <w:spacing w:before="0" w:beforeAutospacing="0" w:after="0" w:afterAutospacing="0" w:line="480" w:lineRule="auto"/>
        <w:rPr>
          <w:rStyle w:val="1217"/>
          <w:rFonts w:hint="eastAsia" w:ascii="仿宋" w:hAnsi="仿宋" w:eastAsia="仿宋" w:cs="仿宋"/>
          <w:color w:val="000000"/>
          <w:highlight w:val="none"/>
        </w:rPr>
      </w:pPr>
      <w:r/>
      <w:bookmarkEnd w:id="826"/>
      <w:r/>
      <w:bookmarkEnd w:id="827"/>
      <w:r/>
      <w:bookmarkEnd w:id="828"/>
      <w:r/>
      <w:bookmarkEnd w:id="829"/>
      <w:r>
        <w:rPr>
          <w:rStyle w:val="1217"/>
          <w:rFonts w:hint="eastAsia" w:ascii="仿宋" w:hAnsi="仿宋" w:eastAsia="仿宋" w:cs="仿宋"/>
          <w:color w:val="000000"/>
          <w:sz w:val="36"/>
          <w:szCs w:val="36"/>
          <w:highlight w:val="none"/>
        </w:rPr>
        <w:br w:type="page" w:clear="all"/>
      </w:r>
      <w:bookmarkStart w:id="831" w:name="_Toc21295"/>
      <w:r>
        <w:rPr>
          <w:rStyle w:val="1217"/>
          <w:rFonts w:hint="eastAsia" w:ascii="仿宋" w:hAnsi="仿宋" w:eastAsia="仿宋" w:cs="仿宋"/>
          <w:color w:val="000000"/>
          <w:highlight w:val="none"/>
        </w:rPr>
        <w:t xml:space="preserve">第七章   投标文件格式</w:t>
      </w:r>
      <w:r>
        <w:rPr>
          <w:rStyle w:val="1217"/>
          <w:rFonts w:hint="eastAsia" w:ascii="仿宋" w:hAnsi="仿宋" w:eastAsia="仿宋" w:cs="仿宋"/>
          <w:color w:val="000000"/>
          <w:highlight w:val="none"/>
        </w:rPr>
      </w:r>
      <w:r/>
    </w:p>
    <w:p>
      <w:pPr>
        <w:pStyle w:val="1032"/>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bookmarkEnd w:id="831"/>
      <w:r>
        <w:rPr>
          <w:rFonts w:hint="eastAsia" w:ascii="仿宋" w:hAnsi="仿宋" w:eastAsia="仿宋" w:cs="仿宋"/>
          <w:b/>
          <w:color w:val="000000"/>
          <w:sz w:val="24"/>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color w:val="000000"/>
          <w:sz w:val="24"/>
          <w:highlight w:val="none"/>
        </w:rPr>
        <w:t xml:space="preserve">供应商编制文件须知</w:t>
      </w:r>
      <w:r>
        <w:rPr>
          <w:rFonts w:hint="eastAsia" w:ascii="仿宋" w:hAnsi="仿宋" w:eastAsia="仿宋" w:cs="仿宋"/>
          <w:b/>
          <w:color w:val="000000"/>
          <w:sz w:val="24"/>
          <w:highlight w:val="none"/>
        </w:rPr>
      </w:r>
      <w:r/>
    </w:p>
    <w:p>
      <w:pPr>
        <w:pStyle w:val="1032"/>
        <w:ind w:left="142"/>
        <w:jc w:val="center"/>
        <w:spacing w:line="360" w:lineRule="auto"/>
        <w:tabs>
          <w:tab w:val="left" w:pos="900" w:leader="none"/>
          <w:tab w:val="left" w:pos="19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。未标记“实质性格式”的文件和招标文件未提供格式的内容，可由供应商自行编写。</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3.全部声明和问题的回答及所附材料必须是真实的、准确的和完整的。</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Cs w:val="21"/>
          <w:highlight w:val="none"/>
        </w:rPr>
      </w:r>
      <w:r/>
    </w:p>
    <w:p>
      <w:pPr>
        <w:pStyle w:val="1032"/>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b/>
          <w:color w:val="000000"/>
          <w:sz w:val="30"/>
          <w:szCs w:val="20"/>
          <w:highlight w:val="none"/>
        </w:rPr>
      </w:pPr>
      <w:r>
        <w:rPr>
          <w:rFonts w:hint="eastAsia" w:ascii="仿宋" w:hAnsi="仿宋" w:eastAsia="仿宋" w:cs="仿宋"/>
          <w:color w:val="000000"/>
          <w:sz w:val="24"/>
          <w:highlight w:val="none"/>
        </w:rPr>
        <w:br w:type="page" w:clear="all"/>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仿宋" w:hAnsi="仿宋" w:eastAsia="仿宋" w:cs="仿宋"/>
          <w:b/>
          <w:color w:val="000000"/>
          <w:spacing w:val="20"/>
          <w:sz w:val="24"/>
          <w:highlight w:val="none"/>
        </w:rPr>
        <w:t xml:space="preserve">一、资格证明文件格式</w:t>
      </w:r>
      <w:r>
        <w:rPr>
          <w:rFonts w:hint="eastAsia" w:ascii="仿宋" w:hAnsi="仿宋" w:eastAsia="仿宋" w:cs="仿宋"/>
          <w:b/>
          <w:color w:val="000000"/>
          <w:sz w:val="30"/>
          <w:szCs w:val="20"/>
          <w:highlight w:val="none"/>
        </w:rPr>
      </w:r>
      <w:r/>
    </w:p>
    <w:p>
      <w:pPr>
        <w:pStyle w:val="1032"/>
        <w:rPr>
          <w:rFonts w:hint="eastAsia" w:ascii="仿宋" w:hAnsi="仿宋" w:eastAsia="仿宋" w:cs="仿宋"/>
          <w:b/>
          <w:color w:val="000000"/>
          <w:spacing w:val="20"/>
          <w:szCs w:val="21"/>
          <w:highlight w:val="none"/>
        </w:rPr>
      </w:pPr>
      <w:r>
        <w:rPr>
          <w:rFonts w:hint="eastAsia" w:ascii="仿宋" w:hAnsi="仿宋" w:eastAsia="仿宋" w:cs="仿宋"/>
          <w:b/>
          <w:color w:val="000000"/>
          <w:spacing w:val="20"/>
          <w:szCs w:val="21"/>
          <w:highlight w:val="none"/>
        </w:rPr>
      </w:r>
      <w:r/>
    </w:p>
    <w:p>
      <w:pPr>
        <w:pStyle w:val="1032"/>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投标文件</w:t>
      </w:r>
      <w:r>
        <w:rPr>
          <w:rFonts w:hint="eastAsia" w:ascii="仿宋" w:hAnsi="仿宋" w:eastAsia="仿宋" w:cs="仿宋"/>
          <w:b/>
          <w:color w:val="000000"/>
          <w:sz w:val="24"/>
          <w:highlight w:val="none"/>
        </w:rPr>
        <w:t xml:space="preserve">封面（非实质性格式）</w:t>
      </w:r>
      <w:r>
        <w:rPr>
          <w:rFonts w:hint="eastAsia" w:ascii="仿宋" w:hAnsi="仿宋" w:eastAsia="仿宋" w:cs="仿宋"/>
          <w:b/>
          <w:color w:val="000000"/>
          <w:sz w:val="24"/>
          <w:highlight w:val="none"/>
        </w:rPr>
      </w:r>
      <w:r/>
    </w:p>
    <w:p>
      <w:pPr>
        <w:pStyle w:val="103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32"/>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032"/>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投 标 文 件</w:t>
      </w:r>
      <w:r>
        <w:rPr>
          <w:rFonts w:hint="eastAsia" w:ascii="仿宋" w:hAnsi="仿宋" w:eastAsia="仿宋" w:cs="仿宋"/>
          <w:b/>
          <w:color w:val="000000"/>
          <w:spacing w:val="60"/>
          <w:sz w:val="84"/>
          <w:szCs w:val="84"/>
          <w:highlight w:val="none"/>
        </w:rPr>
      </w:r>
      <w:r/>
    </w:p>
    <w:p>
      <w:pPr>
        <w:pStyle w:val="1032"/>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32"/>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032"/>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032"/>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常州市钟楼区五星街道社区卫生服务中心职工食堂委托经营服务</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lang w:eastAsia="zh-CN"/>
              </w:rPr>
              <w:t xml:space="preserve">JSZC-320404-SCJX-G2026-0010</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Cs/>
                <w:color w:val="000000"/>
                <w:sz w:val="36"/>
                <w:szCs w:val="36"/>
                <w:highlight w:val="none"/>
                <w:u w:val="single"/>
              </w:rPr>
            </w:r>
            <w:r/>
          </w:p>
        </w:tc>
      </w:tr>
      <w:tr>
        <w:trPr>
          <w:trHeight w:val="982"/>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   标  人：</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r>
            <w:r/>
          </w:p>
        </w:tc>
      </w:tr>
      <w:tr>
        <w:trPr>
          <w:trHeight w:val="995"/>
        </w:trPr>
        <w:tc>
          <w:tcPr>
            <w:tcBorders>
              <w:top w:val="none" w:color="000000" w:sz="4" w:space="0"/>
              <w:left w:val="none" w:color="000000" w:sz="4" w:space="0"/>
              <w:bottom w:val="none" w:color="000000" w:sz="4" w:space="0"/>
              <w:right w:val="none" w:color="000000" w:sz="4" w:space="0"/>
            </w:tcBorders>
            <w:tcW w:w="2651"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日       期：</w:t>
            </w:r>
            <w:r>
              <w:rPr>
                <w:rFonts w:hint="eastAsia" w:ascii="仿宋" w:hAnsi="仿宋" w:eastAsia="仿宋" w:cs="仿宋"/>
                <w:bCs/>
                <w:color w:val="000000"/>
                <w:sz w:val="32"/>
                <w:szCs w:val="32"/>
                <w:highlight w:val="none"/>
              </w:rPr>
            </w:r>
            <w:r/>
          </w:p>
        </w:tc>
        <w:tc>
          <w:tcPr>
            <w:tcBorders>
              <w:top w:val="none" w:color="000000" w:sz="4" w:space="0"/>
              <w:left w:val="none" w:color="000000" w:sz="4" w:space="0"/>
              <w:bottom w:val="none" w:color="000000" w:sz="4" w:space="0"/>
              <w:right w:val="none" w:color="000000" w:sz="4" w:space="0"/>
            </w:tcBorders>
            <w:tcW w:w="6379" w:type="dxa"/>
            <w:vAlign w:val="center"/>
            <w:textDirection w:val="lrTb"/>
            <w:noWrap w:val="false"/>
          </w:tcPr>
          <w:p>
            <w:pPr>
              <w:pStyle w:val="1032"/>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Cs/>
                <w:color w:val="000000"/>
                <w:sz w:val="36"/>
                <w:szCs w:val="36"/>
                <w:highlight w:val="none"/>
                <w:u w:val="single"/>
              </w:rPr>
            </w:r>
            <w:r/>
          </w:p>
        </w:tc>
      </w:tr>
    </w:tbl>
    <w:p>
      <w:pPr>
        <w:pStyle w:val="1032"/>
        <w:rPr>
          <w:rFonts w:hint="eastAsia" w:ascii="仿宋" w:hAnsi="仿宋" w:eastAsia="仿宋" w:cs="仿宋"/>
          <w:b/>
          <w:color w:val="000000"/>
          <w:sz w:val="36"/>
          <w:highlight w:val="none"/>
        </w:rPr>
      </w:pP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032"/>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2"/>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032"/>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color w:val="000000"/>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220"/>
        <w:rPr>
          <w:rFonts w:hint="eastAsia" w:ascii="仿宋" w:hAnsi="仿宋" w:eastAsia="仿宋" w:cs="仿宋"/>
          <w:bCs/>
          <w:color w:val="000000"/>
          <w:highlight w:val="none"/>
          <w:u w:val="none"/>
        </w:rPr>
      </w:pPr>
      <w:r>
        <w:rPr>
          <w:rFonts w:hint="eastAsia" w:ascii="仿宋" w:hAnsi="仿宋" w:eastAsia="仿宋" w:cs="仿宋"/>
          <w:bCs/>
          <w:color w:val="000000"/>
          <w:highlight w:val="none"/>
          <w:u w:val="none"/>
        </w:rPr>
        <w:t xml:space="preserve">1-1 供应商资格声明函（实质性格式）</w:t>
      </w:r>
      <w:r>
        <w:rPr>
          <w:rFonts w:hint="eastAsia" w:ascii="仿宋" w:hAnsi="仿宋" w:eastAsia="仿宋" w:cs="仿宋"/>
          <w:bCs/>
          <w:color w:val="000000"/>
          <w:highlight w:val="none"/>
          <w:u w:val="none"/>
        </w:rPr>
      </w:r>
      <w:r/>
    </w:p>
    <w:p>
      <w:pPr>
        <w:pStyle w:val="1032"/>
        <w:jc w:val="center"/>
        <w:spacing w:before="120"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032"/>
        <w:jc w:val="center"/>
        <w:spacing w:before="120" w:line="360" w:lineRule="auto"/>
        <w:widowControl/>
        <w:rPr>
          <w:rFonts w:hint="eastAsia" w:ascii="仿宋" w:hAnsi="仿宋" w:eastAsia="仿宋" w:cs="仿宋"/>
          <w:color w:val="000000"/>
          <w:szCs w:val="21"/>
          <w:highlight w:val="none"/>
        </w:rPr>
      </w:pPr>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常州市钟楼区五星街道社区卫生服务中心</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            </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                 </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13"/>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13"/>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八、我单位不属于为本项目提供整体设计、规范编制或者项目管理、监理、检测等服务的投标人。</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t xml:space="preserve">我单位未被“国家企业信用信息系统”列入经营异常名录或者严重违法企业名单</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不符合《政府采购法》第二十二条规定的条件。</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313"/>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年    月    日</w:t>
      </w: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313"/>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032"/>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b/>
          <w:bCs/>
          <w:color w:val="000000"/>
          <w:szCs w:val="21"/>
          <w:highlight w:val="none"/>
        </w:rPr>
        <w:t xml:space="preserve">中小企业声明函</w:t>
      </w:r>
      <w:r>
        <w:rPr>
          <w:rFonts w:hint="eastAsia" w:ascii="仿宋" w:hAnsi="仿宋" w:eastAsia="仿宋" w:cs="仿宋"/>
          <w:b/>
          <w:bCs/>
          <w:color w:val="000000"/>
          <w:sz w:val="24"/>
          <w:szCs w:val="20"/>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Cs w:val="21"/>
          <w:highlight w:val="none"/>
        </w:rPr>
        <w:fldChar w:fldCharType="begin"/>
      </w:r>
      <w:r>
        <w:rPr>
          <w:rFonts w:hint="eastAsia" w:ascii="仿宋" w:hAnsi="仿宋" w:eastAsia="仿宋" w:cs="仿宋"/>
          <w:color w:val="000000"/>
          <w:szCs w:val="21"/>
          <w:highlight w:val="none"/>
        </w:rPr>
        <w:instrText xml:space="preserve"> HYPERLINK "http://202.106.120.146/baosong/appweb/orgScale.html" </w:instrText>
      </w:r>
      <w:r>
        <w:rPr>
          <w:rFonts w:hint="eastAsia" w:ascii="仿宋" w:hAnsi="仿宋" w:eastAsia="仿宋" w:cs="仿宋"/>
          <w:color w:val="000000"/>
          <w:szCs w:val="21"/>
          <w:highlight w:val="none"/>
        </w:rPr>
        <w:fldChar w:fldCharType="separate"/>
      </w:r>
      <w:r>
        <w:rPr>
          <w:rStyle w:val="1295"/>
          <w:rFonts w:hint="eastAsia" w:ascii="仿宋" w:hAnsi="仿宋" w:eastAsia="仿宋" w:cs="仿宋"/>
          <w:color w:val="000000"/>
          <w:szCs w:val="21"/>
          <w:highlight w:val="none"/>
        </w:rPr>
        <w:t xml:space="preserve">http://202.106.120.146/baosong/appweb/orgScale.html</w:t>
      </w:r>
      <w:r>
        <w:rPr>
          <w:rFonts w:hint="eastAsia" w:ascii="仿宋" w:hAnsi="仿宋" w:eastAsia="仿宋" w:cs="仿宋"/>
          <w:color w:val="000000"/>
          <w:szCs w:val="21"/>
          <w:highlight w:val="none"/>
        </w:rPr>
        <w:fldChar w:fldCharType="end"/>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2"/>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Cs w:val="21"/>
          <w:highlight w:val="none"/>
        </w:rPr>
      </w:r>
      <w:r/>
    </w:p>
    <w:p>
      <w:pPr>
        <w:pStyle w:val="1032"/>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7）小微企业未提供声明函的，价格分评审将不予价格扣除。</w:t>
      </w:r>
      <w:r>
        <w:rPr>
          <w:rFonts w:hint="eastAsia" w:ascii="仿宋" w:hAnsi="仿宋" w:eastAsia="仿宋" w:cs="仿宋"/>
          <w:b/>
          <w:color w:val="000000"/>
          <w:szCs w:val="21"/>
          <w:highlight w:val="none"/>
        </w:rPr>
      </w:r>
      <w:r/>
    </w:p>
    <w:p>
      <w:pPr>
        <w:pStyle w:val="1032"/>
        <w:ind w:firstLine="422"/>
        <w:spacing w:line="360" w:lineRule="auto"/>
        <w:tabs>
          <w:tab w:val="left" w:pos="5580" w:leader="none"/>
        </w:tabs>
        <w:rPr>
          <w:rStyle w:val="1443"/>
          <w:rFonts w:hint="eastAsia" w:ascii="仿宋" w:hAnsi="仿宋" w:eastAsia="仿宋" w:cs="仿宋"/>
          <w:b/>
          <w:bCs/>
          <w:color w:val="000000"/>
          <w:sz w:val="21"/>
          <w:szCs w:val="21"/>
          <w:highlight w:val="none"/>
        </w:rPr>
      </w:pPr>
      <w:r>
        <w:rPr>
          <w:rStyle w:val="1443"/>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443"/>
          <w:rFonts w:hint="eastAsia" w:ascii="仿宋" w:hAnsi="仿宋" w:eastAsia="仿宋" w:cs="仿宋"/>
          <w:b/>
          <w:bCs/>
          <w:color w:val="000000"/>
          <w:sz w:val="21"/>
          <w:szCs w:val="21"/>
          <w:highlight w:val="none"/>
        </w:rPr>
      </w:r>
      <w:r/>
    </w:p>
    <w:p>
      <w:pPr>
        <w:pStyle w:val="1032"/>
        <w:ind w:firstLine="422"/>
        <w:spacing w:line="360" w:lineRule="auto"/>
        <w:tabs>
          <w:tab w:val="left" w:pos="5580" w:leader="none"/>
        </w:tabs>
        <w:rPr>
          <w:rStyle w:val="1443"/>
          <w:rFonts w:hint="eastAsia" w:ascii="仿宋" w:hAnsi="仿宋" w:eastAsia="仿宋" w:cs="仿宋"/>
          <w:b/>
          <w:bCs/>
          <w:color w:val="000000"/>
          <w:sz w:val="21"/>
          <w:szCs w:val="21"/>
          <w:highlight w:val="none"/>
        </w:rPr>
      </w:pPr>
      <w:r>
        <w:rPr>
          <w:rStyle w:val="1443"/>
          <w:rFonts w:hint="eastAsia" w:ascii="仿宋" w:hAnsi="仿宋" w:eastAsia="仿宋" w:cs="仿宋"/>
          <w:b/>
          <w:bCs/>
          <w:color w:val="000000"/>
          <w:sz w:val="21"/>
          <w:szCs w:val="21"/>
          <w:highlight w:val="none"/>
        </w:rPr>
      </w:r>
      <w:r/>
    </w:p>
    <w:p>
      <w:pPr>
        <w:pStyle w:val="1032"/>
        <w:jc w:val="center"/>
        <w:spacing w:before="312" w:after="312" w:line="360" w:lineRule="auto"/>
        <w:shd w:val="clear" w:color="auto" w:fill="ffffff"/>
        <w:rPr>
          <w:rFonts w:hint="eastAsia" w:ascii="仿宋" w:hAnsi="仿宋" w:eastAsia="仿宋" w:cs="仿宋"/>
          <w:b/>
          <w:bCs/>
          <w:color w:val="000000"/>
          <w:sz w:val="36"/>
          <w:szCs w:val="36"/>
          <w:highlight w:val="none"/>
        </w:rPr>
      </w:pPr>
      <w:r>
        <w:rPr>
          <w:rFonts w:hint="eastAsia" w:ascii="仿宋" w:hAnsi="仿宋" w:eastAsia="仿宋" w:cs="仿宋"/>
          <w:color w:val="000000"/>
          <w:highlight w:val="none"/>
        </w:rPr>
        <w:br w:type="page" w:clear="all"/>
      </w:r>
      <w:r>
        <w:rPr>
          <w:rFonts w:hint="eastAsia" w:ascii="仿宋" w:hAnsi="仿宋" w:eastAsia="仿宋" w:cs="仿宋"/>
          <w:b/>
          <w:bCs/>
          <w:color w:val="000000"/>
          <w:sz w:val="36"/>
          <w:szCs w:val="36"/>
          <w:highlight w:val="none"/>
        </w:rPr>
        <w:t xml:space="preserve">中小企业声明函（</w:t>
      </w:r>
      <w:r>
        <w:rPr>
          <w:rFonts w:hint="eastAsia" w:ascii="仿宋" w:hAnsi="仿宋" w:eastAsia="仿宋" w:cs="仿宋"/>
          <w:b/>
          <w:bCs/>
          <w:color w:val="000000"/>
          <w:sz w:val="36"/>
          <w:szCs w:val="36"/>
          <w:highlight w:val="none"/>
          <w:lang w:val="en-US" w:eastAsia="zh-CN"/>
        </w:rPr>
        <w:t xml:space="preserve">服务</w:t>
      </w:r>
      <w:r>
        <w:rPr>
          <w:rFonts w:hint="eastAsia" w:ascii="仿宋" w:hAnsi="仿宋" w:eastAsia="仿宋" w:cs="仿宋"/>
          <w:b/>
          <w:bCs/>
          <w:color w:val="000000"/>
          <w:sz w:val="36"/>
          <w:szCs w:val="36"/>
          <w:highlight w:val="none"/>
        </w:rPr>
        <w:t xml:space="preserve">）格式</w:t>
      </w:r>
      <w:r>
        <w:rPr>
          <w:rFonts w:hint="eastAsia" w:ascii="仿宋" w:hAnsi="仿宋" w:eastAsia="仿宋" w:cs="仿宋"/>
          <w:b/>
          <w:bCs/>
          <w:color w:val="000000"/>
          <w:sz w:val="36"/>
          <w:szCs w:val="36"/>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pacing w:val="6"/>
          <w:szCs w:val="21"/>
          <w:highlight w:val="none"/>
          <w:u w:val="single"/>
        </w:rPr>
        <w:t xml:space="preserve">（</w:t>
      </w:r>
      <w:r>
        <w:rPr>
          <w:rFonts w:hint="eastAsia" w:ascii="仿宋" w:hAnsi="仿宋" w:eastAsia="仿宋" w:cs="仿宋"/>
          <w:color w:val="000000"/>
          <w:spacing w:val="6"/>
          <w:szCs w:val="21"/>
          <w:highlight w:val="none"/>
          <w:u w:val="single"/>
          <w:lang w:val="en-US" w:eastAsia="zh-CN"/>
        </w:rPr>
        <w:t xml:space="preserve">采购</w:t>
      </w:r>
      <w:r>
        <w:rPr>
          <w:rFonts w:hint="eastAsia" w:ascii="仿宋" w:hAnsi="仿宋" w:eastAsia="仿宋" w:cs="仿宋"/>
          <w:color w:val="000000"/>
          <w:spacing w:val="6"/>
          <w:szCs w:val="21"/>
          <w:highlight w:val="none"/>
          <w:u w:val="single"/>
        </w:rPr>
        <w:t xml:space="preserve">单位名称）</w:t>
      </w:r>
      <w:r>
        <w:rPr>
          <w:rFonts w:hint="eastAsia" w:ascii="仿宋" w:hAnsi="仿宋" w:eastAsia="仿宋" w:cs="仿宋"/>
          <w:color w:val="000000"/>
          <w:spacing w:val="6"/>
          <w:szCs w:val="21"/>
          <w:highlight w:val="none"/>
        </w:rPr>
        <w:t xml:space="preserve">的</w:t>
      </w:r>
      <w:r>
        <w:rPr>
          <w:rFonts w:hint="eastAsia" w:ascii="仿宋" w:hAnsi="仿宋" w:eastAsia="仿宋" w:cs="仿宋"/>
          <w:color w:val="000000"/>
          <w:spacing w:val="6"/>
          <w:szCs w:val="21"/>
          <w:highlight w:val="none"/>
          <w:u w:val="single"/>
        </w:rPr>
        <w:t xml:space="preserve">（项目名称）</w:t>
      </w:r>
      <w:r>
        <w:rPr>
          <w:rFonts w:hint="eastAsia" w:ascii="仿宋" w:hAnsi="仿宋" w:eastAsia="仿宋" w:cs="仿宋"/>
          <w:color w:val="000000"/>
          <w:spacing w:val="6"/>
          <w:szCs w:val="21"/>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1.</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w:t>
      </w:r>
      <w:r>
        <w:rPr>
          <w:rFonts w:hint="eastAsia" w:ascii="仿宋" w:hAnsi="仿宋" w:eastAsia="仿宋" w:cs="仿宋"/>
          <w:color w:val="000000"/>
          <w:spacing w:val="6"/>
          <w:szCs w:val="21"/>
          <w:highlight w:val="none"/>
          <w:vertAlign w:val="superscript"/>
        </w:rPr>
        <w:t xml:space="preserve">1</w:t>
      </w:r>
      <w:r>
        <w:rPr>
          <w:rFonts w:hint="eastAsia" w:ascii="仿宋" w:hAnsi="仿宋" w:eastAsia="仿宋" w:cs="仿宋"/>
          <w:color w:val="000000"/>
          <w:spacing w:val="6"/>
          <w:szCs w:val="21"/>
          <w:highlight w:val="none"/>
        </w:rPr>
        <w:t xml:space="preserve">，属于（中型企业、小型企业、微型企业）；</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2.</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，从业人员______人，营业收入为______万元，资产总额为______万元，属于</w:t>
      </w:r>
      <w:r>
        <w:rPr>
          <w:rFonts w:hint="eastAsia" w:ascii="仿宋" w:hAnsi="仿宋" w:eastAsia="仿宋" w:cs="仿宋"/>
          <w:color w:val="000000"/>
          <w:spacing w:val="6"/>
          <w:szCs w:val="21"/>
          <w:highlight w:val="none"/>
          <w:u w:val="single"/>
        </w:rPr>
        <w:t xml:space="preserve">（中型企业、小型企业、微型企业）</w:t>
      </w: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Cs w:val="21"/>
          <w:highlight w:val="none"/>
        </w:rPr>
      </w:r>
      <w:r/>
    </w:p>
    <w:p>
      <w:pPr>
        <w:pStyle w:val="1032"/>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本企业对上述声明内容的真实性负责。如有虚假，将依法承担相应责任。</w:t>
      </w:r>
      <w:r>
        <w:rPr>
          <w:rFonts w:hint="eastAsia" w:ascii="仿宋" w:hAnsi="仿宋" w:eastAsia="仿宋" w:cs="仿宋"/>
          <w:color w:val="000000"/>
          <w:spacing w:val="6"/>
          <w:szCs w:val="21"/>
          <w:highlight w:val="none"/>
        </w:rPr>
      </w:r>
      <w:r/>
    </w:p>
    <w:p>
      <w:pPr>
        <w:pStyle w:val="1032"/>
        <w:ind w:right="360"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ind w:right="360" w:firstLine="480"/>
        <w:jc w:val="righ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企业名称（加盖公章）：________</w:t>
      </w:r>
      <w:r>
        <w:rPr>
          <w:rFonts w:hint="eastAsia" w:ascii="仿宋" w:hAnsi="仿宋" w:eastAsia="仿宋" w:cs="仿宋"/>
          <w:color w:val="000000"/>
          <w:szCs w:val="21"/>
          <w:highlight w:val="none"/>
        </w:rPr>
      </w:r>
      <w:r/>
    </w:p>
    <w:p>
      <w:pPr>
        <w:pStyle w:val="1032"/>
        <w:ind w:right="360" w:firstLine="480"/>
        <w:jc w:val="righ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期：________</w:t>
      </w:r>
      <w:r>
        <w:rPr>
          <w:rFonts w:hint="eastAsia" w:ascii="仿宋" w:hAnsi="仿宋" w:eastAsia="仿宋" w:cs="仿宋"/>
          <w:color w:val="000000"/>
          <w:szCs w:val="21"/>
          <w:highlight w:val="none"/>
        </w:rPr>
      </w:r>
      <w:r/>
    </w:p>
    <w:p>
      <w:pPr>
        <w:pStyle w:val="1032"/>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2"/>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216"/>
        <w:ind w:firstLine="482"/>
        <w:jc w:val="left"/>
        <w:spacing w:before="0" w:after="0"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32"/>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t xml:space="preserve">残疾人福利性单位声明函格式</w:t>
      </w:r>
      <w:r>
        <w:rPr>
          <w:rFonts w:hint="eastAsia" w:ascii="仿宋" w:hAnsi="仿宋" w:eastAsia="仿宋" w:cs="仿宋"/>
          <w:b/>
          <w:color w:val="000000"/>
          <w:sz w:val="36"/>
          <w:szCs w:val="36"/>
          <w:highlight w:val="none"/>
        </w:rPr>
      </w:r>
      <w:r/>
    </w:p>
    <w:p>
      <w:pPr>
        <w:pStyle w:val="1032"/>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w:t>
      </w:r>
      <w:r>
        <w:rPr>
          <w:rFonts w:hint="eastAsia" w:ascii="仿宋" w:hAnsi="仿宋" w:eastAsia="仿宋" w:cs="仿宋"/>
          <w:b/>
          <w:color w:val="000000"/>
          <w:sz w:val="24"/>
          <w:highlight w:val="none"/>
        </w:rPr>
        <w:t xml:space="preserve">（请进行勾选）</w:t>
      </w:r>
      <w:r>
        <w:rPr>
          <w:rFonts w:hint="eastAsia" w:ascii="仿宋" w:hAnsi="仿宋" w:eastAsia="仿宋" w:cs="仿宋"/>
          <w:color w:val="000000"/>
          <w:spacing w:val="6"/>
          <w:sz w:val="24"/>
          <w:highlight w:val="none"/>
        </w:rPr>
        <w:t xml:space="preserve">：</w:t>
      </w:r>
      <w:r>
        <w:rPr>
          <w:rFonts w:hint="eastAsia" w:ascii="仿宋" w:hAnsi="仿宋" w:eastAsia="仿宋" w:cs="仿宋"/>
          <w:color w:val="000000"/>
          <w:spacing w:val="6"/>
          <w:sz w:val="24"/>
          <w:highlight w:val="none"/>
        </w:rPr>
      </w:r>
      <w:r/>
    </w:p>
    <w:p>
      <w:pPr>
        <w:pStyle w:val="1032"/>
        <w:ind w:firstLine="482"/>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不属于符合条件的残疾人福利性单位。</w:t>
      </w:r>
      <w:r>
        <w:rPr>
          <w:rFonts w:hint="eastAsia" w:ascii="仿宋" w:hAnsi="仿宋" w:eastAsia="仿宋" w:cs="仿宋"/>
          <w:b/>
          <w:color w:val="000000"/>
          <w:spacing w:val="6"/>
          <w:sz w:val="24"/>
          <w:highlight w:val="none"/>
        </w:rPr>
      </w:r>
      <w:r/>
    </w:p>
    <w:p>
      <w:pPr>
        <w:pStyle w:val="1032"/>
        <w:ind w:firstLine="482"/>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属于符合条件的残疾人福利性单位，</w:t>
      </w:r>
      <w:r>
        <w:rPr>
          <w:rFonts w:hint="eastAsia" w:ascii="仿宋" w:hAnsi="仿宋" w:eastAsia="仿宋" w:cs="仿宋"/>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highlight w:val="none"/>
        </w:rPr>
      </w:r>
      <w:r/>
    </w:p>
    <w:p>
      <w:pPr>
        <w:pStyle w:val="1032"/>
        <w:ind w:firstLine="506"/>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pacing w:val="6"/>
          <w:sz w:val="24"/>
          <w:highlight w:val="none"/>
        </w:rPr>
        <w:t xml:space="preserve">本单位对上述声明的真实性负责。如有虚假，将依法承担相应责任。</w:t>
      </w:r>
      <w:r>
        <w:rPr>
          <w:rFonts w:hint="eastAsia" w:ascii="仿宋" w:hAnsi="仿宋" w:eastAsia="仿宋" w:cs="仿宋"/>
          <w:color w:val="000000"/>
          <w:spacing w:val="6"/>
          <w:sz w:val="24"/>
          <w:highlight w:val="none"/>
        </w:rPr>
      </w:r>
      <w:r/>
    </w:p>
    <w:p>
      <w:pPr>
        <w:pStyle w:val="1032"/>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单位名称（加盖公章）：</w:t>
      </w: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032"/>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highlight w:val="none"/>
        </w:rPr>
        <w:t xml:space="preserve">2-3其它落实政府采购政策的资格要求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center"/>
        <w:spacing w:after="120"/>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关于符合本国产品标准的声明函</w:t>
      </w:r>
      <w:r>
        <w:rPr>
          <w:rFonts w:hint="eastAsia" w:ascii="仿宋" w:hAnsi="仿宋" w:eastAsia="仿宋" w:cs="仿宋"/>
          <w:b/>
          <w:color w:val="000000"/>
          <w:sz w:val="32"/>
          <w:szCs w:val="32"/>
          <w:highlight w:val="none"/>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-118744</wp:posOffset>
                </wp:positionH>
                <wp:positionV relativeFrom="paragraph">
                  <wp:posOffset>795020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9.3pt;mso-position-horizontal:absolute;mso-position-vertical-relative:text;margin-top:62.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549275</wp:posOffset>
                </wp:positionH>
                <wp:positionV relativeFrom="paragraph">
                  <wp:posOffset>790575</wp:posOffset>
                </wp:positionV>
                <wp:extent cx="805180" cy="1365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43.2pt;mso-position-horizontal:absolute;mso-position-vertical-relative:text;margin-top:62.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3582670</wp:posOffset>
                </wp:positionH>
                <wp:positionV relativeFrom="paragraph">
                  <wp:posOffset>429895</wp:posOffset>
                </wp:positionV>
                <wp:extent cx="603250" cy="1504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282.1pt;mso-position-horizontal:absolute;mso-position-vertical-relative:text;margin-top:33.9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2480945</wp:posOffset>
                </wp:positionH>
                <wp:positionV relativeFrom="paragraph">
                  <wp:posOffset>457200</wp:posOffset>
                </wp:positionV>
                <wp:extent cx="812165"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195.3pt;mso-position-horizontal:absolute;mso-position-vertical-relative:text;margin-top:36.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1433195</wp:posOffset>
                </wp:positionH>
                <wp:positionV relativeFrom="paragraph">
                  <wp:posOffset>495300</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12.8pt;mso-position-horizontal:absolute;mso-position-vertical-relative:text;margin-top:39.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4311650</wp:posOffset>
                </wp:positionH>
                <wp:positionV relativeFrom="paragraph">
                  <wp:posOffset>130175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339.5pt;mso-position-horizontal:absolute;mso-position-vertical-relative:text;margin-top:10.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1.</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1</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2</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u w:val="single"/>
          <w:shd w:val="clear" w:color="auto" w:fill="ffffff"/>
          <w:lang w:val="en-US" w:eastAsia="zh-CN" w:bidi="ar-SA"/>
        </w:rPr>
        <w:t xml:space="preserve"> </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 </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3</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4</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5</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224155</wp:posOffset>
                </wp:positionH>
                <wp:positionV relativeFrom="paragraph">
                  <wp:posOffset>713740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7.6pt;mso-position-horizontal:absolute;mso-position-vertical-relative:text;margin-top:56.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3270885</wp:posOffset>
                </wp:positionH>
                <wp:positionV relativeFrom="paragraph">
                  <wp:posOffset>412750</wp:posOffset>
                </wp:positionV>
                <wp:extent cx="666750" cy="1905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257.6pt;mso-position-horizontal:absolute;mso-position-vertical-relative:text;margin-top:32.5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2148840</wp:posOffset>
                </wp:positionH>
                <wp:positionV relativeFrom="paragraph">
                  <wp:posOffset>443230</wp:posOffset>
                </wp:positionV>
                <wp:extent cx="842645" cy="1524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69.2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1162685</wp:posOffset>
                </wp:positionH>
                <wp:positionV relativeFrom="paragraph">
                  <wp:posOffset>426085</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91.5pt;mso-position-horizontal:absolute;mso-position-vertical-relative:text;margin-top:33.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4030345</wp:posOffset>
                </wp:positionH>
                <wp:positionV relativeFrom="paragraph">
                  <wp:posOffset>132080</wp:posOffset>
                </wp:positionV>
                <wp:extent cx="807720" cy="19050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17.3pt;mso-position-horizontal:absolute;mso-position-vertical-relative:text;margin-top:10.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5012055</wp:posOffset>
                </wp:positionH>
                <wp:positionV relativeFrom="paragraph">
                  <wp:posOffset>419100</wp:posOffset>
                </wp:positionV>
                <wp:extent cx="814705" cy="16446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394.6pt;mso-position-horizontal:absolute;mso-position-vertical-relative:text;margin-top:33.0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2.</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lang w:val="en-US" w:eastAsia="zh-CN" w:bidi="ar-SA"/>
        </w:rPr>
      </w:r>
      <w:r/>
    </w:p>
    <w:p>
      <w:pPr>
        <w:pStyle w:val="1032"/>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032"/>
        <w:ind w:right="0" w:firstLine="3465"/>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公司（单位）名称（盖章）：　        </w:t>
      </w:r>
      <w:r>
        <w:rPr>
          <w:rFonts w:hint="eastAsia" w:ascii="仿宋" w:hAnsi="仿宋" w:eastAsia="仿宋" w:cs="仿宋"/>
          <w:color w:val="000000"/>
          <w:sz w:val="21"/>
          <w:szCs w:val="21"/>
          <w:highlight w:val="none"/>
          <w:lang w:val="en-US" w:eastAsia="zh-CN" w:bidi="ar-SA"/>
        </w:rPr>
      </w:r>
      <w:r/>
    </w:p>
    <w:p>
      <w:pPr>
        <w:pStyle w:val="1032"/>
        <w:ind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                                日期：　   年　  月　  日         </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__________________</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1"/>
          <w:szCs w:val="21"/>
          <w:highlight w:val="none"/>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1"/>
          <w:szCs w:val="21"/>
          <w:highlight w:val="none"/>
          <w:shd w:val="clear" w:color="auto" w:fill="ffffff"/>
          <w:lang w:val="en-US" w:eastAsia="zh-CN" w:bidi="ar-SA"/>
        </w:rPr>
      </w:r>
      <w:r/>
    </w:p>
    <w:p>
      <w:pPr>
        <w:pStyle w:val="1032"/>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6.用斜线划除的地方无需填写。</w:t>
      </w:r>
      <w:r>
        <w:rPr>
          <w:rFonts w:hint="eastAsia" w:ascii="仿宋" w:hAnsi="仿宋" w:eastAsia="仿宋" w:cs="仿宋"/>
          <w:color w:val="000000"/>
          <w:sz w:val="21"/>
          <w:szCs w:val="21"/>
          <w:highlight w:val="none"/>
          <w:shd w:val="clear" w:color="auto" w:fill="ffffff"/>
          <w:lang w:val="en-US" w:eastAsia="zh-CN" w:bidi="ar-SA"/>
        </w:rPr>
      </w:r>
      <w:r/>
    </w:p>
    <w:p>
      <w:pPr>
        <w:pStyle w:val="1032"/>
        <w:jc w:val="left"/>
        <w:spacing w:line="360" w:lineRule="auto"/>
        <w:widowControl/>
        <w:rPr>
          <w:rFonts w:hint="eastAsia" w:ascii="仿宋" w:hAnsi="仿宋" w:eastAsia="仿宋" w:cs="仿宋"/>
          <w:color w:val="000000"/>
          <w:sz w:val="24"/>
          <w:szCs w:val="20"/>
          <w:highlight w:val="none"/>
        </w:rPr>
      </w:pPr>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24"/>
          <w:szCs w:val="20"/>
          <w:highlight w:val="none"/>
        </w:rPr>
        <w:t xml:space="preserve">3 </w:t>
      </w:r>
      <w:r>
        <w:rPr>
          <w:rFonts w:hint="eastAsia" w:ascii="仿宋" w:hAnsi="仿宋" w:eastAsia="仿宋" w:cs="仿宋"/>
          <w:b/>
          <w:bCs/>
          <w:color w:val="000000"/>
          <w:sz w:val="24"/>
          <w:highlight w:val="none"/>
        </w:rPr>
        <w:t xml:space="preserve">本项目的特定资格要求</w:t>
      </w: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3-2其他特定资格要求</w:t>
      </w:r>
      <w:r>
        <w:rPr>
          <w:rFonts w:hint="eastAsia" w:ascii="仿宋" w:hAnsi="仿宋" w:eastAsia="仿宋" w:cs="仿宋"/>
          <w:color w:val="000000"/>
          <w:sz w:val="24"/>
          <w:szCs w:val="20"/>
          <w:highlight w:val="none"/>
        </w:rPr>
      </w:r>
      <w:r/>
    </w:p>
    <w:p>
      <w:pPr>
        <w:pStyle w:val="1032"/>
        <w:ind w:left="690" w:hanging="211"/>
        <w:spacing w:line="360" w:lineRule="auto"/>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t xml:space="preserve">详见采购公告要求</w:t>
      </w: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二、商务技术文件格式</w:t>
      </w:r>
      <w:bookmarkStart w:id="832" w:name="_Toc226965829"/>
      <w:r/>
      <w:bookmarkStart w:id="833" w:name="_Toc150774761"/>
      <w:r/>
      <w:bookmarkStart w:id="834" w:name="_Toc195842921"/>
      <w:r/>
      <w:bookmarkStart w:id="835" w:name="_Toc480942349"/>
      <w:r/>
      <w:bookmarkStart w:id="836" w:name="_Toc520356217"/>
      <w:r/>
      <w:bookmarkStart w:id="837" w:name="_Toc226337252"/>
      <w:r/>
      <w:bookmarkStart w:id="838" w:name="_Toc150480794"/>
      <w:r/>
      <w:bookmarkStart w:id="839" w:name="_Toc226965746"/>
      <w:r/>
      <w:bookmarkStart w:id="840" w:name="_Toc127151556"/>
      <w:r/>
      <w:bookmarkStart w:id="841" w:name="_Ref467988698"/>
      <w:r/>
      <w:bookmarkStart w:id="842" w:name="_Toc226309800"/>
      <w:r/>
      <w:bookmarkStart w:id="843" w:name="_Toc142311058"/>
      <w:r>
        <w:rPr>
          <w:rFonts w:hint="eastAsia" w:ascii="仿宋" w:hAnsi="仿宋" w:eastAsia="仿宋" w:cs="仿宋"/>
          <w:b/>
          <w:color w:val="000000"/>
          <w:sz w:val="32"/>
          <w:szCs w:val="32"/>
          <w:highlight w:val="none"/>
        </w:rPr>
      </w:r>
      <w:r/>
    </w:p>
    <w:p>
      <w:pPr>
        <w:pStyle w:val="1032"/>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2"/>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color w:val="000000"/>
          <w:sz w:val="24"/>
          <w:highlight w:val="none"/>
        </w:rPr>
        <w:t xml:space="preserve">1</w:t>
      </w:r>
      <w:r>
        <w:rPr>
          <w:rFonts w:hint="eastAsia" w:ascii="仿宋" w:hAnsi="仿宋" w:eastAsia="仿宋" w:cs="仿宋"/>
          <w:b/>
          <w:bCs/>
          <w:color w:val="000000"/>
          <w:sz w:val="24"/>
          <w:highlight w:val="none"/>
        </w:rPr>
        <w:t xml:space="preserve">投标</w:t>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rPr>
          <w:rFonts w:hint="eastAsia" w:ascii="仿宋" w:hAnsi="仿宋" w:eastAsia="仿宋" w:cs="仿宋"/>
          <w:b/>
          <w:bCs/>
          <w:color w:val="000000"/>
          <w:sz w:val="24"/>
          <w:highlight w:val="none"/>
        </w:rPr>
        <w:t xml:space="preserve">函</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szCs w:val="20"/>
          <w:highlight w:val="none"/>
        </w:rPr>
      </w:r>
      <w:r/>
    </w:p>
    <w:p>
      <w:pPr>
        <w:pStyle w:val="1032"/>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投标函</w:t>
      </w:r>
      <w:r>
        <w:rPr>
          <w:rFonts w:hint="eastAsia" w:ascii="仿宋" w:hAnsi="仿宋" w:eastAsia="仿宋" w:cs="仿宋"/>
          <w:b/>
          <w:color w:val="000000"/>
          <w:sz w:val="36"/>
          <w:szCs w:val="36"/>
          <w:highlight w:val="none"/>
        </w:rPr>
      </w:r>
      <w:r/>
    </w:p>
    <w:p>
      <w:pPr>
        <w:pStyle w:val="1032"/>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Cs w:val="21"/>
          <w:highlight w:val="none"/>
          <w:u w:val="single"/>
          <w:lang w:eastAsia="zh-CN"/>
        </w:rPr>
        <w:t xml:space="preserve">常州市钟楼区五星街道社区卫生服务中心</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 w:val="24"/>
          <w:highlight w:val="none"/>
        </w:rPr>
      </w:r>
      <w:r/>
    </w:p>
    <w:p>
      <w:pPr>
        <w:pStyle w:val="1032"/>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我方参加你方就</w:t>
      </w:r>
      <w:r>
        <w:rPr>
          <w:rFonts w:hint="eastAsia" w:ascii="仿宋" w:hAnsi="仿宋" w:eastAsia="仿宋" w:cs="仿宋"/>
          <w:b/>
          <w:bCs/>
          <w:color w:val="000000"/>
          <w:sz w:val="21"/>
          <w:szCs w:val="21"/>
          <w:highlight w:val="none"/>
          <w:u w:val="single"/>
          <w:lang w:eastAsia="zh-CN"/>
        </w:rPr>
        <w:t xml:space="preserve">常州市钟楼区五星街道社区卫生服务中心职工食堂委托经营服务JSZC-320404-SCJX-G2026-0010</w:t>
      </w:r>
      <w:r>
        <w:rPr>
          <w:rFonts w:hint="eastAsia" w:ascii="仿宋" w:hAnsi="仿宋" w:eastAsia="仿宋" w:cs="仿宋"/>
          <w:color w:val="000000"/>
          <w:sz w:val="21"/>
          <w:szCs w:val="21"/>
          <w:highlight w:val="none"/>
        </w:rPr>
        <w:t xml:space="preserve">组织的招标活动，并对此项目进行投标。</w:t>
      </w:r>
      <w:r>
        <w:rPr>
          <w:rFonts w:hint="eastAsia" w:ascii="仿宋" w:hAnsi="仿宋" w:eastAsia="仿宋" w:cs="仿宋"/>
          <w:color w:val="000000"/>
          <w:sz w:val="21"/>
          <w:szCs w:val="21"/>
          <w:highlight w:val="none"/>
        </w:rPr>
      </w:r>
      <w:r/>
    </w:p>
    <w:p>
      <w:pPr>
        <w:pStyle w:val="1032"/>
        <w:ind w:firstLine="408"/>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 我方已详细审查全部招标文件，自愿参与投标并承诺如下：</w:t>
      </w:r>
      <w:r>
        <w:rPr>
          <w:rFonts w:hint="eastAsia" w:ascii="仿宋" w:hAnsi="仿宋" w:eastAsia="仿宋" w:cs="仿宋"/>
          <w:color w:val="000000"/>
          <w:sz w:val="21"/>
          <w:szCs w:val="21"/>
          <w:highlight w:val="none"/>
        </w:rPr>
      </w:r>
      <w:r/>
    </w:p>
    <w:p>
      <w:pPr>
        <w:pStyle w:val="1032"/>
        <w:ind w:left="360" w:firstLine="72"/>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（1）本投标有效期为自提交投标文件的截止之日起90个日历天。</w:t>
      </w:r>
      <w:r>
        <w:rPr>
          <w:rFonts w:hint="eastAsia" w:ascii="仿宋" w:hAnsi="仿宋" w:eastAsia="仿宋" w:cs="仿宋"/>
          <w:color w:val="000000"/>
          <w:sz w:val="21"/>
          <w:szCs w:val="21"/>
          <w:highlight w:val="none"/>
        </w:rPr>
      </w:r>
      <w:r/>
    </w:p>
    <w:p>
      <w:pPr>
        <w:pStyle w:val="1032"/>
        <w:ind w:left="360" w:firstLine="72"/>
        <w:spacing w:line="360" w:lineRule="auto"/>
        <w:tabs>
          <w:tab w:val="left" w:pos="720" w:leader="none"/>
          <w:tab w:val="left" w:pos="90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（2）除合同条款及采购需求偏离表列出的偏离外，我方响应招标文件的全部要求。</w:t>
      </w:r>
      <w:r>
        <w:rPr>
          <w:rFonts w:hint="eastAsia" w:ascii="仿宋" w:hAnsi="仿宋" w:eastAsia="仿宋" w:cs="仿宋"/>
          <w:color w:val="000000"/>
          <w:sz w:val="21"/>
          <w:szCs w:val="21"/>
          <w:highlight w:val="none"/>
        </w:rPr>
      </w:r>
      <w:r/>
    </w:p>
    <w:p>
      <w:pPr>
        <w:pStyle w:val="1032"/>
        <w:ind w:firstLine="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（3）我方已提供的全部文件资料是真实、准确的，并对此承担一切法律后果。</w:t>
      </w:r>
      <w:r>
        <w:rPr>
          <w:rFonts w:hint="eastAsia" w:ascii="仿宋" w:hAnsi="仿宋" w:eastAsia="仿宋" w:cs="仿宋"/>
          <w:color w:val="000000"/>
          <w:sz w:val="21"/>
          <w:szCs w:val="21"/>
          <w:highlight w:val="none"/>
        </w:rPr>
      </w:r>
      <w:r/>
    </w:p>
    <w:p>
      <w:pPr>
        <w:pStyle w:val="1032"/>
        <w:ind w:firstLine="420"/>
        <w:spacing w:line="360" w:lineRule="auto"/>
        <w:tabs>
          <w:tab w:val="left" w:pos="558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1"/>
          <w:szCs w:val="21"/>
          <w:highlight w:val="none"/>
        </w:rPr>
      </w:r>
      <w:r/>
    </w:p>
    <w:p>
      <w:pPr>
        <w:pStyle w:val="1032"/>
        <w:ind w:left="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 其他补充条款（如有）：___________。</w:t>
      </w:r>
      <w:r>
        <w:rPr>
          <w:rFonts w:hint="eastAsia" w:ascii="仿宋" w:hAnsi="仿宋" w:eastAsia="仿宋" w:cs="仿宋"/>
          <w:color w:val="000000"/>
          <w:sz w:val="21"/>
          <w:szCs w:val="21"/>
          <w:highlight w:val="none"/>
        </w:rPr>
      </w:r>
      <w:r/>
    </w:p>
    <w:p>
      <w:pPr>
        <w:pStyle w:val="1032"/>
        <w:ind w:firstLine="48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与本投标有关的一切正式往来信函请寄：</w:t>
      </w:r>
      <w:r>
        <w:rPr>
          <w:rFonts w:hint="eastAsia" w:ascii="仿宋" w:hAnsi="仿宋" w:eastAsia="仿宋" w:cs="仿宋"/>
          <w:color w:val="000000"/>
          <w:sz w:val="21"/>
          <w:szCs w:val="21"/>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电子邮箱________________________</w:t>
      </w: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032"/>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032"/>
        <w:jc w:val="left"/>
        <w:widowControl/>
        <w:rPr>
          <w:rFonts w:hint="eastAsia" w:ascii="仿宋" w:hAnsi="仿宋" w:eastAsia="仿宋" w:cs="仿宋"/>
          <w:color w:val="000000"/>
          <w:sz w:val="24"/>
          <w:highlight w:val="none"/>
        </w:rPr>
      </w:pPr>
      <w:r/>
      <w:bookmarkStart w:id="844" w:name="_Hlt520356243"/>
      <w:r/>
      <w:bookmarkEnd w:id="844"/>
      <w:r/>
      <w:bookmarkStart w:id="845" w:name="_Hlt520355938"/>
      <w:r/>
      <w:bookmarkEnd w:id="845"/>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1032"/>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  法定代表人资格证明书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     性别:       年龄:      职务:</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（投标单位名称）</w:t>
      </w:r>
      <w:r>
        <w:rPr>
          <w:rFonts w:hint="eastAsia" w:ascii="仿宋" w:hAnsi="仿宋" w:eastAsia="仿宋" w:cs="仿宋"/>
          <w:color w:val="000000"/>
          <w:sz w:val="24"/>
          <w:highlight w:val="none"/>
        </w:rPr>
        <w:t xml:space="preserve">的法定代表人。为参与</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JSZC-320404-SCJX-G2026-0010</w:t>
      </w:r>
      <w:r>
        <w:rPr>
          <w:rFonts w:hint="eastAsia" w:ascii="仿宋" w:hAnsi="仿宋" w:eastAsia="仿宋" w:cs="仿宋"/>
          <w:color w:val="000000"/>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color w:val="000000"/>
          <w:sz w:val="24"/>
          <w:highlight w:val="none"/>
        </w:rPr>
        <w:t xml:space="preserve">上述项目的投标文件、进行合同谈判、签署合同和处理与之有关的一切事务。</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46"/>
        <w:ind w:right="-46"/>
        <w:spacing w:line="583" w:lineRule="auto"/>
        <w:tabs>
          <w:tab w:val="left" w:pos="567" w:leader="none"/>
        </w:tabs>
        <w:rPr>
          <w:rFonts w:hint="eastAsia" w:ascii="仿宋" w:hAnsi="仿宋" w:eastAsia="仿宋" w:cs="仿宋"/>
          <w:color w:val="000000"/>
          <w:spacing w:val="-3"/>
          <w:highlight w:val="none"/>
        </w:rPr>
      </w:pPr>
      <w:r>
        <w:rPr>
          <w:rFonts w:hint="eastAsia" w:ascii="仿宋" w:hAnsi="仿宋" w:eastAsia="仿宋" w:cs="仿宋"/>
          <w:color w:val="000000"/>
          <w:highlight w:val="none"/>
        </w:rPr>
        <w:t xml:space="preserve">附：</w:t>
      </w:r>
      <w:r>
        <w:rPr>
          <w:rFonts w:hint="eastAsia" w:ascii="仿宋" w:hAnsi="仿宋" w:eastAsia="仿宋" w:cs="仿宋"/>
          <w:color w:val="000000"/>
          <w:spacing w:val="-3"/>
          <w:highlight w:val="none"/>
        </w:rPr>
        <w:t xml:space="preserve">法</w:t>
      </w:r>
      <w:r>
        <w:rPr>
          <w:rFonts w:hint="eastAsia" w:ascii="仿宋" w:hAnsi="仿宋" w:eastAsia="仿宋" w:cs="仿宋"/>
          <w:color w:val="000000"/>
          <w:highlight w:val="none"/>
        </w:rPr>
        <w:t xml:space="preserve">定</w:t>
      </w:r>
      <w:r>
        <w:rPr>
          <w:rFonts w:hint="eastAsia" w:ascii="仿宋" w:hAnsi="仿宋" w:eastAsia="仿宋" w:cs="仿宋"/>
          <w:color w:val="000000"/>
          <w:spacing w:val="-3"/>
          <w:highlight w:val="none"/>
        </w:rPr>
        <w:t xml:space="preserve">代</w:t>
      </w:r>
      <w:r>
        <w:rPr>
          <w:rFonts w:hint="eastAsia" w:ascii="仿宋" w:hAnsi="仿宋" w:eastAsia="仿宋" w:cs="仿宋"/>
          <w:color w:val="000000"/>
          <w:highlight w:val="none"/>
        </w:rPr>
        <w:t xml:space="preserve">表</w:t>
      </w:r>
      <w:r>
        <w:rPr>
          <w:rFonts w:hint="eastAsia" w:ascii="仿宋" w:hAnsi="仿宋" w:eastAsia="仿宋" w:cs="仿宋"/>
          <w:color w:val="000000"/>
          <w:spacing w:val="-3"/>
          <w:highlight w:val="none"/>
        </w:rPr>
        <w:t xml:space="preserve">人</w:t>
      </w:r>
      <w:r>
        <w:rPr>
          <w:rFonts w:hint="eastAsia" w:ascii="仿宋" w:hAnsi="仿宋" w:eastAsia="仿宋" w:cs="仿宋"/>
          <w:color w:val="000000"/>
          <w:highlight w:val="none"/>
        </w:rPr>
        <w:t xml:space="preserve">（</w:t>
      </w:r>
      <w:r>
        <w:rPr>
          <w:rFonts w:hint="eastAsia" w:ascii="仿宋" w:hAnsi="仿宋" w:eastAsia="仿宋" w:cs="仿宋"/>
          <w:color w:val="000000"/>
          <w:spacing w:val="-3"/>
          <w:highlight w:val="none"/>
        </w:rPr>
        <w:t xml:space="preserve">单</w:t>
      </w:r>
      <w:r>
        <w:rPr>
          <w:rFonts w:hint="eastAsia" w:ascii="仿宋" w:hAnsi="仿宋" w:eastAsia="仿宋" w:cs="仿宋"/>
          <w:color w:val="000000"/>
          <w:highlight w:val="none"/>
        </w:rPr>
        <w:t xml:space="preserve">位</w:t>
      </w:r>
      <w:r>
        <w:rPr>
          <w:rFonts w:hint="eastAsia" w:ascii="仿宋" w:hAnsi="仿宋" w:eastAsia="仿宋" w:cs="仿宋"/>
          <w:color w:val="000000"/>
          <w:spacing w:val="-3"/>
          <w:highlight w:val="none"/>
        </w:rPr>
        <w:t xml:space="preserve">负</w:t>
      </w:r>
      <w:r>
        <w:rPr>
          <w:rFonts w:hint="eastAsia" w:ascii="仿宋" w:hAnsi="仿宋" w:eastAsia="仿宋" w:cs="仿宋"/>
          <w:color w:val="000000"/>
          <w:highlight w:val="none"/>
        </w:rPr>
        <w:t xml:space="preserve">责人</w:t>
      </w:r>
      <w:r>
        <w:rPr>
          <w:rFonts w:hint="eastAsia" w:ascii="仿宋" w:hAnsi="仿宋" w:eastAsia="仿宋" w:cs="仿宋"/>
          <w:color w:val="000000"/>
          <w:spacing w:val="-3"/>
          <w:highlight w:val="none"/>
        </w:rPr>
        <w:t xml:space="preserve">）有效期内的身份证正反面扫描件加盖公章。</w:t>
      </w:r>
      <w:r>
        <w:rPr>
          <w:rFonts w:hint="eastAsia" w:ascii="仿宋" w:hAnsi="仿宋" w:eastAsia="仿宋" w:cs="仿宋"/>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bookmarkStart w:id="846" w:name="_Hlk107701949"/>
      <w:r>
        <w:rPr>
          <w:rFonts w:hint="eastAsia" w:ascii="仿宋" w:hAnsi="仿宋" w:eastAsia="仿宋" w:cs="仿宋"/>
          <w:color w:val="000000"/>
          <w:sz w:val="24"/>
          <w:highlight w:val="none"/>
        </w:rPr>
        <w:t xml:space="preserve"> 供应商：（加盖公章）</w:t>
      </w:r>
      <w:r>
        <w:rPr>
          <w:rFonts w:hint="eastAsia" w:ascii="仿宋" w:hAnsi="仿宋" w:eastAsia="仿宋" w:cs="仿宋"/>
          <w:color w:val="000000"/>
          <w:sz w:val="24"/>
          <w:highlight w:val="none"/>
        </w:rPr>
      </w:r>
      <w:r/>
    </w:p>
    <w:p>
      <w:pPr>
        <w:pStyle w:val="1032"/>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bookmarkEnd w:id="846"/>
      <w:r>
        <w:rPr>
          <w:rFonts w:hint="eastAsia" w:ascii="仿宋" w:hAnsi="仿宋" w:eastAsia="仿宋" w:cs="仿宋"/>
          <w:color w:val="000000"/>
          <w:sz w:val="24"/>
          <w:highlight w:val="non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4"/>
          <w:szCs w:val="20"/>
          <w:highlight w:val="none"/>
        </w:rPr>
      </w:r>
      <w:r/>
    </w:p>
    <w:p>
      <w:pPr>
        <w:pStyle w:val="1032"/>
        <w:jc w:val="left"/>
        <w:spacing w:line="360" w:lineRule="auto"/>
        <w:tabs>
          <w:tab w:val="left" w:pos="5580" w:leader="none"/>
        </w:tabs>
        <w:rPr>
          <w:rFonts w:hint="eastAsia" w:ascii="仿宋" w:hAnsi="仿宋" w:eastAsia="仿宋" w:cs="仿宋"/>
          <w:i/>
          <w:color w:val="000000"/>
          <w:sz w:val="24"/>
          <w:szCs w:val="20"/>
          <w:highlight w:val="none"/>
          <w:u w:val="single"/>
        </w:rPr>
      </w:pPr>
      <w:r>
        <w:rPr>
          <w:rFonts w:hint="eastAsia" w:ascii="仿宋" w:hAnsi="仿宋" w:eastAsia="仿宋" w:cs="仿宋"/>
          <w:color w:val="000000"/>
          <w:sz w:val="24"/>
          <w:szCs w:val="20"/>
          <w:highlight w:val="none"/>
        </w:rPr>
        <w:t xml:space="preserve">2.供应商为自然人的情形，可不提供本《授权委托书》。</w:t>
      </w:r>
      <w:r>
        <w:rPr>
          <w:rFonts w:hint="eastAsia" w:ascii="仿宋" w:hAnsi="仿宋" w:eastAsia="仿宋" w:cs="仿宋"/>
          <w:i/>
          <w:color w:val="000000"/>
          <w:sz w:val="24"/>
          <w:szCs w:val="20"/>
          <w:highlight w:val="none"/>
          <w:u w:val="singl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firstLine="562"/>
        <w:jc w:val="center"/>
        <w:spacing w:before="240" w:after="24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法定代表人授权委托书</w:t>
      </w:r>
      <w:r>
        <w:rPr>
          <w:rFonts w:hint="eastAsia" w:ascii="仿宋" w:hAnsi="仿宋" w:eastAsia="仿宋" w:cs="仿宋"/>
          <w:b/>
          <w:bCs/>
          <w:color w:val="000000"/>
          <w:sz w:val="28"/>
          <w:szCs w:val="28"/>
          <w:highlight w:val="non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法定代表人（或非法人组织负责人）姓名：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住所地：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授权委托人姓名：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工作单位：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常州市钟楼区五星街道社区卫生服务中心职工食堂委托经营服务JSZC-320404-SCJX-G2026-0010</w:t>
      </w:r>
      <w:r>
        <w:rPr>
          <w:rFonts w:hint="eastAsia" w:ascii="仿宋" w:hAnsi="仿宋" w:eastAsia="仿宋" w:cs="仿宋"/>
          <w:color w:val="000000"/>
          <w:sz w:val="24"/>
          <w:highlight w:val="none"/>
        </w:rPr>
        <w:t xml:space="preserve">采购活动，以我单位名义处理一切与之有关的事务。</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日签字或盖章</w:t>
      </w:r>
      <w:r>
        <w:rPr>
          <w:rFonts w:hint="eastAsia" w:ascii="仿宋" w:hAnsi="仿宋" w:eastAsia="仿宋" w:cs="仿宋"/>
          <w:b/>
          <w:color w:val="000000"/>
          <w:sz w:val="24"/>
          <w:highlight w:val="none"/>
        </w:rPr>
        <w:t xml:space="preserve">生效，无转委托，</w:t>
      </w:r>
      <w:r>
        <w:rPr>
          <w:rFonts w:hint="eastAsia" w:ascii="仿宋" w:hAnsi="仿宋" w:eastAsia="仿宋" w:cs="仿宋"/>
          <w:color w:val="000000"/>
          <w:sz w:val="24"/>
          <w:highlight w:val="none"/>
        </w:rPr>
        <w:t xml:space="preserve">特此声明。</w:t>
      </w:r>
      <w:r>
        <w:rPr>
          <w:rFonts w:hint="eastAsia" w:ascii="仿宋" w:hAnsi="仿宋" w:eastAsia="仿宋" w:cs="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032"/>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（※授权委托人身份证正、反面扫描件※）</w:t>
            </w:r>
            <w:r>
              <w:rPr>
                <w:rFonts w:hint="eastAsia" w:ascii="仿宋" w:hAnsi="仿宋" w:eastAsia="仿宋" w:cs="仿宋"/>
                <w:color w:val="000000"/>
                <w:sz w:val="24"/>
                <w:highlight w:val="none"/>
              </w:rPr>
            </w:r>
            <w:r/>
          </w:p>
        </w:tc>
      </w:tr>
    </w:tbl>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委托人（加盖单位公章）：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法定代表人（或非法人组织负责人）（签字或盖章）：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详细通讯地址：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邮政编码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    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032"/>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032"/>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3</w:t>
      </w:r>
      <w:r>
        <w:rPr>
          <w:rFonts w:hint="eastAsia" w:ascii="仿宋" w:hAnsi="仿宋" w:eastAsia="仿宋" w:cs="仿宋"/>
          <w:b/>
          <w:bCs/>
          <w:color w:val="000000"/>
          <w:sz w:val="24"/>
          <w:highlight w:val="none"/>
        </w:rPr>
        <w:t xml:space="preserve">政府采购供应商信用承诺书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highlight w:val="none"/>
        </w:rPr>
      </w:r>
      <w:r/>
    </w:p>
    <w:p>
      <w:pPr>
        <w:pStyle w:val="1032"/>
        <w:ind w:firstLine="321"/>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032"/>
        <w:ind w:firstLine="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032"/>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471"/>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32"/>
        <w:ind w:firstLine="4830"/>
        <w:spacing w:line="360" w:lineRule="auto"/>
        <w:rPr>
          <w:rFonts w:hint="eastAsia" w:ascii="仿宋" w:hAnsi="仿宋" w:eastAsia="仿宋" w:cs="仿宋"/>
          <w:color w:val="000000"/>
          <w:szCs w:val="21"/>
          <w:highlight w:val="none"/>
        </w:rPr>
      </w:pPr>
      <w:r/>
      <w:bookmarkStart w:id="847" w:name="_Hlt520350918"/>
      <w:r/>
      <w:bookmarkEnd w:id="847"/>
      <w:r/>
      <w:bookmarkStart w:id="848" w:name="_Hlt520355504"/>
      <w:r/>
      <w:bookmarkEnd w:id="848"/>
      <w:r/>
      <w:bookmarkStart w:id="849" w:name="_Hlt520274065"/>
      <w:r/>
      <w:bookmarkEnd w:id="849"/>
      <w:r/>
      <w:bookmarkStart w:id="850" w:name="_Hlt520343392"/>
      <w:r/>
      <w:bookmarkEnd w:id="850"/>
      <w:r/>
      <w:bookmarkStart w:id="851" w:name="_Hlt520274393"/>
      <w:r/>
      <w:bookmarkEnd w:id="851"/>
      <w:r/>
      <w:bookmarkStart w:id="852" w:name="_Hlt520271212"/>
      <w:r/>
      <w:bookmarkEnd w:id="852"/>
      <w:r/>
      <w:bookmarkStart w:id="853" w:name="_Hlt520343000"/>
      <w:r/>
      <w:bookmarkEnd w:id="853"/>
      <w:r/>
      <w:bookmarkStart w:id="854" w:name="_Hlt520274121"/>
      <w:r/>
      <w:bookmarkEnd w:id="854"/>
      <w:r/>
      <w:bookmarkStart w:id="855" w:name="_Hlt520273711"/>
      <w:r/>
      <w:bookmarkEnd w:id="855"/>
      <w:r/>
      <w:bookmarkStart w:id="856" w:name="_Hlt520274407"/>
      <w:r/>
      <w:bookmarkEnd w:id="856"/>
      <w:r/>
      <w:bookmarkStart w:id="857" w:name="_Hlk107701995"/>
      <w:r/>
      <w:bookmarkStart w:id="858" w:name="_Toc127151557"/>
      <w:r/>
      <w:bookmarkStart w:id="859" w:name="_Toc150480795"/>
      <w:r/>
      <w:bookmarkStart w:id="860" w:name="_Toc305158825"/>
      <w:r/>
      <w:bookmarkStart w:id="861" w:name="_Toc305158899"/>
      <w:r/>
      <w:bookmarkStart w:id="862" w:name="_Toc226337253"/>
      <w:r/>
      <w:bookmarkStart w:id="863" w:name="_Toc520356218"/>
      <w:r/>
      <w:bookmarkStart w:id="864" w:name="_Toc226965830"/>
      <w:r/>
      <w:bookmarkStart w:id="865" w:name="_Toc480942350"/>
      <w:r/>
      <w:bookmarkStart w:id="866" w:name="_Toc195842922"/>
      <w:r/>
      <w:bookmarkStart w:id="867" w:name="_Ref467988705"/>
      <w:r/>
      <w:bookmarkStart w:id="868" w:name="_Toc226309801"/>
      <w:r/>
      <w:bookmarkStart w:id="869" w:name="_Toc264969247"/>
      <w:r/>
      <w:bookmarkStart w:id="870" w:name="_Toc142311059"/>
      <w:r/>
      <w:bookmarkStart w:id="871" w:name="_Toc265228395"/>
      <w:r/>
      <w:bookmarkStart w:id="872" w:name="_Toc226965747"/>
      <w:r/>
      <w:bookmarkStart w:id="873" w:name="_Toc150774762"/>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032"/>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ind w:firstLine="483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032"/>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bookmarkEnd w:id="857"/>
      <w:r>
        <w:rPr>
          <w:rFonts w:hint="eastAsia" w:ascii="仿宋" w:hAnsi="仿宋" w:eastAsia="仿宋" w:cs="仿宋"/>
          <w:color w:val="000000"/>
          <w:sz w:val="24"/>
          <w:szCs w:val="20"/>
          <w:highlight w:val="none"/>
        </w:rPr>
        <w:t xml:space="preserve">4  开标一览表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32"/>
        <w:jc w:val="center"/>
        <w:spacing w:line="360" w:lineRule="exact"/>
        <w:rPr>
          <w:rFonts w:hint="eastAsia" w:ascii="仿宋" w:hAnsi="仿宋" w:eastAsia="仿宋" w:cs="仿宋"/>
          <w:b/>
          <w:color w:val="000000"/>
          <w:sz w:val="36"/>
          <w:szCs w:val="36"/>
          <w:highlight w:val="none"/>
        </w:rPr>
      </w:pPr>
      <w:r/>
      <w:bookmarkStart w:id="874" w:name="_Toc164608672"/>
      <w:r/>
      <w:bookmarkStart w:id="875" w:name="_Toc226965831"/>
      <w:r/>
      <w:bookmarkStart w:id="876" w:name="_Toc305158826"/>
      <w:r/>
      <w:bookmarkStart w:id="877" w:name="_Toc305158900"/>
      <w:r/>
      <w:bookmarkStart w:id="878" w:name="_Toc164608827"/>
      <w:r/>
      <w:bookmarkStart w:id="879" w:name="_Toc265228396"/>
      <w:r/>
      <w:bookmarkStart w:id="880" w:name="_Toc226965748"/>
      <w:r/>
      <w:bookmarkStart w:id="881" w:name="_Toc264969248"/>
      <w:r/>
      <w:bookmarkStart w:id="882" w:name="_Toc195842923"/>
      <w:r/>
      <w:bookmarkStart w:id="883" w:name="_Toc226309802"/>
      <w:r/>
      <w:bookmarkStart w:id="884" w:name="_Toc226337254"/>
      <w:r>
        <w:rPr>
          <w:rFonts w:hint="eastAsia" w:ascii="仿宋" w:hAnsi="仿宋" w:eastAsia="仿宋" w:cs="仿宋"/>
          <w:b/>
          <w:color w:val="000000"/>
          <w:sz w:val="36"/>
          <w:szCs w:val="36"/>
          <w:highlight w:val="none"/>
        </w:rPr>
      </w:r>
      <w:r/>
    </w:p>
    <w:p>
      <w:pPr>
        <w:pStyle w:val="1032"/>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开标一览表</w:t>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仿宋" w:hAnsi="仿宋" w:eastAsia="仿宋" w:cs="仿宋"/>
          <w:b/>
          <w:color w:val="000000"/>
          <w:sz w:val="36"/>
          <w:szCs w:val="36"/>
          <w:highlight w:val="none"/>
        </w:rPr>
      </w:r>
      <w:r/>
    </w:p>
    <w:p>
      <w:pPr>
        <w:pStyle w:val="1032"/>
        <w:ind w:firstLine="240"/>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JSZC-320404-SCJX-G2026-0010</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u w:val="single"/>
          <w:lang w:eastAsia="zh-CN"/>
        </w:rPr>
      </w:r>
      <w:r/>
    </w:p>
    <w:tbl>
      <w:tblPr>
        <w:tblW w:w="450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2"/>
        <w:gridCol w:w="2445"/>
        <w:gridCol w:w="3120"/>
        <w:gridCol w:w="2271"/>
      </w:tblGrid>
      <w:tr>
        <w:trPr>
          <w:trHeight w:val="531"/>
        </w:trPr>
        <w:tc>
          <w:tcPr>
            <w:tcW w:w="496" w:type="dxa"/>
            <w:vAlign w:val="center"/>
            <w:vMerge w:val="restart"/>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404" w:type="dxa"/>
            <w:vAlign w:val="center"/>
            <w:vMerge w:val="restart"/>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val="en-US" w:eastAsia="zh-CN"/>
              </w:rPr>
              <w:t xml:space="preserve">服务</w:t>
            </w:r>
            <w:r>
              <w:rPr>
                <w:rFonts w:hint="eastAsia" w:ascii="仿宋" w:hAnsi="仿宋" w:eastAsia="仿宋" w:cs="仿宋"/>
                <w:b/>
                <w:color w:val="000000"/>
                <w:szCs w:val="21"/>
                <w:highlight w:val="none"/>
              </w:rPr>
              <w:t xml:space="preserve">名称</w:t>
            </w:r>
            <w:r>
              <w:rPr>
                <w:rFonts w:hint="eastAsia" w:ascii="仿宋" w:hAnsi="仿宋" w:eastAsia="仿宋" w:cs="仿宋"/>
                <w:b/>
                <w:color w:val="000000"/>
                <w:szCs w:val="21"/>
                <w:highlight w:val="none"/>
              </w:rPr>
            </w:r>
            <w:r/>
          </w:p>
        </w:tc>
        <w:tc>
          <w:tcPr>
            <w:gridSpan w:val="2"/>
            <w:tcW w:w="5391" w:type="dxa"/>
            <w:vAlign w:val="center"/>
            <w:textDirection w:val="lrTb"/>
            <w:noWrap w:val="false"/>
          </w:tcPr>
          <w:p>
            <w:pPr>
              <w:pStyle w:val="1032"/>
              <w:jc w:val="center"/>
              <w:spacing w:line="360" w:lineRule="auto"/>
              <w:shd w:val="clear" w:color="auto" w:fill="ffffff"/>
              <w:tabs>
                <w:tab w:val="left" w:pos="5580" w:leader="none"/>
              </w:tabs>
              <w:rPr>
                <w:rFonts w:ascii="仿宋" w:hAnsi="仿宋" w:eastAsia="仿宋" w:cs="仿宋"/>
                <w:b/>
                <w:color w:val="000000"/>
                <w:szCs w:val="21"/>
                <w:highlight w:val="none"/>
                <w:lang w:val="en-US" w:eastAsia="zh-CN"/>
              </w:rPr>
            </w:pPr>
            <w:r>
              <w:rPr>
                <w:rFonts w:hint="eastAsia" w:ascii="仿宋" w:hAnsi="仿宋" w:eastAsia="仿宋" w:cs="仿宋"/>
                <w:b/>
                <w:color w:val="000000"/>
                <w:szCs w:val="21"/>
                <w:highlight w:val="none"/>
                <w:lang w:val="en-US" w:eastAsia="zh-CN"/>
              </w:rPr>
              <w:t xml:space="preserve">固定优惠率（%）</w:t>
            </w:r>
            <w:r>
              <w:rPr>
                <w:rFonts w:ascii="仿宋" w:hAnsi="仿宋" w:eastAsia="仿宋" w:cs="仿宋"/>
                <w:b/>
                <w:color w:val="000000"/>
                <w:szCs w:val="21"/>
                <w:highlight w:val="none"/>
                <w:lang w:val="en-US" w:eastAsia="zh-CN"/>
              </w:rPr>
            </w:r>
            <w:r/>
          </w:p>
        </w:tc>
      </w:tr>
      <w:tr>
        <w:trPr>
          <w:trHeight w:val="674"/>
        </w:trPr>
        <w:tc>
          <w:tcPr>
            <w:tcW w:w="862" w:type="dxa"/>
            <w:vAlign w:val="center"/>
            <w:vMerge w:val="continue"/>
            <w:textDirection w:val="lrTb"/>
            <w:noWrap w:val="false"/>
          </w:tcPr>
          <w:p>
            <w:pPr>
              <w:pStyle w:val="1032"/>
              <w:jc w:val="left"/>
              <w:spacing w:line="360" w:lineRule="auto"/>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tc>
        <w:tc>
          <w:tcPr>
            <w:tcW w:w="1404" w:type="dxa"/>
            <w:vAlign w:val="center"/>
            <w:vMerge w:val="continue"/>
            <w:textDirection w:val="lrTb"/>
            <w:noWrap w:val="false"/>
          </w:tcPr>
          <w:p>
            <w:pPr>
              <w:pStyle w:val="1032"/>
              <w:jc w:val="left"/>
              <w:spacing w:line="360" w:lineRule="auto"/>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tc>
        <w:tc>
          <w:tcPr>
            <w:tcW w:w="1793"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大写</w:t>
            </w:r>
            <w:r>
              <w:rPr>
                <w:rFonts w:hint="eastAsia" w:ascii="仿宋" w:hAnsi="仿宋" w:eastAsia="仿宋" w:cs="仿宋"/>
                <w:b/>
                <w:color w:val="000000"/>
                <w:szCs w:val="21"/>
                <w:highlight w:val="none"/>
              </w:rPr>
            </w:r>
            <w:r/>
          </w:p>
        </w:tc>
        <w:tc>
          <w:tcPr>
            <w:tcW w:w="1305"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小写</w:t>
            </w:r>
            <w:r>
              <w:rPr>
                <w:rFonts w:hint="eastAsia" w:ascii="仿宋" w:hAnsi="仿宋" w:eastAsia="仿宋" w:cs="仿宋"/>
                <w:b/>
                <w:color w:val="000000"/>
                <w:szCs w:val="21"/>
                <w:highlight w:val="none"/>
              </w:rPr>
            </w:r>
            <w:r/>
          </w:p>
        </w:tc>
      </w:tr>
      <w:tr>
        <w:trPr>
          <w:trHeight w:val="976"/>
        </w:trPr>
        <w:tc>
          <w:tcPr>
            <w:tcW w:w="496"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en-US" w:eastAsia="zh-CN"/>
              </w:rPr>
            </w:r>
            <w:r/>
          </w:p>
        </w:tc>
        <w:tc>
          <w:tcPr>
            <w:tcW w:w="1404"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 xml:space="preserve">职工食堂委托经营服务</w:t>
            </w:r>
            <w:r>
              <w:rPr>
                <w:rFonts w:hint="eastAsia" w:ascii="仿宋" w:hAnsi="仿宋" w:eastAsia="仿宋" w:cs="仿宋"/>
                <w:color w:val="000000"/>
                <w:szCs w:val="21"/>
                <w:highlight w:val="none"/>
              </w:rPr>
            </w:r>
            <w:r/>
          </w:p>
        </w:tc>
        <w:tc>
          <w:tcPr>
            <w:tcW w:w="1793" w:type="dxa"/>
            <w:vAlign w:val="center"/>
            <w:textDirection w:val="lrTb"/>
            <w:noWrap w:val="false"/>
          </w:tcPr>
          <w:p>
            <w:pPr>
              <w:pStyle w:val="1032"/>
              <w:jc w:val="center"/>
              <w:spacing w:line="360" w:lineRule="auto"/>
              <w:shd w:val="clear" w:color="auto" w:fill="ffffff"/>
              <w:tabs>
                <w:tab w:val="left" w:pos="5580" w:leader="none"/>
              </w:tabs>
              <w:rPr>
                <w:rFonts w:ascii="仿宋" w:hAnsi="仿宋" w:eastAsia="仿宋" w:cs="仿宋"/>
                <w:color w:val="000000"/>
                <w:szCs w:val="21"/>
                <w:highlight w:val="none"/>
                <w:lang w:val="en-US" w:eastAsia="zh-CN"/>
              </w:rPr>
            </w:pPr>
            <w:r>
              <w:rPr>
                <w:rFonts w:ascii="仿宋" w:hAnsi="仿宋" w:eastAsia="仿宋" w:cs="仿宋"/>
                <w:color w:val="000000"/>
                <w:szCs w:val="21"/>
                <w:highlight w:val="none"/>
                <w:lang w:val="en-US" w:eastAsia="zh-CN"/>
              </w:rPr>
            </w:r>
            <w:r/>
          </w:p>
        </w:tc>
        <w:tc>
          <w:tcPr>
            <w:tcW w:w="1305" w:type="dxa"/>
            <w:vAlign w:val="center"/>
            <w:textDirection w:val="lrTb"/>
            <w:noWrap w:val="false"/>
          </w:tcPr>
          <w:p>
            <w:pPr>
              <w:pStyle w:val="1032"/>
              <w:jc w:val="center"/>
              <w:spacing w:line="360" w:lineRule="auto"/>
              <w:shd w:val="clear" w:color="auto" w:fill="ffffff"/>
              <w:tabs>
                <w:tab w:val="left" w:pos="5580" w:leader="none"/>
              </w:tabs>
              <w:rPr>
                <w:rFonts w:ascii="仿宋" w:hAnsi="仿宋" w:eastAsia="仿宋" w:cs="仿宋"/>
                <w:color w:val="000000"/>
                <w:szCs w:val="21"/>
                <w:highlight w:val="none"/>
                <w:lang w:val="en-US" w:eastAsia="zh-CN"/>
              </w:rPr>
            </w:pPr>
            <w:r>
              <w:rPr>
                <w:rFonts w:ascii="仿宋" w:hAnsi="仿宋" w:eastAsia="仿宋" w:cs="仿宋"/>
                <w:color w:val="000000"/>
                <w:szCs w:val="21"/>
                <w:highlight w:val="none"/>
                <w:lang w:val="en-US" w:eastAsia="zh-CN"/>
              </w:rPr>
            </w:r>
            <w:r/>
          </w:p>
        </w:tc>
      </w:tr>
      <w:tr>
        <w:trPr>
          <w:trHeight w:val="976"/>
        </w:trPr>
        <w:tc>
          <w:tcPr>
            <w:gridSpan w:val="2"/>
            <w:tcW w:w="3307" w:type="dxa"/>
            <w:vAlign w:val="center"/>
            <w:textDirection w:val="lrTb"/>
            <w:noWrap w:val="false"/>
          </w:tcPr>
          <w:p>
            <w:pPr>
              <w:pStyle w:val="1032"/>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w:t>
            </w:r>
            <w:r>
              <w:rPr>
                <w:rFonts w:hint="eastAsia" w:ascii="仿宋" w:hAnsi="仿宋" w:eastAsia="仿宋" w:cs="仿宋"/>
                <w:color w:val="000000"/>
                <w:szCs w:val="21"/>
                <w:highlight w:val="none"/>
              </w:rPr>
            </w:r>
            <w:r/>
          </w:p>
        </w:tc>
        <w:tc>
          <w:tcPr>
            <w:gridSpan w:val="2"/>
            <w:tcW w:w="5391" w:type="dxa"/>
            <w:vAlign w:val="center"/>
            <w:textDirection w:val="lrTb"/>
            <w:noWrap w:val="false"/>
          </w:tcPr>
          <w:p>
            <w:pPr>
              <w:pStyle w:val="1032"/>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年度结算金额不得高于45万元，高出部分不予结算。</w:t>
            </w:r>
            <w:r>
              <w:rPr>
                <w:rFonts w:hint="eastAsia" w:ascii="仿宋" w:hAnsi="仿宋" w:eastAsia="仿宋" w:cs="仿宋"/>
                <w:color w:val="000000"/>
                <w:szCs w:val="21"/>
                <w:highlight w:val="none"/>
              </w:rPr>
            </w:r>
            <w:r/>
          </w:p>
        </w:tc>
      </w:tr>
    </w:tbl>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rPr>
      </w:pPr>
      <w:r>
        <w:rPr>
          <w:rFonts w:hint="eastAsia" w:ascii="仿宋" w:hAnsi="仿宋" w:eastAsia="仿宋" w:cs="仿宋"/>
          <w:b/>
          <w:bCs/>
          <w:color w:val="000000"/>
          <w:sz w:val="24"/>
          <w:highlight w:val="none"/>
          <w:u w:val="single"/>
        </w:rPr>
      </w:r>
      <w:r/>
    </w:p>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color w:val="000000"/>
          <w:highlight w:val="none"/>
        </w:rPr>
      </w:pPr>
      <w:r>
        <w:rPr>
          <w:rFonts w:hint="eastAsia"/>
          <w:color w:val="000000"/>
          <w:highlight w:val="none"/>
        </w:rPr>
      </w:r>
      <w:r/>
    </w:p>
    <w:p>
      <w:pPr>
        <w:pStyle w:val="103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032"/>
        <w:jc w:val="left"/>
        <w:spacing w:line="480" w:lineRule="auto"/>
        <w:widowControl/>
        <w:rPr>
          <w:rFonts w:hint="eastAsia" w:ascii="仿宋" w:hAnsi="仿宋" w:eastAsia="仿宋" w:cs="仿宋"/>
          <w:color w:val="000000"/>
          <w:sz w:val="24"/>
          <w:highlight w:val="none"/>
        </w:rPr>
      </w:pPr>
      <w:r/>
      <w:bookmarkStart w:id="885" w:name="_Toc226309803"/>
      <w:r/>
      <w:bookmarkStart w:id="886" w:name="_Toc150480796"/>
      <w:r/>
      <w:bookmarkStart w:id="887" w:name="_Toc226337255"/>
      <w:r/>
      <w:bookmarkStart w:id="888" w:name="_Toc195842924"/>
      <w:r/>
      <w:bookmarkStart w:id="889" w:name="_Toc150774763"/>
      <w:r/>
      <w:bookmarkStart w:id="890" w:name="_Toc142311060"/>
      <w:r/>
      <w:bookmarkStart w:id="891" w:name="_Toc127151558"/>
      <w:r/>
      <w:bookmarkStart w:id="892" w:name="_Toc305158901"/>
      <w:r/>
      <w:bookmarkStart w:id="893" w:name="_Toc226965832"/>
      <w:r/>
      <w:bookmarkStart w:id="894" w:name="_Toc265228397"/>
      <w:r/>
      <w:bookmarkStart w:id="895" w:name="_Toc226965749"/>
      <w:r/>
      <w:bookmarkStart w:id="896" w:name="_Toc264969249"/>
      <w:r/>
      <w:bookmarkStart w:id="897" w:name="_Toc305158827"/>
      <w:r>
        <w:rPr>
          <w:rFonts w:hint="eastAsia" w:ascii="仿宋" w:hAnsi="仿宋" w:eastAsia="仿宋" w:cs="仿宋"/>
          <w:color w:val="000000"/>
          <w:sz w:val="24"/>
          <w:highlight w:val="none"/>
        </w:rPr>
      </w:r>
      <w:r/>
    </w:p>
    <w:p>
      <w:pPr>
        <w:pStyle w:val="1032"/>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46"/>
        <w:tabs>
          <w:tab w:val="left" w:pos="567"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jc w:val="left"/>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br w:type="page" w:clear="all"/>
      </w:r>
      <w:bookmarkStart w:id="898" w:name="_Hlk109125662"/>
      <w:r>
        <w:rPr>
          <w:rFonts w:hint="eastAsia" w:ascii="仿宋" w:hAnsi="仿宋" w:eastAsia="仿宋" w:cs="仿宋"/>
          <w:b/>
          <w:bCs/>
          <w:color w:val="000000"/>
          <w:sz w:val="28"/>
          <w:szCs w:val="28"/>
          <w:highlight w:val="none"/>
        </w:rPr>
        <w:t xml:space="preserve">投标分项报价表（实质性格式）</w:t>
      </w:r>
      <w:bookmarkEnd w:id="898"/>
      <w:r>
        <w:rPr>
          <w:rFonts w:hint="eastAsia" w:ascii="仿宋" w:hAnsi="仿宋" w:eastAsia="仿宋" w:cs="仿宋"/>
          <w:b/>
          <w:bCs/>
          <w:color w:val="000000"/>
          <w:sz w:val="28"/>
          <w:szCs w:val="28"/>
          <w:highlight w:val="none"/>
        </w:rPr>
      </w:r>
      <w:r/>
    </w:p>
    <w:p>
      <w:pPr>
        <w:pStyle w:val="1032"/>
        <w:jc w:val="center"/>
        <w:spacing w:line="360" w:lineRule="auto"/>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投标分项报价表</w:t>
      </w:r>
      <w:r>
        <w:rPr>
          <w:rFonts w:ascii="仿宋" w:hAnsi="仿宋" w:eastAsia="仿宋" w:cs="仿宋"/>
          <w:b/>
          <w:color w:val="000000"/>
          <w:sz w:val="36"/>
          <w:szCs w:val="36"/>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JSZC-320404-SCJX-G2026-0010</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w:t>
      </w:r>
      <w:r>
        <w:rPr>
          <w:rFonts w:hint="eastAsia" w:ascii="仿宋" w:hAnsi="仿宋" w:eastAsia="仿宋" w:cs="仿宋"/>
          <w:b/>
          <w:bCs/>
          <w:color w:val="000000"/>
          <w:sz w:val="24"/>
          <w:highlight w:val="none"/>
          <w:u w:val="single"/>
          <w:lang w:eastAsia="zh-CN"/>
        </w:rPr>
      </w:r>
      <w:r/>
    </w:p>
    <w:tbl>
      <w:tblPr>
        <w:tblW w:w="10799" w:type="dxa"/>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504"/>
        <w:gridCol w:w="1176"/>
        <w:gridCol w:w="1559"/>
        <w:gridCol w:w="1519"/>
        <w:gridCol w:w="912"/>
        <w:gridCol w:w="1500"/>
        <w:gridCol w:w="1212"/>
        <w:gridCol w:w="2417"/>
      </w:tblGrid>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用餐时间</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预估用餐人数（人）</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结算</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优惠率（%)</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菜品</w:t>
            </w:r>
            <w:r>
              <w:rPr>
                <w:rFonts w:hint="eastAsia" w:ascii="仿宋" w:hAnsi="仿宋" w:eastAsia="仿宋" w:cs="仿宋"/>
                <w:color w:val="000000"/>
                <w:sz w:val="21"/>
                <w:szCs w:val="21"/>
                <w:highlight w:val="none"/>
              </w:rPr>
              <w:t xml:space="preserve">标准</w:t>
            </w:r>
            <w:r>
              <w:rPr>
                <w:rFonts w:hint="eastAsia" w:ascii="仿宋" w:hAnsi="仿宋" w:eastAsia="仿宋" w:cs="仿宋"/>
                <w:color w:val="000000"/>
                <w:sz w:val="21"/>
                <w:szCs w:val="21"/>
                <w:highlight w:val="none"/>
              </w:rPr>
            </w:r>
            <w:r/>
          </w:p>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（元/人/餐）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用餐天数</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天/月）</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rPr>
            </w:r>
            <w:r/>
          </w:p>
        </w:tc>
      </w:tr>
      <w:tr>
        <w:trPr>
          <w:trHeight w:val="516"/>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早餐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对值班职工提供，可对全体职工开放</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中餐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全体职工主要用餐时段</w:t>
            </w:r>
            <w:r>
              <w:rPr>
                <w:rFonts w:hint="eastAsia" w:ascii="仿宋" w:hAnsi="仿宋" w:eastAsia="仿宋" w:cs="仿宋"/>
                <w:color w:val="000000"/>
                <w:sz w:val="21"/>
                <w:szCs w:val="21"/>
                <w:highlight w:val="none"/>
              </w:rPr>
            </w:r>
            <w:r/>
          </w:p>
        </w:tc>
      </w:tr>
      <w:tr>
        <w:trPr/>
        <w:tc>
          <w:tcPr>
            <w:tcMar>
              <w:left w:w="120" w:type="dxa"/>
              <w:top w:w="60" w:type="dxa"/>
              <w:right w:w="120" w:type="dxa"/>
              <w:bottom w:w="30" w:type="dxa"/>
            </w:tcMar>
            <w:tcW w:w="504"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176"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晚餐</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59"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19" w:type="dxa"/>
            <w:vAlign w:val="center"/>
            <w:textDirection w:val="lrTb"/>
            <w:noWrap w:val="false"/>
          </w:tcPr>
          <w:p>
            <w:pPr>
              <w:pStyle w:val="1032"/>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15</w:t>
            </w:r>
            <w:r>
              <w:rPr>
                <w:rFonts w:ascii="仿宋" w:hAnsi="仿宋" w:eastAsia="仿宋" w:cs="仿宋"/>
                <w:color w:val="000000"/>
                <w:sz w:val="21"/>
                <w:szCs w:val="21"/>
                <w:highlight w:val="none"/>
                <w:lang w:val="en-US" w:eastAsia="zh-CN"/>
              </w:rPr>
            </w:r>
            <w:r/>
          </w:p>
        </w:tc>
        <w:tc>
          <w:tcPr>
            <w:tcMar>
              <w:left w:w="120" w:type="dxa"/>
              <w:top w:w="60" w:type="dxa"/>
              <w:right w:w="120" w:type="dxa"/>
              <w:bottom w:w="30" w:type="dxa"/>
            </w:tcMar>
            <w:tcW w:w="9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500"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Mar>
              <w:left w:w="120" w:type="dxa"/>
              <w:top w:w="60" w:type="dxa"/>
              <w:right w:w="120" w:type="dxa"/>
              <w:bottom w:w="30" w:type="dxa"/>
            </w:tcMar>
            <w:tcW w:w="1212"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30</w:t>
            </w:r>
            <w:r>
              <w:rPr>
                <w:rFonts w:hint="eastAsia" w:ascii="仿宋" w:hAnsi="仿宋" w:eastAsia="仿宋" w:cs="仿宋"/>
                <w:color w:val="000000"/>
                <w:sz w:val="21"/>
                <w:szCs w:val="21"/>
                <w:highlight w:val="none"/>
              </w:rPr>
            </w:r>
            <w:r/>
          </w:p>
        </w:tc>
        <w:tc>
          <w:tcPr>
            <w:tcMar>
              <w:left w:w="120" w:type="dxa"/>
              <w:top w:w="60" w:type="dxa"/>
              <w:right w:w="120" w:type="dxa"/>
              <w:bottom w:w="30" w:type="dxa"/>
            </w:tcMar>
            <w:tcW w:w="2417" w:type="dxa"/>
            <w:vAlign w:val="center"/>
            <w:textDirection w:val="lrTb"/>
            <w:noWrap w:val="false"/>
          </w:tcPr>
          <w:p>
            <w:pPr>
              <w:pStyle w:val="1032"/>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对值班职工提供</w:t>
            </w:r>
            <w:r>
              <w:rPr>
                <w:rFonts w:hint="eastAsia" w:ascii="仿宋" w:hAnsi="仿宋" w:eastAsia="仿宋" w:cs="仿宋"/>
                <w:color w:val="000000"/>
                <w:sz w:val="21"/>
                <w:szCs w:val="21"/>
                <w:highlight w:val="none"/>
              </w:rPr>
            </w:r>
            <w:r/>
          </w:p>
        </w:tc>
      </w:tr>
    </w:tbl>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注：</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如果不提供</w:t>
      </w:r>
      <w:r>
        <w:rPr>
          <w:rFonts w:hint="eastAsia" w:ascii="仿宋" w:hAnsi="仿宋" w:eastAsia="仿宋" w:cs="仿宋"/>
          <w:color w:val="000000"/>
          <w:szCs w:val="21"/>
          <w:highlight w:val="none"/>
          <w:lang w:val="en-US" w:eastAsia="zh-CN"/>
        </w:rPr>
        <w:t xml:space="preserve">分项</w:t>
      </w:r>
      <w:r>
        <w:rPr>
          <w:rFonts w:hint="eastAsia" w:ascii="仿宋" w:hAnsi="仿宋" w:eastAsia="仿宋" w:cs="仿宋"/>
          <w:color w:val="000000"/>
          <w:szCs w:val="21"/>
          <w:highlight w:val="none"/>
        </w:rPr>
        <w:t xml:space="preserve">报价表</w:t>
      </w:r>
      <w:r>
        <w:rPr>
          <w:rFonts w:hint="eastAsia" w:ascii="仿宋" w:hAnsi="仿宋" w:eastAsia="仿宋" w:cs="仿宋"/>
          <w:color w:val="000000"/>
          <w:szCs w:val="21"/>
          <w:highlight w:val="none"/>
          <w:lang w:val="en-US" w:eastAsia="zh-CN"/>
        </w:rPr>
        <w:t xml:space="preserve">或未按要求提供的，将视为没有实质性响应招标文件。</w:t>
      </w:r>
      <w:r>
        <w:rPr>
          <w:rFonts w:hint="eastAsia" w:ascii="仿宋" w:hAnsi="仿宋" w:eastAsia="仿宋" w:cs="仿宋"/>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2.本项目以各单餐用餐标准为基数，供应商在响应文件中填报固定优惠率【优惠率应大于0，每餐须按照单餐用餐标准*（1+成交优惠率）（元/人/餐）】的价格提供菜品，最终按照实际就餐次数据实结算。</w:t>
      </w:r>
      <w:r>
        <w:rPr>
          <w:rFonts w:hint="eastAsia" w:ascii="仿宋" w:hAnsi="仿宋" w:eastAsia="仿宋" w:cs="仿宋"/>
          <w:b/>
          <w:bCs/>
          <w:color w:val="000000"/>
          <w:szCs w:val="21"/>
          <w:highlight w:val="none"/>
          <w:lang w:val="en-US" w:eastAsia="zh-CN"/>
        </w:rPr>
      </w:r>
      <w:r/>
    </w:p>
    <w:p>
      <w:pPr>
        <w:pStyle w:val="1032"/>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3.结算价举例：如单餐用餐标准为15元/人/餐，成交优惠率为20%，则成交供应商须按15*（1+20%）=18元/人/餐的标准向采购人提供菜品，实际结算价为15元/人/餐。年度结算金额不得高于45万元，高出部分不予结算。</w:t>
      </w:r>
      <w:r>
        <w:rPr>
          <w:rFonts w:hint="eastAsia" w:ascii="仿宋" w:hAnsi="仿宋" w:eastAsia="仿宋" w:cs="仿宋"/>
          <w:b/>
          <w:bCs/>
          <w:color w:val="000000"/>
          <w:szCs w:val="21"/>
          <w:highlight w:val="none"/>
          <w:lang w:val="en-US" w:eastAsia="zh-CN"/>
        </w:rPr>
      </w:r>
      <w:r/>
    </w:p>
    <w:p>
      <w:pPr>
        <w:pStyle w:val="1032"/>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2"/>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032"/>
        <w:jc w:val="left"/>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法定代表人（或单位负责人）签字或盖章：</w:t>
      </w:r>
      <w:r>
        <w:rPr>
          <w:rFonts w:hint="eastAsia" w:ascii="仿宋" w:hAnsi="仿宋" w:eastAsia="仿宋" w:cs="仿宋"/>
          <w:color w:val="000000"/>
          <w:szCs w:val="21"/>
          <w:highlight w:val="none"/>
        </w:rPr>
      </w:r>
      <w:r/>
    </w:p>
    <w:p>
      <w:pPr>
        <w:pStyle w:val="1402"/>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032"/>
        <w:jc w:val="left"/>
        <w:spacing w:line="480" w:lineRule="auto"/>
        <w:widowControl/>
        <w:rPr>
          <w:rFonts w:hint="eastAsia" w:ascii="仿宋" w:hAnsi="仿宋" w:eastAsia="仿宋" w:cs="仿宋"/>
          <w:color w:val="000000"/>
          <w:sz w:val="24"/>
          <w:szCs w:val="20"/>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color w:val="000000"/>
          <w:sz w:val="24"/>
          <w:szCs w:val="20"/>
          <w:highlight w:val="none"/>
        </w:rPr>
        <w:t xml:space="preserve">5</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Start w:id="899" w:name="_Toc226337258"/>
      <w:r/>
      <w:bookmarkStart w:id="900" w:name="_Toc127151562"/>
      <w:r/>
      <w:bookmarkStart w:id="901" w:name="_Toc226965835"/>
      <w:r/>
      <w:bookmarkStart w:id="902" w:name="_Toc150774765"/>
      <w:r/>
      <w:bookmarkStart w:id="903" w:name="_Toc265228400"/>
      <w:r/>
      <w:bookmarkStart w:id="904" w:name="_Toc305158830"/>
      <w:r/>
      <w:bookmarkStart w:id="905" w:name="_Toc150480798"/>
      <w:r/>
      <w:bookmarkStart w:id="906" w:name="_Toc226965752"/>
      <w:r/>
      <w:bookmarkStart w:id="907" w:name="_Toc264969252"/>
      <w:r/>
      <w:bookmarkStart w:id="908" w:name="_Toc226309806"/>
      <w:r/>
      <w:bookmarkStart w:id="909" w:name="_Toc142311062"/>
      <w:r/>
      <w:bookmarkStart w:id="910" w:name="_Toc195842927"/>
      <w:r/>
      <w:bookmarkStart w:id="911" w:name="_Toc305158904"/>
      <w:r/>
      <w:bookmarkStart w:id="912" w:name="_Toc150774764"/>
      <w:r/>
      <w:bookmarkStart w:id="913" w:name="_Toc226337257"/>
      <w:r/>
      <w:bookmarkStart w:id="914" w:name="_Toc226309805"/>
      <w:r/>
      <w:bookmarkStart w:id="915" w:name="_Toc195842926"/>
      <w:r/>
      <w:bookmarkStart w:id="916" w:name="_Toc264969251"/>
      <w:r/>
      <w:bookmarkStart w:id="917" w:name="_Toc226965834"/>
      <w:r/>
      <w:bookmarkStart w:id="918" w:name="_Toc265228399"/>
      <w:r/>
      <w:bookmarkStart w:id="919" w:name="_Toc305158829"/>
      <w:r/>
      <w:bookmarkStart w:id="920" w:name="_Toc226965751"/>
      <w:r/>
      <w:bookmarkStart w:id="921" w:name="_Toc150480797"/>
      <w:r/>
      <w:bookmarkStart w:id="922" w:name="_Toc305158903"/>
      <w:r/>
      <w:bookmarkStart w:id="923" w:name="_Toc142311061"/>
      <w:r/>
      <w:bookmarkStart w:id="924" w:name="_Toc127151561"/>
      <w:r>
        <w:rPr>
          <w:rFonts w:hint="eastAsia" w:ascii="仿宋" w:hAnsi="仿宋" w:eastAsia="仿宋" w:cs="仿宋"/>
          <w:color w:val="000000"/>
          <w:sz w:val="24"/>
          <w:szCs w:val="20"/>
          <w:highlight w:val="none"/>
        </w:rPr>
        <w:t xml:space="preserve">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032"/>
        <w:jc w:val="center"/>
        <w:spacing w:line="360" w:lineRule="auto"/>
        <w:tabs>
          <w:tab w:val="left" w:pos="2775" w:leader="none"/>
          <w:tab w:val="center" w:pos="4153"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JSZC-320404-SCJX-G2026-0010</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w:t>
      </w:r>
      <w:r>
        <w:rPr>
          <w:rFonts w:hint="eastAsia" w:ascii="仿宋" w:hAnsi="仿宋" w:eastAsia="仿宋" w:cs="仿宋"/>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2"/>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032"/>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032"/>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如有偏离，</w:t>
            </w:r>
            <w:r>
              <w:rPr>
                <w:rFonts w:hint="eastAsia" w:ascii="仿宋" w:hAnsi="仿宋" w:eastAsia="仿宋" w:cs="仿宋"/>
                <w:color w:val="000000"/>
                <w:sz w:val="24"/>
                <w:highlight w:val="none"/>
              </w:rPr>
              <w:t xml:space="preserve">则应在本表中对偏离项逐一列明）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投标文件内容</w:t>
            </w: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301"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对合同条款中的所有要求，除本表所列明的所有偏离外，均视作供应商已对之理解和响应。</w:t>
      </w:r>
      <w:r>
        <w:rPr>
          <w:rFonts w:hint="eastAsia" w:ascii="仿宋" w:hAnsi="仿宋" w:eastAsia="仿宋" w:cs="仿宋"/>
          <w:color w:val="000000"/>
          <w:sz w:val="24"/>
          <w:highlight w:val="none"/>
        </w:rPr>
      </w:r>
      <w:r/>
    </w:p>
    <w:p>
      <w:pPr>
        <w:pStyle w:val="1032"/>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“偏离情况”列应据实填写“正偏离”或“负偏离”。</w:t>
      </w:r>
      <w:r>
        <w:rPr>
          <w:rFonts w:hint="eastAsia" w:ascii="仿宋" w:hAnsi="仿宋" w:eastAsia="仿宋" w:cs="仿宋"/>
          <w:color w:val="000000"/>
          <w:sz w:val="24"/>
          <w:highlight w:val="none"/>
        </w:rPr>
      </w:r>
      <w:r/>
    </w:p>
    <w:p>
      <w:pPr>
        <w:pStyle w:val="1032"/>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6</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hint="eastAsia" w:ascii="仿宋" w:hAnsi="仿宋" w:eastAsia="仿宋" w:cs="仿宋"/>
          <w:color w:val="000000"/>
          <w:sz w:val="24"/>
          <w:szCs w:val="20"/>
          <w:highlight w:val="none"/>
        </w:rPr>
        <w:t xml:space="preserve">采购需求偏离表（实质性格式）</w:t>
      </w:r>
      <w:r>
        <w:rPr>
          <w:rFonts w:hint="eastAsia" w:ascii="仿宋" w:hAnsi="仿宋" w:eastAsia="仿宋" w:cs="仿宋"/>
          <w:color w:val="000000"/>
          <w:sz w:val="24"/>
          <w:szCs w:val="20"/>
          <w:highlight w:val="none"/>
        </w:rPr>
      </w:r>
      <w:r/>
    </w:p>
    <w:p>
      <w:pPr>
        <w:pStyle w:val="1032"/>
        <w:ind w:firstLine="361"/>
        <w:jc w:val="center"/>
        <w:spacing w:line="360" w:lineRule="auto"/>
        <w:tabs>
          <w:tab w:val="left" w:pos="1800" w:leader="none"/>
          <w:tab w:val="left" w:pos="55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JSZC-320404-SCJX-G2026-0010</w:t>
      </w:r>
      <w:r>
        <w:rPr>
          <w:rFonts w:hint="eastAsia" w:ascii="仿宋" w:hAnsi="仿宋" w:eastAsia="仿宋" w:cs="仿宋"/>
          <w:color w:val="000000"/>
          <w:sz w:val="24"/>
          <w:highlight w:val="non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w:t>
      </w:r>
      <w:r>
        <w:rPr>
          <w:rFonts w:hint="eastAsia" w:ascii="仿宋" w:hAnsi="仿宋" w:eastAsia="仿宋" w:cs="仿宋"/>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482"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032"/>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4"/>
          <w:highlight w:val="none"/>
        </w:rPr>
        <w:t xml:space="preserve">投标无效。</w:t>
      </w:r>
      <w:r>
        <w:rPr>
          <w:rFonts w:hint="eastAsia" w:ascii="仿宋" w:hAnsi="仿宋" w:eastAsia="仿宋" w:cs="仿宋"/>
          <w:color w:val="000000"/>
          <w:sz w:val="24"/>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7 项目实施方案等，包括但不限于如下方面以及本招标文件要求的方案文件：</w:t>
      </w:r>
      <w:r>
        <w:rPr>
          <w:rFonts w:hint="eastAsia" w:ascii="仿宋" w:hAnsi="仿宋" w:eastAsia="仿宋" w:cs="仿宋"/>
          <w:color w:val="000000"/>
          <w:sz w:val="24"/>
          <w:szCs w:val="20"/>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整体服务方案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质量及安全保障方案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卫生保障方案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供餐方案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食品原材料采购管理方案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应急预案和投诉处理方案</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合理化建议</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增值服务</w:t>
      </w:r>
      <w:r>
        <w:rPr>
          <w:rFonts w:hint="eastAsia" w:ascii="仿宋" w:hAnsi="仿宋" w:eastAsia="仿宋" w:cs="仿宋"/>
          <w:color w:val="000000"/>
          <w:szCs w:val="21"/>
          <w:highlight w:val="none"/>
        </w:rPr>
      </w:r>
      <w:r/>
    </w:p>
    <w:p>
      <w:pPr>
        <w:pStyle w:val="1032"/>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w:t>
      </w:r>
      <w:r>
        <w:rPr>
          <w:rFonts w:hint="eastAsia" w:ascii="仿宋" w:hAnsi="仿宋" w:eastAsia="仿宋" w:cs="仿宋"/>
          <w:color w:val="000000"/>
          <w:szCs w:val="21"/>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032"/>
        <w:rPr>
          <w:rFonts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8拟派团队人员一览表</w:t>
      </w:r>
      <w:r>
        <w:rPr>
          <w:rFonts w:ascii="仿宋" w:hAnsi="仿宋" w:eastAsia="仿宋" w:cs="仿宋"/>
          <w:color w:val="000000"/>
          <w:sz w:val="24"/>
          <w:szCs w:val="20"/>
          <w:highlight w:val="none"/>
        </w:rPr>
      </w:r>
      <w:r/>
    </w:p>
    <w:p>
      <w:pPr>
        <w:pStyle w:val="1032"/>
        <w:jc w:val="center"/>
        <w:spacing w:line="360"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拟派团队人员一览表</w:t>
      </w:r>
      <w:r>
        <w:rPr>
          <w:rFonts w:hint="eastAsia" w:ascii="仿宋" w:hAnsi="仿宋" w:eastAsia="仿宋" w:cs="仿宋"/>
          <w:b/>
          <w:color w:val="000000"/>
          <w:sz w:val="32"/>
          <w:szCs w:val="32"/>
          <w:highlight w:val="none"/>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JSZC-320404-SCJX-G2026-0010</w:t>
      </w:r>
      <w:r>
        <w:rPr>
          <w:rFonts w:hint="eastAsia" w:ascii="仿宋" w:hAnsi="仿宋" w:eastAsia="仿宋" w:cs="仿宋"/>
          <w:color w:val="000000"/>
          <w:sz w:val="24"/>
          <w:highlight w:val="non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w:t>
      </w:r>
      <w:r>
        <w:rPr>
          <w:rFonts w:hint="eastAsia" w:ascii="仿宋" w:hAnsi="仿宋" w:eastAsia="仿宋" w:cs="仿宋"/>
          <w:color w:val="000000"/>
          <w:sz w:val="24"/>
          <w:highlight w:val="none"/>
          <w:lang w:eastAsia="zh-CN"/>
        </w:rPr>
      </w:r>
      <w:r/>
    </w:p>
    <w:p>
      <w:pPr>
        <w:pStyle w:val="1032"/>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tbl>
      <w:tblPr>
        <w:tblW w:w="977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75"/>
        <w:gridCol w:w="715"/>
        <w:gridCol w:w="945"/>
        <w:gridCol w:w="945"/>
        <w:gridCol w:w="945"/>
        <w:gridCol w:w="1270"/>
      </w:tblGrid>
      <w:tr>
        <w:trPr/>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bookmarkStart w:id="925" w:name="_Hlk171312946"/>
            <w:r>
              <w:rPr>
                <w:rFonts w:hint="eastAsia" w:ascii="仿宋" w:hAnsi="仿宋" w:eastAsia="仿宋" w:cs="宋体"/>
                <w:color w:val="000000"/>
                <w:szCs w:val="21"/>
                <w:highlight w:val="none"/>
              </w:rPr>
              <w:t xml:space="preserve">序号</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姓名</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性别</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年龄</w:t>
            </w:r>
            <w:r>
              <w:rPr>
                <w:rFonts w:ascii="仿宋" w:hAnsi="仿宋" w:eastAsia="仿宋" w:cs="宋体"/>
                <w:color w:val="000000"/>
                <w:szCs w:val="21"/>
                <w:highlight w:val="none"/>
              </w:rPr>
            </w:r>
            <w:r/>
          </w:p>
        </w:tc>
        <w:tc>
          <w:tcPr>
            <w:tcW w:w="117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毕业学校和学历</w:t>
            </w:r>
            <w:r>
              <w:rPr>
                <w:rFonts w:ascii="仿宋" w:hAnsi="仿宋" w:eastAsia="仿宋" w:cs="宋体"/>
                <w:color w:val="000000"/>
                <w:szCs w:val="21"/>
                <w:highlight w:val="none"/>
              </w:rPr>
            </w:r>
            <w:r/>
          </w:p>
        </w:tc>
        <w:tc>
          <w:tcPr>
            <w:tcW w:w="71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专业</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职称</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专业培训及证书</w:t>
            </w:r>
            <w:r>
              <w:rPr>
                <w:rFonts w:ascii="仿宋" w:hAnsi="仿宋" w:eastAsia="仿宋" w:cs="宋体"/>
                <w:color w:val="000000"/>
                <w:szCs w:val="21"/>
                <w:highlight w:val="none"/>
              </w:rPr>
            </w:r>
            <w:r/>
          </w:p>
        </w:tc>
        <w:tc>
          <w:tcPr>
            <w:tcW w:w="945"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责任</w:t>
            </w:r>
            <w:r>
              <w:rPr>
                <w:rFonts w:ascii="仿宋" w:hAnsi="仿宋" w:eastAsia="仿宋" w:cs="宋体"/>
                <w:color w:val="000000"/>
                <w:szCs w:val="21"/>
                <w:highlight w:val="none"/>
              </w:rPr>
            </w:r>
            <w:r/>
          </w:p>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或分工</w:t>
            </w:r>
            <w:r>
              <w:rPr>
                <w:rFonts w:ascii="仿宋" w:hAnsi="仿宋" w:eastAsia="仿宋" w:cs="宋体"/>
                <w:color w:val="000000"/>
                <w:szCs w:val="21"/>
                <w:highlight w:val="none"/>
              </w:rPr>
            </w:r>
            <w:r/>
          </w:p>
        </w:tc>
        <w:tc>
          <w:tcPr>
            <w:tcW w:w="1270" w:type="dxa"/>
            <w:vAlign w:val="center"/>
            <w:textDirection w:val="lrTb"/>
            <w:noWrap w:val="false"/>
          </w:tcPr>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项目经历或主要工作</w:t>
            </w:r>
            <w:r>
              <w:rPr>
                <w:rFonts w:ascii="仿宋" w:hAnsi="仿宋" w:eastAsia="仿宋" w:cs="宋体"/>
                <w:color w:val="000000"/>
                <w:szCs w:val="21"/>
                <w:highlight w:val="none"/>
              </w:rPr>
            </w:r>
            <w:r/>
          </w:p>
          <w:p>
            <w:pPr>
              <w:pStyle w:val="1032"/>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业绩</w:t>
            </w: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032"/>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bl>
    <w:p>
      <w:pPr>
        <w:pStyle w:val="1032"/>
        <w:tabs>
          <w:tab w:val="left" w:pos="9765" w:leader="none"/>
        </w:tabs>
        <w:rPr>
          <w:rFonts w:hint="eastAsia" w:ascii="仿宋" w:hAnsi="仿宋" w:eastAsia="仿宋" w:cs="仿宋"/>
          <w:b/>
          <w:color w:val="000000"/>
          <w:sz w:val="24"/>
          <w:highlight w:val="none"/>
          <w:lang w:val="zh-CN"/>
        </w:rPr>
      </w:pPr>
      <w:r/>
      <w:bookmarkEnd w:id="925"/>
      <w:r>
        <w:rPr>
          <w:rFonts w:hint="eastAsia" w:ascii="仿宋" w:hAnsi="仿宋" w:eastAsia="仿宋" w:cs="仿宋"/>
          <w:b/>
          <w:color w:val="000000"/>
          <w:sz w:val="24"/>
          <w:highlight w:val="none"/>
          <w:lang w:val="zh-CN"/>
        </w:rPr>
      </w:r>
      <w:r/>
    </w:p>
    <w:p>
      <w:pPr>
        <w:pStyle w:val="1032"/>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032"/>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032"/>
        <w:ind w:firstLine="482"/>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注：</w:t>
      </w:r>
      <w:r>
        <w:rPr>
          <w:rFonts w:hint="eastAsia" w:ascii="仿宋" w:hAnsi="仿宋" w:eastAsia="仿宋" w:cs="仿宋"/>
          <w:b/>
          <w:color w:val="000000"/>
          <w:sz w:val="24"/>
          <w:highlight w:val="none"/>
          <w:lang w:val="zh-CN"/>
        </w:rPr>
      </w:r>
      <w:r/>
    </w:p>
    <w:p>
      <w:pPr>
        <w:pStyle w:val="1032"/>
        <w:ind w:firstLine="482"/>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明确一名项目负责人且须是</w:t>
      </w:r>
      <w:r>
        <w:rPr>
          <w:rFonts w:hint="eastAsia" w:ascii="仿宋" w:hAnsi="仿宋" w:eastAsia="仿宋" w:cs="仿宋"/>
          <w:b/>
          <w:color w:val="000000"/>
          <w:sz w:val="24"/>
          <w:highlight w:val="none"/>
        </w:rPr>
        <w:t xml:space="preserve">供应商</w:t>
      </w:r>
      <w:r>
        <w:rPr>
          <w:rFonts w:hint="eastAsia" w:ascii="仿宋" w:hAnsi="仿宋" w:eastAsia="仿宋" w:cs="仿宋"/>
          <w:b/>
          <w:color w:val="000000"/>
          <w:sz w:val="24"/>
          <w:highlight w:val="none"/>
          <w:lang w:val="zh-CN"/>
        </w:rPr>
        <w:t xml:space="preserve">正式职工，提供社保机构出具的供应商为</w:t>
      </w:r>
      <w:r>
        <w:rPr>
          <w:rFonts w:hint="eastAsia" w:ascii="仿宋" w:hAnsi="仿宋" w:eastAsia="仿宋" w:cs="仿宋"/>
          <w:b/>
          <w:color w:val="000000"/>
          <w:sz w:val="24"/>
          <w:highlight w:val="none"/>
        </w:rPr>
        <w:t xml:space="preserve">该</w:t>
      </w:r>
      <w:r>
        <w:rPr>
          <w:rFonts w:hint="eastAsia" w:ascii="仿宋" w:hAnsi="仿宋" w:eastAsia="仿宋" w:cs="仿宋"/>
          <w:b/>
          <w:color w:val="000000"/>
          <w:sz w:val="24"/>
          <w:highlight w:val="none"/>
          <w:lang w:val="zh-CN"/>
        </w:rPr>
        <w:t xml:space="preserve">员工缴纳的</w:t>
      </w:r>
      <w:r>
        <w:rPr>
          <w:rFonts w:hint="eastAsia" w:ascii="仿宋" w:hAnsi="仿宋" w:eastAsia="仿宋" w:cs="仿宋"/>
          <w:b/>
          <w:color w:val="000000"/>
          <w:sz w:val="24"/>
          <w:highlight w:val="none"/>
        </w:rPr>
        <w:t xml:space="preserve">近六个月内任意一个月的</w:t>
      </w:r>
      <w:r>
        <w:rPr>
          <w:rFonts w:hint="eastAsia" w:ascii="仿宋" w:hAnsi="仿宋" w:eastAsia="仿宋" w:cs="仿宋"/>
          <w:b/>
          <w:color w:val="000000"/>
          <w:sz w:val="24"/>
          <w:highlight w:val="none"/>
          <w:lang w:val="zh-CN"/>
        </w:rPr>
        <w:t xml:space="preserve">社保证明材料复印件加盖供应商公章。</w:t>
      </w:r>
      <w:r>
        <w:rPr>
          <w:rFonts w:hint="eastAsia" w:ascii="仿宋" w:hAnsi="仿宋" w:eastAsia="仿宋" w:cs="仿宋"/>
          <w:b/>
          <w:color w:val="000000"/>
          <w:sz w:val="24"/>
          <w:highlight w:val="none"/>
          <w:lang w:val="zh-CN"/>
        </w:rPr>
      </w:r>
      <w:r/>
    </w:p>
    <w:p>
      <w:pPr>
        <w:pStyle w:val="1032"/>
        <w:ind w:firstLine="482"/>
        <w:spacing w:line="360" w:lineRule="auto"/>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rPr>
          <w:rFonts w:hint="eastAsia" w:ascii="仿宋" w:hAnsi="仿宋" w:eastAsia="仿宋" w:cs="仿宋"/>
          <w:color w:val="000000"/>
          <w:sz w:val="24"/>
          <w:szCs w:val="20"/>
          <w:highlight w:val="none"/>
        </w:rPr>
      </w:pPr>
      <w:r>
        <w:rPr>
          <w:rFonts w:hint="eastAsia" w:ascii="仿宋" w:hAnsi="仿宋" w:eastAsia="仿宋" w:cs="仿宋"/>
          <w:color w:val="000000"/>
          <w:sz w:val="22"/>
          <w:highlight w:val="none"/>
        </w:rPr>
        <w:br w:type="page" w:clear="all"/>
      </w:r>
      <w:bookmarkStart w:id="926" w:name="_Toc288738839"/>
      <w:r/>
      <w:bookmarkStart w:id="927" w:name="_Toc288738397"/>
      <w:r>
        <w:rPr>
          <w:rFonts w:hint="eastAsia" w:ascii="仿宋" w:hAnsi="仿宋" w:eastAsia="仿宋" w:cs="仿宋"/>
          <w:color w:val="000000"/>
          <w:sz w:val="24"/>
          <w:szCs w:val="20"/>
          <w:highlight w:val="none"/>
        </w:rPr>
        <w:t xml:space="preserve">9相关业绩案例一览表</w:t>
      </w:r>
      <w:r>
        <w:rPr>
          <w:rFonts w:hint="eastAsia" w:ascii="仿宋" w:hAnsi="仿宋" w:eastAsia="仿宋" w:cs="仿宋"/>
          <w:color w:val="000000"/>
          <w:sz w:val="24"/>
          <w:szCs w:val="20"/>
          <w:highlight w:val="none"/>
        </w:rPr>
      </w:r>
      <w:r/>
    </w:p>
    <w:p>
      <w:pPr>
        <w:pStyle w:val="1032"/>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032"/>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926"/>
      <w:r/>
      <w:bookmarkEnd w:id="927"/>
      <w:r>
        <w:rPr>
          <w:rFonts w:hint="eastAsia" w:ascii="仿宋" w:hAnsi="仿宋" w:eastAsia="仿宋" w:cs="仿宋"/>
          <w:b/>
          <w:color w:val="000000"/>
          <w:sz w:val="32"/>
          <w:szCs w:val="32"/>
          <w:highlight w:val="none"/>
        </w:rPr>
      </w:r>
      <w:r/>
    </w:p>
    <w:p>
      <w:pPr>
        <w:pStyle w:val="1032"/>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JSZC-320404-SCJX-G2026-0010</w:t>
      </w:r>
      <w:r>
        <w:rPr>
          <w:rFonts w:hint="eastAsia" w:ascii="仿宋" w:hAnsi="仿宋" w:eastAsia="仿宋" w:cs="仿宋"/>
          <w:b/>
          <w:bCs/>
          <w:color w:val="000000"/>
          <w:sz w:val="24"/>
          <w:highlight w:val="none"/>
          <w:u w:val="single"/>
          <w:lang w:eastAsia="zh-CN"/>
        </w:rPr>
      </w:r>
      <w:r/>
    </w:p>
    <w:p>
      <w:pPr>
        <w:pStyle w:val="1032"/>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常州市钟楼区五星街道社区卫生服务中心职工食堂委托经营服务</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498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50"/>
        <w:gridCol w:w="1701"/>
        <w:gridCol w:w="1430"/>
        <w:gridCol w:w="2422"/>
        <w:gridCol w:w="1613"/>
        <w:gridCol w:w="900"/>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合同签订</w:t>
            </w:r>
            <w:r>
              <w:rPr>
                <w:rFonts w:hint="eastAsia" w:ascii="仿宋" w:hAnsi="仿宋" w:eastAsia="仿宋" w:cs="仿宋"/>
                <w:color w:val="000000"/>
                <w:sz w:val="24"/>
                <w:highlight w:val="none"/>
                <w:lang w:val="zh-CN"/>
              </w:rPr>
              <w:t xml:space="preserve">时间</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项目甲方单位</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项目名称</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合同金额（</w:t>
            </w:r>
            <w:r>
              <w:rPr>
                <w:rFonts w:hint="eastAsia" w:ascii="仿宋" w:hAnsi="仿宋" w:eastAsia="仿宋" w:cs="仿宋"/>
                <w:color w:val="000000"/>
                <w:sz w:val="24"/>
                <w:highlight w:val="none"/>
              </w:rPr>
              <w:t xml:space="preserve">元）</w:t>
            </w: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联系人</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备注</w:t>
            </w:r>
            <w:r>
              <w:rPr>
                <w:rFonts w:hint="eastAsia" w:ascii="仿宋" w:hAnsi="仿宋" w:eastAsia="仿宋" w:cs="仿宋"/>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032"/>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032"/>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032"/>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032"/>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032"/>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03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32"/>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i/>
          <w:color w:val="000000"/>
          <w:sz w:val="24"/>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032"/>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1</w:t>
      </w:r>
      <w:r>
        <w:rPr>
          <w:rFonts w:hint="eastAsia" w:ascii="仿宋" w:hAnsi="仿宋" w:eastAsia="仿宋" w:cs="仿宋"/>
          <w:color w:val="000000"/>
          <w:sz w:val="24"/>
          <w:szCs w:val="20"/>
          <w:highlight w:val="none"/>
          <w:lang w:val="en-US" w:eastAsia="zh-CN"/>
        </w:rPr>
        <w:t xml:space="preserve">0</w:t>
      </w:r>
      <w:r>
        <w:rPr>
          <w:rFonts w:hint="eastAsia" w:ascii="仿宋" w:hAnsi="仿宋" w:eastAsia="仿宋" w:cs="仿宋"/>
          <w:color w:val="000000"/>
          <w:sz w:val="24"/>
          <w:szCs w:val="20"/>
          <w:highlight w:val="none"/>
        </w:rPr>
        <w:t xml:space="preserve">招标文件要求提供或供应商认为应附的其他材料</w:t>
      </w:r>
      <w:r>
        <w:rPr>
          <w:rFonts w:hint="eastAsia" w:ascii="仿宋" w:hAnsi="仿宋" w:eastAsia="仿宋" w:cs="仿宋"/>
          <w:color w:val="000000"/>
          <w:sz w:val="24"/>
          <w:szCs w:val="20"/>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8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83"/>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32"/>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sectPr>
      <w:headerReference w:type="default" r:id="rId15"/>
      <w:headerReference w:type="even" r:id="rId16"/>
      <w:headerReference w:type="first" r:id="rId17"/>
      <w:footerReference w:type="default" r:id="rId24"/>
      <w:footerReference w:type="even" r:id="rId25"/>
      <w:footerReference w:type="first" r:id="rId26"/>
      <w:footnotePr/>
      <w:endnotePr/>
      <w:type w:val="nextPage"/>
      <w:pgSz w:w="11907" w:h="16840" w:orient="portrait"/>
      <w:pgMar w:top="1440" w:right="1134" w:bottom="1440"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PingFang SC">
    <w:panose1 w:val="020B0503020202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right="360"/>
      <w:tabs>
        <w:tab w:val="center" w:pos="4153" w:leader="none"/>
        <w:tab w:val="right" w:pos="8306" w:leader="none"/>
      </w:tabs>
      <w:rPr>
        <w:rStyle w:val="1288"/>
      </w:rPr>
    </w:pPr>
    <w:r>
      <w:rPr>
        <w:rStyle w:val="1288"/>
      </w:rPr>
    </w:r>
    <w:r/>
  </w:p>
  <w:p>
    <w:pPr>
      <w:pStyle w:val="1263"/>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rPr>
        <w:rStyle w:val="1288"/>
      </w:rPr>
      <w:framePr w:wrap="around" w:vAnchor="text" w:hAnchor="margin" w:xAlign="center" w:y="1"/>
    </w:pPr>
    <w:r>
      <w:fldChar w:fldCharType="begin"/>
    </w:r>
    <w:r>
      <w:rPr>
        <w:rStyle w:val="1288"/>
      </w:rPr>
      <w:instrText xml:space="preserve">PAGE  </w:instrText>
    </w:r>
    <w:r>
      <w:fldChar w:fldCharType="end"/>
    </w:r>
    <w:r>
      <w:rPr>
        <w:rStyle w:val="1288"/>
      </w:rPr>
    </w:r>
    <w:r/>
  </w:p>
  <w:p>
    <w:pPr>
      <w:pStyle w:val="126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rPr>
        <w:rStyle w:val="1288"/>
      </w:rPr>
      <w:framePr w:wrap="around" w:vAnchor="text" w:hAnchor="margin" w:xAlign="right" w:y="1"/>
    </w:pPr>
    <w:r>
      <w:rPr>
        <w:rStyle w:val="1288"/>
      </w:rPr>
      <w:fldChar w:fldCharType="begin"/>
    </w:r>
    <w:r>
      <w:rPr>
        <w:rStyle w:val="1288"/>
      </w:rPr>
      <w:instrText xml:space="preserve">PAGE  </w:instrText>
    </w:r>
    <w:r>
      <w:rPr>
        <w:rStyle w:val="1288"/>
      </w:rPr>
      <w:fldChar w:fldCharType="end"/>
    </w:r>
    <w:r>
      <w:rPr>
        <w:rStyle w:val="1288"/>
      </w:rPr>
    </w:r>
    <w:r/>
  </w:p>
  <w:p>
    <w:pPr>
      <w:pStyle w:val="1263"/>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2"/>
                    </w:pPr>
                    <w:r/>
                    <w:r/>
                  </w:p>
                  <w:p>
                    <w:pPr>
                      <w:pStyle w:val="103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rPr>
        <w:rStyle w:val="1288"/>
      </w:rPr>
      <w:framePr w:wrap="around" w:vAnchor="text" w:hAnchor="margin" w:xAlign="right" w:y="1"/>
    </w:pPr>
    <w:r>
      <w:rPr>
        <w:rStyle w:val="1288"/>
      </w:rPr>
      <w:fldChar w:fldCharType="begin"/>
    </w:r>
    <w:r>
      <w:rPr>
        <w:rStyle w:val="1288"/>
      </w:rPr>
      <w:instrText xml:space="preserve">PAGE  </w:instrText>
    </w:r>
    <w:r>
      <w:rPr>
        <w:rStyle w:val="1288"/>
      </w:rPr>
      <w:fldChar w:fldCharType="end"/>
    </w:r>
    <w:r>
      <w:rPr>
        <w:rStyle w:val="1288"/>
      </w:rPr>
    </w:r>
    <w:r/>
  </w:p>
  <w:p>
    <w:pPr>
      <w:pStyle w:val="1263"/>
      <w:ind w:right="360"/>
      <w:tabs>
        <w:tab w:val="center" w:pos="4153" w:leader="none"/>
        <w:tab w:val="right" w:pos="8306" w:leader="none"/>
      </w:tabs>
    </w:pPr>
    <w:r/>
    <w:r/>
  </w:p>
  <w:p>
    <w:pPr>
      <w:pStyle w:val="103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rFonts w:hint="eastAsia"/>
      </w:rPr>
    </w:pPr>
    <w:r>
      <mc:AlternateContent>
        <mc:Choice Requires="wpg">
          <w:drawing>
            <wp:inline xmlns:wp="http://schemas.openxmlformats.org/drawingml/2006/wordprocessingDrawing" distT="0" distB="0" distL="0" distR="0">
              <wp:extent cx="1508760" cy="2432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2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1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仿宋" w:hAnsi="仿宋" w:eastAsia="仿宋" w:cs="仿宋"/>
        <w:sz w:val="21"/>
        <w:szCs w:val="21"/>
      </w:rPr>
      <w:t xml:space="preserve">公开招标文件</w:t>
    </w:r>
    <w:r>
      <w:rPr>
        <w:rFonts w:hint="eastAsia"/>
      </w:rPr>
      <w:t xml:space="preserve">         </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20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2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rPr>
        <w:sz w:val="21"/>
        <w:szCs w:val="21"/>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p>
    <w:pPr>
      <w:pStyle w:val="1032"/>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77"/>
      <w:isLgl w:val="false"/>
      <w:suff w:val="tab"/>
      <w:lvlText w:val="%1."/>
      <w:lvlJc w:val="left"/>
      <w:pPr>
        <w:pStyle w:val="1032"/>
        <w:ind w:left="360" w:hanging="360"/>
        <w:tabs>
          <w:tab w:val="num" w:pos="360" w:leader="none"/>
        </w:tabs>
      </w:p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32"/>
        <w:ind w:left="768" w:hanging="360"/>
        <w:tabs>
          <w:tab w:val="num" w:pos="768" w:leader="none"/>
        </w:tabs>
      </w:pPr>
      <w:rPr>
        <w:rFonts w:hint="eastAsia"/>
      </w:rPr>
    </w:lvl>
    <w:lvl w:ilvl="1">
      <w:start w:val="1"/>
      <w:numFmt w:val="decimal"/>
      <w:pStyle w:val="1364"/>
      <w:isLgl w:val="false"/>
      <w:suff w:val="tab"/>
      <w:lvlText w:val="%2、"/>
      <w:lvlJc w:val="left"/>
      <w:pPr>
        <w:pStyle w:val="1032"/>
        <w:ind w:left="1188" w:hanging="360"/>
        <w:tabs>
          <w:tab w:val="num" w:pos="1188" w:leader="none"/>
        </w:tabs>
      </w:pPr>
      <w:rPr>
        <w:rFonts w:hint="eastAsia"/>
      </w:rPr>
    </w:lvl>
    <w:lvl w:ilvl="2">
      <w:start w:val="1"/>
      <w:numFmt w:val="decimal"/>
      <w:isLgl w:val="false"/>
      <w:suff w:val="tab"/>
      <w:lvlText w:val="（%3）"/>
      <w:lvlJc w:val="left"/>
      <w:pPr>
        <w:pStyle w:val="1032"/>
        <w:ind w:left="1968" w:hanging="720"/>
        <w:tabs>
          <w:tab w:val="num" w:pos="1968" w:leader="none"/>
        </w:tabs>
      </w:pPr>
      <w:rPr>
        <w:rFonts w:hint="eastAsia"/>
        <w:u w:val="none"/>
      </w:rPr>
    </w:lvl>
    <w:lvl w:ilvl="3">
      <w:start w:val="1"/>
      <w:numFmt w:val="decimal"/>
      <w:isLgl w:val="false"/>
      <w:suff w:val="tab"/>
      <w:lvlText w:val="%4."/>
      <w:lvlJc w:val="left"/>
      <w:pPr>
        <w:pStyle w:val="1032"/>
        <w:ind w:left="2088" w:hanging="420"/>
        <w:tabs>
          <w:tab w:val="num" w:pos="2088" w:leader="none"/>
        </w:tabs>
      </w:pPr>
    </w:lvl>
    <w:lvl w:ilvl="4">
      <w:start w:val="1"/>
      <w:numFmt w:val="lowerLetter"/>
      <w:isLgl w:val="false"/>
      <w:suff w:val="tab"/>
      <w:lvlText w:val="%5)"/>
      <w:lvlJc w:val="left"/>
      <w:pPr>
        <w:pStyle w:val="1032"/>
        <w:ind w:left="2508" w:hanging="420"/>
        <w:tabs>
          <w:tab w:val="num" w:pos="2508" w:leader="none"/>
        </w:tabs>
      </w:pPr>
    </w:lvl>
    <w:lvl w:ilvl="5">
      <w:start w:val="1"/>
      <w:numFmt w:val="lowerRoman"/>
      <w:isLgl w:val="false"/>
      <w:suff w:val="tab"/>
      <w:lvlText w:val="%6."/>
      <w:lvlJc w:val="right"/>
      <w:pPr>
        <w:pStyle w:val="1032"/>
        <w:ind w:left="2928" w:hanging="420"/>
        <w:tabs>
          <w:tab w:val="num" w:pos="2928" w:leader="none"/>
        </w:tabs>
      </w:pPr>
    </w:lvl>
    <w:lvl w:ilvl="6">
      <w:start w:val="1"/>
      <w:numFmt w:val="decimal"/>
      <w:isLgl w:val="false"/>
      <w:suff w:val="tab"/>
      <w:lvlText w:val="%7."/>
      <w:lvlJc w:val="left"/>
      <w:pPr>
        <w:pStyle w:val="1032"/>
        <w:ind w:left="3348" w:hanging="420"/>
        <w:tabs>
          <w:tab w:val="num" w:pos="3348" w:leader="none"/>
        </w:tabs>
      </w:pPr>
    </w:lvl>
    <w:lvl w:ilvl="7">
      <w:start w:val="1"/>
      <w:numFmt w:val="lowerLetter"/>
      <w:isLgl w:val="false"/>
      <w:suff w:val="tab"/>
      <w:lvlText w:val="%8)"/>
      <w:lvlJc w:val="left"/>
      <w:pPr>
        <w:pStyle w:val="1032"/>
        <w:ind w:left="3768" w:hanging="420"/>
        <w:tabs>
          <w:tab w:val="num" w:pos="3768" w:leader="none"/>
        </w:tabs>
      </w:pPr>
    </w:lvl>
    <w:lvl w:ilvl="8">
      <w:start w:val="1"/>
      <w:numFmt w:val="lowerRoman"/>
      <w:isLgl w:val="false"/>
      <w:suff w:val="tab"/>
      <w:lvlText w:val="%9."/>
      <w:lvlJc w:val="right"/>
      <w:pPr>
        <w:pStyle w:val="1032"/>
        <w:ind w:left="4188" w:hanging="420"/>
        <w:tabs>
          <w:tab w:val="num" w:pos="4188" w:leader="none"/>
        </w:tabs>
      </w:pPr>
    </w:lvl>
  </w:abstractNum>
  <w:abstractNum w:abstractNumId="2">
    <w:multiLevelType w:val="hybridMultilevel"/>
    <w:lvl w:ilvl="0">
      <w:start w:val="1"/>
      <w:numFmt w:val="decimal"/>
      <w:pStyle w:val="1331"/>
      <w:isLgl w:val="false"/>
      <w:suff w:val="tab"/>
      <w:lvlText w:val="%1)"/>
      <w:lvlJc w:val="left"/>
      <w:pPr>
        <w:pStyle w:val="1032"/>
        <w:ind w:left="420" w:hanging="420"/>
      </w:pPr>
    </w:lvl>
    <w:lvl w:ilvl="1">
      <w:start w:val="1"/>
      <w:numFmt w:val="lowerLetter"/>
      <w:isLgl w:val="false"/>
      <w:suff w:val="tab"/>
      <w:lvlText w:val="%2)"/>
      <w:lvlJc w:val="left"/>
      <w:pPr>
        <w:pStyle w:val="1032"/>
        <w:ind w:left="840" w:hanging="420"/>
      </w:p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3">
    <w:multiLevelType w:val="hybridMultilevel"/>
    <w:lvl w:ilvl="0">
      <w:start w:val="1"/>
      <w:numFmt w:val="decimal"/>
      <w:pStyle w:val="1326"/>
      <w:isLgl w:val="false"/>
      <w:suff w:val="nothing"/>
      <w:lvlText w:val="%1　"/>
      <w:lvlJc w:val="left"/>
      <w:pPr>
        <w:pStyle w:val="103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2"/>
        <w:ind w:left="-25" w:firstLine="0"/>
      </w:pPr>
      <w:rPr>
        <w:rFonts w:ascii="Times New Roman" w:hAnsi="Times New Roman" w:eastAsia="黑体"/>
        <w:b/>
        <w:i w:val="0"/>
        <w:sz w:val="28"/>
      </w:rPr>
    </w:lvl>
    <w:lvl w:ilvl="3">
      <w:start w:val="1"/>
      <w:numFmt w:val="decimal"/>
      <w:pStyle w:val="1362"/>
      <w:isLgl w:val="false"/>
      <w:suff w:val="nothing"/>
      <w:lvlText w:val="%1.%2.%3.%4　"/>
      <w:lvlJc w:val="left"/>
      <w:pPr>
        <w:pStyle w:val="103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2"/>
        <w:ind w:left="-25" w:firstLine="0"/>
      </w:pPr>
      <w:rPr>
        <w:rFonts w:ascii="Times New Roman" w:hAnsi="Times New Roman" w:eastAsia="宋体"/>
        <w:b/>
        <w:i w:val="0"/>
        <w:sz w:val="28"/>
      </w:rPr>
    </w:lvl>
    <w:lvl w:ilvl="6">
      <w:start w:val="1"/>
      <w:numFmt w:val="lowerLetter"/>
      <w:pStyle w:val="1383"/>
      <w:isLgl w:val="false"/>
      <w:suff w:val="tab"/>
      <w:lvlText w:val="%7) "/>
      <w:lvlJc w:val="left"/>
      <w:pPr>
        <w:pStyle w:val="1032"/>
        <w:ind w:left="-125" w:firstLine="400"/>
        <w:tabs>
          <w:tab w:val="num" w:pos="635" w:leader="none"/>
        </w:tabs>
      </w:pPr>
      <w:rPr>
        <w:rFonts w:ascii="Times New Roman" w:hAnsi="Times New Roman" w:eastAsia="宋体"/>
        <w:b/>
        <w:i w:val="0"/>
        <w:color w:val="000000"/>
        <w:sz w:val="28"/>
        <w:u w:val="none"/>
      </w:rPr>
    </w:lvl>
    <w:lvl w:ilvl="7">
      <w:start w:val="1"/>
      <w:numFmt w:val="decimal"/>
      <w:pStyle w:val="1346"/>
      <w:isLgl w:val="false"/>
      <w:suff w:val="tab"/>
      <w:lvlText w:val="%8) "/>
      <w:lvlJc w:val="left"/>
      <w:pPr>
        <w:pStyle w:val="103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2"/>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407"/>
      <w:isLgl w:val="false"/>
      <w:suff w:val="tab"/>
      <w:lvlText w:val="%1)"/>
      <w:lvlJc w:val="left"/>
      <w:pPr>
        <w:pStyle w:val="1032"/>
        <w:ind w:left="902" w:hanging="420"/>
      </w:pPr>
      <w:rPr>
        <w:color w:val="000000"/>
      </w:rPr>
    </w:lvl>
    <w:lvl w:ilvl="1">
      <w:start w:val="1"/>
      <w:numFmt w:val="lowerLetter"/>
      <w:isLgl w:val="false"/>
      <w:suff w:val="tab"/>
      <w:lvlText w:val="%2)"/>
      <w:lvlJc w:val="left"/>
      <w:pPr>
        <w:pStyle w:val="1032"/>
        <w:ind w:left="1322" w:hanging="420"/>
      </w:pPr>
    </w:lvl>
    <w:lvl w:ilvl="2">
      <w:start w:val="1"/>
      <w:numFmt w:val="lowerRoman"/>
      <w:isLgl w:val="false"/>
      <w:suff w:val="tab"/>
      <w:lvlText w:val="%3."/>
      <w:lvlJc w:val="right"/>
      <w:pPr>
        <w:pStyle w:val="1032"/>
        <w:ind w:left="1742" w:hanging="420"/>
      </w:pPr>
    </w:lvl>
    <w:lvl w:ilvl="3">
      <w:start w:val="1"/>
      <w:numFmt w:val="decimal"/>
      <w:isLgl w:val="false"/>
      <w:suff w:val="tab"/>
      <w:lvlText w:val="%4."/>
      <w:lvlJc w:val="left"/>
      <w:pPr>
        <w:pStyle w:val="1032"/>
        <w:ind w:left="2162" w:hanging="420"/>
      </w:pPr>
    </w:lvl>
    <w:lvl w:ilvl="4">
      <w:start w:val="1"/>
      <w:numFmt w:val="lowerLetter"/>
      <w:isLgl w:val="false"/>
      <w:suff w:val="tab"/>
      <w:lvlText w:val="%5)"/>
      <w:lvlJc w:val="left"/>
      <w:pPr>
        <w:pStyle w:val="1032"/>
        <w:ind w:left="2582" w:hanging="420"/>
      </w:pPr>
    </w:lvl>
    <w:lvl w:ilvl="5">
      <w:start w:val="1"/>
      <w:numFmt w:val="lowerRoman"/>
      <w:isLgl w:val="false"/>
      <w:suff w:val="tab"/>
      <w:lvlText w:val="%6."/>
      <w:lvlJc w:val="right"/>
      <w:pPr>
        <w:pStyle w:val="1032"/>
        <w:ind w:left="3002" w:hanging="420"/>
      </w:pPr>
    </w:lvl>
    <w:lvl w:ilvl="6">
      <w:start w:val="1"/>
      <w:numFmt w:val="decimal"/>
      <w:isLgl w:val="false"/>
      <w:suff w:val="tab"/>
      <w:lvlText w:val="%7."/>
      <w:lvlJc w:val="left"/>
      <w:pPr>
        <w:pStyle w:val="1032"/>
        <w:ind w:left="3422" w:hanging="420"/>
      </w:pPr>
    </w:lvl>
    <w:lvl w:ilvl="7">
      <w:start w:val="1"/>
      <w:numFmt w:val="lowerLetter"/>
      <w:isLgl w:val="false"/>
      <w:suff w:val="tab"/>
      <w:lvlText w:val="%8)"/>
      <w:lvlJc w:val="left"/>
      <w:pPr>
        <w:pStyle w:val="1032"/>
        <w:ind w:left="3842" w:hanging="420"/>
      </w:pPr>
    </w:lvl>
    <w:lvl w:ilvl="8">
      <w:start w:val="1"/>
      <w:numFmt w:val="lowerRoman"/>
      <w:isLgl w:val="false"/>
      <w:suff w:val="tab"/>
      <w:lvlText w:val="%9."/>
      <w:lvlJc w:val="right"/>
      <w:pPr>
        <w:pStyle w:val="1032"/>
        <w:ind w:left="4262" w:hanging="420"/>
      </w:pPr>
    </w:lvl>
  </w:abstractNum>
  <w:abstractNum w:abstractNumId="5">
    <w:multiLevelType w:val="hybridMultilevel"/>
    <w:lvl w:ilvl="0">
      <w:start w:val="1"/>
      <w:numFmt w:val="decimal"/>
      <w:pStyle w:val="1432"/>
      <w:isLgl w:val="false"/>
      <w:suff w:val="tab"/>
      <w:lvlText w:val="%1"/>
      <w:lvlJc w:val="left"/>
      <w:pPr>
        <w:pStyle w:val="1032"/>
        <w:ind w:left="680" w:hanging="680"/>
      </w:pPr>
      <w:rPr>
        <w:rFonts w:hint="eastAsia" w:ascii="宋体" w:hAnsi="宋体" w:eastAsia="宋体"/>
      </w:rPr>
    </w:lvl>
    <w:lvl w:ilvl="1">
      <w:start w:val="1"/>
      <w:numFmt w:val="decimal"/>
      <w:pStyle w:val="1433"/>
      <w:isLgl w:val="false"/>
      <w:suff w:val="tab"/>
      <w:lvlText w:val="%1.%2"/>
      <w:lvlJc w:val="left"/>
      <w:pPr>
        <w:pStyle w:val="1032"/>
        <w:ind w:left="851" w:hanging="851"/>
      </w:pPr>
      <w:rPr>
        <w:rFonts w:hint="eastAsia" w:ascii="宋体" w:hAnsi="宋体" w:eastAsia="宋体"/>
        <w:color w:val="000000"/>
      </w:rPr>
    </w:lvl>
    <w:lvl w:ilvl="2">
      <w:start w:val="1"/>
      <w:numFmt w:val="decimal"/>
      <w:pStyle w:val="1434"/>
      <w:isLgl w:val="false"/>
      <w:suff w:val="tab"/>
      <w:lvlText w:val="%1.%2.%3"/>
      <w:lvlJc w:val="left"/>
      <w:pPr>
        <w:pStyle w:val="1032"/>
        <w:ind w:left="851" w:hanging="851"/>
      </w:pPr>
      <w:rPr>
        <w:rFonts w:hint="eastAsia"/>
      </w:rPr>
    </w:lvl>
    <w:lvl w:ilvl="3">
      <w:start w:val="1"/>
      <w:numFmt w:val="decimal"/>
      <w:isLgl w:val="false"/>
      <w:suff w:val="tab"/>
      <w:lvlText w:val="%1.%2.%3.%4"/>
      <w:lvlJc w:val="left"/>
      <w:pPr>
        <w:pStyle w:val="1032"/>
        <w:ind w:left="680" w:hanging="680"/>
      </w:pPr>
      <w:rPr>
        <w:rFonts w:hint="eastAsia"/>
      </w:rPr>
    </w:lvl>
    <w:lvl w:ilvl="4">
      <w:start w:val="1"/>
      <w:numFmt w:val="decimal"/>
      <w:isLgl w:val="false"/>
      <w:suff w:val="tab"/>
      <w:lvlText w:val="%1.%2.%3.%4.%5"/>
      <w:lvlJc w:val="left"/>
      <w:pPr>
        <w:pStyle w:val="1032"/>
        <w:ind w:left="680" w:hanging="680"/>
      </w:pPr>
      <w:rPr>
        <w:rFonts w:hint="eastAsia"/>
      </w:rPr>
    </w:lvl>
    <w:lvl w:ilvl="5">
      <w:start w:val="1"/>
      <w:numFmt w:val="decimal"/>
      <w:isLgl w:val="false"/>
      <w:suff w:val="tab"/>
      <w:lvlText w:val="%1.%2.%3.%4.%5.%6"/>
      <w:lvlJc w:val="left"/>
      <w:pPr>
        <w:pStyle w:val="1032"/>
        <w:ind w:left="680" w:hanging="680"/>
      </w:pPr>
      <w:rPr>
        <w:rFonts w:hint="eastAsia"/>
      </w:rPr>
    </w:lvl>
    <w:lvl w:ilvl="6">
      <w:start w:val="1"/>
      <w:numFmt w:val="decimal"/>
      <w:isLgl w:val="false"/>
      <w:suff w:val="tab"/>
      <w:lvlText w:val="%1.%2.%3.%4.%5.%6.%7"/>
      <w:lvlJc w:val="left"/>
      <w:pPr>
        <w:pStyle w:val="1032"/>
        <w:ind w:left="680" w:hanging="680"/>
      </w:pPr>
      <w:rPr>
        <w:rFonts w:hint="eastAsia"/>
      </w:rPr>
    </w:lvl>
    <w:lvl w:ilvl="7">
      <w:start w:val="1"/>
      <w:numFmt w:val="decimal"/>
      <w:isLgl w:val="false"/>
      <w:suff w:val="tab"/>
      <w:lvlText w:val="%1.%2.%3.%4.%5.%6.%7.%8"/>
      <w:lvlJc w:val="left"/>
      <w:pPr>
        <w:pStyle w:val="1032"/>
        <w:ind w:left="680" w:hanging="680"/>
      </w:pPr>
      <w:rPr>
        <w:rFonts w:hint="eastAsia"/>
      </w:rPr>
    </w:lvl>
    <w:lvl w:ilvl="8">
      <w:start w:val="1"/>
      <w:numFmt w:val="decimal"/>
      <w:isLgl w:val="false"/>
      <w:suff w:val="tab"/>
      <w:lvlText w:val="%1.%2.%3.%4.%5.%6.%7.%8.%9"/>
      <w:lvlJc w:val="left"/>
      <w:pPr>
        <w:pStyle w:val="1032"/>
        <w:ind w:left="680" w:hanging="680"/>
      </w:pPr>
      <w:rPr>
        <w:rFonts w:hint="eastAsia"/>
      </w:rPr>
    </w:lvl>
  </w:abstractNum>
  <w:abstractNum w:abstractNumId="6">
    <w:multiLevelType w:val="hybridMultilevel"/>
    <w:lvl w:ilvl="0">
      <w:start w:val="1"/>
      <w:numFmt w:val="decimal"/>
      <w:pStyle w:val="1332"/>
      <w:isLgl w:val="false"/>
      <w:suff w:val="tab"/>
      <w:lvlText w:val="%1."/>
      <w:lvlJc w:val="left"/>
      <w:pPr>
        <w:pStyle w:val="1032"/>
        <w:ind w:left="420" w:hanging="420"/>
      </w:pPr>
    </w:lvl>
    <w:lvl w:ilvl="1">
      <w:start w:val="1"/>
      <w:numFmt w:val="decimal"/>
      <w:isLgl w:val="false"/>
      <w:suff w:val="tab"/>
      <w:lvlText w:val="（%2）"/>
      <w:lvlJc w:val="left"/>
      <w:pPr>
        <w:pStyle w:val="1032"/>
        <w:ind w:left="1140" w:hanging="720"/>
        <w:tabs>
          <w:tab w:val="num" w:pos="1140" w:leader="none"/>
        </w:tabs>
      </w:pPr>
      <w:rPr>
        <w:rFonts w:hint="eastAsia"/>
      </w:r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2">
    <w:name w:val="Heading 1"/>
    <w:basedOn w:val="1032"/>
    <w:next w:val="1032"/>
    <w:link w:val="1044"/>
    <w:uiPriority w:val="9"/>
    <w:qFormat/>
    <w:pPr>
      <w:keepLines/>
      <w:keepNext/>
      <w:spacing w:before="480" w:after="200"/>
      <w:outlineLvl w:val="0"/>
    </w:pPr>
    <w:rPr>
      <w:rFonts w:ascii="Arial" w:hAnsi="Arial" w:eastAsia="Arial" w:cs="Arial"/>
      <w:sz w:val="40"/>
      <w:szCs w:val="40"/>
    </w:rPr>
  </w:style>
  <w:style w:type="paragraph" w:styleId="1003">
    <w:name w:val="Heading 2"/>
    <w:basedOn w:val="1032"/>
    <w:next w:val="1032"/>
    <w:link w:val="1045"/>
    <w:uiPriority w:val="9"/>
    <w:unhideWhenUsed/>
    <w:qFormat/>
    <w:pPr>
      <w:keepLines/>
      <w:keepNext/>
      <w:spacing w:before="360" w:after="200"/>
      <w:outlineLvl w:val="1"/>
    </w:pPr>
    <w:rPr>
      <w:rFonts w:ascii="Arial" w:hAnsi="Arial" w:eastAsia="Arial" w:cs="Arial"/>
      <w:sz w:val="34"/>
    </w:rPr>
  </w:style>
  <w:style w:type="paragraph" w:styleId="1004">
    <w:name w:val="Heading 3"/>
    <w:basedOn w:val="1032"/>
    <w:next w:val="1032"/>
    <w:link w:val="1046"/>
    <w:uiPriority w:val="9"/>
    <w:unhideWhenUsed/>
    <w:qFormat/>
    <w:pPr>
      <w:keepLines/>
      <w:keepNext/>
      <w:spacing w:before="320" w:after="200"/>
      <w:outlineLvl w:val="2"/>
    </w:pPr>
    <w:rPr>
      <w:rFonts w:ascii="Arial" w:hAnsi="Arial" w:eastAsia="Arial" w:cs="Arial"/>
      <w:sz w:val="30"/>
      <w:szCs w:val="30"/>
    </w:rPr>
  </w:style>
  <w:style w:type="paragraph" w:styleId="1005">
    <w:name w:val="Heading 4"/>
    <w:basedOn w:val="1032"/>
    <w:next w:val="1032"/>
    <w:link w:val="1047"/>
    <w:uiPriority w:val="9"/>
    <w:unhideWhenUsed/>
    <w:qFormat/>
    <w:pPr>
      <w:keepLines/>
      <w:keepNext/>
      <w:spacing w:before="320" w:after="200"/>
      <w:outlineLvl w:val="3"/>
    </w:pPr>
    <w:rPr>
      <w:rFonts w:ascii="Arial" w:hAnsi="Arial" w:eastAsia="Arial" w:cs="Arial"/>
      <w:b/>
      <w:bCs/>
      <w:sz w:val="26"/>
      <w:szCs w:val="26"/>
    </w:rPr>
  </w:style>
  <w:style w:type="paragraph" w:styleId="1006">
    <w:name w:val="Heading 5"/>
    <w:basedOn w:val="1032"/>
    <w:next w:val="1032"/>
    <w:link w:val="1048"/>
    <w:uiPriority w:val="9"/>
    <w:unhideWhenUsed/>
    <w:qFormat/>
    <w:pPr>
      <w:keepLines/>
      <w:keepNext/>
      <w:spacing w:before="320" w:after="200"/>
      <w:outlineLvl w:val="4"/>
    </w:pPr>
    <w:rPr>
      <w:rFonts w:ascii="Arial" w:hAnsi="Arial" w:eastAsia="Arial" w:cs="Arial"/>
      <w:b/>
      <w:bCs/>
      <w:sz w:val="24"/>
      <w:szCs w:val="24"/>
    </w:rPr>
  </w:style>
  <w:style w:type="paragraph" w:styleId="1007">
    <w:name w:val="Heading 6"/>
    <w:basedOn w:val="1032"/>
    <w:next w:val="1032"/>
    <w:link w:val="1049"/>
    <w:uiPriority w:val="9"/>
    <w:unhideWhenUsed/>
    <w:qFormat/>
    <w:pPr>
      <w:keepLines/>
      <w:keepNext/>
      <w:spacing w:before="320" w:after="200"/>
      <w:outlineLvl w:val="5"/>
    </w:pPr>
    <w:rPr>
      <w:rFonts w:ascii="Arial" w:hAnsi="Arial" w:eastAsia="Arial" w:cs="Arial"/>
      <w:b/>
      <w:bCs/>
      <w:sz w:val="22"/>
      <w:szCs w:val="22"/>
    </w:rPr>
  </w:style>
  <w:style w:type="paragraph" w:styleId="1008">
    <w:name w:val="Heading 7"/>
    <w:basedOn w:val="1032"/>
    <w:next w:val="1032"/>
    <w:link w:val="1050"/>
    <w:uiPriority w:val="9"/>
    <w:unhideWhenUsed/>
    <w:qFormat/>
    <w:pPr>
      <w:keepLines/>
      <w:keepNext/>
      <w:spacing w:before="320" w:after="200"/>
      <w:outlineLvl w:val="6"/>
    </w:pPr>
    <w:rPr>
      <w:rFonts w:ascii="Arial" w:hAnsi="Arial" w:eastAsia="Arial" w:cs="Arial"/>
      <w:b/>
      <w:bCs/>
      <w:i/>
      <w:iCs/>
      <w:sz w:val="22"/>
      <w:szCs w:val="22"/>
    </w:rPr>
  </w:style>
  <w:style w:type="paragraph" w:styleId="1009">
    <w:name w:val="Heading 8"/>
    <w:basedOn w:val="1032"/>
    <w:next w:val="1032"/>
    <w:link w:val="1051"/>
    <w:uiPriority w:val="9"/>
    <w:unhideWhenUsed/>
    <w:qFormat/>
    <w:pPr>
      <w:keepLines/>
      <w:keepNext/>
      <w:spacing w:before="320" w:after="200"/>
      <w:outlineLvl w:val="7"/>
    </w:pPr>
    <w:rPr>
      <w:rFonts w:ascii="Arial" w:hAnsi="Arial" w:eastAsia="Arial" w:cs="Arial"/>
      <w:i/>
      <w:iCs/>
      <w:sz w:val="22"/>
      <w:szCs w:val="22"/>
    </w:rPr>
  </w:style>
  <w:style w:type="paragraph" w:styleId="1010">
    <w:name w:val="Heading 9"/>
    <w:basedOn w:val="1032"/>
    <w:next w:val="1032"/>
    <w:link w:val="1052"/>
    <w:uiPriority w:val="9"/>
    <w:unhideWhenUsed/>
    <w:qFormat/>
    <w:pPr>
      <w:keepLines/>
      <w:keepNext/>
      <w:spacing w:before="320" w:after="200"/>
      <w:outlineLvl w:val="8"/>
    </w:pPr>
    <w:rPr>
      <w:rFonts w:ascii="Arial" w:hAnsi="Arial" w:eastAsia="Arial" w:cs="Arial"/>
      <w:i/>
      <w:iCs/>
      <w:sz w:val="21"/>
      <w:szCs w:val="21"/>
    </w:rPr>
  </w:style>
  <w:style w:type="paragraph" w:styleId="1011">
    <w:name w:val="Title"/>
    <w:basedOn w:val="1032"/>
    <w:next w:val="1032"/>
    <w:link w:val="1077"/>
    <w:uiPriority w:val="10"/>
    <w:qFormat/>
    <w:pPr>
      <w:contextualSpacing/>
      <w:spacing w:before="300" w:after="200"/>
    </w:pPr>
    <w:rPr>
      <w:sz w:val="48"/>
      <w:szCs w:val="48"/>
    </w:rPr>
  </w:style>
  <w:style w:type="paragraph" w:styleId="1012">
    <w:name w:val="Subtitle"/>
    <w:basedOn w:val="1032"/>
    <w:next w:val="1032"/>
    <w:link w:val="1069"/>
    <w:uiPriority w:val="11"/>
    <w:qFormat/>
    <w:pPr>
      <w:spacing w:before="200" w:after="200"/>
    </w:pPr>
    <w:rPr>
      <w:sz w:val="24"/>
      <w:szCs w:val="24"/>
    </w:rPr>
  </w:style>
  <w:style w:type="paragraph" w:styleId="1013">
    <w:name w:val="Header"/>
    <w:basedOn w:val="1032"/>
    <w:link w:val="1065"/>
    <w:uiPriority w:val="99"/>
    <w:unhideWhenUsed/>
    <w:pPr>
      <w:spacing w:after="0" w:line="240" w:lineRule="auto"/>
      <w:tabs>
        <w:tab w:val="center" w:pos="7143" w:leader="none"/>
        <w:tab w:val="right" w:pos="14287" w:leader="none"/>
      </w:tabs>
    </w:pPr>
  </w:style>
  <w:style w:type="paragraph" w:styleId="1014">
    <w:name w:val="Footer"/>
    <w:basedOn w:val="1032"/>
    <w:link w:val="1082"/>
    <w:uiPriority w:val="99"/>
    <w:unhideWhenUsed/>
    <w:pPr>
      <w:spacing w:after="0" w:line="240" w:lineRule="auto"/>
      <w:tabs>
        <w:tab w:val="center" w:pos="7143" w:leader="none"/>
        <w:tab w:val="right" w:pos="14287" w:leader="none"/>
      </w:tabs>
    </w:pPr>
  </w:style>
  <w:style w:type="paragraph" w:styleId="1015">
    <w:name w:val="Caption"/>
    <w:basedOn w:val="1032"/>
    <w:next w:val="1032"/>
    <w:uiPriority w:val="35"/>
    <w:semiHidden/>
    <w:unhideWhenUsed/>
    <w:qFormat/>
    <w:pPr>
      <w:spacing w:line="276" w:lineRule="auto"/>
    </w:pPr>
    <w:rPr>
      <w:b/>
      <w:bCs/>
      <w:color w:val="4f81bd" w:themeColor="accent1"/>
      <w:sz w:val="18"/>
      <w:szCs w:val="18"/>
    </w:rPr>
  </w:style>
  <w:style w:type="table" w:styleId="10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7">
    <w:name w:val="Hyperlink"/>
    <w:uiPriority w:val="99"/>
    <w:unhideWhenUsed/>
    <w:rPr>
      <w:color w:val="0000ff" w:themeColor="hyperlink"/>
      <w:u w:val="single"/>
    </w:rPr>
  </w:style>
  <w:style w:type="paragraph" w:styleId="1018">
    <w:name w:val="footnote text"/>
    <w:basedOn w:val="1032"/>
    <w:link w:val="1071"/>
    <w:uiPriority w:val="99"/>
    <w:semiHidden/>
    <w:unhideWhenUsed/>
    <w:pPr>
      <w:spacing w:after="40" w:line="240" w:lineRule="auto"/>
    </w:pPr>
    <w:rPr>
      <w:sz w:val="18"/>
    </w:rPr>
  </w:style>
  <w:style w:type="character" w:styleId="1019">
    <w:name w:val="footnote reference"/>
    <w:uiPriority w:val="99"/>
    <w:unhideWhenUsed/>
    <w:rPr>
      <w:vertAlign w:val="superscript"/>
    </w:rPr>
  </w:style>
  <w:style w:type="paragraph" w:styleId="1020">
    <w:name w:val="endnote text"/>
    <w:basedOn w:val="1032"/>
    <w:link w:val="1061"/>
    <w:uiPriority w:val="99"/>
    <w:semiHidden/>
    <w:unhideWhenUsed/>
    <w:pPr>
      <w:spacing w:after="0" w:line="240" w:lineRule="auto"/>
    </w:pPr>
    <w:rPr>
      <w:sz w:val="20"/>
    </w:rPr>
  </w:style>
  <w:style w:type="character" w:styleId="1021">
    <w:name w:val="endnote reference"/>
    <w:uiPriority w:val="99"/>
    <w:semiHidden/>
    <w:unhideWhenUsed/>
    <w:rPr>
      <w:vertAlign w:val="superscript"/>
    </w:rPr>
  </w:style>
  <w:style w:type="paragraph" w:styleId="1022">
    <w:name w:val="toc 1"/>
    <w:basedOn w:val="1032"/>
    <w:next w:val="1032"/>
    <w:uiPriority w:val="39"/>
    <w:unhideWhenUsed/>
    <w:pPr>
      <w:ind w:left="0" w:right="0" w:firstLine="0"/>
      <w:spacing w:after="57"/>
    </w:pPr>
  </w:style>
  <w:style w:type="paragraph" w:styleId="1023">
    <w:name w:val="toc 2"/>
    <w:basedOn w:val="1032"/>
    <w:next w:val="1032"/>
    <w:uiPriority w:val="39"/>
    <w:unhideWhenUsed/>
    <w:pPr>
      <w:ind w:left="283" w:right="0" w:firstLine="0"/>
      <w:spacing w:after="57"/>
    </w:pPr>
  </w:style>
  <w:style w:type="paragraph" w:styleId="1024">
    <w:name w:val="toc 3"/>
    <w:basedOn w:val="1032"/>
    <w:next w:val="1032"/>
    <w:uiPriority w:val="39"/>
    <w:unhideWhenUsed/>
    <w:pPr>
      <w:ind w:left="567" w:right="0" w:firstLine="0"/>
      <w:spacing w:after="57"/>
    </w:pPr>
  </w:style>
  <w:style w:type="paragraph" w:styleId="1025">
    <w:name w:val="toc 4"/>
    <w:basedOn w:val="1032"/>
    <w:next w:val="1032"/>
    <w:uiPriority w:val="39"/>
    <w:unhideWhenUsed/>
    <w:pPr>
      <w:ind w:left="850" w:right="0" w:firstLine="0"/>
      <w:spacing w:after="57"/>
    </w:pPr>
  </w:style>
  <w:style w:type="paragraph" w:styleId="1026">
    <w:name w:val="toc 5"/>
    <w:basedOn w:val="1032"/>
    <w:next w:val="1032"/>
    <w:uiPriority w:val="39"/>
    <w:unhideWhenUsed/>
    <w:pPr>
      <w:ind w:left="1134" w:right="0" w:firstLine="0"/>
      <w:spacing w:after="57"/>
    </w:pPr>
  </w:style>
  <w:style w:type="paragraph" w:styleId="1027">
    <w:name w:val="toc 6"/>
    <w:basedOn w:val="1032"/>
    <w:next w:val="1032"/>
    <w:uiPriority w:val="39"/>
    <w:unhideWhenUsed/>
    <w:pPr>
      <w:ind w:left="1417" w:right="0" w:firstLine="0"/>
      <w:spacing w:after="57"/>
    </w:pPr>
  </w:style>
  <w:style w:type="paragraph" w:styleId="1028">
    <w:name w:val="toc 7"/>
    <w:basedOn w:val="1032"/>
    <w:next w:val="1032"/>
    <w:uiPriority w:val="39"/>
    <w:unhideWhenUsed/>
    <w:pPr>
      <w:ind w:left="1701" w:right="0" w:firstLine="0"/>
      <w:spacing w:after="57"/>
    </w:pPr>
  </w:style>
  <w:style w:type="paragraph" w:styleId="1029">
    <w:name w:val="toc 8"/>
    <w:basedOn w:val="1032"/>
    <w:next w:val="1032"/>
    <w:uiPriority w:val="39"/>
    <w:unhideWhenUsed/>
    <w:pPr>
      <w:ind w:left="1984" w:right="0" w:firstLine="0"/>
      <w:spacing w:after="57"/>
    </w:pPr>
  </w:style>
  <w:style w:type="paragraph" w:styleId="1030">
    <w:name w:val="toc 9"/>
    <w:basedOn w:val="1032"/>
    <w:next w:val="1032"/>
    <w:uiPriority w:val="39"/>
    <w:unhideWhenUsed/>
    <w:pPr>
      <w:ind w:left="2268" w:right="0" w:firstLine="0"/>
      <w:spacing w:after="57"/>
    </w:pPr>
  </w:style>
  <w:style w:type="paragraph" w:styleId="1031">
    <w:name w:val="table of figures"/>
    <w:basedOn w:val="1032"/>
    <w:next w:val="1032"/>
    <w:uiPriority w:val="99"/>
    <w:unhideWhenUsed/>
    <w:pPr>
      <w:spacing w:after="0" w:afterAutospacing="0"/>
    </w:pPr>
  </w:style>
  <w:style w:type="paragraph" w:styleId="1032" w:default="1">
    <w:name w:val="Normal"/>
    <w:next w:val="1032"/>
    <w:link w:val="1032"/>
    <w:qFormat/>
    <w:pPr>
      <w:jc w:val="both"/>
      <w:widowControl w:val="off"/>
    </w:pPr>
    <w:rPr>
      <w:rFonts w:ascii="Times New Roman" w:hAnsi="Times New Roman" w:eastAsia="宋体" w:cs="Times New Roman"/>
      <w:sz w:val="21"/>
      <w:szCs w:val="24"/>
      <w:lang w:val="en-US" w:eastAsia="zh-CN" w:bidi="ar-SA"/>
    </w:rPr>
  </w:style>
  <w:style w:type="paragraph" w:styleId="1033">
    <w:name w:val="标题 1"/>
    <w:basedOn w:val="1032"/>
    <w:next w:val="1032"/>
    <w:link w:val="1044"/>
    <w:uiPriority w:val="9"/>
    <w:qFormat/>
    <w:pPr>
      <w:keepLines/>
      <w:keepNext/>
      <w:spacing w:before="480" w:after="200"/>
      <w:outlineLvl w:val="0"/>
    </w:pPr>
    <w:rPr>
      <w:rFonts w:ascii="Arial" w:hAnsi="Arial" w:eastAsia="Arial" w:cs="Arial"/>
      <w:sz w:val="40"/>
      <w:szCs w:val="40"/>
    </w:rPr>
  </w:style>
  <w:style w:type="paragraph" w:styleId="1034">
    <w:name w:val="标题 2"/>
    <w:basedOn w:val="1032"/>
    <w:next w:val="1032"/>
    <w:link w:val="1045"/>
    <w:uiPriority w:val="9"/>
    <w:unhideWhenUsed/>
    <w:qFormat/>
    <w:pPr>
      <w:keepLines/>
      <w:keepNext/>
      <w:spacing w:before="360" w:after="200"/>
      <w:outlineLvl w:val="1"/>
    </w:pPr>
    <w:rPr>
      <w:rFonts w:ascii="Arial" w:hAnsi="Arial" w:eastAsia="Arial" w:cs="Arial"/>
      <w:sz w:val="34"/>
    </w:rPr>
  </w:style>
  <w:style w:type="paragraph" w:styleId="1035">
    <w:name w:val="标题 3"/>
    <w:basedOn w:val="1032"/>
    <w:next w:val="1032"/>
    <w:link w:val="1046"/>
    <w:uiPriority w:val="9"/>
    <w:unhideWhenUsed/>
    <w:qFormat/>
    <w:pPr>
      <w:keepLines/>
      <w:keepNext/>
      <w:spacing w:before="320" w:after="200"/>
      <w:outlineLvl w:val="2"/>
    </w:pPr>
    <w:rPr>
      <w:rFonts w:ascii="Arial" w:hAnsi="Arial" w:eastAsia="Arial" w:cs="Arial"/>
      <w:sz w:val="30"/>
      <w:szCs w:val="30"/>
    </w:rPr>
  </w:style>
  <w:style w:type="paragraph" w:styleId="1036">
    <w:name w:val="标题 4"/>
    <w:basedOn w:val="1032"/>
    <w:next w:val="1032"/>
    <w:link w:val="1047"/>
    <w:uiPriority w:val="9"/>
    <w:unhideWhenUsed/>
    <w:qFormat/>
    <w:pPr>
      <w:keepLines/>
      <w:keepNext/>
      <w:spacing w:before="320" w:after="200"/>
      <w:outlineLvl w:val="3"/>
    </w:pPr>
    <w:rPr>
      <w:rFonts w:ascii="Arial" w:hAnsi="Arial" w:eastAsia="Arial" w:cs="Arial"/>
      <w:b/>
      <w:bCs/>
      <w:sz w:val="26"/>
      <w:szCs w:val="26"/>
    </w:rPr>
  </w:style>
  <w:style w:type="paragraph" w:styleId="1037">
    <w:name w:val="标题 5"/>
    <w:basedOn w:val="1032"/>
    <w:next w:val="1032"/>
    <w:link w:val="1048"/>
    <w:uiPriority w:val="9"/>
    <w:unhideWhenUsed/>
    <w:qFormat/>
    <w:pPr>
      <w:keepLines/>
      <w:keepNext/>
      <w:spacing w:before="320" w:after="200"/>
      <w:outlineLvl w:val="4"/>
    </w:pPr>
    <w:rPr>
      <w:rFonts w:ascii="Arial" w:hAnsi="Arial" w:eastAsia="Arial" w:cs="Arial"/>
      <w:b/>
      <w:bCs/>
      <w:sz w:val="24"/>
      <w:szCs w:val="24"/>
    </w:rPr>
  </w:style>
  <w:style w:type="paragraph" w:styleId="1038">
    <w:name w:val="标题 6"/>
    <w:basedOn w:val="1032"/>
    <w:next w:val="1032"/>
    <w:link w:val="1049"/>
    <w:uiPriority w:val="9"/>
    <w:unhideWhenUsed/>
    <w:qFormat/>
    <w:pPr>
      <w:keepLines/>
      <w:keepNext/>
      <w:spacing w:before="320" w:after="200"/>
      <w:outlineLvl w:val="5"/>
    </w:pPr>
    <w:rPr>
      <w:rFonts w:ascii="Arial" w:hAnsi="Arial" w:eastAsia="Arial" w:cs="Arial"/>
      <w:b/>
      <w:bCs/>
      <w:sz w:val="22"/>
      <w:szCs w:val="22"/>
    </w:rPr>
  </w:style>
  <w:style w:type="paragraph" w:styleId="1039">
    <w:name w:val="标题 7"/>
    <w:basedOn w:val="1032"/>
    <w:next w:val="1032"/>
    <w:link w:val="1050"/>
    <w:uiPriority w:val="9"/>
    <w:unhideWhenUsed/>
    <w:qFormat/>
    <w:pPr>
      <w:keepLines/>
      <w:keepNext/>
      <w:spacing w:before="320" w:after="200"/>
      <w:outlineLvl w:val="6"/>
    </w:pPr>
    <w:rPr>
      <w:rFonts w:ascii="Arial" w:hAnsi="Arial" w:eastAsia="Arial" w:cs="Arial"/>
      <w:b/>
      <w:bCs/>
      <w:i/>
      <w:iCs/>
      <w:sz w:val="22"/>
      <w:szCs w:val="22"/>
    </w:rPr>
  </w:style>
  <w:style w:type="paragraph" w:styleId="1040">
    <w:name w:val="标题 8"/>
    <w:basedOn w:val="1032"/>
    <w:next w:val="1032"/>
    <w:link w:val="1051"/>
    <w:uiPriority w:val="9"/>
    <w:unhideWhenUsed/>
    <w:qFormat/>
    <w:pPr>
      <w:keepLines/>
      <w:keepNext/>
      <w:spacing w:before="320" w:after="200"/>
      <w:outlineLvl w:val="7"/>
    </w:pPr>
    <w:rPr>
      <w:rFonts w:ascii="Arial" w:hAnsi="Arial" w:eastAsia="Arial" w:cs="Arial"/>
      <w:i/>
      <w:iCs/>
      <w:sz w:val="22"/>
      <w:szCs w:val="22"/>
    </w:rPr>
  </w:style>
  <w:style w:type="paragraph" w:styleId="1041">
    <w:name w:val="标题 9"/>
    <w:basedOn w:val="1032"/>
    <w:next w:val="1032"/>
    <w:link w:val="1052"/>
    <w:uiPriority w:val="9"/>
    <w:unhideWhenUsed/>
    <w:qFormat/>
    <w:pPr>
      <w:keepLines/>
      <w:keepNext/>
      <w:spacing w:before="320" w:after="200"/>
      <w:outlineLvl w:val="8"/>
    </w:pPr>
    <w:rPr>
      <w:rFonts w:ascii="Arial" w:hAnsi="Arial" w:eastAsia="Arial" w:cs="Arial"/>
      <w:i/>
      <w:iCs/>
      <w:sz w:val="21"/>
      <w:szCs w:val="21"/>
    </w:rPr>
  </w:style>
  <w:style w:type="character" w:styleId="1042">
    <w:name w:val="默认段落字体"/>
    <w:next w:val="1042"/>
    <w:link w:val="1032"/>
    <w:uiPriority w:val="1"/>
    <w:unhideWhenUsed/>
    <w:qFormat/>
  </w:style>
  <w:style w:type="table" w:styleId="1043">
    <w:name w:val="普通表格"/>
    <w:next w:val="1043"/>
    <w:link w:val="1032"/>
    <w:uiPriority w:val="99"/>
    <w:unhideWhenUsed/>
    <w:qFormat/>
    <w:tblPr/>
  </w:style>
  <w:style w:type="character" w:styleId="1044">
    <w:name w:val="Heading 1 Char"/>
    <w:next w:val="1044"/>
    <w:link w:val="1033"/>
    <w:uiPriority w:val="9"/>
    <w:qFormat/>
    <w:rPr>
      <w:rFonts w:ascii="Arial" w:hAnsi="Arial" w:eastAsia="Arial" w:cs="Arial"/>
      <w:sz w:val="40"/>
      <w:szCs w:val="40"/>
    </w:rPr>
  </w:style>
  <w:style w:type="character" w:styleId="1045">
    <w:name w:val="Heading 2 Char"/>
    <w:next w:val="1045"/>
    <w:link w:val="1034"/>
    <w:uiPriority w:val="9"/>
    <w:qFormat/>
    <w:rPr>
      <w:rFonts w:ascii="Arial" w:hAnsi="Arial" w:eastAsia="Arial" w:cs="Arial"/>
      <w:sz w:val="34"/>
    </w:rPr>
  </w:style>
  <w:style w:type="character" w:styleId="1046">
    <w:name w:val="Heading 3 Char"/>
    <w:next w:val="1046"/>
    <w:link w:val="1035"/>
    <w:uiPriority w:val="9"/>
    <w:qFormat/>
    <w:rPr>
      <w:rFonts w:ascii="Arial" w:hAnsi="Arial" w:eastAsia="Arial" w:cs="Arial"/>
      <w:sz w:val="30"/>
      <w:szCs w:val="30"/>
    </w:rPr>
  </w:style>
  <w:style w:type="character" w:styleId="1047">
    <w:name w:val="Heading 4 Char"/>
    <w:next w:val="1047"/>
    <w:link w:val="1036"/>
    <w:uiPriority w:val="9"/>
    <w:qFormat/>
    <w:rPr>
      <w:rFonts w:ascii="Arial" w:hAnsi="Arial" w:eastAsia="Arial" w:cs="Arial"/>
      <w:b/>
      <w:bCs/>
      <w:sz w:val="26"/>
      <w:szCs w:val="26"/>
    </w:rPr>
  </w:style>
  <w:style w:type="character" w:styleId="1048">
    <w:name w:val="Heading 5 Char"/>
    <w:next w:val="1048"/>
    <w:link w:val="1037"/>
    <w:uiPriority w:val="9"/>
    <w:qFormat/>
    <w:rPr>
      <w:rFonts w:ascii="Arial" w:hAnsi="Arial" w:eastAsia="Arial" w:cs="Arial"/>
      <w:b/>
      <w:bCs/>
      <w:sz w:val="24"/>
      <w:szCs w:val="24"/>
    </w:rPr>
  </w:style>
  <w:style w:type="character" w:styleId="1049">
    <w:name w:val="Heading 6 Char"/>
    <w:next w:val="1049"/>
    <w:link w:val="1038"/>
    <w:uiPriority w:val="9"/>
    <w:qFormat/>
    <w:rPr>
      <w:rFonts w:ascii="Arial" w:hAnsi="Arial" w:eastAsia="Arial" w:cs="Arial"/>
      <w:b/>
      <w:bCs/>
      <w:sz w:val="22"/>
      <w:szCs w:val="22"/>
    </w:rPr>
  </w:style>
  <w:style w:type="character" w:styleId="1050">
    <w:name w:val="Heading 7 Char"/>
    <w:next w:val="1050"/>
    <w:link w:val="1039"/>
    <w:uiPriority w:val="9"/>
    <w:qFormat/>
    <w:rPr>
      <w:rFonts w:ascii="Arial" w:hAnsi="Arial" w:eastAsia="Arial" w:cs="Arial"/>
      <w:b/>
      <w:bCs/>
      <w:i/>
      <w:iCs/>
      <w:sz w:val="22"/>
      <w:szCs w:val="22"/>
    </w:rPr>
  </w:style>
  <w:style w:type="character" w:styleId="1051">
    <w:name w:val="Heading 8 Char"/>
    <w:next w:val="1051"/>
    <w:link w:val="1040"/>
    <w:uiPriority w:val="9"/>
    <w:qFormat/>
    <w:rPr>
      <w:rFonts w:ascii="Arial" w:hAnsi="Arial" w:eastAsia="Arial" w:cs="Arial"/>
      <w:i/>
      <w:iCs/>
      <w:sz w:val="22"/>
      <w:szCs w:val="22"/>
    </w:rPr>
  </w:style>
  <w:style w:type="character" w:styleId="1052">
    <w:name w:val="Heading 9 Char"/>
    <w:next w:val="1052"/>
    <w:link w:val="1041"/>
    <w:uiPriority w:val="9"/>
    <w:qFormat/>
    <w:rPr>
      <w:rFonts w:ascii="Arial" w:hAnsi="Arial" w:eastAsia="Arial" w:cs="Arial"/>
      <w:i/>
      <w:iCs/>
      <w:sz w:val="21"/>
      <w:szCs w:val="21"/>
    </w:rPr>
  </w:style>
  <w:style w:type="paragraph" w:styleId="1053">
    <w:name w:val="目录 7"/>
    <w:basedOn w:val="1032"/>
    <w:next w:val="1032"/>
    <w:link w:val="1032"/>
    <w:uiPriority w:val="39"/>
    <w:unhideWhenUsed/>
    <w:qFormat/>
    <w:pPr>
      <w:ind w:left="1701" w:right="0" w:firstLine="0"/>
      <w:spacing w:after="57"/>
    </w:pPr>
  </w:style>
  <w:style w:type="paragraph" w:styleId="1054">
    <w:name w:val="正文缩进"/>
    <w:basedOn w:val="1032"/>
    <w:next w:val="1032"/>
    <w:link w:val="1032"/>
    <w:qFormat/>
    <w:pPr>
      <w:ind w:firstLine="420"/>
      <w:jc w:val="left"/>
    </w:pPr>
    <w:rPr>
      <w:rFonts w:ascii="宋体"/>
      <w:sz w:val="24"/>
    </w:rPr>
  </w:style>
  <w:style w:type="paragraph" w:styleId="1055">
    <w:name w:val="题注"/>
    <w:basedOn w:val="1032"/>
    <w:next w:val="1032"/>
    <w:link w:val="1032"/>
    <w:uiPriority w:val="35"/>
    <w:unhideWhenUsed/>
    <w:qFormat/>
    <w:pPr>
      <w:spacing w:line="276" w:lineRule="auto"/>
    </w:pPr>
    <w:rPr>
      <w:b/>
      <w:bCs/>
      <w:color w:val="4f81bd"/>
      <w:sz w:val="18"/>
      <w:szCs w:val="18"/>
    </w:rPr>
  </w:style>
  <w:style w:type="paragraph" w:styleId="1056">
    <w:name w:val="目录 5"/>
    <w:basedOn w:val="1032"/>
    <w:next w:val="1032"/>
    <w:link w:val="1032"/>
    <w:uiPriority w:val="39"/>
    <w:unhideWhenUsed/>
    <w:qFormat/>
    <w:pPr>
      <w:ind w:left="1134" w:right="0" w:firstLine="0"/>
      <w:spacing w:after="57"/>
    </w:pPr>
  </w:style>
  <w:style w:type="paragraph" w:styleId="1057">
    <w:name w:val="目录 3"/>
    <w:basedOn w:val="1032"/>
    <w:next w:val="1032"/>
    <w:link w:val="1032"/>
    <w:uiPriority w:val="39"/>
    <w:unhideWhenUsed/>
    <w:qFormat/>
    <w:pPr>
      <w:ind w:left="567" w:right="0" w:firstLine="0"/>
      <w:spacing w:after="57"/>
    </w:pPr>
  </w:style>
  <w:style w:type="paragraph" w:styleId="1058">
    <w:name w:val="纯文本"/>
    <w:basedOn w:val="1032"/>
    <w:next w:val="1058"/>
    <w:link w:val="1032"/>
    <w:qFormat/>
    <w:rPr>
      <w:rFonts w:hint="eastAsia" w:ascii="宋体" w:hAnsi="Courier New"/>
      <w:szCs w:val="20"/>
    </w:rPr>
  </w:style>
  <w:style w:type="paragraph" w:styleId="1059">
    <w:name w:val="目录 8"/>
    <w:basedOn w:val="1032"/>
    <w:next w:val="1032"/>
    <w:link w:val="1032"/>
    <w:uiPriority w:val="39"/>
    <w:unhideWhenUsed/>
    <w:qFormat/>
    <w:pPr>
      <w:ind w:left="1984" w:right="0" w:firstLine="0"/>
      <w:spacing w:after="57"/>
    </w:pPr>
  </w:style>
  <w:style w:type="paragraph" w:styleId="1060">
    <w:name w:val="尾注文本"/>
    <w:basedOn w:val="1032"/>
    <w:next w:val="1060"/>
    <w:link w:val="1061"/>
    <w:uiPriority w:val="99"/>
    <w:unhideWhenUsed/>
    <w:qFormat/>
    <w:pPr>
      <w:spacing w:after="0" w:line="240" w:lineRule="auto"/>
    </w:pPr>
    <w:rPr>
      <w:sz w:val="20"/>
    </w:rPr>
  </w:style>
  <w:style w:type="character" w:styleId="1061">
    <w:name w:val="Endnote Text Char"/>
    <w:next w:val="1061"/>
    <w:link w:val="1060"/>
    <w:uiPriority w:val="99"/>
    <w:qFormat/>
    <w:rPr>
      <w:sz w:val="20"/>
    </w:rPr>
  </w:style>
  <w:style w:type="paragraph" w:styleId="1062">
    <w:name w:val="页脚"/>
    <w:basedOn w:val="1032"/>
    <w:next w:val="1062"/>
    <w:link w:val="1063"/>
    <w:uiPriority w:val="99"/>
    <w:unhideWhenUsed/>
    <w:qFormat/>
    <w:pPr>
      <w:spacing w:after="0" w:line="240" w:lineRule="auto"/>
      <w:tabs>
        <w:tab w:val="center" w:pos="7143" w:leader="none"/>
        <w:tab w:val="right" w:pos="14287" w:leader="none"/>
      </w:tabs>
    </w:pPr>
  </w:style>
  <w:style w:type="character" w:styleId="1063">
    <w:name w:val="Footer Char"/>
    <w:next w:val="1063"/>
    <w:link w:val="1062"/>
    <w:uiPriority w:val="99"/>
    <w:qFormat/>
  </w:style>
  <w:style w:type="paragraph" w:styleId="1064">
    <w:name w:val="页眉"/>
    <w:basedOn w:val="1032"/>
    <w:next w:val="1064"/>
    <w:link w:val="1065"/>
    <w:uiPriority w:val="99"/>
    <w:unhideWhenUsed/>
    <w:qFormat/>
    <w:pPr>
      <w:spacing w:after="0" w:line="240" w:lineRule="auto"/>
      <w:tabs>
        <w:tab w:val="center" w:pos="7143" w:leader="none"/>
        <w:tab w:val="right" w:pos="14287" w:leader="none"/>
      </w:tabs>
    </w:pPr>
  </w:style>
  <w:style w:type="character" w:styleId="1065">
    <w:name w:val="Header Char"/>
    <w:next w:val="1065"/>
    <w:link w:val="1064"/>
    <w:uiPriority w:val="99"/>
    <w:qFormat/>
  </w:style>
  <w:style w:type="paragraph" w:styleId="1066">
    <w:name w:val="目录 1"/>
    <w:basedOn w:val="1032"/>
    <w:next w:val="1032"/>
    <w:link w:val="1032"/>
    <w:uiPriority w:val="39"/>
    <w:unhideWhenUsed/>
    <w:qFormat/>
    <w:pPr>
      <w:ind w:left="0" w:right="0" w:firstLine="0"/>
      <w:spacing w:after="57"/>
    </w:pPr>
  </w:style>
  <w:style w:type="paragraph" w:styleId="1067">
    <w:name w:val="目录 4"/>
    <w:basedOn w:val="1032"/>
    <w:next w:val="1032"/>
    <w:link w:val="1032"/>
    <w:uiPriority w:val="39"/>
    <w:unhideWhenUsed/>
    <w:qFormat/>
    <w:pPr>
      <w:ind w:left="850" w:right="0" w:firstLine="0"/>
      <w:spacing w:after="57"/>
    </w:pPr>
  </w:style>
  <w:style w:type="paragraph" w:styleId="1068">
    <w:name w:val="副标题"/>
    <w:basedOn w:val="1032"/>
    <w:next w:val="1032"/>
    <w:link w:val="1069"/>
    <w:uiPriority w:val="11"/>
    <w:qFormat/>
    <w:pPr>
      <w:spacing w:before="200" w:after="200"/>
    </w:pPr>
    <w:rPr>
      <w:sz w:val="24"/>
      <w:szCs w:val="24"/>
    </w:rPr>
  </w:style>
  <w:style w:type="character" w:styleId="1069">
    <w:name w:val="Subtitle Char"/>
    <w:next w:val="1069"/>
    <w:link w:val="1068"/>
    <w:uiPriority w:val="11"/>
    <w:qFormat/>
    <w:rPr>
      <w:sz w:val="24"/>
      <w:szCs w:val="24"/>
    </w:rPr>
  </w:style>
  <w:style w:type="paragraph" w:styleId="1070">
    <w:name w:val="脚注文本"/>
    <w:basedOn w:val="1032"/>
    <w:next w:val="1070"/>
    <w:link w:val="1071"/>
    <w:uiPriority w:val="99"/>
    <w:unhideWhenUsed/>
    <w:qFormat/>
    <w:pPr>
      <w:spacing w:after="40" w:line="240" w:lineRule="auto"/>
    </w:pPr>
    <w:rPr>
      <w:sz w:val="18"/>
    </w:rPr>
  </w:style>
  <w:style w:type="character" w:styleId="1071">
    <w:name w:val="Footnote Text Char"/>
    <w:next w:val="1071"/>
    <w:link w:val="1070"/>
    <w:uiPriority w:val="99"/>
    <w:qFormat/>
    <w:rPr>
      <w:sz w:val="18"/>
    </w:rPr>
  </w:style>
  <w:style w:type="paragraph" w:styleId="1072">
    <w:name w:val="目录 6"/>
    <w:basedOn w:val="1032"/>
    <w:next w:val="1032"/>
    <w:link w:val="1032"/>
    <w:uiPriority w:val="39"/>
    <w:unhideWhenUsed/>
    <w:qFormat/>
    <w:pPr>
      <w:ind w:left="1417" w:right="0" w:firstLine="0"/>
      <w:spacing w:after="57"/>
    </w:pPr>
  </w:style>
  <w:style w:type="paragraph" w:styleId="1073">
    <w:name w:val="图表目录"/>
    <w:basedOn w:val="1032"/>
    <w:next w:val="1032"/>
    <w:link w:val="1032"/>
    <w:uiPriority w:val="99"/>
    <w:unhideWhenUsed/>
    <w:qFormat/>
    <w:pPr>
      <w:spacing w:after="0" w:afterAutospacing="0"/>
    </w:pPr>
  </w:style>
  <w:style w:type="paragraph" w:styleId="1074">
    <w:name w:val="目录 2"/>
    <w:basedOn w:val="1032"/>
    <w:next w:val="1032"/>
    <w:link w:val="1032"/>
    <w:uiPriority w:val="39"/>
    <w:unhideWhenUsed/>
    <w:qFormat/>
    <w:pPr>
      <w:ind w:left="283" w:right="0" w:firstLine="0"/>
      <w:spacing w:after="57"/>
    </w:pPr>
  </w:style>
  <w:style w:type="paragraph" w:styleId="1075">
    <w:name w:val="目录 9"/>
    <w:basedOn w:val="1032"/>
    <w:next w:val="1032"/>
    <w:link w:val="1032"/>
    <w:uiPriority w:val="39"/>
    <w:unhideWhenUsed/>
    <w:qFormat/>
    <w:pPr>
      <w:ind w:left="2268" w:right="0" w:firstLine="0"/>
      <w:spacing w:after="57"/>
    </w:pPr>
  </w:style>
  <w:style w:type="paragraph" w:styleId="1076">
    <w:name w:val="标题"/>
    <w:basedOn w:val="1032"/>
    <w:next w:val="1032"/>
    <w:link w:val="1077"/>
    <w:uiPriority w:val="10"/>
    <w:qFormat/>
    <w:pPr>
      <w:contextualSpacing/>
      <w:spacing w:before="300" w:after="200"/>
    </w:pPr>
    <w:rPr>
      <w:sz w:val="48"/>
      <w:szCs w:val="48"/>
    </w:rPr>
  </w:style>
  <w:style w:type="character" w:styleId="1077">
    <w:name w:val="Title Char"/>
    <w:next w:val="1077"/>
    <w:link w:val="1076"/>
    <w:uiPriority w:val="10"/>
    <w:qFormat/>
    <w:rPr>
      <w:sz w:val="48"/>
      <w:szCs w:val="48"/>
    </w:rPr>
  </w:style>
  <w:style w:type="table" w:styleId="1078">
    <w:name w:val="网格型"/>
    <w:next w:val="1078"/>
    <w:link w:val="1032"/>
    <w:uiPriority w:val="59"/>
    <w:qFormat/>
    <w:pPr>
      <w:spacing w:after="0" w:line="240" w:lineRule="auto"/>
    </w:pPr>
    <w:tblPr/>
  </w:style>
  <w:style w:type="character" w:styleId="1079">
    <w:name w:val="尾注引用"/>
    <w:next w:val="1079"/>
    <w:link w:val="1032"/>
    <w:uiPriority w:val="99"/>
    <w:unhideWhenUsed/>
    <w:qFormat/>
    <w:rPr>
      <w:vertAlign w:val="superscript"/>
    </w:rPr>
  </w:style>
  <w:style w:type="character" w:styleId="1080">
    <w:name w:val="超链接"/>
    <w:next w:val="1080"/>
    <w:link w:val="1032"/>
    <w:uiPriority w:val="99"/>
    <w:unhideWhenUsed/>
    <w:qFormat/>
    <w:rPr>
      <w:color w:val="0000ff"/>
      <w:u w:val="single"/>
    </w:rPr>
  </w:style>
  <w:style w:type="character" w:styleId="1081">
    <w:name w:val="脚注引用"/>
    <w:next w:val="1081"/>
    <w:link w:val="1032"/>
    <w:uiPriority w:val="99"/>
    <w:unhideWhenUsed/>
    <w:qFormat/>
    <w:rPr>
      <w:vertAlign w:val="superscript"/>
    </w:rPr>
  </w:style>
  <w:style w:type="character" w:styleId="1082">
    <w:name w:val="Caption Char"/>
    <w:next w:val="1082"/>
    <w:link w:val="1062"/>
    <w:uiPriority w:val="99"/>
    <w:qFormat/>
  </w:style>
  <w:style w:type="character" w:styleId="1083">
    <w:name w:val="font121"/>
    <w:next w:val="1083"/>
    <w:link w:val="1032"/>
    <w:qFormat/>
    <w:rPr>
      <w:rFonts w:ascii="PingFang SC" w:hAnsi="PingFang SC" w:eastAsia="PingFang SC" w:cs="PingFang SC"/>
      <w:color w:val="000000"/>
      <w:sz w:val="24"/>
      <w:szCs w:val="24"/>
      <w:u w:val="none"/>
    </w:rPr>
  </w:style>
  <w:style w:type="paragraph" w:styleId="1084">
    <w:name w:val="List Paragraph"/>
    <w:basedOn w:val="1032"/>
    <w:next w:val="1084"/>
    <w:link w:val="1032"/>
    <w:uiPriority w:val="34"/>
    <w:qFormat/>
    <w:pPr>
      <w:contextualSpacing/>
      <w:ind w:left="720"/>
    </w:pPr>
  </w:style>
  <w:style w:type="paragraph" w:styleId="1085">
    <w:name w:val="No Spacing"/>
    <w:next w:val="1085"/>
    <w:link w:val="1032"/>
    <w:uiPriority w:val="1"/>
    <w:qFormat/>
    <w:pPr>
      <w:spacing w:before="0" w:after="0" w:line="240" w:lineRule="auto"/>
    </w:pPr>
    <w:rPr>
      <w:rFonts w:ascii="Times New Roman" w:hAnsi="Times New Roman" w:eastAsia="宋体" w:cs="Times New Roman"/>
    </w:rPr>
  </w:style>
  <w:style w:type="paragraph" w:styleId="1086">
    <w:name w:val="Quote"/>
    <w:basedOn w:val="1032"/>
    <w:next w:val="1032"/>
    <w:link w:val="1087"/>
    <w:uiPriority w:val="29"/>
    <w:qFormat/>
    <w:pPr>
      <w:ind w:left="720" w:right="720"/>
    </w:pPr>
    <w:rPr>
      <w:i/>
    </w:rPr>
  </w:style>
  <w:style w:type="character" w:styleId="1087">
    <w:name w:val="Quote Char"/>
    <w:next w:val="1087"/>
    <w:link w:val="1086"/>
    <w:uiPriority w:val="29"/>
    <w:qFormat/>
    <w:rPr>
      <w:i/>
    </w:rPr>
  </w:style>
  <w:style w:type="paragraph" w:styleId="1088">
    <w:name w:val="Intense Quote"/>
    <w:basedOn w:val="1032"/>
    <w:next w:val="1032"/>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9">
    <w:name w:val="Intense Quote Char"/>
    <w:next w:val="1089"/>
    <w:link w:val="1088"/>
    <w:uiPriority w:val="30"/>
    <w:qFormat/>
    <w:rPr>
      <w:i/>
    </w:rPr>
  </w:style>
  <w:style w:type="table" w:styleId="1090">
    <w:name w:val="Table Grid Light"/>
    <w:next w:val="1090"/>
    <w:link w:val="1032"/>
    <w:uiPriority w:val="59"/>
    <w:qFormat/>
    <w:pPr>
      <w:spacing w:after="0" w:line="240" w:lineRule="auto"/>
    </w:pPr>
    <w:tblPr/>
  </w:style>
  <w:style w:type="table" w:styleId="1091">
    <w:name w:val="Plain Table 1"/>
    <w:next w:val="1091"/>
    <w:link w:val="1032"/>
    <w:uiPriority w:val="59"/>
    <w:qFormat/>
    <w:pPr>
      <w:spacing w:after="0" w:line="240" w:lineRule="auto"/>
    </w:pPr>
    <w:tblPr/>
  </w:style>
  <w:style w:type="table" w:styleId="1092">
    <w:name w:val="Plain Table 2"/>
    <w:next w:val="1092"/>
    <w:link w:val="1032"/>
    <w:uiPriority w:val="59"/>
    <w:qFormat/>
    <w:pPr>
      <w:spacing w:after="0" w:line="240" w:lineRule="auto"/>
    </w:pPr>
    <w:tblPr/>
  </w:style>
  <w:style w:type="table" w:styleId="1093">
    <w:name w:val="Plain Table 3"/>
    <w:next w:val="1093"/>
    <w:link w:val="1032"/>
    <w:uiPriority w:val="99"/>
    <w:qFormat/>
    <w:pPr>
      <w:spacing w:after="0" w:line="240" w:lineRule="auto"/>
    </w:pPr>
    <w:tblPr/>
  </w:style>
  <w:style w:type="table" w:styleId="1094">
    <w:name w:val="Plain Table 4"/>
    <w:next w:val="1094"/>
    <w:link w:val="1032"/>
    <w:uiPriority w:val="99"/>
    <w:qFormat/>
    <w:pPr>
      <w:spacing w:after="0" w:line="240" w:lineRule="auto"/>
    </w:pPr>
    <w:tblPr/>
  </w:style>
  <w:style w:type="table" w:styleId="1095">
    <w:name w:val="Plain Table 5"/>
    <w:next w:val="1095"/>
    <w:link w:val="1032"/>
    <w:uiPriority w:val="99"/>
    <w:qFormat/>
    <w:pPr>
      <w:spacing w:after="0" w:line="240" w:lineRule="auto"/>
    </w:pPr>
    <w:tblPr/>
  </w:style>
  <w:style w:type="table" w:styleId="1096">
    <w:name w:val="Grid Table 1 Light"/>
    <w:next w:val="1096"/>
    <w:link w:val="1032"/>
    <w:uiPriority w:val="99"/>
    <w:qFormat/>
    <w:pPr>
      <w:spacing w:after="0" w:line="240" w:lineRule="auto"/>
    </w:pPr>
    <w:tblPr/>
  </w:style>
  <w:style w:type="table" w:styleId="1097">
    <w:name w:val="Grid Table 1 Light - Accent 1"/>
    <w:next w:val="1097"/>
    <w:link w:val="1032"/>
    <w:uiPriority w:val="99"/>
    <w:qFormat/>
    <w:pPr>
      <w:spacing w:after="0" w:line="240" w:lineRule="auto"/>
    </w:pPr>
    <w:tblPr/>
  </w:style>
  <w:style w:type="table" w:styleId="1098">
    <w:name w:val="Grid Table 1 Light - Accent 2"/>
    <w:next w:val="1098"/>
    <w:link w:val="1032"/>
    <w:uiPriority w:val="99"/>
    <w:qFormat/>
    <w:pPr>
      <w:spacing w:after="0" w:line="240" w:lineRule="auto"/>
    </w:pPr>
    <w:tblPr/>
  </w:style>
  <w:style w:type="table" w:styleId="1099">
    <w:name w:val="Grid Table 1 Light - Accent 3"/>
    <w:next w:val="1099"/>
    <w:link w:val="1032"/>
    <w:uiPriority w:val="99"/>
    <w:qFormat/>
    <w:pPr>
      <w:spacing w:after="0" w:line="240" w:lineRule="auto"/>
    </w:pPr>
    <w:tblPr/>
  </w:style>
  <w:style w:type="table" w:styleId="1100">
    <w:name w:val="Grid Table 1 Light - Accent 4"/>
    <w:next w:val="1100"/>
    <w:link w:val="1032"/>
    <w:uiPriority w:val="99"/>
    <w:qFormat/>
    <w:pPr>
      <w:spacing w:after="0" w:line="240" w:lineRule="auto"/>
    </w:pPr>
    <w:tblPr/>
  </w:style>
  <w:style w:type="table" w:styleId="1101">
    <w:name w:val="Grid Table 1 Light - Accent 5"/>
    <w:next w:val="1101"/>
    <w:link w:val="1032"/>
    <w:uiPriority w:val="99"/>
    <w:qFormat/>
    <w:pPr>
      <w:spacing w:after="0" w:line="240" w:lineRule="auto"/>
    </w:pPr>
    <w:tblPr/>
  </w:style>
  <w:style w:type="table" w:styleId="1102">
    <w:name w:val="Grid Table 1 Light - Accent 6"/>
    <w:next w:val="1102"/>
    <w:link w:val="1032"/>
    <w:uiPriority w:val="99"/>
    <w:qFormat/>
    <w:pPr>
      <w:spacing w:after="0" w:line="240" w:lineRule="auto"/>
    </w:pPr>
    <w:tblPr/>
  </w:style>
  <w:style w:type="table" w:styleId="1103">
    <w:name w:val="Grid Table 2"/>
    <w:next w:val="1103"/>
    <w:link w:val="1032"/>
    <w:uiPriority w:val="99"/>
    <w:qFormat/>
    <w:pPr>
      <w:spacing w:after="0" w:line="240" w:lineRule="auto"/>
    </w:pPr>
    <w:tblPr/>
  </w:style>
  <w:style w:type="table" w:styleId="1104">
    <w:name w:val="Grid Table 2 - Accent 1"/>
    <w:next w:val="1104"/>
    <w:link w:val="1032"/>
    <w:uiPriority w:val="99"/>
    <w:qFormat/>
    <w:pPr>
      <w:spacing w:after="0" w:line="240" w:lineRule="auto"/>
    </w:pPr>
    <w:tblPr/>
  </w:style>
  <w:style w:type="table" w:styleId="1105">
    <w:name w:val="Grid Table 2 - Accent 2"/>
    <w:next w:val="1105"/>
    <w:link w:val="1032"/>
    <w:uiPriority w:val="99"/>
    <w:qFormat/>
    <w:pPr>
      <w:spacing w:after="0" w:line="240" w:lineRule="auto"/>
    </w:pPr>
    <w:tblPr/>
  </w:style>
  <w:style w:type="table" w:styleId="1106">
    <w:name w:val="Grid Table 2 - Accent 3"/>
    <w:next w:val="1106"/>
    <w:link w:val="1032"/>
    <w:uiPriority w:val="99"/>
    <w:qFormat/>
    <w:pPr>
      <w:spacing w:after="0" w:line="240" w:lineRule="auto"/>
    </w:pPr>
    <w:tblPr/>
  </w:style>
  <w:style w:type="table" w:styleId="1107">
    <w:name w:val="Grid Table 2 - Accent 4"/>
    <w:next w:val="1107"/>
    <w:link w:val="1032"/>
    <w:uiPriority w:val="99"/>
    <w:qFormat/>
    <w:pPr>
      <w:spacing w:after="0" w:line="240" w:lineRule="auto"/>
    </w:pPr>
    <w:tblPr/>
  </w:style>
  <w:style w:type="table" w:styleId="1108">
    <w:name w:val="Grid Table 2 - Accent 5"/>
    <w:next w:val="1108"/>
    <w:link w:val="1032"/>
    <w:uiPriority w:val="99"/>
    <w:qFormat/>
    <w:pPr>
      <w:spacing w:after="0" w:line="240" w:lineRule="auto"/>
    </w:pPr>
    <w:tblPr/>
  </w:style>
  <w:style w:type="table" w:styleId="1109">
    <w:name w:val="Grid Table 2 - Accent 6"/>
    <w:next w:val="1109"/>
    <w:link w:val="1032"/>
    <w:uiPriority w:val="99"/>
    <w:qFormat/>
    <w:pPr>
      <w:spacing w:after="0" w:line="240" w:lineRule="auto"/>
    </w:pPr>
    <w:tblPr/>
  </w:style>
  <w:style w:type="table" w:styleId="1110">
    <w:name w:val="Grid Table 3"/>
    <w:next w:val="1110"/>
    <w:link w:val="1032"/>
    <w:uiPriority w:val="99"/>
    <w:qFormat/>
    <w:pPr>
      <w:spacing w:after="0" w:line="240" w:lineRule="auto"/>
    </w:pPr>
    <w:tblPr/>
  </w:style>
  <w:style w:type="table" w:styleId="1111">
    <w:name w:val="Grid Table 3 - Accent 1"/>
    <w:next w:val="1111"/>
    <w:link w:val="1032"/>
    <w:uiPriority w:val="99"/>
    <w:qFormat/>
    <w:pPr>
      <w:spacing w:after="0" w:line="240" w:lineRule="auto"/>
    </w:pPr>
    <w:tblPr/>
  </w:style>
  <w:style w:type="table" w:styleId="1112">
    <w:name w:val="Grid Table 3 - Accent 2"/>
    <w:next w:val="1112"/>
    <w:link w:val="1032"/>
    <w:uiPriority w:val="99"/>
    <w:qFormat/>
    <w:pPr>
      <w:spacing w:after="0" w:line="240" w:lineRule="auto"/>
    </w:pPr>
    <w:tblPr/>
  </w:style>
  <w:style w:type="table" w:styleId="1113">
    <w:name w:val="Grid Table 3 - Accent 3"/>
    <w:next w:val="1113"/>
    <w:link w:val="1032"/>
    <w:uiPriority w:val="99"/>
    <w:qFormat/>
    <w:pPr>
      <w:spacing w:after="0" w:line="240" w:lineRule="auto"/>
    </w:pPr>
    <w:tblPr/>
  </w:style>
  <w:style w:type="table" w:styleId="1114">
    <w:name w:val="Grid Table 3 - Accent 4"/>
    <w:next w:val="1114"/>
    <w:link w:val="1032"/>
    <w:uiPriority w:val="99"/>
    <w:qFormat/>
    <w:pPr>
      <w:spacing w:after="0" w:line="240" w:lineRule="auto"/>
    </w:pPr>
    <w:tblPr/>
  </w:style>
  <w:style w:type="table" w:styleId="1115">
    <w:name w:val="Grid Table 3 - Accent 5"/>
    <w:next w:val="1115"/>
    <w:link w:val="1032"/>
    <w:uiPriority w:val="99"/>
    <w:qFormat/>
    <w:pPr>
      <w:spacing w:after="0" w:line="240" w:lineRule="auto"/>
    </w:pPr>
    <w:tblPr/>
  </w:style>
  <w:style w:type="table" w:styleId="1116">
    <w:name w:val="Grid Table 3 - Accent 6"/>
    <w:next w:val="1116"/>
    <w:link w:val="1032"/>
    <w:uiPriority w:val="99"/>
    <w:qFormat/>
    <w:pPr>
      <w:spacing w:after="0" w:line="240" w:lineRule="auto"/>
    </w:pPr>
    <w:tblPr/>
  </w:style>
  <w:style w:type="table" w:styleId="1117">
    <w:name w:val="Grid Table 4"/>
    <w:next w:val="1117"/>
    <w:link w:val="1032"/>
    <w:uiPriority w:val="59"/>
    <w:qFormat/>
    <w:pPr>
      <w:spacing w:after="0" w:line="240" w:lineRule="auto"/>
    </w:pPr>
    <w:tblPr/>
  </w:style>
  <w:style w:type="table" w:styleId="1118">
    <w:name w:val="Grid Table 4 - Accent 1"/>
    <w:next w:val="1118"/>
    <w:link w:val="1032"/>
    <w:uiPriority w:val="59"/>
    <w:qFormat/>
    <w:pPr>
      <w:spacing w:after="0" w:line="240" w:lineRule="auto"/>
    </w:pPr>
    <w:tblPr/>
  </w:style>
  <w:style w:type="table" w:styleId="1119">
    <w:name w:val="Grid Table 4 - Accent 2"/>
    <w:next w:val="1119"/>
    <w:link w:val="1032"/>
    <w:uiPriority w:val="59"/>
    <w:qFormat/>
    <w:pPr>
      <w:spacing w:after="0" w:line="240" w:lineRule="auto"/>
    </w:pPr>
    <w:tblPr/>
  </w:style>
  <w:style w:type="table" w:styleId="1120">
    <w:name w:val="Grid Table 4 - Accent 3"/>
    <w:next w:val="1120"/>
    <w:link w:val="1032"/>
    <w:uiPriority w:val="59"/>
    <w:qFormat/>
    <w:pPr>
      <w:spacing w:after="0" w:line="240" w:lineRule="auto"/>
    </w:pPr>
    <w:tblPr/>
  </w:style>
  <w:style w:type="table" w:styleId="1121">
    <w:name w:val="Grid Table 4 - Accent 4"/>
    <w:next w:val="1121"/>
    <w:link w:val="1032"/>
    <w:uiPriority w:val="59"/>
    <w:qFormat/>
    <w:pPr>
      <w:spacing w:after="0" w:line="240" w:lineRule="auto"/>
    </w:pPr>
    <w:tblPr/>
  </w:style>
  <w:style w:type="table" w:styleId="1122">
    <w:name w:val="Grid Table 4 - Accent 5"/>
    <w:next w:val="1122"/>
    <w:link w:val="1032"/>
    <w:uiPriority w:val="59"/>
    <w:qFormat/>
    <w:pPr>
      <w:spacing w:after="0" w:line="240" w:lineRule="auto"/>
    </w:pPr>
    <w:tblPr/>
  </w:style>
  <w:style w:type="table" w:styleId="1123">
    <w:name w:val="Grid Table 4 - Accent 6"/>
    <w:next w:val="1123"/>
    <w:link w:val="1032"/>
    <w:uiPriority w:val="59"/>
    <w:qFormat/>
    <w:pPr>
      <w:spacing w:after="0" w:line="240" w:lineRule="auto"/>
    </w:pPr>
    <w:tblPr/>
  </w:style>
  <w:style w:type="table" w:styleId="1124">
    <w:name w:val="Grid Table 5 Dark"/>
    <w:next w:val="1124"/>
    <w:link w:val="1032"/>
    <w:uiPriority w:val="99"/>
    <w:qFormat/>
    <w:pPr>
      <w:spacing w:after="0" w:line="240" w:lineRule="auto"/>
    </w:pPr>
    <w:tblPr/>
  </w:style>
  <w:style w:type="table" w:styleId="1125">
    <w:name w:val="Grid Table 5 Dark- Accent 1"/>
    <w:next w:val="1125"/>
    <w:link w:val="1032"/>
    <w:uiPriority w:val="99"/>
    <w:qFormat/>
    <w:pPr>
      <w:spacing w:after="0" w:line="240" w:lineRule="auto"/>
    </w:pPr>
    <w:tblPr/>
  </w:style>
  <w:style w:type="table" w:styleId="1126">
    <w:name w:val="Grid Table 5 Dark - Accent 2"/>
    <w:next w:val="1126"/>
    <w:link w:val="1032"/>
    <w:uiPriority w:val="99"/>
    <w:qFormat/>
    <w:pPr>
      <w:spacing w:after="0" w:line="240" w:lineRule="auto"/>
    </w:pPr>
    <w:tblPr/>
  </w:style>
  <w:style w:type="table" w:styleId="1127">
    <w:name w:val="Grid Table 5 Dark - Accent 3"/>
    <w:next w:val="1127"/>
    <w:link w:val="1032"/>
    <w:uiPriority w:val="99"/>
    <w:qFormat/>
    <w:pPr>
      <w:spacing w:after="0" w:line="240" w:lineRule="auto"/>
    </w:pPr>
    <w:tblPr/>
  </w:style>
  <w:style w:type="table" w:styleId="1128">
    <w:name w:val="Grid Table 5 Dark- Accent 4"/>
    <w:next w:val="1128"/>
    <w:link w:val="1032"/>
    <w:uiPriority w:val="99"/>
    <w:qFormat/>
    <w:pPr>
      <w:spacing w:after="0" w:line="240" w:lineRule="auto"/>
    </w:pPr>
    <w:tblPr/>
  </w:style>
  <w:style w:type="table" w:styleId="1129">
    <w:name w:val="Grid Table 5 Dark - Accent 5"/>
    <w:next w:val="1129"/>
    <w:link w:val="1032"/>
    <w:uiPriority w:val="99"/>
    <w:qFormat/>
    <w:pPr>
      <w:spacing w:after="0" w:line="240" w:lineRule="auto"/>
    </w:pPr>
    <w:tblPr/>
  </w:style>
  <w:style w:type="table" w:styleId="1130">
    <w:name w:val="Grid Table 5 Dark - Accent 6"/>
    <w:next w:val="1130"/>
    <w:link w:val="1032"/>
    <w:uiPriority w:val="99"/>
    <w:qFormat/>
    <w:pPr>
      <w:spacing w:after="0" w:line="240" w:lineRule="auto"/>
    </w:pPr>
    <w:tblPr/>
  </w:style>
  <w:style w:type="table" w:styleId="1131">
    <w:name w:val="Grid Table 6 Colorful"/>
    <w:next w:val="1131"/>
    <w:link w:val="1032"/>
    <w:uiPriority w:val="99"/>
    <w:qFormat/>
    <w:pPr>
      <w:spacing w:after="0" w:line="240" w:lineRule="auto"/>
    </w:pPr>
    <w:tblPr/>
  </w:style>
  <w:style w:type="table" w:styleId="1132">
    <w:name w:val="Grid Table 6 Colorful - Accent 1"/>
    <w:next w:val="1132"/>
    <w:link w:val="1032"/>
    <w:uiPriority w:val="99"/>
    <w:qFormat/>
    <w:pPr>
      <w:spacing w:after="0" w:line="240" w:lineRule="auto"/>
    </w:pPr>
    <w:tblPr/>
  </w:style>
  <w:style w:type="table" w:styleId="1133">
    <w:name w:val="Grid Table 6 Colorful - Accent 2"/>
    <w:next w:val="1133"/>
    <w:link w:val="1032"/>
    <w:uiPriority w:val="99"/>
    <w:qFormat/>
    <w:pPr>
      <w:spacing w:after="0" w:line="240" w:lineRule="auto"/>
    </w:pPr>
    <w:tblPr/>
  </w:style>
  <w:style w:type="table" w:styleId="1134">
    <w:name w:val="Grid Table 6 Colorful - Accent 3"/>
    <w:next w:val="1134"/>
    <w:link w:val="1032"/>
    <w:uiPriority w:val="99"/>
    <w:qFormat/>
    <w:pPr>
      <w:spacing w:after="0" w:line="240" w:lineRule="auto"/>
    </w:pPr>
    <w:tblPr/>
  </w:style>
  <w:style w:type="table" w:styleId="1135">
    <w:name w:val="Grid Table 6 Colorful - Accent 4"/>
    <w:next w:val="1135"/>
    <w:link w:val="1032"/>
    <w:uiPriority w:val="99"/>
    <w:qFormat/>
    <w:pPr>
      <w:spacing w:after="0" w:line="240" w:lineRule="auto"/>
    </w:pPr>
    <w:tblPr/>
  </w:style>
  <w:style w:type="table" w:styleId="1136">
    <w:name w:val="Grid Table 6 Colorful - Accent 5"/>
    <w:next w:val="1136"/>
    <w:link w:val="1032"/>
    <w:uiPriority w:val="99"/>
    <w:qFormat/>
    <w:pPr>
      <w:spacing w:after="0" w:line="240" w:lineRule="auto"/>
    </w:pPr>
    <w:tblPr/>
  </w:style>
  <w:style w:type="table" w:styleId="1137">
    <w:name w:val="Grid Table 6 Colorful - Accent 6"/>
    <w:next w:val="1137"/>
    <w:link w:val="1032"/>
    <w:uiPriority w:val="99"/>
    <w:qFormat/>
    <w:pPr>
      <w:spacing w:after="0" w:line="240" w:lineRule="auto"/>
    </w:pPr>
    <w:tblPr/>
  </w:style>
  <w:style w:type="table" w:styleId="1138">
    <w:name w:val="Grid Table 7 Colorful"/>
    <w:next w:val="1138"/>
    <w:link w:val="1032"/>
    <w:uiPriority w:val="99"/>
    <w:qFormat/>
    <w:pPr>
      <w:spacing w:after="0" w:line="240" w:lineRule="auto"/>
    </w:pPr>
    <w:tblPr/>
  </w:style>
  <w:style w:type="table" w:styleId="1139">
    <w:name w:val="Grid Table 7 Colorful - Accent 1"/>
    <w:next w:val="1139"/>
    <w:link w:val="1032"/>
    <w:uiPriority w:val="99"/>
    <w:qFormat/>
    <w:pPr>
      <w:spacing w:after="0" w:line="240" w:lineRule="auto"/>
    </w:pPr>
    <w:tblPr/>
  </w:style>
  <w:style w:type="table" w:styleId="1140">
    <w:name w:val="Grid Table 7 Colorful - Accent 2"/>
    <w:next w:val="1140"/>
    <w:link w:val="1032"/>
    <w:uiPriority w:val="99"/>
    <w:qFormat/>
    <w:pPr>
      <w:spacing w:after="0" w:line="240" w:lineRule="auto"/>
    </w:pPr>
    <w:tblPr/>
  </w:style>
  <w:style w:type="table" w:styleId="1141">
    <w:name w:val="Grid Table 7 Colorful - Accent 3"/>
    <w:next w:val="1141"/>
    <w:link w:val="1032"/>
    <w:uiPriority w:val="99"/>
    <w:qFormat/>
    <w:pPr>
      <w:spacing w:after="0" w:line="240" w:lineRule="auto"/>
    </w:pPr>
    <w:tblPr/>
  </w:style>
  <w:style w:type="table" w:styleId="1142">
    <w:name w:val="Grid Table 7 Colorful - Accent 4"/>
    <w:next w:val="1142"/>
    <w:link w:val="1032"/>
    <w:uiPriority w:val="99"/>
    <w:qFormat/>
    <w:pPr>
      <w:spacing w:after="0" w:line="240" w:lineRule="auto"/>
    </w:pPr>
    <w:tblPr/>
  </w:style>
  <w:style w:type="table" w:styleId="1143">
    <w:name w:val="Grid Table 7 Colorful - Accent 5"/>
    <w:next w:val="1143"/>
    <w:link w:val="1032"/>
    <w:uiPriority w:val="99"/>
    <w:qFormat/>
    <w:pPr>
      <w:spacing w:after="0" w:line="240" w:lineRule="auto"/>
    </w:pPr>
    <w:tblPr/>
  </w:style>
  <w:style w:type="table" w:styleId="1144">
    <w:name w:val="Grid Table 7 Colorful - Accent 6"/>
    <w:next w:val="1144"/>
    <w:link w:val="1032"/>
    <w:uiPriority w:val="99"/>
    <w:qFormat/>
    <w:pPr>
      <w:spacing w:after="0" w:line="240" w:lineRule="auto"/>
    </w:pPr>
    <w:tblPr/>
  </w:style>
  <w:style w:type="table" w:styleId="1145">
    <w:name w:val="List Table 1 Light"/>
    <w:next w:val="1145"/>
    <w:link w:val="1032"/>
    <w:uiPriority w:val="99"/>
    <w:qFormat/>
    <w:pPr>
      <w:spacing w:after="0" w:line="240" w:lineRule="auto"/>
    </w:pPr>
    <w:tblPr/>
  </w:style>
  <w:style w:type="table" w:styleId="1146">
    <w:name w:val="List Table 1 Light - Accent 1"/>
    <w:next w:val="1146"/>
    <w:link w:val="1032"/>
    <w:uiPriority w:val="99"/>
    <w:qFormat/>
    <w:pPr>
      <w:spacing w:after="0" w:line="240" w:lineRule="auto"/>
    </w:pPr>
    <w:tblPr/>
  </w:style>
  <w:style w:type="table" w:styleId="1147">
    <w:name w:val="List Table 1 Light - Accent 2"/>
    <w:next w:val="1147"/>
    <w:link w:val="1032"/>
    <w:uiPriority w:val="99"/>
    <w:qFormat/>
    <w:pPr>
      <w:spacing w:after="0" w:line="240" w:lineRule="auto"/>
    </w:pPr>
    <w:tblPr/>
  </w:style>
  <w:style w:type="table" w:styleId="1148">
    <w:name w:val="List Table 1 Light - Accent 3"/>
    <w:next w:val="1148"/>
    <w:link w:val="1032"/>
    <w:uiPriority w:val="99"/>
    <w:qFormat/>
    <w:pPr>
      <w:spacing w:after="0" w:line="240" w:lineRule="auto"/>
    </w:pPr>
    <w:tblPr/>
  </w:style>
  <w:style w:type="table" w:styleId="1149">
    <w:name w:val="List Table 1 Light - Accent 4"/>
    <w:next w:val="1149"/>
    <w:link w:val="1032"/>
    <w:uiPriority w:val="99"/>
    <w:qFormat/>
    <w:pPr>
      <w:spacing w:after="0" w:line="240" w:lineRule="auto"/>
    </w:pPr>
    <w:tblPr/>
  </w:style>
  <w:style w:type="table" w:styleId="1150">
    <w:name w:val="List Table 1 Light - Accent 5"/>
    <w:next w:val="1150"/>
    <w:link w:val="1032"/>
    <w:uiPriority w:val="99"/>
    <w:qFormat/>
    <w:pPr>
      <w:spacing w:after="0" w:line="240" w:lineRule="auto"/>
    </w:pPr>
    <w:tblPr/>
  </w:style>
  <w:style w:type="table" w:styleId="1151">
    <w:name w:val="List Table 1 Light - Accent 6"/>
    <w:next w:val="1151"/>
    <w:link w:val="1032"/>
    <w:uiPriority w:val="99"/>
    <w:qFormat/>
    <w:pPr>
      <w:spacing w:after="0" w:line="240" w:lineRule="auto"/>
    </w:pPr>
    <w:tblPr/>
  </w:style>
  <w:style w:type="table" w:styleId="1152">
    <w:name w:val="List Table 2"/>
    <w:next w:val="1152"/>
    <w:link w:val="1032"/>
    <w:uiPriority w:val="99"/>
    <w:qFormat/>
    <w:pPr>
      <w:spacing w:after="0" w:line="240" w:lineRule="auto"/>
    </w:pPr>
    <w:tblPr/>
  </w:style>
  <w:style w:type="table" w:styleId="1153">
    <w:name w:val="List Table 2 - Accent 1"/>
    <w:next w:val="1153"/>
    <w:link w:val="1032"/>
    <w:uiPriority w:val="99"/>
    <w:qFormat/>
    <w:pPr>
      <w:spacing w:after="0" w:line="240" w:lineRule="auto"/>
    </w:pPr>
    <w:tblPr/>
  </w:style>
  <w:style w:type="table" w:styleId="1154">
    <w:name w:val="List Table 2 - Accent 2"/>
    <w:next w:val="1154"/>
    <w:link w:val="1032"/>
    <w:uiPriority w:val="99"/>
    <w:qFormat/>
    <w:pPr>
      <w:spacing w:after="0" w:line="240" w:lineRule="auto"/>
    </w:pPr>
    <w:tblPr/>
  </w:style>
  <w:style w:type="table" w:styleId="1155">
    <w:name w:val="List Table 2 - Accent 3"/>
    <w:next w:val="1155"/>
    <w:link w:val="1032"/>
    <w:uiPriority w:val="99"/>
    <w:qFormat/>
    <w:pPr>
      <w:spacing w:after="0" w:line="240" w:lineRule="auto"/>
    </w:pPr>
    <w:tblPr/>
  </w:style>
  <w:style w:type="table" w:styleId="1156">
    <w:name w:val="List Table 2 - Accent 4"/>
    <w:next w:val="1156"/>
    <w:link w:val="1032"/>
    <w:uiPriority w:val="99"/>
    <w:qFormat/>
    <w:pPr>
      <w:spacing w:after="0" w:line="240" w:lineRule="auto"/>
    </w:pPr>
    <w:tblPr/>
  </w:style>
  <w:style w:type="table" w:styleId="1157">
    <w:name w:val="List Table 2 - Accent 5"/>
    <w:next w:val="1157"/>
    <w:link w:val="1032"/>
    <w:uiPriority w:val="99"/>
    <w:qFormat/>
    <w:pPr>
      <w:spacing w:after="0" w:line="240" w:lineRule="auto"/>
    </w:pPr>
    <w:tblPr/>
  </w:style>
  <w:style w:type="table" w:styleId="1158">
    <w:name w:val="List Table 2 - Accent 6"/>
    <w:next w:val="1158"/>
    <w:link w:val="1032"/>
    <w:uiPriority w:val="99"/>
    <w:qFormat/>
    <w:pPr>
      <w:spacing w:after="0" w:line="240" w:lineRule="auto"/>
    </w:pPr>
    <w:tblPr/>
  </w:style>
  <w:style w:type="table" w:styleId="1159">
    <w:name w:val="List Table 3"/>
    <w:next w:val="1159"/>
    <w:link w:val="1032"/>
    <w:uiPriority w:val="99"/>
    <w:qFormat/>
    <w:pPr>
      <w:spacing w:after="0" w:line="240" w:lineRule="auto"/>
    </w:pPr>
    <w:tblPr/>
  </w:style>
  <w:style w:type="table" w:styleId="1160">
    <w:name w:val="List Table 3 - Accent 1"/>
    <w:next w:val="1160"/>
    <w:link w:val="1032"/>
    <w:uiPriority w:val="99"/>
    <w:qFormat/>
    <w:pPr>
      <w:spacing w:after="0" w:line="240" w:lineRule="auto"/>
    </w:pPr>
    <w:tblPr/>
  </w:style>
  <w:style w:type="table" w:styleId="1161">
    <w:name w:val="List Table 3 - Accent 2"/>
    <w:next w:val="1161"/>
    <w:link w:val="1032"/>
    <w:uiPriority w:val="99"/>
    <w:qFormat/>
    <w:pPr>
      <w:spacing w:after="0" w:line="240" w:lineRule="auto"/>
    </w:pPr>
    <w:tblPr/>
  </w:style>
  <w:style w:type="table" w:styleId="1162">
    <w:name w:val="List Table 3 - Accent 3"/>
    <w:next w:val="1162"/>
    <w:link w:val="1032"/>
    <w:uiPriority w:val="99"/>
    <w:qFormat/>
    <w:pPr>
      <w:spacing w:after="0" w:line="240" w:lineRule="auto"/>
    </w:pPr>
    <w:tblPr/>
  </w:style>
  <w:style w:type="table" w:styleId="1163">
    <w:name w:val="List Table 3 - Accent 4"/>
    <w:next w:val="1163"/>
    <w:link w:val="1032"/>
    <w:uiPriority w:val="99"/>
    <w:qFormat/>
    <w:pPr>
      <w:spacing w:after="0" w:line="240" w:lineRule="auto"/>
    </w:pPr>
    <w:tblPr/>
  </w:style>
  <w:style w:type="table" w:styleId="1164">
    <w:name w:val="List Table 3 - Accent 5"/>
    <w:next w:val="1164"/>
    <w:link w:val="1032"/>
    <w:uiPriority w:val="99"/>
    <w:qFormat/>
    <w:pPr>
      <w:spacing w:after="0" w:line="240" w:lineRule="auto"/>
    </w:pPr>
    <w:tblPr/>
  </w:style>
  <w:style w:type="table" w:styleId="1165">
    <w:name w:val="List Table 3 - Accent 6"/>
    <w:next w:val="1165"/>
    <w:link w:val="1032"/>
    <w:uiPriority w:val="99"/>
    <w:qFormat/>
    <w:pPr>
      <w:spacing w:after="0" w:line="240" w:lineRule="auto"/>
    </w:pPr>
    <w:tblPr/>
  </w:style>
  <w:style w:type="table" w:styleId="1166">
    <w:name w:val="List Table 4"/>
    <w:next w:val="1166"/>
    <w:link w:val="1032"/>
    <w:uiPriority w:val="99"/>
    <w:qFormat/>
    <w:pPr>
      <w:spacing w:after="0" w:line="240" w:lineRule="auto"/>
    </w:pPr>
    <w:tblPr/>
  </w:style>
  <w:style w:type="table" w:styleId="1167">
    <w:name w:val="List Table 4 - Accent 1"/>
    <w:next w:val="1167"/>
    <w:link w:val="1032"/>
    <w:uiPriority w:val="99"/>
    <w:qFormat/>
    <w:pPr>
      <w:spacing w:after="0" w:line="240" w:lineRule="auto"/>
    </w:pPr>
    <w:tblPr/>
  </w:style>
  <w:style w:type="table" w:styleId="1168">
    <w:name w:val="List Table 4 - Accent 2"/>
    <w:next w:val="1168"/>
    <w:link w:val="1032"/>
    <w:uiPriority w:val="99"/>
    <w:qFormat/>
    <w:pPr>
      <w:spacing w:after="0" w:line="240" w:lineRule="auto"/>
    </w:pPr>
    <w:tblPr/>
  </w:style>
  <w:style w:type="table" w:styleId="1169">
    <w:name w:val="List Table 4 - Accent 3"/>
    <w:next w:val="1169"/>
    <w:link w:val="1032"/>
    <w:uiPriority w:val="99"/>
    <w:qFormat/>
    <w:pPr>
      <w:spacing w:after="0" w:line="240" w:lineRule="auto"/>
    </w:pPr>
    <w:tblPr/>
  </w:style>
  <w:style w:type="table" w:styleId="1170">
    <w:name w:val="List Table 4 - Accent 4"/>
    <w:next w:val="1170"/>
    <w:link w:val="1032"/>
    <w:uiPriority w:val="99"/>
    <w:qFormat/>
    <w:pPr>
      <w:spacing w:after="0" w:line="240" w:lineRule="auto"/>
    </w:pPr>
    <w:tblPr/>
  </w:style>
  <w:style w:type="table" w:styleId="1171">
    <w:name w:val="List Table 4 - Accent 5"/>
    <w:next w:val="1171"/>
    <w:link w:val="1032"/>
    <w:uiPriority w:val="99"/>
    <w:qFormat/>
    <w:pPr>
      <w:spacing w:after="0" w:line="240" w:lineRule="auto"/>
    </w:pPr>
    <w:tblPr/>
  </w:style>
  <w:style w:type="table" w:styleId="1172">
    <w:name w:val="List Table 4 - Accent 6"/>
    <w:next w:val="1172"/>
    <w:link w:val="1032"/>
    <w:uiPriority w:val="99"/>
    <w:qFormat/>
    <w:pPr>
      <w:spacing w:after="0" w:line="240" w:lineRule="auto"/>
    </w:pPr>
    <w:tblPr/>
  </w:style>
  <w:style w:type="table" w:styleId="1173">
    <w:name w:val="List Table 5 Dark"/>
    <w:next w:val="1173"/>
    <w:link w:val="1032"/>
    <w:uiPriority w:val="99"/>
    <w:qFormat/>
    <w:pPr>
      <w:spacing w:after="0" w:line="240" w:lineRule="auto"/>
    </w:pPr>
    <w:tblPr/>
  </w:style>
  <w:style w:type="table" w:styleId="1174">
    <w:name w:val="List Table 5 Dark - Accent 1"/>
    <w:next w:val="1174"/>
    <w:link w:val="1032"/>
    <w:uiPriority w:val="99"/>
    <w:qFormat/>
    <w:pPr>
      <w:spacing w:after="0" w:line="240" w:lineRule="auto"/>
    </w:pPr>
    <w:tblPr/>
  </w:style>
  <w:style w:type="table" w:styleId="1175">
    <w:name w:val="List Table 5 Dark - Accent 2"/>
    <w:next w:val="1175"/>
    <w:link w:val="1032"/>
    <w:uiPriority w:val="99"/>
    <w:qFormat/>
    <w:pPr>
      <w:spacing w:after="0" w:line="240" w:lineRule="auto"/>
    </w:pPr>
    <w:tblPr/>
  </w:style>
  <w:style w:type="table" w:styleId="1176">
    <w:name w:val="List Table 5 Dark - Accent 3"/>
    <w:next w:val="1176"/>
    <w:link w:val="1032"/>
    <w:uiPriority w:val="99"/>
    <w:qFormat/>
    <w:pPr>
      <w:spacing w:after="0" w:line="240" w:lineRule="auto"/>
    </w:pPr>
    <w:tblPr/>
  </w:style>
  <w:style w:type="table" w:styleId="1177">
    <w:name w:val="List Table 5 Dark - Accent 4"/>
    <w:next w:val="1177"/>
    <w:link w:val="1032"/>
    <w:uiPriority w:val="99"/>
    <w:qFormat/>
    <w:pPr>
      <w:spacing w:after="0" w:line="240" w:lineRule="auto"/>
    </w:pPr>
    <w:tblPr/>
  </w:style>
  <w:style w:type="table" w:styleId="1178">
    <w:name w:val="List Table 5 Dark - Accent 5"/>
    <w:next w:val="1178"/>
    <w:link w:val="1032"/>
    <w:uiPriority w:val="99"/>
    <w:qFormat/>
    <w:pPr>
      <w:spacing w:after="0" w:line="240" w:lineRule="auto"/>
    </w:pPr>
    <w:tblPr/>
  </w:style>
  <w:style w:type="table" w:styleId="1179">
    <w:name w:val="List Table 5 Dark - Accent 6"/>
    <w:next w:val="1179"/>
    <w:link w:val="1032"/>
    <w:uiPriority w:val="99"/>
    <w:qFormat/>
    <w:pPr>
      <w:spacing w:after="0" w:line="240" w:lineRule="auto"/>
    </w:pPr>
    <w:tblPr/>
  </w:style>
  <w:style w:type="table" w:styleId="1180">
    <w:name w:val="List Table 6 Colorful"/>
    <w:next w:val="1180"/>
    <w:link w:val="1032"/>
    <w:uiPriority w:val="99"/>
    <w:qFormat/>
    <w:pPr>
      <w:spacing w:after="0" w:line="240" w:lineRule="auto"/>
    </w:pPr>
    <w:tblPr/>
  </w:style>
  <w:style w:type="table" w:styleId="1181">
    <w:name w:val="List Table 6 Colorful - Accent 1"/>
    <w:next w:val="1181"/>
    <w:link w:val="1032"/>
    <w:uiPriority w:val="99"/>
    <w:qFormat/>
    <w:pPr>
      <w:spacing w:after="0" w:line="240" w:lineRule="auto"/>
    </w:pPr>
    <w:tblPr/>
  </w:style>
  <w:style w:type="table" w:styleId="1182">
    <w:name w:val="List Table 6 Colorful - Accent 2"/>
    <w:next w:val="1182"/>
    <w:link w:val="1032"/>
    <w:uiPriority w:val="99"/>
    <w:qFormat/>
    <w:pPr>
      <w:spacing w:after="0" w:line="240" w:lineRule="auto"/>
    </w:pPr>
    <w:tblPr/>
  </w:style>
  <w:style w:type="table" w:styleId="1183">
    <w:name w:val="List Table 6 Colorful - Accent 3"/>
    <w:next w:val="1183"/>
    <w:link w:val="1032"/>
    <w:uiPriority w:val="99"/>
    <w:qFormat/>
    <w:pPr>
      <w:spacing w:after="0" w:line="240" w:lineRule="auto"/>
    </w:pPr>
    <w:tblPr/>
  </w:style>
  <w:style w:type="table" w:styleId="1184">
    <w:name w:val="List Table 6 Colorful - Accent 4"/>
    <w:next w:val="1184"/>
    <w:link w:val="1032"/>
    <w:uiPriority w:val="99"/>
    <w:qFormat/>
    <w:pPr>
      <w:spacing w:after="0" w:line="240" w:lineRule="auto"/>
    </w:pPr>
    <w:tblPr/>
  </w:style>
  <w:style w:type="table" w:styleId="1185">
    <w:name w:val="List Table 6 Colorful - Accent 5"/>
    <w:next w:val="1185"/>
    <w:link w:val="1032"/>
    <w:uiPriority w:val="99"/>
    <w:qFormat/>
    <w:pPr>
      <w:spacing w:after="0" w:line="240" w:lineRule="auto"/>
    </w:pPr>
    <w:tblPr/>
  </w:style>
  <w:style w:type="table" w:styleId="1186">
    <w:name w:val="List Table 6 Colorful - Accent 6"/>
    <w:next w:val="1186"/>
    <w:link w:val="1032"/>
    <w:uiPriority w:val="99"/>
    <w:qFormat/>
    <w:pPr>
      <w:spacing w:after="0" w:line="240" w:lineRule="auto"/>
    </w:pPr>
    <w:tblPr/>
  </w:style>
  <w:style w:type="table" w:styleId="1187">
    <w:name w:val="List Table 7 Colorful"/>
    <w:next w:val="1187"/>
    <w:link w:val="1032"/>
    <w:uiPriority w:val="99"/>
    <w:qFormat/>
    <w:pPr>
      <w:spacing w:after="0" w:line="240" w:lineRule="auto"/>
    </w:pPr>
    <w:tblPr/>
  </w:style>
  <w:style w:type="table" w:styleId="1188">
    <w:name w:val="List Table 7 Colorful - Accent 1"/>
    <w:next w:val="1188"/>
    <w:link w:val="1032"/>
    <w:uiPriority w:val="99"/>
    <w:qFormat/>
    <w:pPr>
      <w:spacing w:after="0" w:line="240" w:lineRule="auto"/>
    </w:pPr>
    <w:tblPr/>
  </w:style>
  <w:style w:type="table" w:styleId="1189">
    <w:name w:val="List Table 7 Colorful - Accent 2"/>
    <w:next w:val="1189"/>
    <w:link w:val="1032"/>
    <w:uiPriority w:val="99"/>
    <w:qFormat/>
    <w:pPr>
      <w:spacing w:after="0" w:line="240" w:lineRule="auto"/>
    </w:pPr>
    <w:tblPr/>
  </w:style>
  <w:style w:type="table" w:styleId="1190">
    <w:name w:val="List Table 7 Colorful - Accent 3"/>
    <w:next w:val="1190"/>
    <w:link w:val="1032"/>
    <w:uiPriority w:val="99"/>
    <w:qFormat/>
    <w:pPr>
      <w:spacing w:after="0" w:line="240" w:lineRule="auto"/>
    </w:pPr>
    <w:tblPr/>
  </w:style>
  <w:style w:type="table" w:styleId="1191">
    <w:name w:val="List Table 7 Colorful - Accent 4"/>
    <w:next w:val="1191"/>
    <w:link w:val="1032"/>
    <w:uiPriority w:val="99"/>
    <w:qFormat/>
    <w:pPr>
      <w:spacing w:after="0" w:line="240" w:lineRule="auto"/>
    </w:pPr>
    <w:tblPr/>
  </w:style>
  <w:style w:type="table" w:styleId="1192">
    <w:name w:val="List Table 7 Colorful - Accent 5"/>
    <w:next w:val="1192"/>
    <w:link w:val="1032"/>
    <w:uiPriority w:val="99"/>
    <w:qFormat/>
    <w:pPr>
      <w:spacing w:after="0" w:line="240" w:lineRule="auto"/>
    </w:pPr>
    <w:tblPr/>
  </w:style>
  <w:style w:type="table" w:styleId="1193">
    <w:name w:val="List Table 7 Colorful - Accent 6"/>
    <w:next w:val="1193"/>
    <w:link w:val="1032"/>
    <w:uiPriority w:val="99"/>
    <w:qFormat/>
    <w:pPr>
      <w:spacing w:after="0" w:line="240" w:lineRule="auto"/>
    </w:pPr>
    <w:tblPr/>
  </w:style>
  <w:style w:type="table" w:styleId="1194">
    <w:name w:val="Lined - Accent"/>
    <w:next w:val="1194"/>
    <w:link w:val="1032"/>
    <w:uiPriority w:val="99"/>
    <w:qFormat/>
    <w:pPr>
      <w:spacing w:after="0" w:line="240" w:lineRule="auto"/>
    </w:pPr>
    <w:rPr>
      <w:color w:val="404040"/>
    </w:rPr>
    <w:tblPr/>
  </w:style>
  <w:style w:type="table" w:styleId="1195">
    <w:name w:val="Lined - Accent 1"/>
    <w:next w:val="1195"/>
    <w:link w:val="1032"/>
    <w:uiPriority w:val="99"/>
    <w:qFormat/>
    <w:pPr>
      <w:spacing w:after="0" w:line="240" w:lineRule="auto"/>
    </w:pPr>
    <w:rPr>
      <w:color w:val="404040"/>
    </w:rPr>
    <w:tblPr/>
  </w:style>
  <w:style w:type="table" w:styleId="1196">
    <w:name w:val="Lined - Accent 2"/>
    <w:next w:val="1196"/>
    <w:link w:val="1032"/>
    <w:uiPriority w:val="99"/>
    <w:qFormat/>
    <w:pPr>
      <w:spacing w:after="0" w:line="240" w:lineRule="auto"/>
    </w:pPr>
    <w:rPr>
      <w:color w:val="404040"/>
    </w:rPr>
    <w:tblPr/>
  </w:style>
  <w:style w:type="table" w:styleId="1197">
    <w:name w:val="Lined - Accent 3"/>
    <w:next w:val="1197"/>
    <w:link w:val="1032"/>
    <w:uiPriority w:val="99"/>
    <w:qFormat/>
    <w:pPr>
      <w:spacing w:after="0" w:line="240" w:lineRule="auto"/>
    </w:pPr>
    <w:rPr>
      <w:color w:val="404040"/>
    </w:rPr>
    <w:tblPr/>
  </w:style>
  <w:style w:type="table" w:styleId="1198">
    <w:name w:val="Lined - Accent 4"/>
    <w:next w:val="1198"/>
    <w:link w:val="1032"/>
    <w:uiPriority w:val="99"/>
    <w:qFormat/>
    <w:pPr>
      <w:spacing w:after="0" w:line="240" w:lineRule="auto"/>
    </w:pPr>
    <w:rPr>
      <w:color w:val="404040"/>
    </w:rPr>
    <w:tblPr/>
  </w:style>
  <w:style w:type="table" w:styleId="1199">
    <w:name w:val="Lined - Accent 5"/>
    <w:next w:val="1199"/>
    <w:link w:val="1032"/>
    <w:uiPriority w:val="99"/>
    <w:qFormat/>
    <w:pPr>
      <w:spacing w:after="0" w:line="240" w:lineRule="auto"/>
    </w:pPr>
    <w:rPr>
      <w:color w:val="404040"/>
    </w:rPr>
    <w:tblPr/>
  </w:style>
  <w:style w:type="table" w:styleId="1200">
    <w:name w:val="Lined - Accent 6"/>
    <w:next w:val="1200"/>
    <w:link w:val="1032"/>
    <w:uiPriority w:val="99"/>
    <w:qFormat/>
    <w:pPr>
      <w:spacing w:after="0" w:line="240" w:lineRule="auto"/>
    </w:pPr>
    <w:rPr>
      <w:color w:val="404040"/>
    </w:rPr>
    <w:tblPr/>
  </w:style>
  <w:style w:type="table" w:styleId="1201">
    <w:name w:val="Bordered &amp; Lined - Accent"/>
    <w:next w:val="1201"/>
    <w:link w:val="1032"/>
    <w:uiPriority w:val="99"/>
    <w:qFormat/>
    <w:pPr>
      <w:spacing w:after="0" w:line="240" w:lineRule="auto"/>
    </w:pPr>
    <w:rPr>
      <w:color w:val="404040"/>
    </w:rPr>
    <w:tblPr/>
  </w:style>
  <w:style w:type="table" w:styleId="1202">
    <w:name w:val="Bordered &amp; Lined - Accent 1"/>
    <w:next w:val="1202"/>
    <w:link w:val="1032"/>
    <w:uiPriority w:val="99"/>
    <w:qFormat/>
    <w:pPr>
      <w:spacing w:after="0" w:line="240" w:lineRule="auto"/>
    </w:pPr>
    <w:rPr>
      <w:color w:val="404040"/>
    </w:rPr>
    <w:tblPr/>
  </w:style>
  <w:style w:type="table" w:styleId="1203">
    <w:name w:val="Bordered &amp; Lined - Accent 2"/>
    <w:next w:val="1203"/>
    <w:link w:val="1032"/>
    <w:uiPriority w:val="99"/>
    <w:qFormat/>
    <w:pPr>
      <w:spacing w:after="0" w:line="240" w:lineRule="auto"/>
    </w:pPr>
    <w:rPr>
      <w:color w:val="404040"/>
    </w:rPr>
    <w:tblPr/>
  </w:style>
  <w:style w:type="table" w:styleId="1204">
    <w:name w:val="Bordered &amp; Lined - Accent 3"/>
    <w:next w:val="1204"/>
    <w:link w:val="1032"/>
    <w:uiPriority w:val="99"/>
    <w:qFormat/>
    <w:pPr>
      <w:spacing w:after="0" w:line="240" w:lineRule="auto"/>
    </w:pPr>
    <w:rPr>
      <w:color w:val="404040"/>
    </w:rPr>
    <w:tblPr/>
  </w:style>
  <w:style w:type="table" w:styleId="1205">
    <w:name w:val="Bordered &amp; Lined - Accent 4"/>
    <w:next w:val="1205"/>
    <w:link w:val="1032"/>
    <w:uiPriority w:val="99"/>
    <w:qFormat/>
    <w:pPr>
      <w:spacing w:after="0" w:line="240" w:lineRule="auto"/>
    </w:pPr>
    <w:rPr>
      <w:color w:val="404040"/>
    </w:rPr>
    <w:tblPr/>
  </w:style>
  <w:style w:type="table" w:styleId="1206">
    <w:name w:val="Bordered &amp; Lined - Accent 5"/>
    <w:next w:val="1206"/>
    <w:link w:val="1032"/>
    <w:uiPriority w:val="99"/>
    <w:qFormat/>
    <w:pPr>
      <w:spacing w:after="0" w:line="240" w:lineRule="auto"/>
    </w:pPr>
    <w:rPr>
      <w:color w:val="404040"/>
    </w:rPr>
    <w:tblPr/>
  </w:style>
  <w:style w:type="table" w:styleId="1207">
    <w:name w:val="Bordered &amp; Lined - Accent 6"/>
    <w:next w:val="1207"/>
    <w:link w:val="1032"/>
    <w:uiPriority w:val="99"/>
    <w:qFormat/>
    <w:pPr>
      <w:spacing w:after="0" w:line="240" w:lineRule="auto"/>
    </w:pPr>
    <w:rPr>
      <w:color w:val="404040"/>
    </w:rPr>
    <w:tblPr/>
  </w:style>
  <w:style w:type="table" w:styleId="1208">
    <w:name w:val="Bordered"/>
    <w:next w:val="1208"/>
    <w:link w:val="1032"/>
    <w:uiPriority w:val="99"/>
    <w:qFormat/>
    <w:pPr>
      <w:spacing w:after="0" w:line="240" w:lineRule="auto"/>
    </w:pPr>
    <w:tblPr/>
  </w:style>
  <w:style w:type="table" w:styleId="1209">
    <w:name w:val="Bordered - Accent 1"/>
    <w:next w:val="1209"/>
    <w:link w:val="1032"/>
    <w:uiPriority w:val="99"/>
    <w:qFormat/>
    <w:pPr>
      <w:spacing w:after="0" w:line="240" w:lineRule="auto"/>
    </w:pPr>
    <w:tblPr/>
  </w:style>
  <w:style w:type="table" w:styleId="1210">
    <w:name w:val="Bordered - Accent 2"/>
    <w:next w:val="1210"/>
    <w:link w:val="1032"/>
    <w:uiPriority w:val="99"/>
    <w:qFormat/>
    <w:pPr>
      <w:spacing w:after="0" w:line="240" w:lineRule="auto"/>
    </w:pPr>
    <w:tblPr/>
  </w:style>
  <w:style w:type="table" w:styleId="1211">
    <w:name w:val="Bordered - Accent 3"/>
    <w:next w:val="1211"/>
    <w:link w:val="1032"/>
    <w:uiPriority w:val="99"/>
    <w:qFormat/>
    <w:pPr>
      <w:spacing w:after="0" w:line="240" w:lineRule="auto"/>
    </w:pPr>
    <w:tblPr/>
  </w:style>
  <w:style w:type="table" w:styleId="1212">
    <w:name w:val="Bordered - Accent 4"/>
    <w:next w:val="1212"/>
    <w:link w:val="1032"/>
    <w:uiPriority w:val="99"/>
    <w:qFormat/>
    <w:pPr>
      <w:spacing w:after="0" w:line="240" w:lineRule="auto"/>
    </w:pPr>
    <w:tblPr/>
  </w:style>
  <w:style w:type="table" w:styleId="1213">
    <w:name w:val="Bordered - Accent 5"/>
    <w:next w:val="1213"/>
    <w:link w:val="1032"/>
    <w:uiPriority w:val="99"/>
    <w:qFormat/>
    <w:pPr>
      <w:spacing w:after="0" w:line="240" w:lineRule="auto"/>
    </w:pPr>
    <w:tblPr/>
  </w:style>
  <w:style w:type="table" w:styleId="1214">
    <w:name w:val="Bordered - Accent 6"/>
    <w:next w:val="1214"/>
    <w:link w:val="1032"/>
    <w:uiPriority w:val="99"/>
    <w:qFormat/>
    <w:pPr>
      <w:spacing w:after="0" w:line="240" w:lineRule="auto"/>
    </w:pPr>
    <w:tblPr/>
  </w:style>
  <w:style w:type="paragraph" w:styleId="1215">
    <w:name w:val="TOC Heading"/>
    <w:next w:val="1215"/>
    <w:link w:val="1032"/>
    <w:uiPriority w:val="39"/>
    <w:unhideWhenUsed/>
    <w:qFormat/>
    <w:rPr>
      <w:rFonts w:ascii="Times New Roman" w:hAnsi="Times New Roman" w:eastAsia="宋体" w:cs="Times New Roman"/>
    </w:rPr>
  </w:style>
  <w:style w:type="paragraph" w:styleId="1216">
    <w:name w:val="标题 11"/>
    <w:basedOn w:val="1032"/>
    <w:next w:val="1032"/>
    <w:link w:val="1217"/>
    <w:qFormat/>
    <w:pPr>
      <w:jc w:val="center"/>
      <w:keepLines/>
      <w:keepNext/>
      <w:spacing w:before="240" w:after="120" w:line="300" w:lineRule="auto"/>
      <w:outlineLvl w:val="0"/>
    </w:pPr>
    <w:rPr>
      <w:rFonts w:ascii="宋体"/>
      <w:b/>
      <w:sz w:val="32"/>
      <w:szCs w:val="20"/>
    </w:rPr>
  </w:style>
  <w:style w:type="character" w:styleId="1217">
    <w:name w:val="标题 1 字符"/>
    <w:next w:val="1217"/>
    <w:link w:val="1216"/>
    <w:qFormat/>
    <w:rPr>
      <w:rFonts w:ascii="宋体"/>
      <w:b/>
      <w:sz w:val="32"/>
    </w:rPr>
  </w:style>
  <w:style w:type="paragraph" w:styleId="1218">
    <w:name w:val="标题 21"/>
    <w:basedOn w:val="1032"/>
    <w:next w:val="1032"/>
    <w:link w:val="1219"/>
    <w:qFormat/>
    <w:pPr>
      <w:jc w:val="center"/>
      <w:keepLines/>
      <w:keepNext/>
      <w:spacing w:before="120" w:line="300" w:lineRule="auto"/>
      <w:outlineLvl w:val="1"/>
    </w:pPr>
    <w:rPr>
      <w:rFonts w:ascii="Arial" w:hAnsi="Arial" w:eastAsia="黑体"/>
      <w:b/>
      <w:sz w:val="30"/>
      <w:szCs w:val="20"/>
    </w:rPr>
  </w:style>
  <w:style w:type="character" w:styleId="1219">
    <w:name w:val="标题 2 字符"/>
    <w:next w:val="1219"/>
    <w:link w:val="1218"/>
    <w:qFormat/>
    <w:rPr>
      <w:rFonts w:ascii="Arial" w:hAnsi="Arial" w:eastAsia="黑体"/>
      <w:b/>
      <w:sz w:val="30"/>
      <w:lang w:val="en-US" w:eastAsia="zh-CN" w:bidi="ar-SA"/>
    </w:rPr>
  </w:style>
  <w:style w:type="paragraph" w:styleId="1220">
    <w:name w:val="标题 31"/>
    <w:basedOn w:val="1032"/>
    <w:next w:val="1032"/>
    <w:link w:val="1221"/>
    <w:qFormat/>
    <w:pPr>
      <w:jc w:val="left"/>
      <w:keepLines/>
      <w:keepNext/>
      <w:spacing w:before="360" w:after="120"/>
      <w:outlineLvl w:val="2"/>
    </w:pPr>
    <w:rPr>
      <w:rFonts w:ascii="宋体"/>
      <w:b/>
      <w:sz w:val="24"/>
      <w:szCs w:val="20"/>
      <w:u w:val="single"/>
    </w:rPr>
  </w:style>
  <w:style w:type="character" w:styleId="1221">
    <w:name w:val="标题 3 字符"/>
    <w:next w:val="1221"/>
    <w:link w:val="1220"/>
    <w:qFormat/>
    <w:rPr>
      <w:rFonts w:ascii="宋体" w:eastAsia="宋体"/>
      <w:b/>
      <w:sz w:val="24"/>
      <w:u w:val="single"/>
      <w:lang w:val="en-US" w:eastAsia="zh-CN" w:bidi="ar-SA"/>
    </w:rPr>
  </w:style>
  <w:style w:type="paragraph" w:styleId="1222">
    <w:name w:val="标题 41"/>
    <w:basedOn w:val="1032"/>
    <w:next w:val="1032"/>
    <w:link w:val="1223"/>
    <w:qFormat/>
    <w:pPr>
      <w:keepLines/>
      <w:keepNext/>
      <w:spacing w:before="280" w:after="290" w:line="376" w:lineRule="atLeast"/>
      <w:outlineLvl w:val="3"/>
    </w:pPr>
    <w:rPr>
      <w:rFonts w:ascii="Arial" w:hAnsi="Arial" w:eastAsia="黑体"/>
      <w:b/>
      <w:sz w:val="28"/>
      <w:szCs w:val="20"/>
    </w:rPr>
  </w:style>
  <w:style w:type="character" w:styleId="1223">
    <w:name w:val="标题 4 字符"/>
    <w:next w:val="1223"/>
    <w:link w:val="1222"/>
    <w:qFormat/>
    <w:rPr>
      <w:rFonts w:ascii="Arial" w:hAnsi="Arial" w:eastAsia="黑体"/>
      <w:b/>
      <w:sz w:val="28"/>
    </w:rPr>
  </w:style>
  <w:style w:type="paragraph" w:styleId="1224">
    <w:name w:val="标题 51"/>
    <w:basedOn w:val="1032"/>
    <w:next w:val="1032"/>
    <w:link w:val="1225"/>
    <w:qFormat/>
    <w:pPr>
      <w:keepLines/>
      <w:keepNext/>
      <w:spacing w:before="280" w:after="290" w:line="376" w:lineRule="atLeast"/>
      <w:outlineLvl w:val="4"/>
    </w:pPr>
    <w:rPr>
      <w:b/>
      <w:sz w:val="28"/>
      <w:szCs w:val="20"/>
    </w:rPr>
  </w:style>
  <w:style w:type="character" w:styleId="1225">
    <w:name w:val="标题 5 字符"/>
    <w:next w:val="1225"/>
    <w:link w:val="1224"/>
    <w:qFormat/>
    <w:rPr>
      <w:b/>
      <w:sz w:val="28"/>
    </w:rPr>
  </w:style>
  <w:style w:type="paragraph" w:styleId="1226">
    <w:name w:val="标题 61"/>
    <w:basedOn w:val="1032"/>
    <w:next w:val="1032"/>
    <w:link w:val="1227"/>
    <w:qFormat/>
    <w:pPr>
      <w:keepLines/>
      <w:keepNext/>
      <w:spacing w:before="240" w:after="64" w:line="320" w:lineRule="atLeast"/>
      <w:outlineLvl w:val="5"/>
    </w:pPr>
    <w:rPr>
      <w:rFonts w:ascii="Arial" w:hAnsi="Arial" w:eastAsia="黑体"/>
      <w:b/>
      <w:sz w:val="24"/>
      <w:szCs w:val="20"/>
    </w:rPr>
  </w:style>
  <w:style w:type="character" w:styleId="1227">
    <w:name w:val="标题 6 字符"/>
    <w:next w:val="1227"/>
    <w:link w:val="1226"/>
    <w:qFormat/>
    <w:rPr>
      <w:rFonts w:ascii="Arial" w:hAnsi="Arial" w:eastAsia="黑体"/>
      <w:b/>
      <w:sz w:val="24"/>
    </w:rPr>
  </w:style>
  <w:style w:type="paragraph" w:styleId="1228">
    <w:name w:val="标题 71"/>
    <w:basedOn w:val="1032"/>
    <w:next w:val="1032"/>
    <w:link w:val="1229"/>
    <w:qFormat/>
    <w:pPr>
      <w:keepLines/>
      <w:keepNext/>
      <w:spacing w:before="240" w:after="64" w:line="320" w:lineRule="atLeast"/>
      <w:outlineLvl w:val="6"/>
    </w:pPr>
    <w:rPr>
      <w:b/>
      <w:sz w:val="24"/>
      <w:szCs w:val="20"/>
    </w:rPr>
  </w:style>
  <w:style w:type="character" w:styleId="1229">
    <w:name w:val="标题 7 字符"/>
    <w:next w:val="1229"/>
    <w:link w:val="1228"/>
    <w:qFormat/>
    <w:rPr>
      <w:b/>
      <w:sz w:val="24"/>
    </w:rPr>
  </w:style>
  <w:style w:type="paragraph" w:styleId="1230">
    <w:name w:val="标题 81"/>
    <w:basedOn w:val="1032"/>
    <w:next w:val="1032"/>
    <w:link w:val="1231"/>
    <w:qFormat/>
    <w:pPr>
      <w:keepLines/>
      <w:keepNext/>
      <w:spacing w:before="240" w:after="64" w:line="320" w:lineRule="atLeast"/>
      <w:outlineLvl w:val="7"/>
    </w:pPr>
    <w:rPr>
      <w:rFonts w:ascii="Arial" w:hAnsi="Arial" w:eastAsia="黑体"/>
      <w:sz w:val="24"/>
      <w:szCs w:val="20"/>
    </w:rPr>
  </w:style>
  <w:style w:type="character" w:styleId="1231">
    <w:name w:val="标题 8 字符"/>
    <w:next w:val="1231"/>
    <w:link w:val="1230"/>
    <w:qFormat/>
    <w:rPr>
      <w:rFonts w:ascii="Arial" w:hAnsi="Arial" w:eastAsia="黑体"/>
      <w:sz w:val="24"/>
    </w:rPr>
  </w:style>
  <w:style w:type="paragraph" w:styleId="1232">
    <w:name w:val="标题 91"/>
    <w:basedOn w:val="1032"/>
    <w:next w:val="1032"/>
    <w:link w:val="1233"/>
    <w:qFormat/>
    <w:pPr>
      <w:keepLines/>
      <w:keepNext/>
      <w:spacing w:before="240" w:after="64" w:line="320" w:lineRule="atLeast"/>
      <w:outlineLvl w:val="8"/>
    </w:pPr>
    <w:rPr>
      <w:rFonts w:ascii="Arial" w:hAnsi="Arial" w:eastAsia="黑体"/>
      <w:szCs w:val="20"/>
    </w:rPr>
  </w:style>
  <w:style w:type="character" w:styleId="1233">
    <w:name w:val="标题 9 字符"/>
    <w:next w:val="1233"/>
    <w:link w:val="1232"/>
    <w:qFormat/>
    <w:rPr>
      <w:rFonts w:ascii="Arial" w:hAnsi="Arial" w:eastAsia="黑体"/>
      <w:sz w:val="21"/>
    </w:rPr>
  </w:style>
  <w:style w:type="character" w:styleId="1234">
    <w:name w:val="默认段落字体1"/>
    <w:next w:val="1234"/>
    <w:link w:val="1032"/>
    <w:uiPriority w:val="1"/>
    <w:unhideWhenUsed/>
    <w:qFormat/>
  </w:style>
  <w:style w:type="table" w:styleId="1235">
    <w:name w:val="普通表格1"/>
    <w:next w:val="1235"/>
    <w:link w:val="1032"/>
    <w:uiPriority w:val="99"/>
    <w:unhideWhenUsed/>
    <w:qFormat/>
    <w:tblPr/>
  </w:style>
  <w:style w:type="paragraph" w:styleId="1236">
    <w:name w:val="目录 71"/>
    <w:basedOn w:val="1032"/>
    <w:next w:val="1032"/>
    <w:link w:val="1032"/>
    <w:qFormat/>
    <w:pPr>
      <w:ind w:left="2520"/>
    </w:pPr>
  </w:style>
  <w:style w:type="paragraph" w:styleId="1237">
    <w:name w:val="正文缩进111"/>
    <w:basedOn w:val="1032"/>
    <w:next w:val="1237"/>
    <w:link w:val="1238"/>
    <w:qFormat/>
    <w:pPr>
      <w:ind w:firstLine="420"/>
      <w:jc w:val="left"/>
    </w:pPr>
    <w:rPr>
      <w:rFonts w:ascii="宋体"/>
      <w:sz w:val="24"/>
    </w:rPr>
  </w:style>
  <w:style w:type="character" w:styleId="1238">
    <w:name w:val="正文缩进 字符"/>
    <w:next w:val="1238"/>
    <w:link w:val="1237"/>
    <w:qFormat/>
    <w:rPr>
      <w:rFonts w:ascii="宋体" w:eastAsia="宋体"/>
      <w:sz w:val="24"/>
      <w:szCs w:val="24"/>
      <w:lang w:val="en-US" w:eastAsia="zh-CN" w:bidi="ar-SA"/>
    </w:rPr>
  </w:style>
  <w:style w:type="paragraph" w:styleId="1239">
    <w:name w:val="题注1"/>
    <w:basedOn w:val="1032"/>
    <w:next w:val="1032"/>
    <w:link w:val="1032"/>
    <w:qFormat/>
    <w:pPr>
      <w:spacing w:line="480" w:lineRule="auto"/>
    </w:pPr>
    <w:rPr>
      <w:rFonts w:ascii="华文中宋" w:hAnsi="华文中宋" w:eastAsia="华文中宋"/>
      <w:sz w:val="36"/>
      <w:szCs w:val="20"/>
    </w:rPr>
  </w:style>
  <w:style w:type="paragraph" w:styleId="1240">
    <w:name w:val="文档结构图1"/>
    <w:basedOn w:val="1032"/>
    <w:next w:val="1240"/>
    <w:link w:val="1241"/>
    <w:qFormat/>
    <w:pPr>
      <w:shd w:val="clear" w:color="auto" w:fill="000080"/>
    </w:pPr>
  </w:style>
  <w:style w:type="character" w:styleId="1241">
    <w:name w:val="文档结构图 字符"/>
    <w:next w:val="1241"/>
    <w:link w:val="1240"/>
    <w:qFormat/>
    <w:rPr>
      <w:sz w:val="21"/>
      <w:szCs w:val="24"/>
      <w:shd w:val="clear" w:color="auto" w:fill="000080"/>
    </w:rPr>
  </w:style>
  <w:style w:type="paragraph" w:styleId="1242">
    <w:name w:val="批注文字1"/>
    <w:basedOn w:val="1032"/>
    <w:next w:val="1242"/>
    <w:link w:val="1243"/>
    <w:qFormat/>
    <w:pPr>
      <w:jc w:val="left"/>
    </w:pPr>
  </w:style>
  <w:style w:type="character" w:styleId="1243">
    <w:name w:val="批注文字 字符1"/>
    <w:next w:val="1243"/>
    <w:link w:val="1242"/>
    <w:uiPriority w:val="99"/>
    <w:qFormat/>
    <w:rPr>
      <w:sz w:val="21"/>
      <w:szCs w:val="24"/>
    </w:rPr>
  </w:style>
  <w:style w:type="paragraph" w:styleId="1244">
    <w:name w:val="正文文本 31"/>
    <w:basedOn w:val="1032"/>
    <w:next w:val="1244"/>
    <w:link w:val="1245"/>
    <w:qFormat/>
    <w:pPr>
      <w:spacing w:after="120"/>
    </w:pPr>
    <w:rPr>
      <w:sz w:val="16"/>
      <w:szCs w:val="16"/>
    </w:rPr>
  </w:style>
  <w:style w:type="character" w:styleId="1245">
    <w:name w:val="正文文本 3 字符"/>
    <w:next w:val="1245"/>
    <w:link w:val="1244"/>
    <w:qFormat/>
    <w:rPr>
      <w:sz w:val="16"/>
      <w:szCs w:val="16"/>
    </w:rPr>
  </w:style>
  <w:style w:type="paragraph" w:styleId="1246">
    <w:name w:val="正文文本11"/>
    <w:basedOn w:val="1032"/>
    <w:next w:val="1032"/>
    <w:link w:val="1247"/>
    <w:qFormat/>
    <w:pPr>
      <w:spacing w:before="120" w:line="22" w:lineRule="atLeast"/>
      <w:tabs>
        <w:tab w:val="left" w:pos="567" w:leader="none"/>
      </w:tabs>
    </w:pPr>
    <w:rPr>
      <w:rFonts w:ascii="宋体" w:hAnsi="宋体"/>
      <w:sz w:val="24"/>
    </w:rPr>
  </w:style>
  <w:style w:type="character" w:styleId="1247">
    <w:name w:val="正文文本 字符"/>
    <w:next w:val="1247"/>
    <w:link w:val="1246"/>
    <w:qFormat/>
    <w:rPr>
      <w:rFonts w:ascii="宋体" w:hAnsi="宋体"/>
      <w:sz w:val="24"/>
      <w:szCs w:val="24"/>
    </w:rPr>
  </w:style>
  <w:style w:type="paragraph" w:styleId="1248">
    <w:name w:val="正文文本缩进11"/>
    <w:basedOn w:val="1032"/>
    <w:next w:val="1248"/>
    <w:link w:val="1249"/>
    <w:uiPriority w:val="99"/>
    <w:qFormat/>
    <w:pPr>
      <w:ind w:firstLine="570"/>
      <w:spacing w:line="360" w:lineRule="auto"/>
    </w:pPr>
    <w:rPr>
      <w:sz w:val="24"/>
    </w:rPr>
  </w:style>
  <w:style w:type="character" w:styleId="1249">
    <w:name w:val="正文文本缩进 字符"/>
    <w:next w:val="1249"/>
    <w:link w:val="1248"/>
    <w:uiPriority w:val="99"/>
    <w:qFormat/>
    <w:rPr>
      <w:rFonts w:eastAsia="宋体"/>
      <w:sz w:val="24"/>
      <w:szCs w:val="24"/>
      <w:lang w:val="en-US" w:eastAsia="zh-CN" w:bidi="ar-SA"/>
    </w:rPr>
  </w:style>
  <w:style w:type="paragraph" w:styleId="1250">
    <w:name w:val="列表 21"/>
    <w:basedOn w:val="1032"/>
    <w:next w:val="1250"/>
    <w:link w:val="1032"/>
    <w:qFormat/>
    <w:pPr>
      <w:ind w:left="100" w:hanging="200"/>
    </w:pPr>
  </w:style>
  <w:style w:type="paragraph" w:styleId="1251">
    <w:name w:val="文本块1"/>
    <w:basedOn w:val="1032"/>
    <w:next w:val="1251"/>
    <w:link w:val="1032"/>
    <w:qFormat/>
    <w:pPr>
      <w:ind w:left="480" w:right="-341" w:firstLine="513"/>
      <w:widowControl/>
    </w:pPr>
    <w:rPr>
      <w:sz w:val="24"/>
      <w:szCs w:val="20"/>
    </w:rPr>
  </w:style>
  <w:style w:type="paragraph" w:styleId="1252">
    <w:name w:val="目录 51"/>
    <w:basedOn w:val="1032"/>
    <w:next w:val="1032"/>
    <w:link w:val="1032"/>
    <w:qFormat/>
    <w:pPr>
      <w:ind w:left="1680"/>
    </w:pPr>
  </w:style>
  <w:style w:type="paragraph" w:styleId="1253">
    <w:name w:val="目录 31"/>
    <w:basedOn w:val="1032"/>
    <w:next w:val="1032"/>
    <w:link w:val="1032"/>
    <w:uiPriority w:val="39"/>
    <w:qFormat/>
    <w:pPr>
      <w:ind w:left="840"/>
    </w:pPr>
  </w:style>
  <w:style w:type="paragraph" w:styleId="1254">
    <w:name w:val="纯文本11"/>
    <w:basedOn w:val="1032"/>
    <w:next w:val="1254"/>
    <w:link w:val="1255"/>
    <w:uiPriority w:val="99"/>
    <w:qFormat/>
    <w:rPr>
      <w:rFonts w:hint="eastAsia" w:ascii="宋体" w:hAnsi="Courier New"/>
      <w:szCs w:val="20"/>
    </w:rPr>
  </w:style>
  <w:style w:type="character" w:styleId="1255">
    <w:name w:val="纯文本 字符2"/>
    <w:next w:val="1255"/>
    <w:link w:val="1254"/>
    <w:qFormat/>
    <w:rPr>
      <w:rFonts w:hint="eastAsia" w:ascii="宋体" w:hAnsi="Courier New" w:eastAsia="宋体" w:cs="宋体"/>
      <w:sz w:val="21"/>
    </w:rPr>
  </w:style>
  <w:style w:type="paragraph" w:styleId="1256">
    <w:name w:val="目录 81"/>
    <w:basedOn w:val="1032"/>
    <w:next w:val="1032"/>
    <w:link w:val="1032"/>
    <w:qFormat/>
    <w:pPr>
      <w:ind w:left="2940"/>
    </w:pPr>
  </w:style>
  <w:style w:type="paragraph" w:styleId="1257">
    <w:name w:val="日期1"/>
    <w:basedOn w:val="1032"/>
    <w:next w:val="1032"/>
    <w:link w:val="1258"/>
    <w:qFormat/>
    <w:pPr>
      <w:ind w:left="100"/>
    </w:pPr>
    <w:rPr>
      <w:rFonts w:ascii="仿宋_GB2312" w:hAnsi="宋体" w:eastAsia="仿宋_GB2312"/>
      <w:color w:val="000000"/>
      <w:sz w:val="24"/>
    </w:rPr>
  </w:style>
  <w:style w:type="character" w:styleId="1258">
    <w:name w:val="日期 字符"/>
    <w:next w:val="1258"/>
    <w:link w:val="1257"/>
    <w:qFormat/>
    <w:rPr>
      <w:rFonts w:ascii="仿宋_GB2312" w:hAnsi="宋体" w:eastAsia="仿宋_GB2312"/>
      <w:color w:val="000000"/>
      <w:sz w:val="24"/>
      <w:szCs w:val="24"/>
    </w:rPr>
  </w:style>
  <w:style w:type="paragraph" w:styleId="1259">
    <w:name w:val="正文文本缩进 21"/>
    <w:basedOn w:val="1032"/>
    <w:next w:val="1259"/>
    <w:link w:val="1260"/>
    <w:qFormat/>
    <w:pPr>
      <w:ind w:firstLine="480"/>
    </w:pPr>
    <w:rPr>
      <w:rFonts w:ascii="仿宋_GB2312" w:eastAsia="仿宋_GB2312"/>
      <w:sz w:val="24"/>
    </w:rPr>
  </w:style>
  <w:style w:type="character" w:styleId="1260">
    <w:name w:val="正文文本缩进 2 字符"/>
    <w:next w:val="1260"/>
    <w:link w:val="1259"/>
    <w:qFormat/>
    <w:rPr>
      <w:rFonts w:ascii="仿宋_GB2312" w:eastAsia="仿宋_GB2312"/>
      <w:sz w:val="24"/>
      <w:szCs w:val="24"/>
    </w:rPr>
  </w:style>
  <w:style w:type="paragraph" w:styleId="1261">
    <w:name w:val="批注框文本1"/>
    <w:basedOn w:val="1032"/>
    <w:next w:val="1261"/>
    <w:link w:val="1262"/>
    <w:qFormat/>
    <w:rPr>
      <w:sz w:val="18"/>
      <w:szCs w:val="18"/>
    </w:rPr>
  </w:style>
  <w:style w:type="character" w:styleId="1262">
    <w:name w:val="批注框文本 字符"/>
    <w:next w:val="1262"/>
    <w:link w:val="1261"/>
    <w:qFormat/>
    <w:rPr>
      <w:sz w:val="18"/>
      <w:szCs w:val="18"/>
    </w:rPr>
  </w:style>
  <w:style w:type="paragraph" w:styleId="1263">
    <w:name w:val="页脚1"/>
    <w:basedOn w:val="1032"/>
    <w:next w:val="1263"/>
    <w:link w:val="1264"/>
    <w:uiPriority w:val="99"/>
    <w:qFormat/>
    <w:pPr>
      <w:jc w:val="left"/>
      <w:tabs>
        <w:tab w:val="center" w:pos="4153" w:leader="none"/>
        <w:tab w:val="right" w:pos="8306" w:leader="none"/>
      </w:tabs>
    </w:pPr>
    <w:rPr>
      <w:rFonts w:ascii="宋体"/>
      <w:sz w:val="18"/>
      <w:szCs w:val="20"/>
    </w:rPr>
  </w:style>
  <w:style w:type="character" w:styleId="1264">
    <w:name w:val="页脚 字符1"/>
    <w:next w:val="1264"/>
    <w:link w:val="1263"/>
    <w:uiPriority w:val="99"/>
    <w:qFormat/>
    <w:rPr>
      <w:rFonts w:ascii="宋体" w:eastAsia="宋体"/>
      <w:sz w:val="18"/>
      <w:lang w:val="en-US" w:eastAsia="zh-CN" w:bidi="ar-SA"/>
    </w:rPr>
  </w:style>
  <w:style w:type="paragraph" w:styleId="1265">
    <w:name w:val="页眉1"/>
    <w:basedOn w:val="1032"/>
    <w:next w:val="1265"/>
    <w:link w:val="1266"/>
    <w:qFormat/>
    <w:pPr>
      <w:jc w:val="center"/>
      <w:tabs>
        <w:tab w:val="center" w:pos="4153" w:leader="none"/>
        <w:tab w:val="right" w:pos="8306" w:leader="none"/>
      </w:tabs>
      <w:pBdr>
        <w:bottom w:val="single" w:color="000000" w:sz="6" w:space="1"/>
      </w:pBdr>
    </w:pPr>
    <w:rPr>
      <w:sz w:val="18"/>
      <w:szCs w:val="18"/>
    </w:rPr>
  </w:style>
  <w:style w:type="character" w:styleId="1266">
    <w:name w:val="页眉 字符"/>
    <w:next w:val="1266"/>
    <w:link w:val="1265"/>
    <w:qFormat/>
    <w:rPr>
      <w:rFonts w:eastAsia="宋体"/>
      <w:sz w:val="18"/>
      <w:szCs w:val="18"/>
      <w:lang w:val="en-US" w:eastAsia="zh-CN" w:bidi="ar-SA"/>
    </w:rPr>
  </w:style>
  <w:style w:type="paragraph" w:styleId="1267">
    <w:name w:val="目录 11"/>
    <w:basedOn w:val="1032"/>
    <w:next w:val="1032"/>
    <w:link w:val="1032"/>
    <w:uiPriority w:val="39"/>
    <w:qFormat/>
    <w:pPr>
      <w:spacing w:line="300" w:lineRule="auto"/>
      <w:tabs>
        <w:tab w:val="left" w:pos="1050" w:leader="none"/>
        <w:tab w:val="right" w:pos="8937" w:leader="dot"/>
      </w:tabs>
    </w:pPr>
    <w:rPr>
      <w:rFonts w:ascii="宋体" w:hAnsi="宋体"/>
      <w:b/>
      <w:sz w:val="24"/>
    </w:rPr>
  </w:style>
  <w:style w:type="paragraph" w:styleId="1268">
    <w:name w:val="目录 41"/>
    <w:basedOn w:val="1032"/>
    <w:next w:val="1032"/>
    <w:link w:val="1032"/>
    <w:qFormat/>
    <w:pPr>
      <w:ind w:left="1260"/>
    </w:pPr>
  </w:style>
  <w:style w:type="paragraph" w:styleId="1269">
    <w:name w:val="目录 61"/>
    <w:basedOn w:val="1032"/>
    <w:next w:val="1032"/>
    <w:link w:val="1032"/>
    <w:qFormat/>
    <w:pPr>
      <w:ind w:left="2100"/>
    </w:pPr>
  </w:style>
  <w:style w:type="paragraph" w:styleId="1270">
    <w:name w:val="正文文本缩进 31"/>
    <w:basedOn w:val="1032"/>
    <w:next w:val="1270"/>
    <w:link w:val="1271"/>
    <w:qFormat/>
    <w:pPr>
      <w:ind w:left="720" w:firstLine="480"/>
      <w:jc w:val="left"/>
      <w:spacing w:before="120" w:line="22" w:lineRule="atLeast"/>
    </w:pPr>
    <w:rPr>
      <w:rFonts w:ascii="宋体"/>
      <w:sz w:val="24"/>
      <w:szCs w:val="20"/>
    </w:rPr>
  </w:style>
  <w:style w:type="character" w:styleId="1271">
    <w:name w:val="正文文本缩进 3 字符"/>
    <w:next w:val="1271"/>
    <w:link w:val="1270"/>
    <w:qFormat/>
    <w:rPr>
      <w:rFonts w:ascii="宋体"/>
      <w:sz w:val="24"/>
    </w:rPr>
  </w:style>
  <w:style w:type="paragraph" w:styleId="1272">
    <w:name w:val="目录 21"/>
    <w:basedOn w:val="1032"/>
    <w:next w:val="1032"/>
    <w:link w:val="1032"/>
    <w:uiPriority w:val="39"/>
    <w:qFormat/>
    <w:pPr>
      <w:ind w:left="420"/>
      <w:spacing w:line="312" w:lineRule="auto"/>
      <w:tabs>
        <w:tab w:val="right" w:pos="8937" w:leader="dot"/>
      </w:tabs>
    </w:pPr>
  </w:style>
  <w:style w:type="paragraph" w:styleId="1273">
    <w:name w:val="目录 91"/>
    <w:basedOn w:val="1032"/>
    <w:next w:val="1032"/>
    <w:link w:val="1032"/>
    <w:qFormat/>
    <w:pPr>
      <w:ind w:left="3360"/>
    </w:pPr>
  </w:style>
  <w:style w:type="paragraph" w:styleId="1274">
    <w:name w:val="HTML 预设格式1"/>
    <w:basedOn w:val="1032"/>
    <w:next w:val="1274"/>
    <w:link w:val="12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75">
    <w:name w:val="HTML 预设格式 字符"/>
    <w:next w:val="1275"/>
    <w:link w:val="1274"/>
    <w:qFormat/>
    <w:rPr>
      <w:rFonts w:ascii="宋体" w:hAnsi="宋体" w:cs="宋体"/>
      <w:sz w:val="24"/>
      <w:szCs w:val="24"/>
    </w:rPr>
  </w:style>
  <w:style w:type="paragraph" w:styleId="1276">
    <w:name w:val="普通(网站)1"/>
    <w:basedOn w:val="1032"/>
    <w:next w:val="1276"/>
    <w:link w:val="1277"/>
    <w:uiPriority w:val="99"/>
    <w:unhideWhenUsed/>
    <w:qFormat/>
    <w:pPr>
      <w:jc w:val="left"/>
      <w:spacing w:before="100" w:beforeAutospacing="1" w:after="100" w:afterAutospacing="1"/>
      <w:widowControl/>
    </w:pPr>
    <w:rPr>
      <w:rFonts w:ascii="宋体" w:hAnsi="宋体"/>
      <w:sz w:val="24"/>
    </w:rPr>
  </w:style>
  <w:style w:type="character" w:styleId="1277">
    <w:name w:val="普通(网站) 字符"/>
    <w:next w:val="1277"/>
    <w:link w:val="1276"/>
    <w:uiPriority w:val="99"/>
    <w:qFormat/>
    <w:rPr>
      <w:rFonts w:ascii="宋体" w:hAnsi="宋体" w:cs="宋体"/>
      <w:sz w:val="24"/>
      <w:szCs w:val="24"/>
    </w:rPr>
  </w:style>
  <w:style w:type="paragraph" w:styleId="1278">
    <w:name w:val="索引 11"/>
    <w:basedOn w:val="1032"/>
    <w:next w:val="1032"/>
    <w:link w:val="1032"/>
    <w:qFormat/>
    <w:rPr>
      <w:szCs w:val="20"/>
    </w:rPr>
  </w:style>
  <w:style w:type="paragraph" w:styleId="1279">
    <w:name w:val="标题1"/>
    <w:basedOn w:val="1032"/>
    <w:next w:val="1279"/>
    <w:link w:val="1280"/>
    <w:qFormat/>
    <w:pPr>
      <w:jc w:val="center"/>
      <w:outlineLvl w:val="0"/>
    </w:pPr>
    <w:rPr>
      <w:b/>
      <w:sz w:val="32"/>
      <w:szCs w:val="20"/>
    </w:rPr>
  </w:style>
  <w:style w:type="character" w:styleId="1280">
    <w:name w:val="标题 字符"/>
    <w:next w:val="1280"/>
    <w:link w:val="1279"/>
    <w:qFormat/>
    <w:rPr>
      <w:b/>
      <w:sz w:val="32"/>
    </w:rPr>
  </w:style>
  <w:style w:type="paragraph" w:styleId="1281">
    <w:name w:val="批注主题1"/>
    <w:basedOn w:val="1242"/>
    <w:next w:val="1242"/>
    <w:link w:val="1282"/>
    <w:qFormat/>
    <w:rPr>
      <w:b/>
      <w:bCs/>
      <w:lang w:val="en-US" w:eastAsia="zh-CN"/>
    </w:rPr>
  </w:style>
  <w:style w:type="character" w:styleId="1282">
    <w:name w:val="批注主题 字符"/>
    <w:next w:val="1282"/>
    <w:link w:val="1281"/>
    <w:qFormat/>
    <w:rPr>
      <w:rFonts w:ascii="Times New Roman" w:hAnsi="Times New Roman" w:eastAsia="宋体" w:cs="Times New Roman"/>
      <w:b/>
      <w:bCs/>
      <w:sz w:val="21"/>
      <w:szCs w:val="24"/>
      <w:lang w:val="en-US" w:eastAsia="zh-CN" w:bidi="ar-SA"/>
    </w:rPr>
  </w:style>
  <w:style w:type="paragraph" w:styleId="1283">
    <w:name w:val="正文首行缩进 21"/>
    <w:basedOn w:val="1248"/>
    <w:next w:val="1032"/>
    <w:link w:val="1284"/>
    <w:qFormat/>
    <w:pPr>
      <w:ind w:left="420" w:firstLine="420"/>
      <w:spacing w:after="120" w:line="480" w:lineRule="exact"/>
    </w:pPr>
  </w:style>
  <w:style w:type="character" w:styleId="1284">
    <w:name w:val="正文文本首行缩进 2 字符"/>
    <w:next w:val="1284"/>
    <w:link w:val="1283"/>
    <w:qFormat/>
    <w:rPr>
      <w:rFonts w:eastAsia="宋体"/>
      <w:sz w:val="24"/>
      <w:szCs w:val="24"/>
      <w:lang w:val="en-US" w:eastAsia="zh-CN" w:bidi="ar-SA"/>
    </w:rPr>
  </w:style>
  <w:style w:type="table" w:styleId="1285">
    <w:name w:val="网格型11"/>
    <w:basedOn w:val="1235"/>
    <w:next w:val="1285"/>
    <w:link w:val="1032"/>
    <w:uiPriority w:val="39"/>
    <w:qFormat/>
    <w:tblPr/>
  </w:style>
  <w:style w:type="table" w:styleId="1286">
    <w:name w:val="中等深浅网格 1 - 强调文字颜色 21"/>
    <w:basedOn w:val="1235"/>
    <w:next w:val="1286"/>
    <w:link w:val="1032"/>
    <w:qFormat/>
    <w:rPr>
      <w:sz w:val="21"/>
      <w:szCs w:val="24"/>
    </w:rPr>
    <w:tblPr/>
  </w:style>
  <w:style w:type="character" w:styleId="1287">
    <w:name w:val="要点1"/>
    <w:next w:val="1287"/>
    <w:link w:val="1032"/>
    <w:qFormat/>
    <w:rPr>
      <w:b/>
      <w:bCs/>
    </w:rPr>
  </w:style>
  <w:style w:type="character" w:styleId="1288">
    <w:name w:val="页码1"/>
    <w:next w:val="1288"/>
    <w:link w:val="1032"/>
    <w:qFormat/>
  </w:style>
  <w:style w:type="character" w:styleId="1289">
    <w:name w:val="已访问的超链接1"/>
    <w:next w:val="1289"/>
    <w:link w:val="1032"/>
    <w:qFormat/>
    <w:rPr>
      <w:color w:val="000000"/>
      <w:u w:val="none"/>
    </w:rPr>
  </w:style>
  <w:style w:type="character" w:styleId="1290">
    <w:name w:val="强调1"/>
    <w:next w:val="1290"/>
    <w:link w:val="1032"/>
    <w:qFormat/>
    <w:rPr>
      <w:color w:val="cc0033"/>
    </w:rPr>
  </w:style>
  <w:style w:type="character" w:styleId="1291">
    <w:name w:val="HTML 定义1"/>
    <w:next w:val="1291"/>
    <w:link w:val="1032"/>
    <w:qFormat/>
  </w:style>
  <w:style w:type="character" w:styleId="1292">
    <w:name w:val="HTML 打字机1"/>
    <w:next w:val="1292"/>
    <w:link w:val="1032"/>
    <w:qFormat/>
    <w:rPr>
      <w:rFonts w:ascii="monospace" w:hAnsi="monospace" w:eastAsia="monospace" w:cs="monospace"/>
      <w:sz w:val="20"/>
    </w:rPr>
  </w:style>
  <w:style w:type="character" w:styleId="1293">
    <w:name w:val="HTML 缩写1"/>
    <w:next w:val="1293"/>
    <w:link w:val="1032"/>
    <w:qFormat/>
  </w:style>
  <w:style w:type="character" w:styleId="1294">
    <w:name w:val="HTML 变量1"/>
    <w:next w:val="1294"/>
    <w:link w:val="1032"/>
    <w:qFormat/>
  </w:style>
  <w:style w:type="character" w:styleId="1295">
    <w:name w:val="超链接1"/>
    <w:next w:val="1295"/>
    <w:link w:val="1032"/>
    <w:uiPriority w:val="99"/>
    <w:qFormat/>
    <w:rPr>
      <w:color w:val="000000"/>
      <w:u w:val="none"/>
    </w:rPr>
  </w:style>
  <w:style w:type="character" w:styleId="1296">
    <w:name w:val="HTML 代码1"/>
    <w:next w:val="1296"/>
    <w:link w:val="1032"/>
    <w:qFormat/>
    <w:rPr>
      <w:rFonts w:ascii="monospace" w:hAnsi="monospace" w:eastAsia="monospace" w:cs="monospace"/>
      <w:sz w:val="20"/>
    </w:rPr>
  </w:style>
  <w:style w:type="character" w:styleId="1297">
    <w:name w:val="批注引用1"/>
    <w:next w:val="1297"/>
    <w:link w:val="1032"/>
    <w:uiPriority w:val="99"/>
    <w:qFormat/>
    <w:rPr>
      <w:sz w:val="21"/>
      <w:szCs w:val="21"/>
    </w:rPr>
  </w:style>
  <w:style w:type="character" w:styleId="1298">
    <w:name w:val="HTML 引文1"/>
    <w:next w:val="1298"/>
    <w:link w:val="1032"/>
    <w:qFormat/>
    <w:rPr>
      <w:i/>
      <w:iCs/>
    </w:rPr>
  </w:style>
  <w:style w:type="character" w:styleId="1299">
    <w:name w:val="HTML 键盘1"/>
    <w:next w:val="1299"/>
    <w:link w:val="1032"/>
    <w:qFormat/>
    <w:rPr>
      <w:rFonts w:ascii="monospace" w:hAnsi="monospace" w:eastAsia="monospace" w:cs="monospace"/>
      <w:sz w:val="20"/>
    </w:rPr>
  </w:style>
  <w:style w:type="character" w:styleId="1300">
    <w:name w:val="HTML 样本1"/>
    <w:next w:val="1300"/>
    <w:link w:val="1032"/>
    <w:qFormat/>
    <w:rPr>
      <w:rFonts w:ascii="monospace" w:hAnsi="monospace" w:eastAsia="monospace" w:cs="monospace"/>
    </w:rPr>
  </w:style>
  <w:style w:type="character" w:styleId="1301">
    <w:name w:val="批注文字 字符"/>
    <w:next w:val="1301"/>
    <w:link w:val="1032"/>
    <w:qFormat/>
    <w:rPr>
      <w:rFonts w:ascii="Times New Roman" w:hAnsi="Times New Roman" w:eastAsia="宋体" w:cs="Times New Roman"/>
      <w:sz w:val="24"/>
      <w:lang w:val="en-US" w:eastAsia="zh-CN" w:bidi="ar-SA"/>
    </w:rPr>
  </w:style>
  <w:style w:type="character" w:styleId="1302">
    <w:name w:val="c21"/>
    <w:next w:val="1302"/>
    <w:link w:val="1032"/>
    <w:qFormat/>
    <w:rPr>
      <w:rFonts w:ascii="ˎ̥" w:hAnsi="ˎ̥"/>
      <w:color w:val="000000"/>
      <w:sz w:val="20"/>
      <w:szCs w:val="20"/>
      <w:u w:val="none"/>
    </w:rPr>
  </w:style>
  <w:style w:type="character" w:styleId="1303">
    <w:name w:val="title4"/>
    <w:next w:val="1303"/>
    <w:link w:val="1032"/>
    <w:qFormat/>
    <w:rPr>
      <w:b/>
      <w:bCs/>
      <w:color w:val="1d87b3"/>
      <w:sz w:val="15"/>
      <w:szCs w:val="15"/>
    </w:rPr>
  </w:style>
  <w:style w:type="character" w:styleId="1304">
    <w:name w:val="标题 2 Char Char"/>
    <w:next w:val="1304"/>
    <w:link w:val="1032"/>
    <w:qFormat/>
    <w:rPr>
      <w:rFonts w:ascii="Arial" w:hAnsi="Arial" w:eastAsia="黑体"/>
      <w:b/>
      <w:bCs/>
      <w:sz w:val="32"/>
      <w:szCs w:val="32"/>
      <w:lang w:val="en-US" w:eastAsia="zh-CN" w:bidi="ar-SA"/>
    </w:rPr>
  </w:style>
  <w:style w:type="character" w:styleId="1305">
    <w:name w:val="black1"/>
    <w:next w:val="1305"/>
    <w:link w:val="1032"/>
    <w:qFormat/>
    <w:rPr>
      <w:color w:val="000000"/>
    </w:rPr>
  </w:style>
  <w:style w:type="character" w:styleId="1306">
    <w:name w:val="street-address"/>
    <w:next w:val="1306"/>
    <w:link w:val="1032"/>
    <w:qFormat/>
  </w:style>
  <w:style w:type="character" w:styleId="1307">
    <w:name w:val="locality"/>
    <w:next w:val="1307"/>
    <w:link w:val="1032"/>
    <w:qFormat/>
  </w:style>
  <w:style w:type="character" w:styleId="1308">
    <w:name w:val="正文文本缩进 Char1"/>
    <w:next w:val="1308"/>
    <w:link w:val="1309"/>
    <w:qFormat/>
    <w:rPr>
      <w:rFonts w:ascii="宋体" w:hAnsi="宋体" w:eastAsia="宋体"/>
      <w:sz w:val="24"/>
      <w:szCs w:val="24"/>
      <w:lang w:bidi="ar-SA"/>
    </w:rPr>
  </w:style>
  <w:style w:type="paragraph" w:styleId="1309">
    <w:name w:val="正文文本缩进1"/>
    <w:basedOn w:val="1032"/>
    <w:next w:val="1309"/>
    <w:link w:val="1308"/>
    <w:qFormat/>
    <w:pPr>
      <w:ind w:firstLine="480"/>
      <w:spacing w:line="480" w:lineRule="exact"/>
    </w:pPr>
    <w:rPr>
      <w:rFonts w:ascii="宋体" w:hAnsi="宋体"/>
      <w:sz w:val="24"/>
    </w:rPr>
  </w:style>
  <w:style w:type="character" w:styleId="1310">
    <w:name w:val="Char Char11"/>
    <w:next w:val="1310"/>
    <w:link w:val="1032"/>
    <w:qFormat/>
    <w:rPr>
      <w:rFonts w:ascii="宋体" w:eastAsia="宋体"/>
      <w:b/>
      <w:sz w:val="24"/>
      <w:u w:val="single"/>
      <w:lang w:val="en-US" w:eastAsia="zh-CN" w:bidi="ar-SA"/>
    </w:rPr>
  </w:style>
  <w:style w:type="character" w:styleId="1311">
    <w:name w:val="txt"/>
    <w:next w:val="1311"/>
    <w:link w:val="1032"/>
    <w:qFormat/>
  </w:style>
  <w:style w:type="character" w:styleId="1312">
    <w:name w:val="正文缩进 Char Char"/>
    <w:next w:val="1312"/>
    <w:link w:val="1313"/>
    <w:qFormat/>
    <w:rPr>
      <w:rFonts w:ascii="宋体" w:eastAsia="宋体"/>
      <w:color w:val="000000"/>
      <w:sz w:val="28"/>
      <w:lang w:bidi="ar-SA"/>
    </w:rPr>
  </w:style>
  <w:style w:type="paragraph" w:styleId="1313">
    <w:name w:val="正文缩进1"/>
    <w:basedOn w:val="1032"/>
    <w:next w:val="1032"/>
    <w:link w:val="1312"/>
    <w:qFormat/>
    <w:pPr>
      <w:ind w:firstLine="567"/>
      <w:spacing w:line="480" w:lineRule="exact"/>
      <w:widowControl/>
    </w:pPr>
    <w:rPr>
      <w:rFonts w:ascii="宋体"/>
      <w:color w:val="000000"/>
      <w:sz w:val="28"/>
      <w:szCs w:val="20"/>
    </w:rPr>
  </w:style>
  <w:style w:type="character" w:styleId="1314">
    <w:name w:val="普通文字1 Char1"/>
    <w:next w:val="1314"/>
    <w:link w:val="1032"/>
    <w:qFormat/>
    <w:rPr>
      <w:rFonts w:ascii="宋体" w:hAnsi="Courier New" w:eastAsia="宋体"/>
      <w:sz w:val="21"/>
      <w:lang w:val="en-US" w:eastAsia="zh-CN" w:bidi="ar-SA"/>
    </w:rPr>
  </w:style>
  <w:style w:type="character" w:styleId="1315">
    <w:name w:val="chanpin1"/>
    <w:next w:val="1315"/>
    <w:link w:val="1032"/>
    <w:qFormat/>
    <w:rPr>
      <w:rFonts w:ascii="ˎ̥" w:hAnsi="ˎ̥"/>
      <w:color w:val="000000"/>
      <w:sz w:val="20"/>
      <w:szCs w:val="20"/>
      <w:u w:val="none"/>
    </w:rPr>
  </w:style>
  <w:style w:type="character" w:styleId="1316">
    <w:name w:val="列表段落 字符"/>
    <w:next w:val="1316"/>
    <w:link w:val="1317"/>
    <w:uiPriority w:val="34"/>
    <w:qFormat/>
    <w:rPr>
      <w:rFonts w:ascii="Calibri" w:hAnsi="Calibri" w:eastAsia="宋体"/>
      <w:sz w:val="21"/>
      <w:szCs w:val="22"/>
      <w:lang w:val="en-US" w:eastAsia="zh-CN" w:bidi="ar-SA"/>
    </w:rPr>
  </w:style>
  <w:style w:type="paragraph" w:styleId="1317">
    <w:name w:val="列表段落"/>
    <w:basedOn w:val="1032"/>
    <w:next w:val="1317"/>
    <w:link w:val="1316"/>
    <w:uiPriority w:val="34"/>
    <w:qFormat/>
    <w:pPr>
      <w:ind w:firstLine="420"/>
    </w:pPr>
    <w:rPr>
      <w:rFonts w:ascii="Calibri" w:hAnsi="Calibri"/>
      <w:szCs w:val="22"/>
    </w:rPr>
  </w:style>
  <w:style w:type="character" w:styleId="1318">
    <w:name w:val="标题 3 Char Char"/>
    <w:next w:val="1318"/>
    <w:link w:val="1032"/>
    <w:qFormat/>
    <w:rPr>
      <w:rFonts w:eastAsia="宋体"/>
      <w:b/>
      <w:bCs/>
      <w:sz w:val="32"/>
      <w:szCs w:val="32"/>
      <w:lang w:val="en-US" w:eastAsia="zh-CN" w:bidi="ar-SA"/>
    </w:rPr>
  </w:style>
  <w:style w:type="character" w:styleId="1319">
    <w:name w:val="段1 Char"/>
    <w:next w:val="1319"/>
    <w:link w:val="1032"/>
    <w:qFormat/>
    <w:rPr>
      <w:rFonts w:ascii="宋体" w:eastAsia="宋体"/>
      <w:sz w:val="24"/>
      <w:lang w:val="en-US" w:eastAsia="zh-CN" w:bidi="ar-SA"/>
    </w:rPr>
  </w:style>
  <w:style w:type="character" w:styleId="1320">
    <w:name w:val="chanpin拷贝"/>
    <w:next w:val="1320"/>
    <w:link w:val="1032"/>
    <w:qFormat/>
  </w:style>
  <w:style w:type="character" w:styleId="1321">
    <w:name w:val="纯文本 Char1"/>
    <w:next w:val="1321"/>
    <w:link w:val="1322"/>
    <w:qFormat/>
    <w:rPr>
      <w:rFonts w:ascii="宋体" w:hAnsi="Courier New" w:eastAsia="宋体"/>
      <w:sz w:val="21"/>
      <w:lang w:val="en-US" w:eastAsia="zh-CN" w:bidi="ar-SA"/>
    </w:rPr>
  </w:style>
  <w:style w:type="paragraph" w:styleId="1322">
    <w:name w:val="纯文本1"/>
    <w:basedOn w:val="1032"/>
    <w:next w:val="1322"/>
    <w:link w:val="1321"/>
    <w:qFormat/>
    <w:rPr>
      <w:rFonts w:ascii="宋体" w:hAnsi="Courier New"/>
      <w:szCs w:val="20"/>
    </w:rPr>
  </w:style>
  <w:style w:type="character" w:styleId="1323">
    <w:name w:val="apple-style-span"/>
    <w:next w:val="1323"/>
    <w:link w:val="1032"/>
    <w:qFormat/>
    <w:rPr>
      <w:rFonts w:cs="Times New Roman"/>
    </w:rPr>
  </w:style>
  <w:style w:type="paragraph" w:styleId="1324">
    <w:name w:val="二级条标题"/>
    <w:basedOn w:val="1325"/>
    <w:next w:val="1032"/>
    <w:link w:val="1032"/>
    <w:qFormat/>
    <w:pPr>
      <w:numPr>
        <w:ilvl w:val="0"/>
        <w:numId w:val="0"/>
      </w:numPr>
      <w:ind w:hanging="840"/>
      <w:tabs>
        <w:tab w:val="left" w:pos="360" w:leader="none"/>
        <w:tab w:val="left" w:pos="840" w:leader="none"/>
      </w:tabs>
      <w:outlineLvl w:val="2"/>
    </w:pPr>
    <w:rPr>
      <w:rFonts w:ascii="宋体" w:eastAsia="宋体"/>
      <w:b w:val="0"/>
    </w:rPr>
  </w:style>
  <w:style w:type="paragraph" w:styleId="1325">
    <w:name w:val="一级条标题"/>
    <w:basedOn w:val="1326"/>
    <w:next w:val="1032"/>
    <w:link w:val="1032"/>
    <w:qFormat/>
    <w:pPr>
      <w:numPr>
        <w:ilvl w:val="1"/>
      </w:numPr>
      <w:ind w:left="0" w:hanging="840"/>
      <w:tabs>
        <w:tab w:val="left" w:pos="360" w:leader="none"/>
        <w:tab w:val="left" w:pos="840" w:leader="none"/>
      </w:tabs>
      <w:outlineLvl w:val="1"/>
    </w:pPr>
  </w:style>
  <w:style w:type="paragraph" w:styleId="1326">
    <w:name w:val="章标题"/>
    <w:next w:val="1032"/>
    <w:link w:val="1032"/>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27">
    <w:name w:val="font7"/>
    <w:basedOn w:val="1032"/>
    <w:next w:val="1327"/>
    <w:link w:val="1032"/>
    <w:qFormat/>
    <w:pPr>
      <w:jc w:val="left"/>
      <w:spacing w:before="100" w:beforeAutospacing="1" w:after="100" w:afterAutospacing="1"/>
      <w:widowControl/>
    </w:pPr>
    <w:rPr>
      <w:rFonts w:eastAsia="Arial Unicode MS"/>
      <w:b/>
      <w:bCs/>
      <w:color w:val="000000"/>
      <w:sz w:val="20"/>
      <w:szCs w:val="20"/>
    </w:rPr>
  </w:style>
  <w:style w:type="paragraph" w:styleId="1328">
    <w:name w:val="字元 字元"/>
    <w:basedOn w:val="1032"/>
    <w:next w:val="1328"/>
    <w:link w:val="1032"/>
    <w:qFormat/>
    <w:rPr>
      <w:rFonts w:ascii="Tahoma" w:hAnsi="Tahoma"/>
      <w:sz w:val="24"/>
      <w:szCs w:val="20"/>
    </w:rPr>
  </w:style>
  <w:style w:type="paragraph" w:styleId="1329">
    <w:name w:val="Char3 Char Char Char"/>
    <w:basedOn w:val="1032"/>
    <w:next w:val="1329"/>
    <w:link w:val="1032"/>
    <w:qFormat/>
    <w:rPr>
      <w:rFonts w:ascii="Tahoma" w:hAnsi="Tahoma"/>
      <w:sz w:val="24"/>
      <w:szCs w:val="20"/>
    </w:rPr>
  </w:style>
  <w:style w:type="paragraph" w:styleId="1330">
    <w:name w:val="font6"/>
    <w:basedOn w:val="1032"/>
    <w:next w:val="1330"/>
    <w:link w:val="1032"/>
    <w:qFormat/>
    <w:pPr>
      <w:jc w:val="left"/>
      <w:spacing w:before="100" w:beforeAutospacing="1" w:after="100" w:afterAutospacing="1"/>
      <w:widowControl/>
    </w:pPr>
    <w:rPr>
      <w:rFonts w:ascii="宋体" w:hAnsi="宋体" w:cs="宋体"/>
      <w:sz w:val="20"/>
      <w:szCs w:val="20"/>
    </w:rPr>
  </w:style>
  <w:style w:type="paragraph" w:styleId="1331">
    <w:name w:val="项目编号2"/>
    <w:basedOn w:val="1332"/>
    <w:next w:val="1331"/>
    <w:link w:val="1032"/>
    <w:qFormat/>
    <w:pPr>
      <w:numPr>
        <w:numId w:val="3"/>
      </w:numPr>
    </w:pPr>
  </w:style>
  <w:style w:type="paragraph" w:styleId="1332">
    <w:name w:val="项目编号1"/>
    <w:basedOn w:val="1032"/>
    <w:next w:val="1332"/>
    <w:link w:val="1032"/>
    <w:qFormat/>
    <w:pPr>
      <w:numPr>
        <w:ilvl w:val="0"/>
        <w:numId w:val="2"/>
      </w:numPr>
      <w:spacing w:before="100" w:beforeAutospacing="1" w:after="100" w:afterAutospacing="1" w:line="360" w:lineRule="auto"/>
    </w:pPr>
    <w:rPr>
      <w:sz w:val="24"/>
    </w:rPr>
  </w:style>
  <w:style w:type="paragraph" w:styleId="1333">
    <w:name w:val="图中文字"/>
    <w:basedOn w:val="1032"/>
    <w:next w:val="1333"/>
    <w:link w:val="1032"/>
    <w:qFormat/>
    <w:pPr>
      <w:jc w:val="center"/>
      <w:spacing w:line="0" w:lineRule="atLeast"/>
    </w:pPr>
    <w:rPr>
      <w:sz w:val="24"/>
      <w:szCs w:val="20"/>
    </w:rPr>
  </w:style>
  <w:style w:type="paragraph" w:styleId="1334">
    <w:name w:val="xl46"/>
    <w:basedOn w:val="1032"/>
    <w:next w:val="1334"/>
    <w:link w:val="103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5">
    <w:name w:val="xl25"/>
    <w:basedOn w:val="1032"/>
    <w:next w:val="1335"/>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6">
    <w:name w:val="Char2"/>
    <w:basedOn w:val="1032"/>
    <w:next w:val="1336"/>
    <w:link w:val="1032"/>
    <w:qFormat/>
    <w:rPr>
      <w:rFonts w:ascii="Tahoma" w:hAnsi="Tahoma"/>
      <w:sz w:val="24"/>
      <w:szCs w:val="20"/>
    </w:rPr>
  </w:style>
  <w:style w:type="paragraph" w:styleId="1337">
    <w:name w:val="xl35"/>
    <w:basedOn w:val="1032"/>
    <w:next w:val="1337"/>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8">
    <w:name w:val="xl40"/>
    <w:basedOn w:val="1032"/>
    <w:next w:val="1338"/>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9">
    <w:name w:val="xl52"/>
    <w:basedOn w:val="1032"/>
    <w:next w:val="1339"/>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0">
    <w:name w:val="xl43"/>
    <w:basedOn w:val="1032"/>
    <w:next w:val="1340"/>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1">
    <w:name w:val="background1"/>
    <w:basedOn w:val="1032"/>
    <w:next w:val="1341"/>
    <w:link w:val="1032"/>
    <w:qFormat/>
    <w:pPr>
      <w:jc w:val="left"/>
      <w:spacing w:before="100" w:beforeAutospacing="1" w:after="100" w:afterAutospacing="1"/>
      <w:widowControl/>
    </w:pPr>
    <w:rPr>
      <w:rFonts w:ascii="宋体" w:hAnsi="宋体" w:cs="宋体"/>
      <w:sz w:val="24"/>
    </w:rPr>
  </w:style>
  <w:style w:type="paragraph" w:styleId="1342">
    <w:name w:val="Char Char Char Char Char Char Char"/>
    <w:basedOn w:val="1032"/>
    <w:next w:val="1342"/>
    <w:link w:val="1032"/>
    <w:qFormat/>
    <w:pPr>
      <w:ind w:firstLine="200"/>
      <w:spacing w:line="360" w:lineRule="auto"/>
    </w:pPr>
    <w:rPr>
      <w:rFonts w:eastAsia="仿宋_GB2312"/>
      <w:sz w:val="24"/>
    </w:rPr>
  </w:style>
  <w:style w:type="paragraph" w:styleId="1343">
    <w:name w:val="xl38"/>
    <w:basedOn w:val="1032"/>
    <w:next w:val="1343"/>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4">
    <w:name w:val="xl36"/>
    <w:basedOn w:val="1032"/>
    <w:next w:val="1344"/>
    <w:link w:val="103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5">
    <w:name w:val="正文 + 宋体"/>
    <w:basedOn w:val="1032"/>
    <w:next w:val="1345"/>
    <w:link w:val="1032"/>
    <w:qFormat/>
    <w:pPr>
      <w:ind w:left="360" w:hanging="360"/>
      <w:jc w:val="left"/>
      <w:widowControl/>
    </w:pPr>
    <w:rPr>
      <w:rFonts w:ascii="宋体" w:hAnsi="宋体" w:cs="宋体"/>
      <w:b/>
      <w:bCs/>
      <w:color w:val="000000"/>
      <w:sz w:val="18"/>
      <w:szCs w:val="18"/>
    </w:rPr>
  </w:style>
  <w:style w:type="paragraph" w:styleId="1346">
    <w:name w:val="正文列项_数字"/>
    <w:basedOn w:val="1032"/>
    <w:next w:val="1346"/>
    <w:link w:val="1032"/>
    <w:qFormat/>
    <w:pPr>
      <w:numPr>
        <w:ilvl w:val="7"/>
        <w:numId w:val="1"/>
      </w:numPr>
      <w:ind w:left="680" w:hanging="150"/>
      <w:spacing w:line="460" w:lineRule="exact"/>
      <w:tabs>
        <w:tab w:val="clear" w:pos="860" w:leader="none"/>
      </w:tabs>
      <w:outlineLvl w:val="7"/>
    </w:pPr>
    <w:rPr>
      <w:rFonts w:ascii="宋体"/>
      <w:sz w:val="28"/>
      <w:szCs w:val="20"/>
    </w:rPr>
  </w:style>
  <w:style w:type="paragraph" w:styleId="1347">
    <w:name w:val="xl39"/>
    <w:basedOn w:val="1032"/>
    <w:next w:val="1347"/>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8">
    <w:name w:val="xl37"/>
    <w:basedOn w:val="1032"/>
    <w:next w:val="1348"/>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9">
    <w:name w:val="xl32"/>
    <w:basedOn w:val="1032"/>
    <w:next w:val="1349"/>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0">
    <w:name w:val="font8"/>
    <w:basedOn w:val="1032"/>
    <w:next w:val="1350"/>
    <w:link w:val="1032"/>
    <w:qFormat/>
    <w:pPr>
      <w:jc w:val="left"/>
      <w:spacing w:before="100" w:beforeAutospacing="1" w:after="100" w:afterAutospacing="1"/>
      <w:widowControl/>
    </w:pPr>
    <w:rPr>
      <w:sz w:val="36"/>
      <w:szCs w:val="36"/>
    </w:rPr>
  </w:style>
  <w:style w:type="paragraph" w:styleId="1351">
    <w:name w:val="Char"/>
    <w:basedOn w:val="1032"/>
    <w:next w:val="1351"/>
    <w:link w:val="1032"/>
    <w:qFormat/>
    <w:pPr>
      <w:tabs>
        <w:tab w:val="left" w:pos="360" w:leader="none"/>
      </w:tabs>
    </w:pPr>
    <w:rPr>
      <w:sz w:val="24"/>
    </w:rPr>
  </w:style>
  <w:style w:type="paragraph" w:styleId="1352">
    <w:name w:val="Char Char Char Char Char Char Char Char Char Char Char Char Char Char Char Char"/>
    <w:basedOn w:val="1032"/>
    <w:next w:val="1352"/>
    <w:link w:val="1032"/>
    <w:qFormat/>
    <w:pPr>
      <w:jc w:val="center"/>
      <w:spacing w:after="160" w:line="240" w:lineRule="exact"/>
      <w:widowControl/>
    </w:pPr>
    <w:rPr>
      <w:rFonts w:ascii="宋体" w:hAnsi="宋体"/>
      <w:b/>
      <w:sz w:val="30"/>
      <w:szCs w:val="30"/>
      <w:lang w:eastAsia="en-US"/>
    </w:rPr>
  </w:style>
  <w:style w:type="paragraph" w:styleId="1353">
    <w:name w:val="xl45"/>
    <w:basedOn w:val="1032"/>
    <w:next w:val="1353"/>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4">
    <w:name w:val="Char Char1 Char Char Char Char Char Char"/>
    <w:basedOn w:val="1032"/>
    <w:next w:val="1354"/>
    <w:link w:val="1032"/>
    <w:qFormat/>
    <w:pPr>
      <w:jc w:val="left"/>
      <w:spacing w:after="160" w:line="240" w:lineRule="exact"/>
      <w:widowControl/>
    </w:pPr>
    <w:rPr>
      <w:rFonts w:ascii="Verdana" w:hAnsi="Verdana" w:eastAsia="仿宋_GB2312"/>
      <w:sz w:val="24"/>
      <w:szCs w:val="20"/>
      <w:lang w:eastAsia="en-US"/>
    </w:rPr>
  </w:style>
  <w:style w:type="paragraph" w:styleId="1355">
    <w:name w:val="Char Char1"/>
    <w:basedOn w:val="1240"/>
    <w:next w:val="1355"/>
    <w:link w:val="1032"/>
    <w:qFormat/>
    <w:rPr>
      <w:rFonts w:ascii="Tahoma" w:hAnsi="Tahoma"/>
      <w:sz w:val="24"/>
    </w:rPr>
  </w:style>
  <w:style w:type="paragraph" w:styleId="1356">
    <w:name w:val="xl26"/>
    <w:basedOn w:val="1032"/>
    <w:next w:val="1356"/>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7">
    <w:name w:val="xl30"/>
    <w:basedOn w:val="1032"/>
    <w:next w:val="135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8">
    <w:name w:val="xl41"/>
    <w:basedOn w:val="1032"/>
    <w:next w:val="1358"/>
    <w:link w:val="10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9">
    <w:name w:val="样式 宋体 五号 行距: 单倍行距"/>
    <w:basedOn w:val="1032"/>
    <w:next w:val="1359"/>
    <w:link w:val="1032"/>
    <w:qFormat/>
    <w:pPr>
      <w:jc w:val="left"/>
    </w:pPr>
    <w:rPr>
      <w:rFonts w:ascii="宋体" w:hAnsi="宋体"/>
      <w:szCs w:val="20"/>
    </w:rPr>
  </w:style>
  <w:style w:type="paragraph" w:styleId="1360">
    <w:name w:val="Char1 Char Char Char1"/>
    <w:basedOn w:val="1032"/>
    <w:next w:val="1360"/>
    <w:link w:val="1032"/>
    <w:qFormat/>
    <w:rPr>
      <w:rFonts w:ascii="Tahoma" w:hAnsi="Tahoma" w:cs="仿宋_GB2312"/>
      <w:sz w:val="24"/>
      <w:szCs w:val="28"/>
    </w:rPr>
  </w:style>
  <w:style w:type="paragraph" w:styleId="1361">
    <w:name w:val="四级条标题"/>
    <w:basedOn w:val="1362"/>
    <w:next w:val="1032"/>
    <w:link w:val="1032"/>
    <w:qFormat/>
    <w:pPr>
      <w:numPr>
        <w:ilvl w:val="4"/>
      </w:numPr>
      <w:ind w:left="0" w:hanging="840"/>
      <w:tabs>
        <w:tab w:val="left" w:pos="360" w:leader="none"/>
        <w:tab w:val="left" w:pos="840" w:leader="none"/>
      </w:tabs>
      <w:outlineLvl w:val="4"/>
    </w:pPr>
  </w:style>
  <w:style w:type="paragraph" w:styleId="1362">
    <w:name w:val="三级条标题"/>
    <w:basedOn w:val="1324"/>
    <w:next w:val="1032"/>
    <w:link w:val="1032"/>
    <w:qFormat/>
    <w:pPr>
      <w:numPr>
        <w:ilvl w:val="3"/>
        <w:numId w:val="1"/>
      </w:numPr>
      <w:ind w:left="0" w:hanging="840"/>
      <w:tabs>
        <w:tab w:val="left" w:pos="360" w:leader="none"/>
        <w:tab w:val="left" w:pos="840" w:leader="none"/>
      </w:tabs>
      <w:outlineLvl w:val="3"/>
    </w:pPr>
  </w:style>
  <w:style w:type="paragraph" w:styleId="1363">
    <w:name w:val="??"/>
    <w:next w:val="1363"/>
    <w:link w:val="1032"/>
    <w:qFormat/>
    <w:pPr>
      <w:jc w:val="both"/>
      <w:widowControl w:val="off"/>
    </w:pPr>
    <w:rPr>
      <w:rFonts w:ascii="Times New Roman" w:hAnsi="Times New Roman" w:eastAsia="宋体" w:cs="Times New Roman"/>
      <w:sz w:val="21"/>
      <w:lang w:val="en-US" w:eastAsia="en-US" w:bidi="ar-SA"/>
    </w:rPr>
  </w:style>
  <w:style w:type="paragraph" w:styleId="1364">
    <w:name w:val="样式 标题 2 + 宋体 五号 行距: 单倍行距"/>
    <w:basedOn w:val="1218"/>
    <w:next w:val="1364"/>
    <w:link w:val="103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65">
    <w:name w:val="List Paragraph1"/>
    <w:basedOn w:val="1032"/>
    <w:next w:val="1365"/>
    <w:link w:val="1032"/>
    <w:qFormat/>
    <w:pPr>
      <w:ind w:firstLine="420"/>
    </w:pPr>
    <w:rPr>
      <w:rFonts w:ascii="Calibri" w:hAnsi="Calibri"/>
      <w:szCs w:val="22"/>
    </w:rPr>
  </w:style>
  <w:style w:type="paragraph" w:styleId="1366">
    <w:name w:val="项目符号1"/>
    <w:basedOn w:val="1367"/>
    <w:next w:val="1366"/>
    <w:link w:val="1032"/>
    <w:qFormat/>
    <w:pPr>
      <w:ind w:left="-25" w:firstLine="0"/>
    </w:pPr>
  </w:style>
  <w:style w:type="paragraph" w:styleId="1367">
    <w:name w:val="正文文本样式"/>
    <w:basedOn w:val="1032"/>
    <w:next w:val="1367"/>
    <w:link w:val="1032"/>
    <w:qFormat/>
    <w:pPr>
      <w:ind w:firstLine="482"/>
      <w:spacing w:line="360" w:lineRule="auto"/>
    </w:pPr>
    <w:rPr>
      <w:rFonts w:cs="宋体"/>
      <w:sz w:val="24"/>
      <w:szCs w:val="20"/>
    </w:rPr>
  </w:style>
  <w:style w:type="paragraph" w:styleId="1368">
    <w:name w:val="xl27"/>
    <w:basedOn w:val="1032"/>
    <w:next w:val="136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9">
    <w:name w:val="font5"/>
    <w:basedOn w:val="1032"/>
    <w:next w:val="1369"/>
    <w:link w:val="1032"/>
    <w:qFormat/>
    <w:pPr>
      <w:jc w:val="left"/>
      <w:spacing w:before="100" w:beforeAutospacing="1" w:after="100" w:afterAutospacing="1"/>
      <w:widowControl/>
    </w:pPr>
    <w:rPr>
      <w:rFonts w:ascii="宋体" w:hAnsi="宋体" w:cs="宋体"/>
      <w:sz w:val="18"/>
      <w:szCs w:val="18"/>
    </w:rPr>
  </w:style>
  <w:style w:type="paragraph" w:styleId="1370">
    <w:name w:val="五级条标题"/>
    <w:basedOn w:val="1361"/>
    <w:next w:val="1032"/>
    <w:link w:val="1032"/>
    <w:qFormat/>
    <w:pPr>
      <w:numPr>
        <w:ilvl w:val="5"/>
      </w:numPr>
      <w:ind w:left="0" w:hanging="840"/>
      <w:tabs>
        <w:tab w:val="left" w:pos="360" w:leader="none"/>
        <w:tab w:val="left" w:pos="840" w:leader="none"/>
      </w:tabs>
      <w:outlineLvl w:val="5"/>
    </w:pPr>
  </w:style>
  <w:style w:type="paragraph" w:styleId="1371">
    <w:name w:val="xl49"/>
    <w:basedOn w:val="1032"/>
    <w:next w:val="1371"/>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2">
    <w:name w:val="文档正文"/>
    <w:basedOn w:val="1032"/>
    <w:next w:val="1372"/>
    <w:link w:val="1032"/>
    <w:qFormat/>
    <w:pPr>
      <w:spacing w:before="120" w:after="120" w:line="180" w:lineRule="auto"/>
    </w:pPr>
    <w:rPr>
      <w:rFonts w:ascii="Arial" w:hAnsi="Arial"/>
      <w:szCs w:val="20"/>
    </w:rPr>
  </w:style>
  <w:style w:type="paragraph" w:styleId="1373">
    <w:name w:val="xl33"/>
    <w:basedOn w:val="1032"/>
    <w:next w:val="1373"/>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4">
    <w:name w:val="xl42"/>
    <w:basedOn w:val="1032"/>
    <w:next w:val="1374"/>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5">
    <w:name w:val="Char Char Char1 Char"/>
    <w:basedOn w:val="1032"/>
    <w:next w:val="1375"/>
    <w:link w:val="1032"/>
    <w:qFormat/>
    <w:rPr>
      <w:rFonts w:ascii="Tahoma" w:hAnsi="Tahoma"/>
      <w:sz w:val="24"/>
      <w:szCs w:val="20"/>
    </w:rPr>
  </w:style>
  <w:style w:type="paragraph" w:styleId="1376">
    <w:name w:val="xl44"/>
    <w:basedOn w:val="1032"/>
    <w:next w:val="1376"/>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7">
    <w:name w:val="1名"/>
    <w:basedOn w:val="1032"/>
    <w:next w:val="1377"/>
    <w:link w:val="1032"/>
    <w:qFormat/>
    <w:pPr>
      <w:numPr>
        <w:ilvl w:val="0"/>
        <w:numId w:val="5"/>
      </w:numPr>
      <w:spacing w:before="120"/>
      <w:tabs>
        <w:tab w:val="left" w:pos="360" w:leader="none"/>
      </w:tabs>
    </w:pPr>
    <w:rPr>
      <w:rFonts w:ascii="宋体"/>
      <w:sz w:val="28"/>
      <w:szCs w:val="20"/>
    </w:rPr>
  </w:style>
  <w:style w:type="paragraph" w:styleId="1378">
    <w:name w:val="font9"/>
    <w:basedOn w:val="1032"/>
    <w:next w:val="1378"/>
    <w:link w:val="1032"/>
    <w:qFormat/>
    <w:pPr>
      <w:jc w:val="left"/>
      <w:spacing w:before="100" w:beforeAutospacing="1" w:after="100" w:afterAutospacing="1"/>
      <w:widowControl/>
    </w:pPr>
    <w:rPr>
      <w:rFonts w:hint="eastAsia" w:ascii="宋体" w:hAnsi="宋体" w:cs="Arial Unicode MS"/>
      <w:color w:val="000000"/>
      <w:sz w:val="20"/>
      <w:szCs w:val="20"/>
    </w:rPr>
  </w:style>
  <w:style w:type="paragraph" w:styleId="1379">
    <w:name w:val="Char Char Char1 Char1"/>
    <w:basedOn w:val="1032"/>
    <w:next w:val="1379"/>
    <w:link w:val="1032"/>
    <w:qFormat/>
    <w:rPr>
      <w:rFonts w:ascii="Tahoma" w:hAnsi="Tahoma"/>
      <w:sz w:val="24"/>
      <w:szCs w:val="20"/>
    </w:rPr>
  </w:style>
  <w:style w:type="paragraph" w:styleId="1380">
    <w:name w:val="Char Char Char Char Char Char Char Char Char Char"/>
    <w:basedOn w:val="1032"/>
    <w:next w:val="1380"/>
    <w:link w:val="1032"/>
    <w:qFormat/>
  </w:style>
  <w:style w:type="paragraph" w:styleId="1381">
    <w:name w:val="Char Char1 Char Char Char Char Char Char Char Char"/>
    <w:basedOn w:val="1032"/>
    <w:next w:val="1381"/>
    <w:link w:val="1032"/>
    <w:qFormat/>
    <w:pPr>
      <w:jc w:val="left"/>
      <w:spacing w:after="160" w:line="240" w:lineRule="exact"/>
      <w:widowControl/>
    </w:pPr>
    <w:rPr>
      <w:rFonts w:ascii="Verdana" w:hAnsi="Verdana"/>
      <w:sz w:val="20"/>
      <w:szCs w:val="20"/>
      <w:lang w:eastAsia="en-US"/>
    </w:rPr>
  </w:style>
  <w:style w:type="paragraph" w:styleId="1382">
    <w:name w:val="Char1"/>
    <w:basedOn w:val="1032"/>
    <w:next w:val="1382"/>
    <w:link w:val="1032"/>
    <w:qFormat/>
    <w:pPr>
      <w:tabs>
        <w:tab w:val="left" w:pos="360" w:leader="none"/>
      </w:tabs>
    </w:pPr>
    <w:rPr>
      <w:sz w:val="24"/>
    </w:rPr>
  </w:style>
  <w:style w:type="paragraph" w:styleId="1383">
    <w:name w:val="正文列项_字母"/>
    <w:basedOn w:val="1032"/>
    <w:next w:val="1383"/>
    <w:link w:val="1032"/>
    <w:qFormat/>
    <w:pPr>
      <w:numPr>
        <w:ilvl w:val="6"/>
        <w:numId w:val="1"/>
      </w:numPr>
      <w:ind w:left="480" w:hanging="180"/>
      <w:spacing w:line="460" w:lineRule="exact"/>
      <w:tabs>
        <w:tab w:val="clear" w:pos="635" w:leader="none"/>
      </w:tabs>
      <w:outlineLvl w:val="6"/>
    </w:pPr>
    <w:rPr>
      <w:rFonts w:ascii="宋体"/>
      <w:sz w:val="28"/>
      <w:szCs w:val="20"/>
    </w:rPr>
  </w:style>
  <w:style w:type="paragraph" w:styleId="1384">
    <w:name w:val="xl28"/>
    <w:basedOn w:val="1032"/>
    <w:next w:val="1384"/>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5">
    <w:name w:val="xl47"/>
    <w:basedOn w:val="1032"/>
    <w:next w:val="1385"/>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6">
    <w:name w:val="默认段落字体 Para Char Char Char Char"/>
    <w:basedOn w:val="1032"/>
    <w:next w:val="1386"/>
    <w:link w:val="1032"/>
    <w:qFormat/>
    <w:rPr>
      <w:rFonts w:ascii="Arial" w:hAnsi="Arial" w:cs="Arial"/>
      <w:szCs w:val="21"/>
    </w:rPr>
  </w:style>
  <w:style w:type="paragraph" w:styleId="1387">
    <w:name w:val="xl48"/>
    <w:basedOn w:val="1032"/>
    <w:next w:val="1387"/>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8">
    <w:name w:val="xl31"/>
    <w:basedOn w:val="1032"/>
    <w:next w:val="1388"/>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9">
    <w:name w:val="xl53"/>
    <w:basedOn w:val="1032"/>
    <w:next w:val="1389"/>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name w:val="Char Char Char"/>
    <w:basedOn w:val="1032"/>
    <w:next w:val="1390"/>
    <w:link w:val="1032"/>
    <w:qFormat/>
    <w:rPr>
      <w:rFonts w:ascii="Tahoma" w:hAnsi="Tahoma"/>
      <w:sz w:val="24"/>
      <w:szCs w:val="20"/>
    </w:rPr>
  </w:style>
  <w:style w:type="paragraph" w:styleId="1391">
    <w:name w:val="xl50"/>
    <w:basedOn w:val="1032"/>
    <w:next w:val="139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2">
    <w:name w:val="缺省文本"/>
    <w:basedOn w:val="1032"/>
    <w:next w:val="1392"/>
    <w:link w:val="1032"/>
    <w:qFormat/>
    <w:pPr>
      <w:jc w:val="left"/>
    </w:pPr>
    <w:rPr>
      <w:sz w:val="24"/>
    </w:rPr>
  </w:style>
  <w:style w:type="paragraph" w:styleId="1393">
    <w:name w:val="Char Char Char1"/>
    <w:basedOn w:val="1032"/>
    <w:next w:val="1393"/>
    <w:link w:val="1032"/>
    <w:qFormat/>
    <w:rPr>
      <w:rFonts w:ascii="Tahoma" w:hAnsi="Tahoma"/>
      <w:sz w:val="24"/>
      <w:szCs w:val="20"/>
    </w:rPr>
  </w:style>
  <w:style w:type="paragraph" w:styleId="1394">
    <w:name w:val="Char Char Char Char Char Char Char1"/>
    <w:basedOn w:val="1032"/>
    <w:next w:val="1394"/>
    <w:link w:val="1032"/>
    <w:qFormat/>
    <w:pPr>
      <w:ind w:firstLine="200"/>
      <w:spacing w:line="360" w:lineRule="auto"/>
    </w:pPr>
    <w:rPr>
      <w:rFonts w:eastAsia="仿宋_GB2312"/>
      <w:sz w:val="24"/>
    </w:rPr>
  </w:style>
  <w:style w:type="paragraph" w:styleId="1395">
    <w:name w:val="xl51"/>
    <w:basedOn w:val="1032"/>
    <w:next w:val="1395"/>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6">
    <w:name w:val="样式2"/>
    <w:basedOn w:val="1278"/>
    <w:next w:val="1396"/>
    <w:link w:val="1032"/>
    <w:qFormat/>
    <w:pPr>
      <w:jc w:val="center"/>
      <w:spacing w:line="360" w:lineRule="auto"/>
    </w:pPr>
    <w:rPr>
      <w:sz w:val="24"/>
    </w:rPr>
  </w:style>
  <w:style w:type="paragraph" w:styleId="1397">
    <w:name w:val="xl24"/>
    <w:basedOn w:val="1032"/>
    <w:next w:val="139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8">
    <w:name w:val="xl29"/>
    <w:basedOn w:val="1032"/>
    <w:next w:val="139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9">
    <w:name w:val="正文 + 楷体_GB2312"/>
    <w:basedOn w:val="1032"/>
    <w:next w:val="1399"/>
    <w:link w:val="1032"/>
    <w:qFormat/>
    <w:pPr>
      <w:jc w:val="left"/>
      <w:widowControl/>
    </w:pPr>
    <w:rPr>
      <w:rFonts w:ascii="楷体_GB2312" w:eastAsia="楷体_GB2312" w:cs="Arial"/>
      <w:sz w:val="24"/>
    </w:rPr>
  </w:style>
  <w:style w:type="paragraph" w:styleId="1400">
    <w:name w:val="xl34"/>
    <w:basedOn w:val="1032"/>
    <w:next w:val="140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1">
    <w:name w:val="1 Char Char Char Char"/>
    <w:basedOn w:val="1032"/>
    <w:next w:val="1401"/>
    <w:link w:val="1032"/>
    <w:qFormat/>
    <w:rPr>
      <w:rFonts w:ascii="Tahoma" w:hAnsi="Tahoma"/>
      <w:sz w:val="24"/>
      <w:szCs w:val="20"/>
    </w:rPr>
  </w:style>
  <w:style w:type="paragraph" w:styleId="1402">
    <w:name w:val="Default"/>
    <w:next w:val="1032"/>
    <w:link w:val="1032"/>
    <w:qFormat/>
    <w:pPr>
      <w:widowControl w:val="off"/>
    </w:pPr>
    <w:rPr>
      <w:rFonts w:ascii="Symbol" w:hAnsi="Symbol" w:eastAsia="宋体" w:cs="Symbol"/>
      <w:color w:val="000000"/>
      <w:sz w:val="24"/>
      <w:szCs w:val="24"/>
      <w:lang w:val="en-US" w:eastAsia="zh-CN" w:bidi="ar-SA"/>
    </w:rPr>
  </w:style>
  <w:style w:type="paragraph" w:styleId="1403">
    <w:name w:val="列出段落1"/>
    <w:basedOn w:val="1032"/>
    <w:next w:val="1403"/>
    <w:link w:val="1032"/>
    <w:qFormat/>
    <w:pPr>
      <w:ind w:firstLine="420"/>
    </w:pPr>
    <w:rPr>
      <w:rFonts w:ascii="Calibri" w:hAnsi="Calibri"/>
      <w:szCs w:val="22"/>
    </w:rPr>
  </w:style>
  <w:style w:type="paragraph" w:styleId="1404">
    <w:name w:val="default"/>
    <w:basedOn w:val="1032"/>
    <w:next w:val="1404"/>
    <w:link w:val="1032"/>
    <w:qFormat/>
    <w:pPr>
      <w:jc w:val="left"/>
      <w:spacing w:before="100" w:beforeAutospacing="1" w:after="100" w:afterAutospacing="1"/>
      <w:widowControl/>
    </w:pPr>
    <w:rPr>
      <w:rFonts w:ascii="宋体" w:hAnsi="宋体" w:cs="宋体"/>
      <w:sz w:val="24"/>
    </w:rPr>
  </w:style>
  <w:style w:type="paragraph" w:styleId="1405">
    <w:name w:val="字元 字元1"/>
    <w:basedOn w:val="1032"/>
    <w:next w:val="1405"/>
    <w:link w:val="1032"/>
    <w:qFormat/>
    <w:rPr>
      <w:rFonts w:ascii="Tahoma" w:hAnsi="Tahoma"/>
      <w:sz w:val="24"/>
      <w:szCs w:val="20"/>
    </w:rPr>
  </w:style>
  <w:style w:type="paragraph" w:styleId="1406">
    <w:name w:val="_Style 160"/>
    <w:next w:val="1406"/>
    <w:link w:val="1032"/>
    <w:qFormat/>
    <w:rPr>
      <w:rFonts w:ascii="Times New Roman" w:hAnsi="Times New Roman" w:eastAsia="宋体" w:cs="Times New Roman"/>
      <w:sz w:val="21"/>
      <w:szCs w:val="24"/>
      <w:lang w:val="en-US" w:eastAsia="zh-CN" w:bidi="ar-SA"/>
    </w:rPr>
  </w:style>
  <w:style w:type="paragraph" w:styleId="1407">
    <w:name w:val="项目编号3"/>
    <w:basedOn w:val="1367"/>
    <w:next w:val="1407"/>
    <w:link w:val="1032"/>
    <w:qFormat/>
    <w:pPr>
      <w:numPr>
        <w:ilvl w:val="0"/>
        <w:numId w:val="6"/>
      </w:numPr>
    </w:pPr>
  </w:style>
  <w:style w:type="paragraph" w:styleId="1408">
    <w:name w:val="Char21"/>
    <w:basedOn w:val="1032"/>
    <w:next w:val="1408"/>
    <w:link w:val="1032"/>
    <w:qFormat/>
    <w:rPr>
      <w:rFonts w:ascii="Tahoma" w:hAnsi="Tahoma"/>
      <w:sz w:val="24"/>
      <w:szCs w:val="20"/>
    </w:rPr>
  </w:style>
  <w:style w:type="paragraph" w:styleId="1409">
    <w:name w:val="表格文字"/>
    <w:basedOn w:val="1248"/>
    <w:next w:val="1409"/>
    <w:link w:val="1032"/>
    <w:qFormat/>
    <w:pPr>
      <w:ind w:firstLine="0"/>
      <w:spacing w:before="20" w:after="20" w:line="240" w:lineRule="auto"/>
    </w:pPr>
    <w:rPr>
      <w:rFonts w:ascii="Century Gothic" w:hAnsi="Century Gothic"/>
      <w:sz w:val="20"/>
      <w:szCs w:val="20"/>
    </w:rPr>
  </w:style>
  <w:style w:type="paragraph" w:styleId="1410">
    <w:name w:val="Char Char Char Char Char Char Char Char Char Char1"/>
    <w:basedOn w:val="1032"/>
    <w:next w:val="1410"/>
    <w:link w:val="1032"/>
    <w:qFormat/>
    <w:rPr>
      <w:rFonts w:ascii="宋体" w:hAnsi="宋体" w:cs="Courier New"/>
      <w:sz w:val="32"/>
      <w:szCs w:val="32"/>
    </w:rPr>
  </w:style>
  <w:style w:type="paragraph" w:styleId="1411">
    <w:name w:val="正文文本样式 加粗"/>
    <w:basedOn w:val="1367"/>
    <w:next w:val="1411"/>
    <w:link w:val="1032"/>
    <w:qFormat/>
    <w:rPr>
      <w:b/>
    </w:rPr>
  </w:style>
  <w:style w:type="paragraph" w:styleId="1412">
    <w:name w:val="Char2 Char Char Char Char Char Char"/>
    <w:basedOn w:val="1032"/>
    <w:next w:val="1412"/>
    <w:link w:val="1032"/>
    <w:qFormat/>
    <w:pPr>
      <w:jc w:val="center"/>
      <w:spacing w:line="400" w:lineRule="exact"/>
      <w:widowControl/>
    </w:pPr>
  </w:style>
  <w:style w:type="paragraph" w:styleId="1413">
    <w:name w:val="Char Char4"/>
    <w:basedOn w:val="1032"/>
    <w:next w:val="1413"/>
    <w:link w:val="1032"/>
    <w:qFormat/>
    <w:pPr>
      <w:jc w:val="center"/>
      <w:spacing w:line="400" w:lineRule="exact"/>
      <w:widowControl/>
    </w:pPr>
  </w:style>
  <w:style w:type="paragraph" w:styleId="1414">
    <w:name w:val="Char3 Char Char Char1"/>
    <w:basedOn w:val="1032"/>
    <w:next w:val="1414"/>
    <w:link w:val="1032"/>
    <w:qFormat/>
    <w:rPr>
      <w:rFonts w:ascii="Tahoma" w:hAnsi="Tahoma"/>
      <w:sz w:val="24"/>
      <w:szCs w:val="20"/>
    </w:rPr>
  </w:style>
  <w:style w:type="paragraph" w:styleId="1415">
    <w:name w:val="无间隔"/>
    <w:next w:val="1415"/>
    <w:link w:val="1032"/>
    <w:qFormat/>
    <w:pPr>
      <w:jc w:val="both"/>
      <w:widowControl w:val="off"/>
    </w:pPr>
    <w:rPr>
      <w:rFonts w:ascii="Times New Roman" w:hAnsi="Times New Roman" w:eastAsia="宋体" w:cs="Times New Roman"/>
      <w:sz w:val="21"/>
      <w:szCs w:val="24"/>
      <w:lang w:val="en-US" w:eastAsia="zh-CN" w:bidi="ar-SA"/>
    </w:rPr>
  </w:style>
  <w:style w:type="paragraph" w:styleId="1416">
    <w:name w:val="22222222222222"/>
    <w:basedOn w:val="1032"/>
    <w:next w:val="1416"/>
    <w:link w:val="1032"/>
    <w:qFormat/>
    <w:pPr>
      <w:ind w:firstLine="480"/>
      <w:jc w:val="left"/>
      <w:spacing w:line="360" w:lineRule="auto"/>
      <w:widowControl/>
    </w:pPr>
    <w:rPr>
      <w:color w:val="ff0000"/>
      <w:sz w:val="24"/>
      <w:szCs w:val="20"/>
    </w:rPr>
  </w:style>
  <w:style w:type="character" w:styleId="1417">
    <w:name w:val="中等深浅网格 1 - 强调文字颜色 2 Char"/>
    <w:next w:val="1417"/>
    <w:link w:val="1418"/>
    <w:qFormat/>
    <w:rPr>
      <w:sz w:val="21"/>
      <w:szCs w:val="24"/>
      <w:lang w:val="zh-CN" w:eastAsia="zh-CN" w:bidi="ar-SA"/>
    </w:rPr>
  </w:style>
  <w:style w:type="paragraph" w:styleId="1418">
    <w:name w:val="1"/>
    <w:next w:val="1418"/>
    <w:link w:val="1417"/>
    <w:uiPriority w:val="34"/>
    <w:qFormat/>
    <w:rPr>
      <w:rFonts w:ascii="Times New Roman" w:hAnsi="Times New Roman" w:eastAsia="宋体" w:cs="Times New Roman"/>
      <w:sz w:val="21"/>
      <w:szCs w:val="24"/>
      <w:lang w:val="zh-CN" w:eastAsia="zh-CN" w:bidi="ar-SA"/>
    </w:rPr>
  </w:style>
  <w:style w:type="paragraph" w:styleId="1419">
    <w:name w:val="图文"/>
    <w:basedOn w:val="1032"/>
    <w:next w:val="1419"/>
    <w:link w:val="1032"/>
    <w:qFormat/>
    <w:pPr>
      <w:spacing w:after="50" w:line="360" w:lineRule="auto"/>
    </w:pPr>
    <w:rPr>
      <w:sz w:val="24"/>
    </w:rPr>
  </w:style>
  <w:style w:type="paragraph" w:styleId="1420">
    <w:name w:val="xl23"/>
    <w:basedOn w:val="1032"/>
    <w:next w:val="1420"/>
    <w:link w:val="1032"/>
    <w:qFormat/>
    <w:pPr>
      <w:spacing w:before="100" w:beforeAutospacing="1" w:after="100" w:afterAutospacing="1" w:line="360" w:lineRule="auto"/>
      <w:widowControl/>
    </w:pPr>
    <w:rPr>
      <w:sz w:val="24"/>
      <w:szCs w:val="20"/>
    </w:rPr>
  </w:style>
  <w:style w:type="paragraph" w:styleId="1421">
    <w:name w:val="正文表格"/>
    <w:basedOn w:val="1032"/>
    <w:next w:val="1421"/>
    <w:link w:val="1422"/>
    <w:qFormat/>
    <w:pPr>
      <w:jc w:val="left"/>
    </w:pPr>
    <w:rPr>
      <w:rFonts w:ascii="宋体" w:hAnsi="宋体"/>
      <w:color w:val="000000"/>
      <w:szCs w:val="21"/>
    </w:rPr>
  </w:style>
  <w:style w:type="character" w:styleId="1422">
    <w:name w:val="正文表格 Char"/>
    <w:next w:val="1422"/>
    <w:link w:val="1421"/>
    <w:qFormat/>
    <w:rPr>
      <w:rFonts w:ascii="宋体" w:hAnsi="宋体"/>
      <w:color w:val="000000"/>
      <w:sz w:val="21"/>
      <w:szCs w:val="21"/>
    </w:rPr>
  </w:style>
  <w:style w:type="paragraph" w:styleId="1423">
    <w:name w:val="正文重点"/>
    <w:basedOn w:val="1032"/>
    <w:next w:val="1423"/>
    <w:link w:val="1424"/>
    <w:qFormat/>
    <w:pPr>
      <w:ind w:firstLine="482"/>
      <w:jc w:val="left"/>
      <w:spacing w:line="360" w:lineRule="auto"/>
    </w:pPr>
    <w:rPr>
      <w:b/>
      <w:sz w:val="24"/>
      <w:szCs w:val="20"/>
    </w:rPr>
  </w:style>
  <w:style w:type="character" w:styleId="1424">
    <w:name w:val="正文重点 Char"/>
    <w:next w:val="1424"/>
    <w:link w:val="1423"/>
    <w:qFormat/>
    <w:rPr>
      <w:b/>
      <w:sz w:val="24"/>
    </w:rPr>
  </w:style>
  <w:style w:type="paragraph" w:styleId="1425">
    <w:name w:val="标题1-附件"/>
    <w:basedOn w:val="1216"/>
    <w:next w:val="1425"/>
    <w:link w:val="1032"/>
    <w:qFormat/>
    <w:pPr>
      <w:jc w:val="left"/>
    </w:pPr>
    <w:rPr>
      <w:sz w:val="24"/>
      <w:szCs w:val="24"/>
    </w:rPr>
  </w:style>
  <w:style w:type="paragraph" w:styleId="1426">
    <w:name w:val="正文小标题"/>
    <w:basedOn w:val="1032"/>
    <w:next w:val="1237"/>
    <w:link w:val="1427"/>
    <w:qFormat/>
    <w:pPr>
      <w:ind w:firstLine="482"/>
      <w:jc w:val="left"/>
      <w:spacing w:before="312" w:after="312"/>
    </w:pPr>
    <w:rPr>
      <w:rFonts w:ascii="宋体" w:hAnsi="宋体"/>
      <w:b/>
      <w:i/>
      <w:color w:val="ff0000"/>
      <w:sz w:val="24"/>
      <w:szCs w:val="20"/>
    </w:rPr>
  </w:style>
  <w:style w:type="character" w:styleId="1427">
    <w:name w:val="正文小标题 Char"/>
    <w:next w:val="1427"/>
    <w:link w:val="1426"/>
    <w:qFormat/>
    <w:rPr>
      <w:rFonts w:ascii="宋体" w:hAnsi="宋体"/>
      <w:b/>
      <w:i/>
      <w:color w:val="ff0000"/>
      <w:sz w:val="24"/>
    </w:rPr>
  </w:style>
  <w:style w:type="paragraph" w:styleId="1428">
    <w:name w:val="正文大标题"/>
    <w:basedOn w:val="1426"/>
    <w:next w:val="1237"/>
    <w:link w:val="1429"/>
    <w:qFormat/>
    <w:pPr>
      <w:jc w:val="center"/>
    </w:pPr>
    <w:rPr>
      <w:i w:val="0"/>
      <w:color w:val="000000"/>
      <w:sz w:val="28"/>
      <w:szCs w:val="21"/>
    </w:rPr>
  </w:style>
  <w:style w:type="character" w:styleId="1429">
    <w:name w:val="正文大标题 Char"/>
    <w:next w:val="1429"/>
    <w:link w:val="1428"/>
    <w:qFormat/>
    <w:rPr>
      <w:rFonts w:ascii="宋体" w:hAnsi="宋体"/>
      <w:b/>
      <w:color w:val="000000"/>
      <w:sz w:val="28"/>
      <w:szCs w:val="21"/>
    </w:rPr>
  </w:style>
  <w:style w:type="paragraph" w:styleId="1430">
    <w:name w:val="注释"/>
    <w:basedOn w:val="1032"/>
    <w:next w:val="1430"/>
    <w:link w:val="1431"/>
    <w:qFormat/>
    <w:pPr>
      <w:ind w:left="420" w:hanging="420"/>
      <w:jc w:val="left"/>
    </w:pPr>
    <w:rPr>
      <w:rFonts w:ascii="宋体" w:hAnsi="宋体"/>
      <w:szCs w:val="21"/>
    </w:rPr>
  </w:style>
  <w:style w:type="character" w:styleId="1431">
    <w:name w:val="注释 Char"/>
    <w:next w:val="1431"/>
    <w:link w:val="1430"/>
    <w:qFormat/>
    <w:rPr>
      <w:rFonts w:ascii="宋体" w:hAnsi="宋体"/>
      <w:sz w:val="21"/>
      <w:szCs w:val="21"/>
    </w:rPr>
  </w:style>
  <w:style w:type="paragraph" w:styleId="1432">
    <w:name w:val="正文须知-1级"/>
    <w:basedOn w:val="1032"/>
    <w:next w:val="1032"/>
    <w:link w:val="1032"/>
    <w:qFormat/>
    <w:pPr>
      <w:numPr>
        <w:ilvl w:val="0"/>
        <w:numId w:val="7"/>
      </w:numPr>
      <w:spacing w:line="300" w:lineRule="auto"/>
    </w:pPr>
    <w:rPr>
      <w:rFonts w:ascii="宋体" w:hAnsi="Calibri"/>
      <w:sz w:val="24"/>
      <w:szCs w:val="21"/>
    </w:rPr>
  </w:style>
  <w:style w:type="paragraph" w:styleId="1433">
    <w:name w:val="正文须知-2级"/>
    <w:basedOn w:val="1032"/>
    <w:next w:val="1433"/>
    <w:link w:val="1032"/>
    <w:qFormat/>
    <w:pPr>
      <w:numPr>
        <w:ilvl w:val="1"/>
        <w:numId w:val="7"/>
      </w:numPr>
      <w:spacing w:line="300" w:lineRule="auto"/>
    </w:pPr>
    <w:rPr>
      <w:rFonts w:ascii="宋体" w:hAnsi="Calibri"/>
      <w:sz w:val="24"/>
      <w:szCs w:val="21"/>
    </w:rPr>
  </w:style>
  <w:style w:type="paragraph" w:styleId="1434">
    <w:name w:val="正文须知-3级"/>
    <w:basedOn w:val="1032"/>
    <w:next w:val="1434"/>
    <w:link w:val="1032"/>
    <w:qFormat/>
    <w:pPr>
      <w:numPr>
        <w:ilvl w:val="2"/>
        <w:numId w:val="7"/>
      </w:numPr>
      <w:ind w:hanging="355"/>
      <w:spacing w:line="300" w:lineRule="auto"/>
    </w:pPr>
    <w:rPr>
      <w:rFonts w:ascii="宋体" w:hAnsi="Calibri"/>
      <w:sz w:val="24"/>
      <w:szCs w:val="21"/>
    </w:rPr>
  </w:style>
  <w:style w:type="character" w:styleId="1435">
    <w:name w:val="纯文本 字符"/>
    <w:next w:val="1435"/>
    <w:link w:val="1032"/>
    <w:uiPriority w:val="99"/>
    <w:qFormat/>
    <w:rPr>
      <w:rFonts w:ascii="宋体" w:hAnsi="Courier New" w:eastAsia="宋体" w:cs="Times New Roman"/>
      <w:sz w:val="21"/>
      <w:szCs w:val="21"/>
      <w:lang w:val="en-US" w:eastAsia="zh-CN" w:bidi="ar-SA"/>
    </w:rPr>
  </w:style>
  <w:style w:type="paragraph" w:styleId="1436">
    <w:name w:val="表格1"/>
    <w:basedOn w:val="1032"/>
    <w:next w:val="1436"/>
    <w:link w:val="1032"/>
    <w:qFormat/>
    <w:pPr>
      <w:ind w:firstLine="480"/>
      <w:jc w:val="center"/>
    </w:pPr>
    <w:rPr>
      <w:sz w:val="24"/>
      <w:szCs w:val="20"/>
    </w:rPr>
  </w:style>
  <w:style w:type="character" w:styleId="1437">
    <w:name w:val="纯文本 字符1"/>
    <w:next w:val="1437"/>
    <w:link w:val="1032"/>
    <w:qFormat/>
    <w:rPr>
      <w:rFonts w:ascii="宋体" w:hAnsi="Courier New"/>
    </w:rPr>
  </w:style>
  <w:style w:type="character" w:styleId="1438">
    <w:name w:val="bjh-p"/>
    <w:next w:val="1438"/>
    <w:link w:val="1032"/>
    <w:qFormat/>
  </w:style>
  <w:style w:type="paragraph" w:styleId="1439">
    <w:name w:val="无标题条"/>
    <w:next w:val="1032"/>
    <w:link w:val="1032"/>
    <w:qFormat/>
    <w:pPr>
      <w:jc w:val="both"/>
    </w:pPr>
    <w:rPr>
      <w:rFonts w:ascii="Times New Roman" w:hAnsi="Times New Roman" w:eastAsia="宋体" w:cs="Times New Roman"/>
      <w:sz w:val="21"/>
      <w:lang w:val="en-US" w:eastAsia="zh-CN" w:bidi="ar-SA"/>
    </w:rPr>
  </w:style>
  <w:style w:type="character" w:styleId="1440">
    <w:name w:val="正文格式 Char"/>
    <w:next w:val="1440"/>
    <w:link w:val="1441"/>
    <w:qFormat/>
    <w:rPr>
      <w:rFonts w:ascii="宋体" w:hAnsi="宋体"/>
      <w:sz w:val="24"/>
      <w:szCs w:val="24"/>
      <w:lang w:val="en-GB"/>
    </w:rPr>
  </w:style>
  <w:style w:type="paragraph" w:styleId="1441">
    <w:name w:val="正文格式"/>
    <w:basedOn w:val="1032"/>
    <w:next w:val="1441"/>
    <w:link w:val="1440"/>
    <w:qFormat/>
    <w:pPr>
      <w:ind w:firstLine="480"/>
      <w:spacing w:line="360" w:lineRule="auto"/>
    </w:pPr>
    <w:rPr>
      <w:rFonts w:ascii="宋体" w:hAnsi="宋体"/>
      <w:sz w:val="24"/>
      <w:lang w:val="en-GB"/>
    </w:rPr>
  </w:style>
  <w:style w:type="character" w:styleId="1442">
    <w:name w:val="标题 3 Char"/>
    <w:next w:val="1442"/>
    <w:link w:val="1032"/>
    <w:qFormat/>
    <w:rPr>
      <w:rFonts w:ascii="宋体" w:eastAsia="宋体"/>
      <w:b/>
      <w:sz w:val="24"/>
      <w:u w:val="single"/>
      <w:lang w:val="en-US" w:eastAsia="zh-CN" w:bidi="ar-SA"/>
    </w:rPr>
  </w:style>
  <w:style w:type="character" w:styleId="1443">
    <w:name w:val="正文缩进 Char"/>
    <w:next w:val="1443"/>
    <w:link w:val="1032"/>
    <w:qFormat/>
    <w:rPr>
      <w:rFonts w:ascii="宋体" w:eastAsia="宋体"/>
      <w:sz w:val="24"/>
      <w:szCs w:val="24"/>
      <w:lang w:val="en-US" w:eastAsia="zh-CN" w:bidi="ar-SA"/>
    </w:rPr>
  </w:style>
  <w:style w:type="character" w:styleId="1444">
    <w:name w:val="Char Char111"/>
    <w:next w:val="1444"/>
    <w:link w:val="1032"/>
    <w:qFormat/>
    <w:rPr>
      <w:rFonts w:ascii="宋体" w:eastAsia="宋体"/>
      <w:b/>
      <w:sz w:val="24"/>
      <w:u w:val="single"/>
      <w:lang w:val="en-US" w:eastAsia="zh-CN" w:bidi="ar-SA"/>
    </w:rPr>
  </w:style>
  <w:style w:type="character" w:styleId="1445">
    <w:name w:val="正文文本缩进 Char"/>
    <w:next w:val="1445"/>
    <w:link w:val="1032"/>
    <w:qFormat/>
    <w:rPr>
      <w:rFonts w:eastAsia="宋体"/>
      <w:sz w:val="24"/>
      <w:szCs w:val="24"/>
      <w:lang w:val="en-US" w:eastAsia="zh-CN" w:bidi="ar-SA"/>
    </w:rPr>
  </w:style>
  <w:style w:type="character" w:styleId="1446">
    <w:name w:val="列出段落 Char"/>
    <w:next w:val="1446"/>
    <w:link w:val="1032"/>
    <w:qFormat/>
    <w:rPr>
      <w:rFonts w:ascii="Calibri" w:hAnsi="Calibri" w:eastAsia="宋体"/>
      <w:sz w:val="21"/>
      <w:szCs w:val="22"/>
      <w:lang w:val="en-US" w:eastAsia="zh-CN" w:bidi="ar-SA"/>
    </w:rPr>
  </w:style>
  <w:style w:type="character" w:styleId="1447">
    <w:name w:val="页眉 Char"/>
    <w:next w:val="1447"/>
    <w:link w:val="1032"/>
    <w:qFormat/>
    <w:rPr>
      <w:rFonts w:eastAsia="宋体"/>
      <w:sz w:val="18"/>
      <w:szCs w:val="18"/>
      <w:lang w:val="en-US" w:eastAsia="zh-CN" w:bidi="ar-SA"/>
    </w:rPr>
  </w:style>
  <w:style w:type="character" w:styleId="1448">
    <w:name w:val="标题 2 Char"/>
    <w:next w:val="1448"/>
    <w:link w:val="1032"/>
    <w:qFormat/>
    <w:rPr>
      <w:rFonts w:ascii="Arial" w:hAnsi="Arial" w:eastAsia="黑体"/>
      <w:b/>
      <w:sz w:val="30"/>
      <w:lang w:val="en-US" w:eastAsia="zh-CN" w:bidi="ar-SA"/>
    </w:rPr>
  </w:style>
  <w:style w:type="paragraph" w:styleId="1449">
    <w:name w:val="字元 字元2"/>
    <w:basedOn w:val="1032"/>
    <w:next w:val="1449"/>
    <w:link w:val="1032"/>
    <w:qFormat/>
    <w:rPr>
      <w:rFonts w:ascii="Tahoma" w:hAnsi="Tahoma"/>
      <w:sz w:val="24"/>
      <w:szCs w:val="20"/>
    </w:rPr>
  </w:style>
  <w:style w:type="paragraph" w:styleId="1450">
    <w:name w:val="Char3 Char Char Char2"/>
    <w:basedOn w:val="1032"/>
    <w:next w:val="1450"/>
    <w:link w:val="1032"/>
    <w:qFormat/>
    <w:rPr>
      <w:rFonts w:ascii="Tahoma" w:hAnsi="Tahoma"/>
      <w:sz w:val="24"/>
      <w:szCs w:val="20"/>
    </w:rPr>
  </w:style>
  <w:style w:type="paragraph" w:styleId="1451">
    <w:name w:val="正文文本缩进2"/>
    <w:basedOn w:val="1032"/>
    <w:next w:val="1451"/>
    <w:link w:val="1032"/>
    <w:qFormat/>
    <w:pPr>
      <w:ind w:firstLine="480"/>
      <w:spacing w:line="480" w:lineRule="exact"/>
    </w:pPr>
    <w:rPr>
      <w:rFonts w:ascii="宋体" w:hAnsi="宋体"/>
      <w:sz w:val="24"/>
      <w:lang w:val="zh-CN" w:eastAsia="zh-CN"/>
    </w:rPr>
  </w:style>
  <w:style w:type="paragraph" w:styleId="1452">
    <w:name w:val="Char3"/>
    <w:basedOn w:val="1032"/>
    <w:next w:val="1452"/>
    <w:link w:val="1032"/>
    <w:qFormat/>
    <w:pPr>
      <w:tabs>
        <w:tab w:val="left" w:pos="360" w:leader="none"/>
      </w:tabs>
    </w:pPr>
    <w:rPr>
      <w:sz w:val="24"/>
    </w:rPr>
  </w:style>
  <w:style w:type="paragraph" w:styleId="1453">
    <w:name w:val="Char Char Char Char Char Char Char Char Char Char Char Char Char Char Char Char1"/>
    <w:basedOn w:val="1032"/>
    <w:next w:val="1453"/>
    <w:link w:val="1032"/>
    <w:qFormat/>
    <w:pPr>
      <w:jc w:val="center"/>
      <w:spacing w:after="160" w:line="240" w:lineRule="exact"/>
      <w:widowControl/>
    </w:pPr>
    <w:rPr>
      <w:rFonts w:ascii="宋体" w:hAnsi="宋体"/>
      <w:b/>
      <w:sz w:val="30"/>
      <w:szCs w:val="30"/>
      <w:lang w:eastAsia="en-US"/>
    </w:rPr>
  </w:style>
  <w:style w:type="paragraph" w:styleId="1454">
    <w:name w:val="Char Char1 Char Char Char Char Char Char1"/>
    <w:basedOn w:val="1032"/>
    <w:next w:val="1454"/>
    <w:link w:val="1032"/>
    <w:qFormat/>
    <w:pPr>
      <w:jc w:val="left"/>
      <w:spacing w:after="160" w:line="240" w:lineRule="exact"/>
      <w:widowControl/>
    </w:pPr>
    <w:rPr>
      <w:rFonts w:ascii="Verdana" w:hAnsi="Verdana" w:eastAsia="仿宋_GB2312"/>
      <w:sz w:val="24"/>
      <w:szCs w:val="20"/>
      <w:lang w:eastAsia="en-US"/>
    </w:rPr>
  </w:style>
  <w:style w:type="paragraph" w:styleId="1455">
    <w:name w:val="列出段落2"/>
    <w:basedOn w:val="1032"/>
    <w:next w:val="1455"/>
    <w:link w:val="1032"/>
    <w:qFormat/>
    <w:pPr>
      <w:ind w:firstLine="420"/>
    </w:pPr>
    <w:rPr>
      <w:rFonts w:ascii="Calibri" w:hAnsi="Calibri"/>
      <w:szCs w:val="22"/>
    </w:rPr>
  </w:style>
  <w:style w:type="paragraph" w:styleId="1456">
    <w:name w:val="Char Char Char1 Char2"/>
    <w:basedOn w:val="1032"/>
    <w:next w:val="1456"/>
    <w:link w:val="1032"/>
    <w:qFormat/>
    <w:rPr>
      <w:rFonts w:ascii="Tahoma" w:hAnsi="Tahoma"/>
      <w:sz w:val="24"/>
      <w:szCs w:val="20"/>
    </w:rPr>
  </w:style>
  <w:style w:type="paragraph" w:styleId="1457">
    <w:name w:val="Char Char Char2"/>
    <w:basedOn w:val="1032"/>
    <w:next w:val="1457"/>
    <w:link w:val="1032"/>
    <w:qFormat/>
    <w:rPr>
      <w:rFonts w:ascii="Tahoma" w:hAnsi="Tahoma"/>
      <w:sz w:val="24"/>
      <w:szCs w:val="20"/>
    </w:rPr>
  </w:style>
  <w:style w:type="paragraph" w:styleId="1458">
    <w:name w:val="Char Char Char Char Char Char Char2"/>
    <w:basedOn w:val="1032"/>
    <w:next w:val="1458"/>
    <w:link w:val="1032"/>
    <w:qFormat/>
    <w:pPr>
      <w:ind w:firstLine="200"/>
      <w:spacing w:line="360" w:lineRule="auto"/>
    </w:pPr>
    <w:rPr>
      <w:rFonts w:eastAsia="仿宋_GB2312"/>
      <w:sz w:val="24"/>
    </w:rPr>
  </w:style>
  <w:style w:type="paragraph" w:styleId="1459">
    <w:name w:val="正文缩进2"/>
    <w:basedOn w:val="1032"/>
    <w:next w:val="1459"/>
    <w:link w:val="1032"/>
    <w:qFormat/>
    <w:pPr>
      <w:ind w:firstLine="567"/>
      <w:spacing w:line="480" w:lineRule="exact"/>
      <w:widowControl/>
    </w:pPr>
    <w:rPr>
      <w:rFonts w:ascii="宋体"/>
      <w:color w:val="000000"/>
      <w:sz w:val="28"/>
      <w:szCs w:val="20"/>
      <w:lang w:val="zh-CN" w:eastAsia="zh-CN"/>
    </w:rPr>
  </w:style>
  <w:style w:type="paragraph" w:styleId="1460">
    <w:name w:val="Revision"/>
    <w:next w:val="1460"/>
    <w:link w:val="1032"/>
    <w:qFormat/>
    <w:rPr>
      <w:rFonts w:ascii="Times New Roman" w:hAnsi="Times New Roman" w:eastAsia="宋体" w:cs="Times New Roman"/>
      <w:sz w:val="21"/>
      <w:szCs w:val="24"/>
      <w:lang w:val="en-US" w:eastAsia="zh-CN" w:bidi="ar-SA"/>
    </w:rPr>
  </w:style>
  <w:style w:type="paragraph" w:styleId="1461">
    <w:name w:val="Char22"/>
    <w:basedOn w:val="1032"/>
    <w:next w:val="1461"/>
    <w:link w:val="1032"/>
    <w:qFormat/>
    <w:rPr>
      <w:rFonts w:ascii="Tahoma" w:hAnsi="Tahoma"/>
      <w:sz w:val="24"/>
      <w:szCs w:val="20"/>
    </w:rPr>
  </w:style>
  <w:style w:type="paragraph" w:styleId="1462">
    <w:name w:val="Char Char Char Char Char Char Char Char Char Char2"/>
    <w:basedOn w:val="1032"/>
    <w:next w:val="1462"/>
    <w:link w:val="1032"/>
    <w:qFormat/>
    <w:rPr>
      <w:rFonts w:ascii="宋体" w:hAnsi="宋体" w:cs="Courier New"/>
      <w:sz w:val="32"/>
      <w:szCs w:val="32"/>
    </w:rPr>
  </w:style>
  <w:style w:type="paragraph" w:styleId="1463">
    <w:name w:val="Char2 Char Char Char Char Char Char1"/>
    <w:basedOn w:val="1032"/>
    <w:next w:val="1463"/>
    <w:link w:val="1032"/>
    <w:qFormat/>
    <w:pPr>
      <w:jc w:val="center"/>
      <w:spacing w:line="400" w:lineRule="exact"/>
      <w:widowControl/>
    </w:pPr>
  </w:style>
  <w:style w:type="character" w:styleId="1464">
    <w:name w:val="页脚 Char"/>
    <w:next w:val="1464"/>
    <w:link w:val="1032"/>
    <w:qFormat/>
    <w:rPr>
      <w:rFonts w:ascii="宋体" w:eastAsia="宋体"/>
      <w:sz w:val="18"/>
      <w:lang w:val="en-US" w:eastAsia="zh-CN" w:bidi="ar-SA"/>
    </w:rPr>
  </w:style>
  <w:style w:type="paragraph" w:styleId="1465">
    <w:name w:val="Char Char41"/>
    <w:basedOn w:val="1032"/>
    <w:next w:val="1465"/>
    <w:link w:val="1032"/>
    <w:qFormat/>
    <w:pPr>
      <w:jc w:val="center"/>
      <w:spacing w:line="400" w:lineRule="exact"/>
      <w:widowControl/>
    </w:pPr>
  </w:style>
  <w:style w:type="character" w:styleId="1466">
    <w:name w:val="批注文字 Char"/>
    <w:next w:val="1466"/>
    <w:link w:val="1032"/>
    <w:uiPriority w:val="99"/>
    <w:qFormat/>
    <w:rPr>
      <w:sz w:val="21"/>
      <w:szCs w:val="24"/>
    </w:rPr>
  </w:style>
  <w:style w:type="character" w:styleId="1467">
    <w:name w:val="标题 Char"/>
    <w:next w:val="1467"/>
    <w:link w:val="1032"/>
    <w:qFormat/>
    <w:rPr>
      <w:b/>
      <w:sz w:val="32"/>
    </w:rPr>
  </w:style>
  <w:style w:type="paragraph" w:styleId="1468">
    <w:name w:val="图例"/>
    <w:basedOn w:val="1032"/>
    <w:next w:val="1468"/>
    <w:link w:val="1032"/>
    <w:qFormat/>
    <w:pPr>
      <w:jc w:val="center"/>
      <w:spacing w:before="120" w:after="120" w:line="360" w:lineRule="auto"/>
    </w:pPr>
    <w:rPr>
      <w:rFonts w:eastAsia="仿宋_GB2312"/>
      <w:b/>
      <w:sz w:val="24"/>
      <w:szCs w:val="20"/>
    </w:rPr>
  </w:style>
  <w:style w:type="table" w:styleId="1469">
    <w:name w:val="Table Normal"/>
    <w:next w:val="1469"/>
    <w:link w:val="1032"/>
    <w:uiPriority w:val="2"/>
    <w:unhideWhenUsed/>
    <w:qFormat/>
    <w:pPr>
      <w:widowControl w:val="off"/>
    </w:pPr>
    <w:rPr>
      <w:rFonts w:ascii="Calibri" w:hAnsi="Calibri"/>
      <w:sz w:val="22"/>
      <w:szCs w:val="22"/>
      <w:lang w:val="en-US" w:eastAsia="en-US" w:bidi="ar-SA"/>
    </w:rPr>
    <w:tblPr/>
  </w:style>
  <w:style w:type="paragraph" w:styleId="1470">
    <w:name w:val="Table Paragraph"/>
    <w:basedOn w:val="1032"/>
    <w:next w:val="1470"/>
    <w:link w:val="1032"/>
    <w:uiPriority w:val="1"/>
    <w:qFormat/>
    <w:pPr>
      <w:jc w:val="left"/>
    </w:pPr>
    <w:rPr>
      <w:rFonts w:ascii="宋体" w:hAnsi="宋体" w:cs="宋体"/>
      <w:sz w:val="22"/>
      <w:szCs w:val="22"/>
      <w:lang w:eastAsia="en-US"/>
    </w:rPr>
  </w:style>
  <w:style w:type="paragraph" w:styleId="1471">
    <w:name w:val="成文日期"/>
    <w:basedOn w:val="1032"/>
    <w:next w:val="1471"/>
    <w:link w:val="1472"/>
    <w:qFormat/>
    <w:pPr>
      <w:ind w:right="400" w:firstLine="200"/>
      <w:jc w:val="right"/>
      <w:spacing w:line="570" w:lineRule="exact"/>
    </w:pPr>
    <w:rPr>
      <w:rFonts w:ascii="仿宋_GB2312" w:eastAsia="仿宋_GB2312"/>
      <w:sz w:val="32"/>
      <w:szCs w:val="20"/>
    </w:rPr>
  </w:style>
  <w:style w:type="character" w:styleId="1472">
    <w:name w:val="成文日期 Char"/>
    <w:next w:val="1472"/>
    <w:link w:val="1471"/>
    <w:qFormat/>
    <w:rPr>
      <w:rFonts w:ascii="仿宋_GB2312" w:eastAsia="仿宋_GB2312"/>
      <w:sz w:val="32"/>
    </w:rPr>
  </w:style>
  <w:style w:type="paragraph" w:styleId="1473">
    <w:name w:val="修订"/>
    <w:next w:val="1473"/>
    <w:link w:val="1032"/>
    <w:uiPriority w:val="99"/>
    <w:unhideWhenUsed/>
    <w:qFormat/>
    <w:rPr>
      <w:rFonts w:ascii="Times New Roman" w:hAnsi="Times New Roman" w:eastAsia="宋体" w:cs="Times New Roman"/>
      <w:sz w:val="21"/>
      <w:szCs w:val="24"/>
      <w:lang w:val="en-US" w:eastAsia="zh-CN" w:bidi="ar-SA"/>
    </w:rPr>
  </w:style>
  <w:style w:type="character" w:styleId="1474">
    <w:name w:val="页脚 字符"/>
    <w:next w:val="1474"/>
    <w:link w:val="1032"/>
    <w:uiPriority w:val="99"/>
    <w:qFormat/>
  </w:style>
  <w:style w:type="character" w:styleId="1475">
    <w:name w:val="标题 2 字符1"/>
    <w:next w:val="1475"/>
    <w:link w:val="1032"/>
    <w:semiHidden/>
    <w:qFormat/>
    <w:rPr>
      <w:rFonts w:ascii="Arial" w:hAnsi="Arial" w:eastAsia="黑体" w:cs="Times New Roman"/>
      <w:b/>
      <w:sz w:val="30"/>
      <w:szCs w:val="20"/>
    </w:rPr>
  </w:style>
  <w:style w:type="paragraph" w:styleId="1476">
    <w:name w:val="列出段落11"/>
    <w:basedOn w:val="1032"/>
    <w:next w:val="1476"/>
    <w:link w:val="1032"/>
    <w:uiPriority w:val="34"/>
    <w:qFormat/>
    <w:pPr>
      <w:ind w:firstLine="420"/>
    </w:pPr>
    <w:rPr>
      <w:szCs w:val="20"/>
    </w:rPr>
  </w:style>
  <w:style w:type="paragraph" w:styleId="1477">
    <w:name w:val="列表段落1"/>
    <w:basedOn w:val="1032"/>
    <w:next w:val="1477"/>
    <w:link w:val="1032"/>
    <w:uiPriority w:val="34"/>
    <w:qFormat/>
    <w:pPr>
      <w:ind w:firstLine="420"/>
    </w:pPr>
    <w:rPr>
      <w:rFonts w:eastAsia="等线"/>
      <w:szCs w:val="22"/>
    </w:rPr>
  </w:style>
  <w:style w:type="character" w:styleId="1478">
    <w:name w:val="正文文本 Char"/>
    <w:next w:val="1478"/>
    <w:link w:val="1032"/>
    <w:qFormat/>
    <w:rPr>
      <w:rFonts w:ascii="宋体" w:hAnsi="宋体"/>
      <w:sz w:val="24"/>
      <w:szCs w:val="24"/>
    </w:rPr>
  </w:style>
  <w:style w:type="character" w:styleId="1479">
    <w:name w:val="页脚 Char1"/>
    <w:next w:val="1479"/>
    <w:link w:val="1032"/>
    <w:uiPriority w:val="99"/>
    <w:qFormat/>
    <w:rPr>
      <w:rFonts w:ascii="宋体" w:eastAsia="宋体"/>
      <w:sz w:val="18"/>
      <w:lang w:val="en-US" w:eastAsia="zh-CN" w:bidi="ar-SA"/>
    </w:rPr>
  </w:style>
  <w:style w:type="character" w:styleId="1480">
    <w:name w:val="页眉 Char1"/>
    <w:next w:val="1480"/>
    <w:link w:val="1032"/>
    <w:qFormat/>
    <w:rPr>
      <w:rFonts w:eastAsia="宋体"/>
      <w:sz w:val="18"/>
      <w:szCs w:val="18"/>
      <w:lang w:val="en-US" w:eastAsia="zh-CN" w:bidi="ar-SA"/>
    </w:rPr>
  </w:style>
  <w:style w:type="character" w:styleId="1481">
    <w:name w:val="NormalCharacter1"/>
    <w:next w:val="1481"/>
    <w:link w:val="1032"/>
    <w:semiHidden/>
    <w:qFormat/>
  </w:style>
  <w:style w:type="paragraph" w:styleId="1482">
    <w:name w:val="段"/>
    <w:next w:val="1032"/>
    <w:link w:val="1032"/>
    <w:qFormat/>
    <w:pPr>
      <w:ind w:firstLine="200"/>
      <w:jc w:val="both"/>
    </w:pPr>
    <w:rPr>
      <w:rFonts w:ascii="宋体" w:hAnsi="Calibri" w:eastAsia="宋体" w:cs="Times New Roman"/>
      <w:sz w:val="21"/>
      <w:lang w:val="en-US" w:eastAsia="zh-CN" w:bidi="ar-SA"/>
    </w:rPr>
  </w:style>
  <w:style w:type="character" w:styleId="1483">
    <w:name w:val="正文缩进 字符1"/>
    <w:next w:val="1483"/>
    <w:link w:val="1032"/>
    <w:qFormat/>
    <w:rPr>
      <w:rFonts w:ascii="宋体"/>
      <w:sz w:val="24"/>
      <w:szCs w:val="24"/>
    </w:rPr>
  </w:style>
  <w:style w:type="paragraph" w:styleId="1484">
    <w:name w:val="样式 正文缩进文2ALT+Z表正文正文非缩进特点段1标题4特点 Char Char特点 Char Char C..."/>
    <w:basedOn w:val="1237"/>
    <w:next w:val="1484"/>
    <w:link w:val="1032"/>
    <w:qFormat/>
    <w:pPr>
      <w:ind w:firstLine="480"/>
      <w:jc w:val="both"/>
      <w:spacing w:line="360" w:lineRule="auto"/>
    </w:pPr>
    <w:rPr>
      <w:rFonts w:ascii="Times New Roman" w:hAnsi="Calibri" w:eastAsia="仿宋_GB2312" w:cs="宋体"/>
      <w:szCs w:val="20"/>
    </w:rPr>
  </w:style>
  <w:style w:type="table" w:styleId="1485">
    <w:name w:val="网格型1"/>
    <w:basedOn w:val="1235"/>
    <w:next w:val="1485"/>
    <w:link w:val="1032"/>
    <w:qFormat/>
    <w:pPr>
      <w:jc w:val="both"/>
      <w:widowControl w:val="off"/>
    </w:pPr>
    <w:tblPr/>
  </w:style>
  <w:style w:type="table" w:styleId="1486">
    <w:name w:val="网格型2"/>
    <w:basedOn w:val="1235"/>
    <w:next w:val="1486"/>
    <w:link w:val="1032"/>
    <w:qFormat/>
    <w:pPr>
      <w:jc w:val="both"/>
      <w:widowControl w:val="off"/>
    </w:pPr>
    <w:tblPr/>
  </w:style>
  <w:style w:type="character" w:styleId="1487">
    <w:name w:val="标题 字符1"/>
    <w:next w:val="1487"/>
    <w:link w:val="1032"/>
    <w:qFormat/>
    <w:rPr>
      <w:rFonts w:ascii="Cambria" w:hAnsi="Cambria"/>
      <w:b/>
      <w:bCs/>
      <w:sz w:val="32"/>
      <w:szCs w:val="32"/>
    </w:rPr>
  </w:style>
  <w:style w:type="paragraph" w:styleId="1488">
    <w:name w:val="纯文本2"/>
    <w:next w:val="1268"/>
    <w:link w:val="1032"/>
    <w:qFormat/>
    <w:pPr>
      <w:jc w:val="both"/>
      <w:spacing w:line="360" w:lineRule="auto"/>
      <w:widowControl w:val="off"/>
    </w:pPr>
    <w:rPr>
      <w:rFonts w:ascii="宋体" w:hAnsi="宋体" w:eastAsia="仿宋" w:cs="Times New Roman"/>
      <w:sz w:val="26"/>
      <w:szCs w:val="21"/>
      <w:lang w:val="en-US" w:eastAsia="zh-CN" w:bidi="ar-SA"/>
    </w:rPr>
  </w:style>
  <w:style w:type="character" w:styleId="1489">
    <w:name w:val="正文文本_"/>
    <w:basedOn w:val="1234"/>
    <w:next w:val="1489"/>
    <w:link w:val="1490"/>
    <w:uiPriority w:val="99"/>
    <w:unhideWhenUsed/>
    <w:qFormat/>
    <w:rPr>
      <w:rFonts w:ascii="MingLiU" w:hAnsi="MingLiU" w:eastAsia="MingLiU"/>
      <w:spacing w:val="10"/>
      <w:sz w:val="23"/>
      <w:shd w:val="clear" w:color="auto" w:fill="ffffff"/>
    </w:rPr>
  </w:style>
  <w:style w:type="paragraph" w:styleId="1490">
    <w:name w:val="正文文本1"/>
    <w:basedOn w:val="1032"/>
    <w:next w:val="1490"/>
    <w:link w:val="1489"/>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91">
    <w:name w:val="font21"/>
    <w:next w:val="1491"/>
    <w:link w:val="1032"/>
    <w:qFormat/>
    <w:rPr>
      <w:rFonts w:hint="eastAsia" w:ascii="宋体" w:hAnsi="宋体" w:eastAsia="宋体" w:cs="宋体"/>
      <w:color w:val="000000"/>
      <w:sz w:val="21"/>
      <w:szCs w:val="21"/>
      <w:u w:val="none"/>
    </w:rPr>
  </w:style>
  <w:style w:type="character" w:styleId="1492">
    <w:name w:val="font01"/>
    <w:next w:val="1492"/>
    <w:link w:val="1032"/>
    <w:qFormat/>
    <w:rPr>
      <w:rFonts w:hint="eastAsia" w:ascii="宋体" w:hAnsi="宋体" w:eastAsia="宋体" w:cs="宋体"/>
      <w:b/>
      <w:color w:val="000000"/>
      <w:sz w:val="22"/>
      <w:szCs w:val="22"/>
      <w:u w:val="none"/>
    </w:rPr>
  </w:style>
  <w:style w:type="paragraph" w:styleId="1493">
    <w:name w:val="p0"/>
    <w:basedOn w:val="1032"/>
    <w:next w:val="1493"/>
    <w:link w:val="1032"/>
    <w:qFormat/>
    <w:pPr>
      <w:widowControl/>
    </w:pPr>
    <w:rPr>
      <w:rFonts w:ascii="Calibri" w:hAnsi="Calibri"/>
      <w:szCs w:val="21"/>
    </w:rPr>
  </w:style>
  <w:style w:type="paragraph" w:styleId="1494">
    <w:name w:val="be358f00-9758-446e-aec5-cde8345aeef3"/>
    <w:basedOn w:val="1246"/>
    <w:next w:val="1494"/>
    <w:link w:val="1495"/>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95">
    <w:name w:val="be358f00-9758-446e-aec5-cde8345aeef3 字符"/>
    <w:next w:val="1495"/>
    <w:link w:val="1494"/>
    <w:qFormat/>
    <w:rPr>
      <w:rFonts w:ascii="微软雅黑" w:hAnsi="微软雅黑" w:eastAsia="微软雅黑"/>
      <w:color w:val="000000"/>
      <w:sz w:val="22"/>
      <w:szCs w:val="24"/>
    </w:rPr>
  </w:style>
  <w:style w:type="character" w:styleId="1496">
    <w:name w:val="font61"/>
    <w:next w:val="1496"/>
    <w:link w:val="1032"/>
    <w:qFormat/>
    <w:rPr>
      <w:rFonts w:hint="eastAsia" w:ascii="宋体" w:hAnsi="宋体" w:eastAsia="宋体" w:cs="宋体"/>
      <w:color w:val="000000"/>
      <w:sz w:val="21"/>
      <w:szCs w:val="21"/>
      <w:u w:val="none"/>
    </w:rPr>
  </w:style>
  <w:style w:type="character" w:styleId="1497">
    <w:name w:val="font71"/>
    <w:next w:val="1497"/>
    <w:link w:val="1032"/>
    <w:qFormat/>
    <w:rPr>
      <w:rFonts w:hint="eastAsia" w:ascii="宋体" w:hAnsi="宋体" w:eastAsia="宋体" w:cs="宋体"/>
      <w:color w:val="000000"/>
      <w:sz w:val="22"/>
      <w:szCs w:val="22"/>
      <w:u w:val="none"/>
    </w:rPr>
  </w:style>
  <w:style w:type="character" w:styleId="1498">
    <w:name w:val="font31"/>
    <w:next w:val="1498"/>
    <w:link w:val="1032"/>
    <w:qFormat/>
    <w:rPr>
      <w:rFonts w:ascii="Arial Unicode MS" w:hAnsi="Arial Unicode MS" w:eastAsia="Arial Unicode MS" w:cs="Arial Unicode MS"/>
      <w:color w:val="000000"/>
      <w:sz w:val="22"/>
      <w:szCs w:val="22"/>
      <w:u w:val="none"/>
    </w:rPr>
  </w:style>
  <w:style w:type="character" w:styleId="1499">
    <w:name w:val="font41"/>
    <w:next w:val="1499"/>
    <w:link w:val="1032"/>
    <w:qFormat/>
    <w:rPr>
      <w:rFonts w:ascii="宋体" w:hAnsi="宋体" w:eastAsia="宋体" w:cs="宋体"/>
      <w:color w:val="000000"/>
      <w:sz w:val="22"/>
      <w:szCs w:val="22"/>
      <w:u w:val="none"/>
    </w:rPr>
  </w:style>
  <w:style w:type="character" w:styleId="1500">
    <w:name w:val="font11"/>
    <w:next w:val="1500"/>
    <w:link w:val="1032"/>
    <w:qFormat/>
    <w:rPr>
      <w:rFonts w:hint="eastAsia" w:ascii="宋体" w:hAnsi="宋体" w:eastAsia="宋体" w:cs="宋体"/>
      <w:b/>
      <w:bCs/>
      <w:color w:val="000000"/>
      <w:sz w:val="21"/>
      <w:szCs w:val="21"/>
      <w:u w:val="none"/>
    </w:rPr>
  </w:style>
  <w:style w:type="character" w:styleId="1501">
    <w:name w:val="font51"/>
    <w:next w:val="1501"/>
    <w:link w:val="1032"/>
    <w:qFormat/>
    <w:rPr>
      <w:rFonts w:ascii="Times New Roman" w:hAnsi="Times New Roman" w:cs="Times New Roman"/>
      <w:color w:val="000000"/>
      <w:sz w:val="21"/>
      <w:szCs w:val="21"/>
      <w:u w:val="none"/>
    </w:rPr>
  </w:style>
  <w:style w:type="character" w:styleId="1502">
    <w:name w:val="font81"/>
    <w:next w:val="1502"/>
    <w:link w:val="1032"/>
    <w:qFormat/>
    <w:rPr>
      <w:rFonts w:ascii="Times New Roman" w:hAnsi="Times New Roman" w:cs="Times New Roman"/>
      <w:color w:val="000000"/>
      <w:sz w:val="21"/>
      <w:szCs w:val="21"/>
      <w:u w:val="none"/>
      <w:vertAlign w:val="superscript"/>
    </w:rPr>
  </w:style>
  <w:style w:type="paragraph" w:styleId="1503">
    <w:name w:val="正文缩进11"/>
    <w:basedOn w:val="1032"/>
    <w:next w:val="1503"/>
    <w:link w:val="1032"/>
    <w:qFormat/>
    <w:pPr>
      <w:ind w:firstLine="420"/>
      <w:jc w:val="left"/>
    </w:pPr>
    <w:rPr>
      <w:rFonts w:ascii="宋体"/>
      <w:sz w:val="24"/>
    </w:rPr>
  </w:style>
  <w:style w:type="paragraph" w:styleId="1504">
    <w:name w:val="一、"/>
    <w:basedOn w:val="1032"/>
    <w:next w:val="1504"/>
    <w:link w:val="1032"/>
    <w:qFormat/>
    <w:pPr>
      <w:ind w:firstLine="640"/>
    </w:pPr>
    <w:rPr>
      <w:rFonts w:eastAsia="黑体"/>
      <w:szCs w:val="32"/>
    </w:rPr>
  </w:style>
  <w:style w:type="paragraph" w:styleId="1505">
    <w:name w:val="附件标题"/>
    <w:next w:val="1505"/>
    <w:link w:val="1032"/>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506">
    <w:name w:val="第一章"/>
    <w:basedOn w:val="1504"/>
    <w:next w:val="1506"/>
    <w:link w:val="1032"/>
    <w:qFormat/>
    <w:pPr>
      <w:ind w:firstLine="0"/>
      <w:jc w:val="center"/>
    </w:pPr>
  </w:style>
  <w:style w:type="paragraph" w:styleId="1507">
    <w:name w:val="AONormal"/>
    <w:next w:val="1507"/>
    <w:link w:val="1032"/>
    <w:qFormat/>
    <w:pPr>
      <w:ind w:firstLine="440"/>
      <w:spacing w:line="400" w:lineRule="exact"/>
    </w:pPr>
    <w:rPr>
      <w:rFonts w:ascii="华文楷体" w:hAnsi="华文楷体" w:eastAsia="华文楷体" w:cs="华文楷体"/>
      <w:sz w:val="22"/>
      <w:szCs w:val="21"/>
      <w:lang w:val="en-US" w:eastAsia="zh-CN" w:bidi="ar-SA"/>
    </w:rPr>
  </w:style>
  <w:style w:type="paragraph" w:styleId="1508">
    <w:name w:val="正文首行缩进1"/>
    <w:basedOn w:val="1490"/>
    <w:next w:val="1508"/>
    <w:link w:val="1032"/>
    <w:qFormat/>
    <w:pPr>
      <w:ind w:firstLine="200"/>
      <w:spacing w:line="360" w:lineRule="auto"/>
    </w:pPr>
    <w:rPr>
      <w:rFonts w:ascii="仿宋_GB2312" w:eastAsia="仿宋_GB2312"/>
      <w:sz w:val="30"/>
      <w:szCs w:val="30"/>
    </w:rPr>
  </w:style>
  <w:style w:type="character" w:styleId="1509">
    <w:name w:val="font112"/>
    <w:next w:val="1509"/>
    <w:link w:val="1032"/>
    <w:qFormat/>
    <w:rPr>
      <w:rFonts w:ascii="Arial" w:hAnsi="Arial" w:cs="Arial"/>
      <w:color w:val="000000"/>
      <w:sz w:val="22"/>
      <w:szCs w:val="22"/>
      <w:u w:val="none"/>
    </w:rPr>
  </w:style>
  <w:style w:type="paragraph" w:styleId="1510">
    <w:name w:val="正文1"/>
    <w:basedOn w:val="1032"/>
    <w:next w:val="1032"/>
    <w:link w:val="1032"/>
    <w:qFormat/>
    <w:pPr>
      <w:ind w:left="420" w:firstLine="527"/>
      <w:spacing w:before="120" w:line="360" w:lineRule="auto"/>
    </w:pPr>
    <w:rPr>
      <w:rFonts w:ascii="宋体" w:hAnsi="宋体"/>
    </w:rPr>
  </w:style>
  <w:style w:type="character" w:styleId="1511" w:default="1">
    <w:name w:val="Default Paragraph Font"/>
    <w:uiPriority w:val="1"/>
    <w:semiHidden/>
    <w:unhideWhenUsed/>
  </w:style>
  <w:style w:type="numbering" w:styleId="1512" w:default="1">
    <w:name w:val="No List"/>
    <w:uiPriority w:val="99"/>
    <w:semiHidden/>
    <w:unhideWhenUsed/>
  </w:style>
  <w:style w:type="table" w:styleId="15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_rels/header7.xml.rels><?xml version="1.0" encoding="UTF-8" standalone="yes"?><Relationships xmlns="http://schemas.openxmlformats.org/package/2006/relationships"><Relationship Id="rId1" Type="http://schemas.openxmlformats.org/officeDocument/2006/relationships/image" Target="media/image5.png"/></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姜红</cp:lastModifiedBy>
  <cp:revision>11</cp:revision>
  <dcterms:created xsi:type="dcterms:W3CDTF">2026-03-16T02:21:00Z</dcterms:created>
  <dcterms:modified xsi:type="dcterms:W3CDTF">2026-05-07T14:20:29Z</dcterms:modified>
</cp:coreProperties>
</file>