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2"/>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中药饮片及集中代加工和配送服务项目</w:t>
      </w:r>
      <w:r>
        <w:rPr>
          <w:rFonts w:hint="eastAsia"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项目编号/包号：</w:t>
      </w:r>
      <w:r>
        <w:rPr>
          <w:rFonts w:hint="eastAsia" w:ascii="宋体" w:hAnsi="宋体"/>
          <w:bCs/>
          <w:color w:val="000000"/>
          <w:sz w:val="36"/>
          <w:szCs w:val="36"/>
          <w:highlight w:val="none"/>
        </w:rPr>
        <w:t xml:space="preserve">JSZC-320400-CTZB-G2026-0038</w:t>
      </w:r>
      <w:r>
        <w:rPr>
          <w:rFonts w:hint="eastAsia"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cs="宋体"/>
          <w:color w:val="000000"/>
          <w:sz w:val="36"/>
          <w:szCs w:val="36"/>
          <w:highlight w:val="none"/>
        </w:rPr>
        <w:t xml:space="preserve">常州市第二人民医院</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2"/>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2"/>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124"/>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7"/>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7"/>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7"/>
          <w:color w:val="000000"/>
          <w:sz w:val="32"/>
          <w:szCs w:val="32"/>
          <w:highlight w:val="none"/>
        </w:rPr>
        <w:t xml:space="preserve">第三章   资</w:t>
      </w:r>
      <w:bookmarkStart w:id="1" w:name="_Hlt100754117"/>
      <w:r>
        <w:rPr>
          <w:rStyle w:val="1147"/>
          <w:color w:val="000000"/>
          <w:sz w:val="32"/>
          <w:szCs w:val="32"/>
          <w:highlight w:val="none"/>
        </w:rPr>
        <w:t xml:space="preserve">格</w:t>
      </w:r>
      <w:bookmarkEnd w:id="1"/>
      <w:r>
        <w:rPr>
          <w:rStyle w:val="1147"/>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7"/>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7"/>
          <w:color w:val="000000"/>
          <w:sz w:val="32"/>
          <w:szCs w:val="32"/>
          <w:highlight w:val="none"/>
        </w:rPr>
        <w:t xml:space="preserve">第五章   采购</w:t>
      </w:r>
      <w:bookmarkStart w:id="2" w:name="_Hlt100754103"/>
      <w:r/>
      <w:bookmarkStart w:id="3" w:name="_Hlt100754102"/>
      <w:r>
        <w:rPr>
          <w:rStyle w:val="1147"/>
          <w:color w:val="000000"/>
          <w:sz w:val="32"/>
          <w:szCs w:val="32"/>
          <w:highlight w:val="none"/>
        </w:rPr>
        <w:t xml:space="preserve">需</w:t>
      </w:r>
      <w:bookmarkEnd w:id="2"/>
      <w:r/>
      <w:bookmarkEnd w:id="3"/>
      <w:r>
        <w:rPr>
          <w:rStyle w:val="1147"/>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7"/>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7"/>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常州市第二人民医院中药饮片及集中代加工和配送服务项目的潜在投标人应在“苏采云”政府采购一体化平台获取招标文件，并于</w:t>
      </w:r>
      <w:r>
        <w:rPr>
          <w:rFonts w:hint="eastAsia" w:ascii="仿宋" w:hAnsi="仿宋" w:eastAsia="仿宋"/>
          <w:b/>
          <w:bCs/>
          <w:color w:val="000000"/>
          <w:sz w:val="32"/>
          <w:szCs w:val="32"/>
          <w:highlight w:val="none"/>
        </w:rPr>
        <w:t xml:space="preserve">2026年</w:t>
      </w:r>
      <w:r>
        <w:rPr>
          <w:rFonts w:hint="eastAsia" w:ascii="仿宋" w:hAnsi="仿宋" w:eastAsia="仿宋"/>
          <w:b/>
          <w:bCs/>
          <w:color w:val="000000"/>
          <w:sz w:val="32"/>
          <w:szCs w:val="32"/>
          <w:highlight w:val="none"/>
          <w:lang w:val="en-US" w:eastAsia="zh-CN"/>
        </w:rPr>
        <w:t xml:space="preserve">04</w:t>
      </w:r>
      <w:r>
        <w:rPr>
          <w:rFonts w:hint="eastAsia" w:ascii="仿宋" w:hAnsi="仿宋" w:eastAsia="仿宋"/>
          <w:b/>
          <w:bCs/>
          <w:color w:val="000000"/>
          <w:sz w:val="32"/>
          <w:szCs w:val="32"/>
          <w:highlight w:val="none"/>
        </w:rPr>
        <w:t xml:space="preserve">月</w:t>
      </w:r>
      <w:r>
        <w:rPr>
          <w:rFonts w:hint="eastAsia" w:ascii="仿宋" w:hAnsi="仿宋" w:eastAsia="仿宋"/>
          <w:b/>
          <w:bCs/>
          <w:color w:val="000000"/>
          <w:sz w:val="32"/>
          <w:szCs w:val="32"/>
          <w:highlight w:val="none"/>
          <w:lang w:val="en-US" w:eastAsia="zh-CN"/>
        </w:rPr>
        <w:t xml:space="preserve">30</w:t>
      </w:r>
      <w:r>
        <w:rPr>
          <w:rFonts w:hint="eastAsia" w:ascii="仿宋" w:hAnsi="仿宋" w:eastAsia="仿宋"/>
          <w:b/>
          <w:bCs/>
          <w:color w:val="000000"/>
          <w:sz w:val="32"/>
          <w:szCs w:val="32"/>
          <w:highlight w:val="none"/>
        </w:rPr>
        <w:t xml:space="preserve">日14点00分（北京时间）</w:t>
      </w:r>
      <w:r>
        <w:rPr>
          <w:rFonts w:hint="eastAsia" w:ascii="仿宋" w:hAnsi="仿宋" w:eastAsia="仿宋"/>
          <w:color w:val="000000"/>
          <w:sz w:val="32"/>
          <w:szCs w:val="32"/>
          <w:highlight w:val="none"/>
        </w:rPr>
        <w:t xml:space="preserve">前递交投标文件。</w:t>
      </w:r>
      <w:r>
        <w:rPr>
          <w:rFonts w:hint="eastAsia" w:ascii="仿宋" w:hAnsi="仿宋" w:eastAsia="仿宋"/>
          <w:color w:val="000000"/>
          <w:sz w:val="32"/>
          <w:szCs w:val="32"/>
          <w:highlight w:val="none"/>
        </w:rPr>
      </w:r>
      <w:r/>
    </w:p>
    <w:p>
      <w:pPr>
        <w:pStyle w:val="1074"/>
        <w:ind w:firstLine="643"/>
        <w:jc w:val="left"/>
        <w:spacing w:before="240" w:line="360" w:lineRule="auto"/>
        <w:rPr>
          <w:rFonts w:ascii="仿宋" w:hAnsi="仿宋" w:eastAsia="仿宋"/>
          <w:color w:val="000000"/>
          <w:sz w:val="32"/>
          <w:szCs w:val="32"/>
          <w:highlight w:val="none"/>
        </w:rPr>
      </w:pPr>
      <w:r/>
      <w:bookmarkStart w:id="5" w:name="_Toc28359079"/>
      <w:r/>
      <w:bookmarkStart w:id="6" w:name="_Toc28359002"/>
      <w:r/>
      <w:bookmarkStart w:id="7" w:name="_Toc35393790"/>
      <w:r/>
      <w:bookmarkStart w:id="8" w:name="_Toc35393621"/>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ascii="仿宋" w:hAnsi="仿宋" w:eastAsia="仿宋"/>
          <w:color w:val="000000"/>
          <w:sz w:val="32"/>
          <w:szCs w:val="32"/>
          <w:highlight w:val="none"/>
        </w:rPr>
        <w:t xml:space="preserve">1.项目编号/包号：</w:t>
      </w:r>
      <w:r>
        <w:rPr>
          <w:rFonts w:hint="eastAsia" w:ascii="仿宋" w:hAnsi="仿宋" w:eastAsia="仿宋"/>
          <w:color w:val="000000"/>
          <w:sz w:val="32"/>
          <w:szCs w:val="32"/>
          <w:highlight w:val="none"/>
        </w:rPr>
        <w:t xml:space="preserve">JSZC-320400-CTZB-G2026-0038</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常州市第二人民医院中药饮片及集中代加工和配送服务项目</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rPr>
        <w:t xml:space="preserve">1500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t xml:space="preserve">（三年）</w:t>
      </w:r>
      <w:r>
        <w:rPr>
          <w:rFonts w:hint="eastAsia"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（1）中药饮片价格不超过常州地区中药饮片参考零售价的100%。</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（2）中药代加工服务限价：煎汤 3.2元/帖，熬膏220元/料，其他项目另行商定。</w:t>
      </w:r>
      <w:r>
        <w:rPr>
          <w:rFonts w:hint="eastAsia"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2"/>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中药饮片及集中代加工和配送服务</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1500</w:t>
            </w:r>
            <w:r>
              <w:rPr>
                <w:rFonts w:ascii="仿宋" w:hAnsi="仿宋" w:eastAsia="仿宋"/>
                <w:bCs/>
                <w:color w:val="000000"/>
                <w:sz w:val="32"/>
                <w:szCs w:val="32"/>
                <w:highlight w:val="none"/>
              </w:rPr>
            </w:r>
            <w:r/>
          </w:p>
        </w:tc>
        <w:tc>
          <w:tcPr>
            <w:tcW w:w="539"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3年</w:t>
            </w:r>
            <w:r>
              <w:rPr>
                <w:rFonts w:ascii="仿宋" w:hAnsi="仿宋" w:eastAsia="仿宋"/>
                <w:bCs/>
                <w:color w:val="000000"/>
                <w:sz w:val="32"/>
                <w:szCs w:val="32"/>
                <w:highlight w:val="none"/>
              </w:rPr>
            </w:r>
            <w:r/>
          </w:p>
        </w:tc>
        <w:tc>
          <w:tcPr>
            <w:tcW w:w="2314" w:type="dxa"/>
            <w:vAlign w:val="center"/>
            <w:textDirection w:val="lrTb"/>
            <w:noWrap w:val="false"/>
          </w:tcPr>
          <w:p>
            <w:pPr>
              <w:pStyle w:val="1072"/>
              <w:jc w:val="left"/>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常州市第二人民医院为规范中药饮片采购渠道，统一质量标准，保障中药饮片质量和供给，促进中医药事业发展，结合国家相关政策，拟采购中药饮片（含集中代加工及配送服务）。同时利用信息技术优势和规模优势，提供代配、代煎、熬膏等中药代加工服务，并将配好的药方或汤剂、膏剂、丸剂等代加工后的成品根据招标人要求及时配送到医院或客户。</w:t>
            </w:r>
            <w:r>
              <w:rPr>
                <w:rFonts w:ascii="仿宋" w:hAnsi="仿宋" w:eastAsia="仿宋"/>
                <w:bCs/>
                <w:color w:val="000000"/>
                <w:sz w:val="32"/>
                <w:szCs w:val="32"/>
                <w:highlight w:val="none"/>
              </w:rPr>
            </w:r>
            <w:r/>
          </w:p>
        </w:tc>
      </w:tr>
    </w:tbl>
    <w:p>
      <w:pPr>
        <w:pStyle w:val="1072"/>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合同履行期限：服务期三年，合同一年一签。合同到期前一个月，经招标人考核合格后，可续签下一年合同。</w:t>
      </w:r>
      <w:r>
        <w:rPr>
          <w:rFonts w:ascii="仿宋" w:hAnsi="仿宋" w:eastAsia="仿宋"/>
          <w:color w:val="000000"/>
          <w:sz w:val="32"/>
          <w:szCs w:val="32"/>
          <w:highlight w:val="none"/>
          <w:u w:val="singl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10" w:name="_Toc28359080"/>
      <w:r/>
      <w:bookmarkStart w:id="11" w:name="_Toc35393622"/>
      <w:r/>
      <w:bookmarkStart w:id="12" w:name="_Toc35393791"/>
      <w:r/>
      <w:bookmarkStart w:id="13" w:name="_Toc28359003"/>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2"/>
        <w:ind w:firstLine="640"/>
        <w:spacing w:line="360" w:lineRule="auto"/>
        <w:rPr>
          <w:rFonts w:ascii="仿宋" w:hAnsi="仿宋" w:eastAsia="仿宋"/>
          <w:b/>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本项目专门面向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中小 □小微企业  采购。即：</w:t>
      </w:r>
      <w:r>
        <w:rPr>
          <w:rFonts w:ascii="仿宋" w:hAnsi="仿宋" w:eastAsia="仿宋"/>
          <w:b/>
          <w:color w:val="000000"/>
          <w:sz w:val="32"/>
          <w:szCs w:val="32"/>
          <w:highlight w:val="none"/>
        </w:rPr>
        <w:t xml:space="preserve">提供的服务全部由符合政策要求的中小/小微企业承接。</w:t>
      </w:r>
      <w:r>
        <w:rPr>
          <w:rFonts w:ascii="仿宋" w:hAnsi="仿宋" w:eastAsia="仿宋"/>
          <w:b/>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①投标人如为所投产品的生产企业，具备有效的《药品生产许可证》（许可范围需包含中药饮片）；</w:t>
      </w:r>
      <w:r>
        <w:rPr>
          <w:rFonts w:hint="eastAsia"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②投标人如为所投产品的经营企业，具备有效的《药品经营许可证》（许可范围需包含中药饮片）。</w:t>
      </w:r>
      <w:r>
        <w:rPr>
          <w:rFonts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792"/>
      <w:r/>
      <w:bookmarkStart w:id="17" w:name="_Toc35393623"/>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04</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04</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16</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2"/>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2"/>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2"/>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rPr>
        <w:t xml:space="preserve">2026年</w:t>
      </w:r>
      <w:r>
        <w:rPr>
          <w:rFonts w:hint="eastAsia" w:ascii="仿宋" w:hAnsi="仿宋" w:eastAsia="仿宋"/>
          <w:b/>
          <w:bCs/>
          <w:color w:val="000000"/>
          <w:sz w:val="32"/>
          <w:szCs w:val="32"/>
          <w:highlight w:val="none"/>
          <w:lang w:val="en-US" w:eastAsia="zh-CN"/>
        </w:rPr>
        <w:t xml:space="preserve">04</w:t>
      </w:r>
      <w:r>
        <w:rPr>
          <w:rFonts w:hint="eastAsia" w:ascii="仿宋" w:hAnsi="仿宋" w:eastAsia="仿宋"/>
          <w:b/>
          <w:bCs/>
          <w:color w:val="000000"/>
          <w:sz w:val="32"/>
          <w:szCs w:val="32"/>
          <w:highlight w:val="none"/>
        </w:rPr>
        <w:t xml:space="preserve">月</w:t>
      </w:r>
      <w:r>
        <w:rPr>
          <w:rFonts w:hint="eastAsia" w:ascii="仿宋" w:hAnsi="仿宋" w:eastAsia="仿宋"/>
          <w:b/>
          <w:bCs/>
          <w:color w:val="000000"/>
          <w:sz w:val="32"/>
          <w:szCs w:val="32"/>
          <w:highlight w:val="none"/>
          <w:lang w:val="en-US" w:eastAsia="zh-CN"/>
        </w:rPr>
        <w:t xml:space="preserve">30</w:t>
      </w:r>
      <w:r>
        <w:rPr>
          <w:rFonts w:hint="eastAsia" w:ascii="仿宋" w:hAnsi="仿宋" w:eastAsia="仿宋"/>
          <w:b/>
          <w:bCs/>
          <w:color w:val="000000"/>
          <w:sz w:val="32"/>
          <w:szCs w:val="32"/>
          <w:highlight w:val="none"/>
        </w:rPr>
        <w:t xml:space="preserve">日14点00分（北京时间）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2"/>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2" w:name="_Toc35393625"/>
      <w:r/>
      <w:bookmarkStart w:id="23" w:name="_Toc28359007"/>
      <w:r/>
      <w:bookmarkStart w:id="24" w:name="_Toc35393794"/>
      <w:r/>
      <w:bookmarkStart w:id="25" w:name="_Toc2835908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4"/>
        <w:ind w:firstLine="643"/>
        <w:jc w:val="left"/>
        <w:spacing w:before="0" w:line="360" w:lineRule="auto"/>
        <w:rPr>
          <w:rFonts w:ascii="仿宋" w:hAnsi="仿宋" w:eastAsia="仿宋"/>
          <w:color w:val="000000"/>
          <w:sz w:val="32"/>
          <w:szCs w:val="32"/>
          <w:highlight w:val="none"/>
        </w:rPr>
      </w:pPr>
      <w:r/>
      <w:bookmarkStart w:id="28" w:name="_Toc28359008"/>
      <w:r/>
      <w:bookmarkStart w:id="29" w:name="_Toc35393627"/>
      <w:r/>
      <w:bookmarkStart w:id="30" w:name="_Toc28359085"/>
      <w:r/>
      <w:bookmarkStart w:id="31" w:name="_Toc35393796"/>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2"/>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bookmarkStart w:id="32" w:name="_Toc28359086"/>
      <w:r/>
      <w:bookmarkStart w:id="33" w:name="_Toc28359009"/>
      <w:r>
        <w:rPr>
          <w:rFonts w:hint="eastAsia" w:ascii="仿宋" w:hAnsi="仿宋" w:eastAsia="仿宋"/>
          <w:color w:val="000000"/>
          <w:sz w:val="32"/>
          <w:szCs w:val="32"/>
          <w:highlight w:val="none"/>
        </w:rPr>
        <w:t xml:space="preserve">名    称：常州市第二人民医院 </w:t>
      </w:r>
      <w:r>
        <w:rPr>
          <w:rFonts w:hint="eastAsia"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址：江苏省常州市武进区滆湖中路188号</w:t>
      </w:r>
      <w:r>
        <w:rPr>
          <w:rFonts w:hint="eastAsia"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联系方式：杨先生 0519-81080985</w:t>
      </w:r>
      <w:r>
        <w:rPr>
          <w:rFonts w:hint="eastAsia" w:ascii="仿宋" w:hAnsi="仿宋" w:eastAsia="仿宋"/>
          <w:color w:val="000000"/>
          <w:sz w:val="32"/>
          <w:szCs w:val="32"/>
          <w:highlight w:val="none"/>
        </w:rPr>
      </w:r>
      <w:r/>
    </w:p>
    <w:p>
      <w:pPr>
        <w:pStyle w:val="1072"/>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2"/>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72"/>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72"/>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264969275"/>
      <w:r/>
      <w:bookmarkStart w:id="37" w:name="_Toc265228423"/>
      <w:r/>
      <w:bookmarkStart w:id="38" w:name="_Toc150774783"/>
      <w:r/>
      <w:bookmarkStart w:id="39" w:name="_Toc195842950"/>
      <w:r/>
      <w:bookmarkStart w:id="40" w:name="_Toc305158928"/>
      <w:r/>
      <w:bookmarkStart w:id="41" w:name="_Toc353873938"/>
      <w:r/>
      <w:bookmarkStart w:id="42" w:name="_Toc305158854"/>
      <w:r/>
      <w:bookmarkStart w:id="43" w:name="_Toc226965856"/>
      <w:r/>
      <w:bookmarkStart w:id="44" w:name="_Toc127151777"/>
      <w:r/>
      <w:bookmarkStart w:id="45" w:name="_Toc512937850"/>
      <w:r/>
      <w:bookmarkStart w:id="46" w:name="_Toc353825548"/>
      <w:r/>
      <w:bookmarkStart w:id="47" w:name="_Toc127161488"/>
      <w:r/>
      <w:bookmarkStart w:id="48" w:name="_Toc99301420"/>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4"/>
        <w:spacing w:before="0" w:line="360" w:lineRule="auto"/>
        <w:tabs>
          <w:tab w:val="center" w:pos="4592" w:leader="none"/>
          <w:tab w:val="left" w:pos="7860" w:leader="none"/>
        </w:tabs>
        <w:rPr>
          <w:rFonts w:ascii="宋体" w:hAnsi="宋体" w:eastAsia="宋体"/>
          <w:color w:val="000000"/>
          <w:sz w:val="28"/>
          <w:highlight w:val="none"/>
        </w:rPr>
      </w:pPr>
      <w:r/>
      <w:bookmarkStart w:id="49" w:name="_Toc151193907"/>
      <w:r/>
      <w:bookmarkStart w:id="50" w:name="_Toc226965709"/>
      <w:r/>
      <w:bookmarkStart w:id="51" w:name="_Toc226309763"/>
      <w:r/>
      <w:bookmarkStart w:id="52" w:name="_Toc127151720"/>
      <w:r/>
      <w:bookmarkStart w:id="53" w:name="_Toc164229214"/>
      <w:r/>
      <w:bookmarkStart w:id="54" w:name="_Toc151193833"/>
      <w:r/>
      <w:bookmarkStart w:id="55" w:name="_Toc150774724"/>
      <w:r/>
      <w:bookmarkStart w:id="56" w:name="_Toc127161433"/>
      <w:r/>
      <w:bookmarkStart w:id="57" w:name="_Toc151193689"/>
      <w:r/>
      <w:bookmarkStart w:id="58" w:name="_Toc149720812"/>
      <w:r/>
      <w:bookmarkStart w:id="59" w:name="_Toc127151519"/>
      <w:r/>
      <w:bookmarkStart w:id="60" w:name="_Toc164608633"/>
      <w:r/>
      <w:bookmarkStart w:id="61" w:name="_Toc164351613"/>
      <w:r/>
      <w:bookmarkStart w:id="62" w:name="_Toc150480757"/>
      <w:r/>
      <w:bookmarkStart w:id="63" w:name="_Toc150774619"/>
      <w:r/>
      <w:bookmarkStart w:id="64" w:name="_Toc195842884"/>
      <w:r/>
      <w:bookmarkStart w:id="65" w:name="_Toc520356144"/>
      <w:r/>
      <w:bookmarkStart w:id="66" w:name="_Toc151193761"/>
      <w:r/>
      <w:bookmarkStart w:id="67" w:name="_Toc164229360"/>
      <w:r/>
      <w:bookmarkStart w:id="68" w:name="_Toc226337215"/>
      <w:r/>
      <w:bookmarkStart w:id="69" w:name="_Toc226965792"/>
      <w:r/>
      <w:bookmarkStart w:id="70" w:name="_Toc150509270"/>
      <w:r/>
      <w:bookmarkStart w:id="71" w:name="_Toc151193617"/>
      <w:r/>
      <w:bookmarkStart w:id="72" w:name="_Toc164608788"/>
      <w:r/>
      <w:bookmarkStart w:id="73" w:name="_Toc142311021"/>
      <w:r/>
      <w:bookmarkStart w:id="74" w:name="_Toc151190146"/>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2"/>
        <w:jc w:val="center"/>
        <w:rPr>
          <w:rFonts w:ascii="宋体" w:hAnsi="宋体"/>
          <w:b/>
          <w:color w:val="000000"/>
          <w:sz w:val="28"/>
          <w:szCs w:val="28"/>
          <w:highlight w:val="none"/>
        </w:rPr>
      </w:pPr>
      <w:r>
        <w:rPr>
          <w:rFonts w:ascii="宋体" w:hAnsi="宋体"/>
          <w:b/>
          <w:color w:val="000000"/>
          <w:sz w:val="28"/>
          <w:szCs w:val="28"/>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89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1"/>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1"/>
              <w:rPr>
                <w:rFonts w:hAnsi="宋体" w:cs="宋体"/>
                <w:color w:val="000000"/>
                <w:sz w:val="24"/>
                <w:szCs w:val="24"/>
                <w:highlight w:val="none"/>
              </w:rPr>
            </w:pP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72"/>
              <w:jc w:val="left"/>
              <w:rPr>
                <w:rFonts w:hint="eastAsia" w:ascii="宋体" w:hAnsi="宋体" w:cs="宋体"/>
                <w:color w:val="000000"/>
                <w:sz w:val="24"/>
                <w:highlight w:val="none"/>
              </w:rPr>
            </w:pPr>
            <w:r>
              <w:rPr>
                <w:rFonts w:hint="eastAsia" w:hAnsi="宋体" w:cs="宋体"/>
                <w:color w:val="000000"/>
                <w:sz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2"/>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1"/>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（1）样品制作的标准和要求：_________；</w:t>
            </w:r>
            <w:r>
              <w:rPr>
                <w:rFonts w:hint="eastAsia" w:ascii="宋体" w:hAnsi="宋体" w:cs="宋体"/>
                <w:color w:val="000000"/>
                <w:sz w:val="24"/>
                <w:highlight w:val="none"/>
                <w:u w:val="singl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（2）是否需要随样品提交相关检测报告：</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b/>
                <w:color w:val="000000"/>
                <w:sz w:val="24"/>
                <w:highlight w:val="none"/>
              </w:rPr>
              <w:t xml:space="preserve">其他未列明行业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2"/>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R</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74"/>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ascii="宋体" w:hAnsi="宋体" w:cs="宋体"/>
                <w:b/>
                <w:color w:val="000000"/>
                <w:sz w:val="24"/>
                <w:highlight w:val="none"/>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04</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17</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w:t>
            </w:r>
            <w:r>
              <w:rPr>
                <w:rFonts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成交供应商须按其成交金额的0.8%计算并支付代理费。代理费按上述计算方法不足人民币3000元的，按人民币3000元收取。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
                <w:color w:val="000000"/>
                <w:sz w:val="24"/>
                <w:highlight w:val="none"/>
              </w:rPr>
              <w:t xml:space="preserve">（3）缴纳时间：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2"/>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2"/>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2"/>
        <w:jc w:val="center"/>
        <w:spacing w:before="240" w:after="240"/>
        <w:rPr>
          <w:rFonts w:hint="eastAsia" w:ascii="宋体" w:hAnsi="宋体" w:cs="宋体"/>
          <w:b/>
          <w:color w:val="000000"/>
          <w:sz w:val="28"/>
          <w:szCs w:val="28"/>
          <w:highlight w:val="none"/>
        </w:rPr>
      </w:pPr>
      <w:r/>
      <w:bookmarkStart w:id="75" w:name="_Toc305158785"/>
      <w:r/>
      <w:bookmarkStart w:id="76" w:name="_Toc265228355"/>
      <w:r/>
      <w:bookmarkStart w:id="77" w:name="_Toc142311019"/>
      <w:r/>
      <w:bookmarkStart w:id="78" w:name="_Toc353825542"/>
      <w:r/>
      <w:bookmarkStart w:id="79" w:name="_Toc264969207"/>
      <w:r/>
      <w:bookmarkStart w:id="80" w:name="_Toc226965790"/>
      <w:r/>
      <w:bookmarkStart w:id="81" w:name="_Toc353873662"/>
      <w:r/>
      <w:bookmarkStart w:id="82" w:name="_Toc150774722"/>
      <w:r/>
      <w:bookmarkStart w:id="83" w:name="_Toc353873932"/>
      <w:r/>
      <w:bookmarkStart w:id="84" w:name="_Toc305158859"/>
      <w:r/>
      <w:bookmarkStart w:id="85" w:name="_Toc150480755"/>
      <w:r/>
      <w:bookmarkStart w:id="86" w:name="_Toc226337213"/>
      <w:r/>
      <w:bookmarkStart w:id="87" w:name="_Toc195842882"/>
      <w:r/>
      <w:bookmarkStart w:id="88" w:name="_Toc127151517"/>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4"/>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226337214"/>
      <w:r/>
      <w:bookmarkStart w:id="92" w:name="_Toc151190145"/>
      <w:r/>
      <w:bookmarkStart w:id="93" w:name="_Toc150774723"/>
      <w:r/>
      <w:bookmarkStart w:id="94" w:name="_Toc142311020"/>
      <w:r/>
      <w:bookmarkStart w:id="95" w:name="_Toc151193616"/>
      <w:r/>
      <w:bookmarkStart w:id="96" w:name="_Toc195842883"/>
      <w:r/>
      <w:bookmarkStart w:id="97" w:name="_Toc150774618"/>
      <w:r/>
      <w:bookmarkStart w:id="98" w:name="_Toc305158786"/>
      <w:r/>
      <w:bookmarkStart w:id="99" w:name="_Toc226309762"/>
      <w:r/>
      <w:bookmarkStart w:id="100" w:name="_Toc151193688"/>
      <w:r/>
      <w:bookmarkStart w:id="101" w:name="_Toc151193760"/>
      <w:r/>
      <w:bookmarkStart w:id="102" w:name="_Toc305158860"/>
      <w:r/>
      <w:bookmarkStart w:id="103" w:name="_Toc264969208"/>
      <w:r/>
      <w:bookmarkStart w:id="104" w:name="_Toc150509269"/>
      <w:r/>
      <w:bookmarkStart w:id="105" w:name="_Toc226965791"/>
      <w:r/>
      <w:bookmarkStart w:id="106" w:name="_Toc226965708"/>
      <w:r/>
      <w:bookmarkStart w:id="107" w:name="_Toc151193832"/>
      <w:r/>
      <w:bookmarkStart w:id="108" w:name="_Toc151193906"/>
      <w:r/>
      <w:bookmarkStart w:id="109" w:name="_Toc150480756"/>
      <w:r/>
      <w:bookmarkStart w:id="110" w:name="_Toc265228356"/>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111" w:name="_Toc305158787"/>
      <w:r/>
      <w:bookmarkStart w:id="112" w:name="_Toc305158861"/>
      <w:r/>
      <w:bookmarkStart w:id="113" w:name="_Toc264969209"/>
      <w:r/>
      <w:bookmarkStart w:id="114" w:name="_Toc265228357"/>
      <w:r/>
      <w:bookmarkStart w:id="115" w:name="_Toc150774760"/>
      <w:r/>
      <w:bookmarkStart w:id="116" w:name="_Toc142311057"/>
      <w:r/>
      <w:bookmarkStart w:id="117" w:name="_Toc195842920"/>
      <w:r/>
      <w:bookmarkStart w:id="118" w:name="_Toc353873935"/>
      <w:r/>
      <w:bookmarkStart w:id="119" w:name="_Toc127151555"/>
      <w:r/>
      <w:bookmarkStart w:id="120" w:name="_Toc226965828"/>
      <w:r/>
      <w:bookmarkStart w:id="121" w:name="_Toc264969245"/>
      <w:r/>
      <w:bookmarkStart w:id="122" w:name="_Toc353873665"/>
      <w:r/>
      <w:bookmarkStart w:id="123" w:name="_Toc305158897"/>
      <w:r/>
      <w:bookmarkStart w:id="124" w:name="_Toc353825545"/>
      <w:r/>
      <w:bookmarkStart w:id="125" w:name="_Toc305158823"/>
      <w:r/>
      <w:bookmarkStart w:id="126" w:name="_Toc265228393"/>
      <w:r/>
      <w:bookmarkStart w:id="127" w:name="_Toc150480793"/>
      <w:r/>
      <w:bookmarkStart w:id="128" w:name="_Toc226337251"/>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29" w:name="_Toc150509271"/>
      <w:r/>
      <w:bookmarkStart w:id="130" w:name="_Toc150774725"/>
      <w:r/>
      <w:bookmarkStart w:id="131" w:name="_Toc305158788"/>
      <w:r/>
      <w:bookmarkStart w:id="132" w:name="_Toc264969210"/>
      <w:r/>
      <w:bookmarkStart w:id="133" w:name="_Toc142311022"/>
      <w:r/>
      <w:bookmarkStart w:id="134" w:name="_Toc265228358"/>
      <w:r/>
      <w:bookmarkStart w:id="135" w:name="_Toc149720813"/>
      <w:r/>
      <w:bookmarkStart w:id="136" w:name="_Toc151193908"/>
      <w:r/>
      <w:bookmarkStart w:id="137" w:name="_Toc164351614"/>
      <w:r/>
      <w:bookmarkStart w:id="138" w:name="_Toc150774620"/>
      <w:r/>
      <w:bookmarkStart w:id="139" w:name="_Toc226337216"/>
      <w:r/>
      <w:bookmarkStart w:id="140" w:name="_Toc164229215"/>
      <w:r/>
      <w:bookmarkStart w:id="141" w:name="_Toc305158862"/>
      <w:r/>
      <w:bookmarkStart w:id="142" w:name="_Toc226309764"/>
      <w:r/>
      <w:bookmarkStart w:id="143" w:name="_Toc195842885"/>
      <w:r/>
      <w:bookmarkStart w:id="144" w:name="_Toc127151721"/>
      <w:r/>
      <w:bookmarkStart w:id="145" w:name="_Toc151193690"/>
      <w:r/>
      <w:bookmarkStart w:id="146" w:name="_Toc127161434"/>
      <w:r/>
      <w:bookmarkStart w:id="147" w:name="_Toc164608634"/>
      <w:r/>
      <w:bookmarkStart w:id="148" w:name="_Toc150480758"/>
      <w:r/>
      <w:bookmarkStart w:id="149" w:name="_Toc164229361"/>
      <w:r/>
      <w:bookmarkStart w:id="150" w:name="_Toc151193618"/>
      <w:r/>
      <w:bookmarkStart w:id="151" w:name="_Toc151193762"/>
      <w:r/>
      <w:bookmarkStart w:id="152" w:name="_Toc164608789"/>
      <w:r/>
      <w:bookmarkStart w:id="153" w:name="_Toc226965793"/>
      <w:r/>
      <w:bookmarkStart w:id="154" w:name="_Toc226965710"/>
      <w:r/>
      <w:bookmarkStart w:id="155" w:name="_Toc151190147"/>
      <w:r/>
      <w:bookmarkStart w:id="156" w:name="_Toc151193834"/>
      <w:r/>
      <w:bookmarkStart w:id="157" w:name="_Toc127151520"/>
      <w:r>
        <w:rPr>
          <w:rFonts w:hint="eastAsia" w:ascii="宋体" w:hAnsi="宋体" w:cs="宋体"/>
          <w:b/>
          <w:color w:val="000000"/>
          <w:sz w:val="24"/>
          <w:highlight w:val="none"/>
        </w:rPr>
        <w:t xml:space="preserve">资金来源</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58" w:name="_Toc520356146"/>
      <w:r/>
      <w:bookmarkStart w:id="159" w:name="_Toc305158864"/>
      <w:r/>
      <w:bookmarkStart w:id="160" w:name="_Toc151193692"/>
      <w:r/>
      <w:bookmarkStart w:id="161" w:name="_Toc150774727"/>
      <w:r/>
      <w:bookmarkStart w:id="162" w:name="_Toc127151522"/>
      <w:r/>
      <w:bookmarkStart w:id="163" w:name="_Toc226965795"/>
      <w:r/>
      <w:bookmarkStart w:id="164" w:name="_Toc150774622"/>
      <w:r/>
      <w:bookmarkStart w:id="165" w:name="_Toc226309766"/>
      <w:r/>
      <w:bookmarkStart w:id="166" w:name="_Toc150480760"/>
      <w:r/>
      <w:bookmarkStart w:id="167" w:name="_Toc265228360"/>
      <w:r/>
      <w:bookmarkStart w:id="168" w:name="_Toc264969212"/>
      <w:r/>
      <w:bookmarkStart w:id="169" w:name="_Toc150509273"/>
      <w:r/>
      <w:bookmarkStart w:id="170" w:name="_Toc195842887"/>
      <w:r/>
      <w:bookmarkStart w:id="171" w:name="_Toc151193836"/>
      <w:r/>
      <w:bookmarkStart w:id="172" w:name="_Toc305158790"/>
      <w:r/>
      <w:bookmarkStart w:id="173" w:name="_Toc151193620"/>
      <w:r/>
      <w:bookmarkStart w:id="174" w:name="_Toc142311024"/>
      <w:r/>
      <w:bookmarkStart w:id="175" w:name="_Toc151193910"/>
      <w:r/>
      <w:bookmarkStart w:id="176" w:name="_Toc151190149"/>
      <w:r/>
      <w:bookmarkStart w:id="177" w:name="_Toc151193764"/>
      <w:r/>
      <w:bookmarkStart w:id="178" w:name="_Toc226965712"/>
      <w:r/>
      <w:bookmarkStart w:id="179" w:name="_Toc226337218"/>
      <w:r>
        <w:rPr>
          <w:rFonts w:hint="eastAsia" w:ascii="宋体" w:hAnsi="宋体" w:cs="宋体"/>
          <w:color w:val="000000"/>
          <w:sz w:val="28"/>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具体详见国家互联网信息办公室、工业和信息化部、公安部、财政部和国家认证认可监督管理委员会关于调整网络安全专用产品安全管理有关事项的公告(2023年第1号)。</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2"/>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2"/>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2"/>
        <w:ind w:firstLine="560"/>
        <w:spacing w:line="360" w:lineRule="auto"/>
        <w:tabs>
          <w:tab w:val="left" w:pos="1080" w:leader="none"/>
        </w:tabs>
        <w:rPr>
          <w:rFonts w:hint="eastAsia" w:ascii="宋体" w:hAnsi="宋体" w:cs="宋体"/>
          <w:color w:val="000000"/>
          <w:sz w:val="28"/>
          <w:highlight w:val="none"/>
        </w:rPr>
      </w:pPr>
      <w:r/>
      <w:bookmarkStart w:id="180" w:name="_1.8_计量单位"/>
      <w:r/>
      <w:bookmarkEnd w:id="180"/>
      <w:r>
        <w:rPr>
          <w:rFonts w:hint="eastAsia" w:ascii="宋体" w:hAnsi="宋体" w:cs="宋体"/>
          <w:color w:val="000000"/>
          <w:sz w:val="28"/>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81" w:name="_Toc164229364"/>
      <w:r/>
      <w:bookmarkStart w:id="182" w:name="_Toc151193765"/>
      <w:r/>
      <w:bookmarkStart w:id="183" w:name="_Toc226965796"/>
      <w:r/>
      <w:bookmarkStart w:id="184" w:name="_Toc265228361"/>
      <w:r/>
      <w:bookmarkStart w:id="185" w:name="_Toc151193837"/>
      <w:r/>
      <w:bookmarkStart w:id="186" w:name="_Toc164608792"/>
      <w:r/>
      <w:bookmarkStart w:id="187" w:name="_Toc164229218"/>
      <w:r/>
      <w:bookmarkStart w:id="188" w:name="_Toc226337219"/>
      <w:r/>
      <w:bookmarkStart w:id="189" w:name="_Toc151190150"/>
      <w:r/>
      <w:bookmarkStart w:id="190" w:name="_Toc226965713"/>
      <w:r/>
      <w:bookmarkStart w:id="191" w:name="_Toc195842888"/>
      <w:r/>
      <w:bookmarkStart w:id="192" w:name="_Toc151193621"/>
      <w:r/>
      <w:bookmarkStart w:id="193" w:name="_Toc520356147"/>
      <w:r/>
      <w:bookmarkStart w:id="194" w:name="_Toc150480761"/>
      <w:r/>
      <w:bookmarkStart w:id="195" w:name="_Toc150774623"/>
      <w:r/>
      <w:bookmarkStart w:id="196" w:name="_Toc264969213"/>
      <w:r/>
      <w:bookmarkStart w:id="197" w:name="_Toc164608637"/>
      <w:r/>
      <w:bookmarkStart w:id="198" w:name="_Toc151193693"/>
      <w:r/>
      <w:bookmarkStart w:id="199" w:name="_Toc127151523"/>
      <w:r/>
      <w:bookmarkStart w:id="200" w:name="_Toc142311025"/>
      <w:r/>
      <w:bookmarkStart w:id="201" w:name="_Toc305158791"/>
      <w:r/>
      <w:bookmarkStart w:id="202" w:name="_Toc226309767"/>
      <w:r/>
      <w:bookmarkStart w:id="203" w:name="_Toc150509274"/>
      <w:r/>
      <w:bookmarkStart w:id="204" w:name="_Toc305158865"/>
      <w:r/>
      <w:bookmarkStart w:id="205" w:name="_Toc150774728"/>
      <w:r/>
      <w:bookmarkStart w:id="206" w:name="_Toc127161437"/>
      <w:r/>
      <w:bookmarkStart w:id="207" w:name="_Toc164351617"/>
      <w:r/>
      <w:bookmarkStart w:id="208" w:name="_Toc151193911"/>
      <w:r/>
      <w:bookmarkStart w:id="209" w:name="_Toc149720816"/>
      <w:r/>
      <w:bookmarkStart w:id="210" w:name="_Toc127151724"/>
      <w:r>
        <w:rPr>
          <w:rFonts w:hint="eastAsia" w:ascii="宋体" w:hAnsi="宋体" w:cs="宋体"/>
          <w:b/>
          <w:color w:val="000000"/>
          <w:sz w:val="24"/>
          <w:highlight w:val="none"/>
        </w:rPr>
        <w:t xml:space="preserve">招标文件构</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211" w:name="_Toc226337222"/>
      <w:r/>
      <w:bookmarkStart w:id="212" w:name="_Toc151193840"/>
      <w:r/>
      <w:bookmarkStart w:id="213" w:name="_Toc226309770"/>
      <w:r/>
      <w:bookmarkStart w:id="214" w:name="_Toc151190153"/>
      <w:r/>
      <w:bookmarkStart w:id="215" w:name="_Toc151193696"/>
      <w:r/>
      <w:bookmarkStart w:id="216" w:name="_Toc195842891"/>
      <w:r/>
      <w:bookmarkStart w:id="217" w:name="_Toc305158868"/>
      <w:r/>
      <w:bookmarkStart w:id="218" w:name="_Toc265228364"/>
      <w:r/>
      <w:bookmarkStart w:id="219" w:name="_Toc151193768"/>
      <w:r/>
      <w:bookmarkStart w:id="220" w:name="_Toc150774731"/>
      <w:r/>
      <w:bookmarkStart w:id="221" w:name="_Toc520356150"/>
      <w:r/>
      <w:bookmarkStart w:id="222" w:name="_Toc150480764"/>
      <w:r/>
      <w:bookmarkStart w:id="223" w:name="_Toc150774626"/>
      <w:r/>
      <w:bookmarkStart w:id="224" w:name="_Toc151193624"/>
      <w:r/>
      <w:bookmarkStart w:id="225" w:name="_Toc151193914"/>
      <w:r/>
      <w:bookmarkStart w:id="226" w:name="_Toc516367020"/>
      <w:r/>
      <w:bookmarkStart w:id="227" w:name="_Toc142311028"/>
      <w:r/>
      <w:bookmarkStart w:id="228" w:name="_Toc305158794"/>
      <w:r/>
      <w:bookmarkStart w:id="229" w:name="_Toc226965716"/>
      <w:r/>
      <w:bookmarkStart w:id="230" w:name="_Toc150509277"/>
      <w:r/>
      <w:bookmarkStart w:id="231" w:name="_Toc127151526"/>
      <w:r/>
      <w:bookmarkStart w:id="232" w:name="_Toc264969216"/>
      <w:r/>
      <w:bookmarkStart w:id="233" w:name="_Toc226965799"/>
      <w:r>
        <w:rPr>
          <w:rFonts w:hint="eastAsia" w:ascii="宋体" w:hAnsi="宋体" w:eastAsia="宋体" w:cs="宋体"/>
          <w:color w:val="000000"/>
          <w:sz w:val="28"/>
          <w:highlight w:val="none"/>
        </w:rPr>
        <w:t xml:space="preserve">三   投标文件</w:t>
      </w:r>
      <w:bookmarkEnd w:id="226"/>
      <w:r>
        <w:rPr>
          <w:rFonts w:hint="eastAsia" w:ascii="宋体" w:hAnsi="宋体" w:eastAsia="宋体" w:cs="宋体"/>
          <w:color w:val="000000"/>
          <w:sz w:val="28"/>
          <w:highlight w:val="none"/>
        </w:rPr>
        <w:t xml:space="preserve">的编制</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7"/>
      <w:r/>
      <w:bookmarkEnd w:id="228"/>
      <w:r/>
      <w:bookmarkEnd w:id="229"/>
      <w:r/>
      <w:bookmarkEnd w:id="230"/>
      <w:r/>
      <w:bookmarkEnd w:id="231"/>
      <w:r/>
      <w:bookmarkEnd w:id="232"/>
      <w:r/>
      <w:bookmarkEnd w:id="233"/>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34" w:name="_Toc164229222"/>
      <w:r/>
      <w:bookmarkStart w:id="235" w:name="_Toc305158795"/>
      <w:r/>
      <w:bookmarkStart w:id="236" w:name="_Toc127151527"/>
      <w:r/>
      <w:bookmarkStart w:id="237" w:name="_Toc516367021"/>
      <w:r/>
      <w:bookmarkStart w:id="238" w:name="_Toc164608796"/>
      <w:r/>
      <w:bookmarkStart w:id="239" w:name="_Toc226337223"/>
      <w:r/>
      <w:bookmarkStart w:id="240" w:name="_Toc127151728"/>
      <w:r/>
      <w:bookmarkStart w:id="241" w:name="_Toc151193625"/>
      <w:r/>
      <w:bookmarkStart w:id="242" w:name="_Toc149720820"/>
      <w:r/>
      <w:bookmarkStart w:id="243" w:name="_Toc142311029"/>
      <w:r/>
      <w:bookmarkStart w:id="244" w:name="_Toc226965800"/>
      <w:r/>
      <w:bookmarkStart w:id="245" w:name="_Toc305158869"/>
      <w:r/>
      <w:bookmarkStart w:id="246" w:name="_Toc195842892"/>
      <w:r/>
      <w:bookmarkStart w:id="247" w:name="_Toc265228365"/>
      <w:r/>
      <w:bookmarkStart w:id="248" w:name="_Toc164229368"/>
      <w:r/>
      <w:bookmarkStart w:id="249" w:name="_Toc127161441"/>
      <w:r/>
      <w:bookmarkStart w:id="250" w:name="_Toc520356151"/>
      <w:r/>
      <w:bookmarkStart w:id="251" w:name="_Toc151193841"/>
      <w:r/>
      <w:bookmarkStart w:id="252" w:name="_Toc151193915"/>
      <w:r/>
      <w:bookmarkStart w:id="253" w:name="_Toc150774627"/>
      <w:r/>
      <w:bookmarkStart w:id="254" w:name="_Toc150774732"/>
      <w:r/>
      <w:bookmarkStart w:id="255" w:name="_Toc150509278"/>
      <w:r/>
      <w:bookmarkStart w:id="256" w:name="_Toc151193697"/>
      <w:r/>
      <w:bookmarkStart w:id="257" w:name="_Toc164608641"/>
      <w:r/>
      <w:bookmarkStart w:id="258" w:name="_Toc226965717"/>
      <w:r/>
      <w:bookmarkStart w:id="259" w:name="_Toc151193769"/>
      <w:r/>
      <w:bookmarkStart w:id="260" w:name="_Toc151190154"/>
      <w:r/>
      <w:bookmarkStart w:id="261" w:name="_Toc150480765"/>
      <w:r/>
      <w:bookmarkStart w:id="262" w:name="_Toc226309771"/>
      <w:r/>
      <w:bookmarkStart w:id="263" w:name="_Toc164351621"/>
      <w:r/>
      <w:bookmarkStart w:id="264" w:name="_Toc264969217"/>
      <w:r>
        <w:rPr>
          <w:rFonts w:hint="eastAsia" w:ascii="宋体" w:hAnsi="宋体" w:cs="宋体"/>
          <w:b/>
          <w:color w:val="000000"/>
          <w:sz w:val="24"/>
          <w:highlight w:val="none"/>
        </w:rPr>
        <w:t xml:space="preserve">投标范围、投标文件中计量单位的使用</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65" w:name="_Toc142311030"/>
      <w:r/>
      <w:bookmarkStart w:id="266" w:name="_Toc164229223"/>
      <w:r/>
      <w:bookmarkStart w:id="267" w:name="_Toc151190155"/>
      <w:r/>
      <w:bookmarkStart w:id="268" w:name="_Toc150509279"/>
      <w:r/>
      <w:bookmarkStart w:id="269" w:name="_Toc150480766"/>
      <w:r/>
      <w:bookmarkStart w:id="270" w:name="_Toc305158796"/>
      <w:r/>
      <w:bookmarkStart w:id="271" w:name="_Toc226965718"/>
      <w:r/>
      <w:bookmarkStart w:id="272" w:name="_Toc150774628"/>
      <w:r/>
      <w:bookmarkStart w:id="273" w:name="_Toc151193626"/>
      <w:r/>
      <w:bookmarkStart w:id="274" w:name="_Toc127151528"/>
      <w:r/>
      <w:bookmarkStart w:id="275" w:name="_Toc151193698"/>
      <w:r/>
      <w:bookmarkStart w:id="276" w:name="_Toc226965801"/>
      <w:r/>
      <w:bookmarkStart w:id="277" w:name="_Toc305158870"/>
      <w:r/>
      <w:bookmarkStart w:id="278" w:name="_Toc164229369"/>
      <w:r/>
      <w:bookmarkStart w:id="279" w:name="_Toc520356152"/>
      <w:r/>
      <w:bookmarkStart w:id="280" w:name="_Toc226337224"/>
      <w:r/>
      <w:bookmarkStart w:id="281" w:name="_Toc265228366"/>
      <w:r/>
      <w:bookmarkStart w:id="282" w:name="_Toc226309772"/>
      <w:r/>
      <w:bookmarkStart w:id="283" w:name="_Toc264969218"/>
      <w:r/>
      <w:bookmarkStart w:id="284" w:name="_Toc516367022"/>
      <w:r/>
      <w:bookmarkStart w:id="285" w:name="_Toc127151729"/>
      <w:r/>
      <w:bookmarkStart w:id="286" w:name="_Toc149720821"/>
      <w:r/>
      <w:bookmarkStart w:id="287" w:name="_Toc195842893"/>
      <w:r/>
      <w:bookmarkStart w:id="288" w:name="_Toc127161442"/>
      <w:r/>
      <w:bookmarkStart w:id="289" w:name="_Toc164351622"/>
      <w:r/>
      <w:bookmarkStart w:id="290" w:name="_Toc164608642"/>
      <w:r/>
      <w:bookmarkStart w:id="291" w:name="_Toc151193770"/>
      <w:r/>
      <w:bookmarkStart w:id="292" w:name="_Toc164608797"/>
      <w:r/>
      <w:bookmarkStart w:id="293" w:name="_Toc151193916"/>
      <w:r/>
      <w:bookmarkStart w:id="294" w:name="_Toc151193842"/>
      <w:r/>
      <w:bookmarkStart w:id="295" w:name="_Toc150774733"/>
      <w:r/>
      <w:bookmarkStart w:id="296" w:name="_Ref467306676"/>
      <w:r/>
      <w:bookmarkStart w:id="297" w:name="_Ref467306195"/>
      <w:r>
        <w:rPr>
          <w:rFonts w:hint="eastAsia" w:ascii="宋体" w:hAnsi="宋体" w:cs="宋体"/>
          <w:b/>
          <w:color w:val="000000"/>
          <w:sz w:val="24"/>
          <w:highlight w:val="none"/>
        </w:rPr>
        <w:t xml:space="preserve">投标文件</w:t>
      </w:r>
      <w:bookmarkEnd w:id="284"/>
      <w:r/>
      <w:bookmarkEnd w:id="296"/>
      <w:r/>
      <w:bookmarkEnd w:id="297"/>
      <w:r>
        <w:rPr>
          <w:rFonts w:hint="eastAsia" w:ascii="宋体" w:hAnsi="宋体" w:cs="宋体"/>
          <w:b/>
          <w:color w:val="000000"/>
          <w:sz w:val="24"/>
          <w:highlight w:val="none"/>
        </w:rPr>
        <w:t xml:space="preserve">构成</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5"/>
      <w:r/>
      <w:bookmarkEnd w:id="286"/>
      <w:r/>
      <w:bookmarkEnd w:id="287"/>
      <w:r/>
      <w:bookmarkEnd w:id="288"/>
      <w:r/>
      <w:bookmarkEnd w:id="289"/>
      <w:r/>
      <w:bookmarkEnd w:id="290"/>
      <w:r/>
      <w:bookmarkEnd w:id="291"/>
      <w:r/>
      <w:bookmarkEnd w:id="292"/>
      <w:r/>
      <w:bookmarkEnd w:id="293"/>
      <w:r/>
      <w:bookmarkEnd w:id="294"/>
      <w:r/>
      <w:bookmarkEnd w:id="295"/>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98"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98"/>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99" w:name="_Toc150774630"/>
      <w:r/>
      <w:bookmarkStart w:id="300" w:name="_Toc151193772"/>
      <w:r/>
      <w:bookmarkStart w:id="301" w:name="_Toc150480768"/>
      <w:r/>
      <w:bookmarkStart w:id="302" w:name="_Toc150774735"/>
      <w:r/>
      <w:bookmarkStart w:id="303" w:name="_Toc151193700"/>
      <w:r/>
      <w:bookmarkStart w:id="304" w:name="_Toc164608799"/>
      <w:r/>
      <w:bookmarkStart w:id="305" w:name="_Toc520356155"/>
      <w:r/>
      <w:bookmarkStart w:id="306" w:name="_Toc164608644"/>
      <w:r/>
      <w:bookmarkStart w:id="307" w:name="_Toc151193918"/>
      <w:r/>
      <w:bookmarkStart w:id="308" w:name="_Toc149720823"/>
      <w:r/>
      <w:bookmarkStart w:id="309" w:name="_Toc151190157"/>
      <w:r/>
      <w:bookmarkStart w:id="310" w:name="_Toc151193628"/>
      <w:r/>
      <w:bookmarkStart w:id="311" w:name="_Toc127161444"/>
      <w:r/>
      <w:bookmarkStart w:id="312" w:name="_Toc164351624"/>
      <w:r/>
      <w:bookmarkStart w:id="313" w:name="_Toc127151530"/>
      <w:r/>
      <w:bookmarkStart w:id="314" w:name="_Toc151193844"/>
      <w:r/>
      <w:bookmarkStart w:id="315" w:name="_Toc164229225"/>
      <w:r/>
      <w:bookmarkStart w:id="316" w:name="_Toc127151731"/>
      <w:r/>
      <w:bookmarkStart w:id="317" w:name="_Toc164229371"/>
      <w:r/>
      <w:bookmarkStart w:id="318" w:name="_Toc142311032"/>
      <w:r/>
      <w:bookmarkStart w:id="319" w:name="_Toc150509281"/>
      <w:r/>
      <w:bookmarkStart w:id="320" w:name="_Toc195842895"/>
      <w:r>
        <w:rPr>
          <w:rFonts w:hint="eastAsia" w:ascii="宋体" w:hAnsi="宋体" w:cs="宋体"/>
          <w:b/>
          <w:color w:val="000000"/>
          <w:sz w:val="24"/>
          <w:highlight w:val="none"/>
        </w:rPr>
        <w:t xml:space="preserve">投标报价</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21" w:name="_Toc164608800"/>
      <w:r/>
      <w:bookmarkStart w:id="322" w:name="_Toc150509282"/>
      <w:r/>
      <w:bookmarkStart w:id="323" w:name="_Ref467306513"/>
      <w:r/>
      <w:bookmarkStart w:id="324" w:name="_Toc164229372"/>
      <w:r/>
      <w:bookmarkStart w:id="325" w:name="_Toc305158873"/>
      <w:r/>
      <w:bookmarkStart w:id="326" w:name="_Toc164229226"/>
      <w:r/>
      <w:bookmarkStart w:id="327" w:name="_Toc226337227"/>
      <w:r/>
      <w:bookmarkStart w:id="328" w:name="_Toc226965721"/>
      <w:r/>
      <w:bookmarkStart w:id="329" w:name="_Toc151193629"/>
      <w:r/>
      <w:bookmarkStart w:id="330" w:name="_Toc151190158"/>
      <w:r/>
      <w:bookmarkStart w:id="331" w:name="_Toc265228369"/>
      <w:r/>
      <w:bookmarkStart w:id="332" w:name="_Toc164351625"/>
      <w:r/>
      <w:bookmarkStart w:id="333" w:name="_Toc150774736"/>
      <w:r/>
      <w:bookmarkStart w:id="334" w:name="_Toc151193701"/>
      <w:r/>
      <w:bookmarkStart w:id="335" w:name="_Toc150774631"/>
      <w:r/>
      <w:bookmarkStart w:id="336" w:name="_Toc226965804"/>
      <w:r/>
      <w:bookmarkStart w:id="337" w:name="_Toc150480769"/>
      <w:r/>
      <w:bookmarkStart w:id="338" w:name="_Toc127161445"/>
      <w:r/>
      <w:bookmarkStart w:id="339" w:name="_Toc305158799"/>
      <w:r/>
      <w:bookmarkStart w:id="340" w:name="_Toc226309775"/>
      <w:r/>
      <w:bookmarkStart w:id="341" w:name="_Toc151193773"/>
      <w:r/>
      <w:bookmarkStart w:id="342" w:name="_Toc127151732"/>
      <w:r/>
      <w:bookmarkStart w:id="343" w:name="_Toc520356156"/>
      <w:r/>
      <w:bookmarkStart w:id="344" w:name="_Toc195842896"/>
      <w:r/>
      <w:bookmarkStart w:id="345" w:name="_Toc149720824"/>
      <w:r/>
      <w:bookmarkStart w:id="346" w:name="_Toc164608645"/>
      <w:r/>
      <w:bookmarkStart w:id="347" w:name="_Toc151193919"/>
      <w:r/>
      <w:bookmarkStart w:id="348" w:name="_Toc142311033"/>
      <w:r/>
      <w:bookmarkStart w:id="349" w:name="_Toc127151531"/>
      <w:r/>
      <w:bookmarkStart w:id="350" w:name="_Toc264969221"/>
      <w:r/>
      <w:bookmarkStart w:id="351" w:name="_Toc151193845"/>
      <w:r>
        <w:rPr>
          <w:rFonts w:hint="eastAsia" w:ascii="宋体" w:hAnsi="宋体" w:cs="宋体"/>
          <w:b/>
          <w:color w:val="000000"/>
          <w:sz w:val="24"/>
          <w:highlight w:val="none"/>
        </w:rPr>
        <w:t xml:space="preserve">投标保证金</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rFonts w:hint="eastAsia" w:ascii="宋体" w:hAnsi="宋体" w:cs="宋体"/>
          <w:b/>
          <w:color w:val="000000"/>
          <w:sz w:val="24"/>
          <w:highlight w:val="none"/>
        </w:rPr>
      </w:r>
      <w:r/>
    </w:p>
    <w:p>
      <w:pPr>
        <w:pStyle w:val="1072"/>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52" w:name="_Toc151193774"/>
      <w:r/>
      <w:bookmarkStart w:id="353" w:name="_Toc164229373"/>
      <w:r/>
      <w:bookmarkStart w:id="354" w:name="_Toc164608646"/>
      <w:r/>
      <w:bookmarkStart w:id="355" w:name="_Toc151190159"/>
      <w:r/>
      <w:bookmarkStart w:id="356" w:name="_Toc151193630"/>
      <w:r/>
      <w:bookmarkStart w:id="357" w:name="_Toc164351626"/>
      <w:r/>
      <w:bookmarkStart w:id="358" w:name="_Toc226965722"/>
      <w:r/>
      <w:bookmarkStart w:id="359" w:name="_Toc149720825"/>
      <w:r/>
      <w:bookmarkStart w:id="360" w:name="_Toc151193920"/>
      <w:r/>
      <w:bookmarkStart w:id="361" w:name="_Toc195842897"/>
      <w:r/>
      <w:bookmarkStart w:id="362" w:name="_Toc226965805"/>
      <w:r/>
      <w:bookmarkStart w:id="363" w:name="_Toc164229227"/>
      <w:r/>
      <w:bookmarkStart w:id="364" w:name="_Toc226309776"/>
      <w:r/>
      <w:bookmarkStart w:id="365" w:name="_Toc265228370"/>
      <w:r/>
      <w:bookmarkStart w:id="366" w:name="_Toc151193846"/>
      <w:r/>
      <w:bookmarkStart w:id="367" w:name="_Toc142311034"/>
      <w:r/>
      <w:bookmarkStart w:id="368" w:name="_Toc520356157"/>
      <w:r/>
      <w:bookmarkStart w:id="369" w:name="_Toc150774737"/>
      <w:r/>
      <w:bookmarkStart w:id="370" w:name="_Toc164608801"/>
      <w:r/>
      <w:bookmarkStart w:id="371" w:name="_Toc264969222"/>
      <w:r/>
      <w:bookmarkStart w:id="372" w:name="_Toc305158874"/>
      <w:r/>
      <w:bookmarkStart w:id="373" w:name="_Toc150774632"/>
      <w:r/>
      <w:bookmarkStart w:id="374" w:name="_Toc151193702"/>
      <w:r/>
      <w:bookmarkStart w:id="375" w:name="_Toc127151532"/>
      <w:r/>
      <w:bookmarkStart w:id="376" w:name="_Toc127151733"/>
      <w:r/>
      <w:bookmarkStart w:id="377" w:name="_Toc127161446"/>
      <w:r/>
      <w:bookmarkStart w:id="378" w:name="_Toc226337228"/>
      <w:r/>
      <w:bookmarkStart w:id="379" w:name="_Toc150509283"/>
      <w:r/>
      <w:bookmarkStart w:id="380" w:name="_Toc150480770"/>
      <w:r/>
      <w:bookmarkStart w:id="381" w:name="_Toc305158800"/>
      <w:r>
        <w:rPr>
          <w:rFonts w:hint="eastAsia" w:ascii="宋体" w:hAnsi="宋体" w:cs="宋体"/>
          <w:b/>
          <w:color w:val="000000"/>
          <w:sz w:val="24"/>
          <w:highlight w:val="none"/>
        </w:rPr>
        <w:t xml:space="preserve">投标有效期</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82" w:name="_Toc305158875"/>
      <w:r/>
      <w:bookmarkStart w:id="383" w:name="_Toc226965806"/>
      <w:r/>
      <w:bookmarkStart w:id="384" w:name="_Toc265228371"/>
      <w:r/>
      <w:bookmarkStart w:id="385" w:name="_Toc142311035"/>
      <w:r/>
      <w:bookmarkStart w:id="386" w:name="_Toc195842898"/>
      <w:r/>
      <w:bookmarkStart w:id="387" w:name="_Toc164608647"/>
      <w:r/>
      <w:bookmarkStart w:id="388" w:name="_Toc305158801"/>
      <w:r/>
      <w:bookmarkStart w:id="389" w:name="_Toc226309777"/>
      <w:r/>
      <w:bookmarkStart w:id="390" w:name="_Toc520356158"/>
      <w:r/>
      <w:bookmarkStart w:id="391" w:name="_Toc151193631"/>
      <w:r/>
      <w:bookmarkStart w:id="392" w:name="_Toc127161447"/>
      <w:r/>
      <w:bookmarkStart w:id="393" w:name="_Toc151193703"/>
      <w:r/>
      <w:bookmarkStart w:id="394" w:name="_Toc127151533"/>
      <w:r/>
      <w:bookmarkStart w:id="395" w:name="_Toc164229228"/>
      <w:r/>
      <w:bookmarkStart w:id="396" w:name="_Toc151190160"/>
      <w:r/>
      <w:bookmarkStart w:id="397" w:name="_Toc164608802"/>
      <w:r/>
      <w:bookmarkStart w:id="398" w:name="_Toc264969223"/>
      <w:r/>
      <w:bookmarkStart w:id="399" w:name="_Toc226965723"/>
      <w:r/>
      <w:bookmarkStart w:id="400" w:name="_Toc127151734"/>
      <w:r/>
      <w:bookmarkStart w:id="401" w:name="_Toc150480771"/>
      <w:r/>
      <w:bookmarkStart w:id="402" w:name="_Toc226337229"/>
      <w:r/>
      <w:bookmarkStart w:id="403" w:name="_Toc150774738"/>
      <w:r/>
      <w:bookmarkStart w:id="404" w:name="_Toc164229374"/>
      <w:r/>
      <w:bookmarkStart w:id="405" w:name="_Toc164351627"/>
      <w:r/>
      <w:bookmarkStart w:id="406" w:name="_Toc149720826"/>
      <w:r/>
      <w:bookmarkStart w:id="407" w:name="_Toc151193921"/>
      <w:r/>
      <w:bookmarkStart w:id="408" w:name="_Toc151193847"/>
      <w:r/>
      <w:bookmarkStart w:id="409" w:name="_Toc151193775"/>
      <w:r/>
      <w:bookmarkStart w:id="410" w:name="_Toc150774633"/>
      <w:r/>
      <w:bookmarkStart w:id="411" w:name="_Toc150509284"/>
      <w:r>
        <w:rPr>
          <w:rFonts w:hint="eastAsia" w:ascii="宋体" w:hAnsi="宋体" w:cs="宋体"/>
          <w:b/>
          <w:color w:val="000000"/>
          <w:sz w:val="24"/>
          <w:highlight w:val="none"/>
        </w:rPr>
        <w:t xml:space="preserve">投标文件的签署</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412" w:name="_Toc226965724"/>
      <w:r/>
      <w:bookmarkStart w:id="413" w:name="_Toc226309778"/>
      <w:r/>
      <w:bookmarkStart w:id="414" w:name="_Toc151193776"/>
      <w:r/>
      <w:bookmarkStart w:id="415" w:name="_Toc151193848"/>
      <w:r/>
      <w:bookmarkStart w:id="416" w:name="_Toc150509285"/>
      <w:r/>
      <w:bookmarkStart w:id="417" w:name="_Toc127151534"/>
      <w:r/>
      <w:bookmarkStart w:id="418" w:name="_Toc264969224"/>
      <w:r/>
      <w:bookmarkStart w:id="419" w:name="_Toc226337230"/>
      <w:r/>
      <w:bookmarkStart w:id="420" w:name="_Toc226965807"/>
      <w:r/>
      <w:bookmarkStart w:id="421" w:name="_Toc151190161"/>
      <w:r/>
      <w:bookmarkStart w:id="422" w:name="_Toc305158802"/>
      <w:r/>
      <w:bookmarkStart w:id="423" w:name="_Toc151193922"/>
      <w:r/>
      <w:bookmarkStart w:id="424" w:name="_Toc151193632"/>
      <w:r/>
      <w:bookmarkStart w:id="425" w:name="_Toc265228372"/>
      <w:r/>
      <w:bookmarkStart w:id="426" w:name="_Toc520356159"/>
      <w:r/>
      <w:bookmarkStart w:id="427" w:name="_Toc305158876"/>
      <w:r/>
      <w:bookmarkStart w:id="428" w:name="_Toc150774634"/>
      <w:r/>
      <w:bookmarkStart w:id="429" w:name="_Toc151193704"/>
      <w:r/>
      <w:bookmarkStart w:id="430" w:name="_Toc150480772"/>
      <w:r/>
      <w:bookmarkStart w:id="431" w:name="_Toc195842899"/>
      <w:r/>
      <w:bookmarkStart w:id="432" w:name="_Toc142311036"/>
      <w:r/>
      <w:bookmarkStart w:id="433" w:name="_Toc150774739"/>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2"/>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34" w:name="_Toc520356160"/>
      <w:r/>
      <w:bookmarkStart w:id="435" w:name="_Toc149720828"/>
      <w:r/>
      <w:bookmarkStart w:id="436" w:name="_Toc151190162"/>
      <w:r/>
      <w:bookmarkStart w:id="437" w:name="_Toc164351629"/>
      <w:r/>
      <w:bookmarkStart w:id="438" w:name="_Toc127151736"/>
      <w:r/>
      <w:bookmarkStart w:id="439" w:name="_Toc305158803"/>
      <w:r/>
      <w:bookmarkStart w:id="440" w:name="_Toc226337231"/>
      <w:r/>
      <w:bookmarkStart w:id="441" w:name="_Toc151193923"/>
      <w:r/>
      <w:bookmarkStart w:id="442" w:name="_Toc151193705"/>
      <w:r/>
      <w:bookmarkStart w:id="443" w:name="_Toc151193849"/>
      <w:r/>
      <w:bookmarkStart w:id="444" w:name="_Toc226965725"/>
      <w:r/>
      <w:bookmarkStart w:id="445" w:name="_Toc127151535"/>
      <w:r/>
      <w:bookmarkStart w:id="446" w:name="_Toc164229376"/>
      <w:r/>
      <w:bookmarkStart w:id="447" w:name="_Toc226965808"/>
      <w:r/>
      <w:bookmarkStart w:id="448" w:name="_Toc164608649"/>
      <w:r/>
      <w:bookmarkStart w:id="449" w:name="_Toc164608804"/>
      <w:r/>
      <w:bookmarkStart w:id="450" w:name="_Toc226309779"/>
      <w:r/>
      <w:bookmarkStart w:id="451" w:name="_Toc142311037"/>
      <w:r/>
      <w:bookmarkStart w:id="452" w:name="_Toc127161449"/>
      <w:r/>
      <w:bookmarkStart w:id="453" w:name="_Toc265228373"/>
      <w:r/>
      <w:bookmarkStart w:id="454" w:name="_Toc164229230"/>
      <w:r/>
      <w:bookmarkStart w:id="455" w:name="_Toc305158877"/>
      <w:r/>
      <w:bookmarkStart w:id="456" w:name="_Toc151193633"/>
      <w:r/>
      <w:bookmarkStart w:id="457" w:name="_Toc150509286"/>
      <w:r/>
      <w:bookmarkStart w:id="458" w:name="_Toc151193777"/>
      <w:r/>
      <w:bookmarkStart w:id="459" w:name="_Toc150480773"/>
      <w:r/>
      <w:bookmarkStart w:id="460" w:name="_Toc150774635"/>
      <w:r/>
      <w:bookmarkStart w:id="461" w:name="_Toc195842900"/>
      <w:r/>
      <w:bookmarkStart w:id="462" w:name="_Toc264969225"/>
      <w:r/>
      <w:bookmarkStart w:id="463" w:name="_Toc150774740"/>
      <w:r>
        <w:rPr>
          <w:rFonts w:hint="eastAsia" w:ascii="宋体" w:hAnsi="宋体" w:cs="宋体"/>
          <w:b/>
          <w:color w:val="000000"/>
          <w:sz w:val="24"/>
          <w:highlight w:val="none"/>
        </w:rPr>
        <w:t xml:space="preserve">投标文件的</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本项目使用政府采购一体化平台“苏采云”。投标人根据招标文件及政府采购一体化平台“苏采云”供应商操作手册要求编制、生成并提交电子投标文件。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64" w:name="_Toc164608805"/>
      <w:r/>
      <w:bookmarkStart w:id="465" w:name="_Toc127151737"/>
      <w:r/>
      <w:bookmarkStart w:id="466" w:name="_Toc127161450"/>
      <w:r/>
      <w:bookmarkStart w:id="467" w:name="_Toc164351630"/>
      <w:r/>
      <w:bookmarkStart w:id="468" w:name="_Toc151193778"/>
      <w:r/>
      <w:bookmarkStart w:id="469" w:name="_Toc520356161"/>
      <w:r/>
      <w:bookmarkStart w:id="470" w:name="_Toc305158878"/>
      <w:r/>
      <w:bookmarkStart w:id="471" w:name="_Toc151190163"/>
      <w:r/>
      <w:bookmarkStart w:id="472" w:name="_Toc226965809"/>
      <w:r/>
      <w:bookmarkStart w:id="473" w:name="_Toc150774636"/>
      <w:r/>
      <w:bookmarkStart w:id="474" w:name="_Toc226337232"/>
      <w:r/>
      <w:bookmarkStart w:id="475" w:name="_Toc264969226"/>
      <w:r/>
      <w:bookmarkStart w:id="476" w:name="_Toc149720829"/>
      <w:r/>
      <w:bookmarkStart w:id="477" w:name="_Toc164229231"/>
      <w:r/>
      <w:bookmarkStart w:id="478" w:name="_Toc164229377"/>
      <w:r/>
      <w:bookmarkStart w:id="479" w:name="_Toc150774741"/>
      <w:r/>
      <w:bookmarkStart w:id="480" w:name="_Toc226309780"/>
      <w:r/>
      <w:bookmarkStart w:id="481" w:name="_Toc142311038"/>
      <w:r/>
      <w:bookmarkStart w:id="482" w:name="_Toc195842901"/>
      <w:r/>
      <w:bookmarkStart w:id="483" w:name="_Toc151193850"/>
      <w:r/>
      <w:bookmarkStart w:id="484" w:name="_Toc305158804"/>
      <w:r/>
      <w:bookmarkStart w:id="485" w:name="_Toc150509287"/>
      <w:r/>
      <w:bookmarkStart w:id="486" w:name="_Toc151193634"/>
      <w:r/>
      <w:bookmarkStart w:id="487" w:name="_Toc150480774"/>
      <w:r/>
      <w:bookmarkStart w:id="488" w:name="_Toc151193924"/>
      <w:r/>
      <w:bookmarkStart w:id="489" w:name="_Toc265228374"/>
      <w:r/>
      <w:bookmarkStart w:id="490" w:name="_Toc127151536"/>
      <w:r/>
      <w:bookmarkStart w:id="491" w:name="_Toc164608650"/>
      <w:r/>
      <w:bookmarkStart w:id="492" w:name="_Toc151193706"/>
      <w:r/>
      <w:bookmarkStart w:id="493" w:name="_Toc226965726"/>
      <w:r>
        <w:rPr>
          <w:rFonts w:hint="eastAsia" w:ascii="宋体" w:hAnsi="宋体" w:cs="宋体"/>
          <w:b/>
          <w:color w:val="000000"/>
          <w:sz w:val="24"/>
          <w:highlight w:val="none"/>
        </w:rPr>
        <w:t xml:space="preserve">投标截止</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94" w:name="_Toc164608806"/>
      <w:r/>
      <w:bookmarkStart w:id="495" w:name="_Toc164608651"/>
      <w:r/>
      <w:bookmarkStart w:id="496" w:name="_Toc150774742"/>
      <w:r/>
      <w:bookmarkStart w:id="497" w:name="_Toc195842902"/>
      <w:r/>
      <w:bookmarkStart w:id="498" w:name="_Toc142311039"/>
      <w:r/>
      <w:bookmarkStart w:id="499" w:name="_Toc151193707"/>
      <w:r/>
      <w:bookmarkStart w:id="500" w:name="_Toc164229232"/>
      <w:r/>
      <w:bookmarkStart w:id="501" w:name="_Toc265228375"/>
      <w:r/>
      <w:bookmarkStart w:id="502" w:name="_Toc127161451"/>
      <w:r/>
      <w:bookmarkStart w:id="503" w:name="_Toc151193851"/>
      <w:r/>
      <w:bookmarkStart w:id="504" w:name="_Toc226965727"/>
      <w:r/>
      <w:bookmarkStart w:id="505" w:name="_Toc226965810"/>
      <w:r/>
      <w:bookmarkStart w:id="506" w:name="_Toc305158805"/>
      <w:r/>
      <w:bookmarkStart w:id="507" w:name="_Toc305158879"/>
      <w:r/>
      <w:bookmarkStart w:id="508" w:name="_Toc226337233"/>
      <w:r/>
      <w:bookmarkStart w:id="509" w:name="_Toc151193925"/>
      <w:r/>
      <w:bookmarkStart w:id="510" w:name="_Toc149720830"/>
      <w:r/>
      <w:bookmarkStart w:id="511" w:name="_Toc226309781"/>
      <w:r/>
      <w:bookmarkStart w:id="512" w:name="_Toc127151738"/>
      <w:r/>
      <w:bookmarkStart w:id="513" w:name="_Toc150509288"/>
      <w:r/>
      <w:bookmarkStart w:id="514" w:name="_Toc127151537"/>
      <w:r/>
      <w:bookmarkStart w:id="515" w:name="_Toc164229378"/>
      <w:r/>
      <w:bookmarkStart w:id="516" w:name="_Toc151193779"/>
      <w:r/>
      <w:bookmarkStart w:id="517" w:name="_Toc150774637"/>
      <w:r/>
      <w:bookmarkStart w:id="518" w:name="_Toc151190164"/>
      <w:r/>
      <w:bookmarkStart w:id="519" w:name="_Toc150480775"/>
      <w:r/>
      <w:bookmarkStart w:id="520" w:name="_Toc151193635"/>
      <w:r/>
      <w:bookmarkStart w:id="521" w:name="_Toc264969227"/>
      <w:r/>
      <w:bookmarkStart w:id="522" w:name="_Toc164351631"/>
      <w:r/>
      <w:bookmarkStart w:id="523" w:name="_Toc520356162"/>
      <w:r>
        <w:rPr>
          <w:rFonts w:hint="eastAsia" w:ascii="宋体" w:hAnsi="宋体" w:cs="宋体"/>
          <w:b/>
          <w:color w:val="000000"/>
          <w:sz w:val="24"/>
          <w:highlight w:val="none"/>
        </w:rPr>
        <w:t xml:space="preserve">投标文件的修改与撤回</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24" w:name="_Toc151190165"/>
      <w:r/>
      <w:bookmarkStart w:id="525" w:name="_Toc127151538"/>
      <w:r/>
      <w:bookmarkStart w:id="526" w:name="_Toc226965728"/>
      <w:r/>
      <w:bookmarkStart w:id="527" w:name="_Toc150480776"/>
      <w:r/>
      <w:bookmarkStart w:id="528" w:name="_Toc265228376"/>
      <w:r/>
      <w:bookmarkStart w:id="529" w:name="_Toc150774638"/>
      <w:r/>
      <w:bookmarkStart w:id="530" w:name="_Toc520356163"/>
      <w:r/>
      <w:bookmarkStart w:id="531" w:name="_Toc226309782"/>
      <w:r/>
      <w:bookmarkStart w:id="532" w:name="_Toc151193708"/>
      <w:r/>
      <w:bookmarkStart w:id="533" w:name="_Toc142311040"/>
      <w:r/>
      <w:bookmarkStart w:id="534" w:name="_Toc151193780"/>
      <w:r/>
      <w:bookmarkStart w:id="535" w:name="_Toc226337234"/>
      <w:r/>
      <w:bookmarkStart w:id="536" w:name="_Toc226965811"/>
      <w:r/>
      <w:bookmarkStart w:id="537" w:name="_Toc305158806"/>
      <w:r/>
      <w:bookmarkStart w:id="538" w:name="_Toc151193636"/>
      <w:r/>
      <w:bookmarkStart w:id="539" w:name="_Toc151193926"/>
      <w:r/>
      <w:bookmarkStart w:id="540" w:name="_Toc151193852"/>
      <w:r/>
      <w:bookmarkStart w:id="541" w:name="_Toc150509289"/>
      <w:r/>
      <w:bookmarkStart w:id="542" w:name="_Toc305158880"/>
      <w:r/>
      <w:bookmarkStart w:id="543" w:name="_Toc195842903"/>
      <w:r/>
      <w:bookmarkStart w:id="544" w:name="_Toc264969228"/>
      <w:r/>
      <w:bookmarkStart w:id="545" w:name="_Toc150774743"/>
      <w:r>
        <w:rPr>
          <w:rFonts w:hint="eastAsia" w:ascii="宋体" w:hAnsi="宋体" w:eastAsia="宋体" w:cs="宋体"/>
          <w:color w:val="000000"/>
          <w:sz w:val="28"/>
          <w:highlight w:val="none"/>
        </w:rPr>
        <w:t xml:space="preserve">五   开标、资格审查及评标</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46" w:name="_Toc226309783"/>
      <w:r/>
      <w:bookmarkStart w:id="547" w:name="_Toc226337235"/>
      <w:r/>
      <w:bookmarkStart w:id="548" w:name="_Toc164608808"/>
      <w:r/>
      <w:bookmarkStart w:id="549" w:name="_Toc195842904"/>
      <w:r/>
      <w:bookmarkStart w:id="550" w:name="_Toc151193637"/>
      <w:r/>
      <w:bookmarkStart w:id="551" w:name="_Toc142311041"/>
      <w:r/>
      <w:bookmarkStart w:id="552" w:name="_Toc164351633"/>
      <w:r/>
      <w:bookmarkStart w:id="553" w:name="_Toc150480777"/>
      <w:r/>
      <w:bookmarkStart w:id="554" w:name="_Toc149720832"/>
      <w:r/>
      <w:bookmarkStart w:id="555" w:name="_Toc264969229"/>
      <w:r/>
      <w:bookmarkStart w:id="556" w:name="_Toc265228377"/>
      <w:r/>
      <w:bookmarkStart w:id="557" w:name="_Toc150509290"/>
      <w:r/>
      <w:bookmarkStart w:id="558" w:name="_Toc151193709"/>
      <w:r/>
      <w:bookmarkStart w:id="559" w:name="_Toc520356164"/>
      <w:r/>
      <w:bookmarkStart w:id="560" w:name="_Toc226965812"/>
      <w:r/>
      <w:bookmarkStart w:id="561" w:name="_Toc127151539"/>
      <w:r/>
      <w:bookmarkStart w:id="562" w:name="_Toc305158881"/>
      <w:r/>
      <w:bookmarkStart w:id="563" w:name="_Toc151193853"/>
      <w:r/>
      <w:bookmarkStart w:id="564" w:name="_Toc127161453"/>
      <w:r/>
      <w:bookmarkStart w:id="565" w:name="_Toc150774744"/>
      <w:r/>
      <w:bookmarkStart w:id="566" w:name="_Toc151193927"/>
      <w:r/>
      <w:bookmarkStart w:id="567" w:name="_Toc164229380"/>
      <w:r/>
      <w:bookmarkStart w:id="568" w:name="_Toc151193781"/>
      <w:r/>
      <w:bookmarkStart w:id="569" w:name="_Toc150774639"/>
      <w:r/>
      <w:bookmarkStart w:id="570" w:name="_Toc127151740"/>
      <w:r/>
      <w:bookmarkStart w:id="571" w:name="_Toc226965729"/>
      <w:r/>
      <w:bookmarkStart w:id="572" w:name="_Toc151190166"/>
      <w:r/>
      <w:bookmarkStart w:id="573" w:name="_Toc305158807"/>
      <w:r/>
      <w:bookmarkStart w:id="574" w:name="_Toc164608653"/>
      <w:r/>
      <w:bookmarkStart w:id="575" w:name="_Toc164229234"/>
      <w:r>
        <w:rPr>
          <w:rFonts w:hint="eastAsia" w:ascii="宋体" w:hAnsi="宋体" w:cs="宋体"/>
          <w:b/>
          <w:color w:val="000000"/>
          <w:sz w:val="24"/>
          <w:highlight w:val="none"/>
        </w:rPr>
        <w:t xml:space="preserve">开标</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76"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政府采购一体化平台“苏采云”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2"/>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2"/>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76"/>
      <w:r/>
      <w:bookmarkStart w:id="577" w:name="_Toc151193782"/>
      <w:r/>
      <w:bookmarkStart w:id="578" w:name="_Toc164229235"/>
      <w:r/>
      <w:bookmarkStart w:id="579" w:name="_Toc127151741"/>
      <w:r/>
      <w:bookmarkStart w:id="580" w:name="_Toc150480778"/>
      <w:r/>
      <w:bookmarkStart w:id="581" w:name="_Toc305158882"/>
      <w:r/>
      <w:bookmarkStart w:id="582" w:name="_Toc151193854"/>
      <w:r/>
      <w:bookmarkStart w:id="583" w:name="_Toc164229381"/>
      <w:r/>
      <w:bookmarkStart w:id="584" w:name="_Toc164351634"/>
      <w:r/>
      <w:bookmarkStart w:id="585" w:name="_Toc151193710"/>
      <w:r/>
      <w:bookmarkStart w:id="586" w:name="_Toc305158808"/>
      <w:r/>
      <w:bookmarkStart w:id="587" w:name="_Toc150509291"/>
      <w:r/>
      <w:bookmarkStart w:id="588" w:name="_Toc265228378"/>
      <w:r/>
      <w:bookmarkStart w:id="589" w:name="_Toc151190167"/>
      <w:r/>
      <w:bookmarkStart w:id="590" w:name="_Toc150774640"/>
      <w:r/>
      <w:bookmarkStart w:id="591" w:name="_Toc142311042"/>
      <w:r/>
      <w:bookmarkStart w:id="592" w:name="_Toc164608809"/>
      <w:r/>
      <w:bookmarkStart w:id="593" w:name="_Toc164608654"/>
      <w:r/>
      <w:bookmarkStart w:id="594" w:name="_Toc226337236"/>
      <w:r/>
      <w:bookmarkStart w:id="595" w:name="_Toc264969230"/>
      <w:r/>
      <w:bookmarkStart w:id="596" w:name="_Toc226965813"/>
      <w:r/>
      <w:bookmarkStart w:id="597" w:name="_Toc195842905"/>
      <w:r/>
      <w:bookmarkStart w:id="598" w:name="_Toc127161454"/>
      <w:r/>
      <w:bookmarkStart w:id="599" w:name="_Toc149720833"/>
      <w:r/>
      <w:bookmarkStart w:id="600" w:name="_Toc151193928"/>
      <w:r/>
      <w:bookmarkStart w:id="601" w:name="_Toc226309784"/>
      <w:r/>
      <w:bookmarkStart w:id="602" w:name="_Toc150774745"/>
      <w:r/>
      <w:bookmarkStart w:id="603" w:name="_Toc226965730"/>
      <w:r/>
      <w:bookmarkStart w:id="604" w:name="_Toc151193638"/>
      <w:r/>
      <w:bookmarkStart w:id="605" w:name="_Toc127151540"/>
      <w:r>
        <w:rPr>
          <w:rFonts w:hint="eastAsia" w:ascii="宋体" w:hAnsi="宋体" w:cs="宋体"/>
          <w:b/>
          <w:color w:val="000000"/>
          <w:sz w:val="24"/>
          <w:highlight w:val="none"/>
        </w:rPr>
        <w:t xml:space="preserve">评标委员会</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606" w:name="_Toc520356166"/>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606"/>
      <w:r/>
      <w:bookmarkStart w:id="607" w:name="_Toc520356169"/>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2"/>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608" w:name="_Toc150774645"/>
      <w:r/>
      <w:bookmarkStart w:id="609" w:name="_Toc151193643"/>
      <w:r/>
      <w:bookmarkStart w:id="610" w:name="_Toc150774750"/>
      <w:r/>
      <w:bookmarkStart w:id="611" w:name="_Toc151193715"/>
      <w:r/>
      <w:bookmarkStart w:id="612" w:name="_Toc142311047"/>
      <w:r/>
      <w:bookmarkStart w:id="613" w:name="_Toc226309789"/>
      <w:r/>
      <w:bookmarkStart w:id="614" w:name="_Toc151190172"/>
      <w:r/>
      <w:bookmarkStart w:id="615" w:name="_Toc195842910"/>
      <w:r/>
      <w:bookmarkStart w:id="616" w:name="_Toc151193933"/>
      <w:r/>
      <w:bookmarkStart w:id="617" w:name="_Toc226965735"/>
      <w:r/>
      <w:bookmarkStart w:id="618" w:name="_Toc127151545"/>
      <w:r/>
      <w:bookmarkStart w:id="619" w:name="_Toc150480783"/>
      <w:r/>
      <w:bookmarkStart w:id="620" w:name="_Toc264969235"/>
      <w:r/>
      <w:bookmarkStart w:id="621" w:name="_Toc305158887"/>
      <w:r/>
      <w:bookmarkStart w:id="622" w:name="_Toc151193787"/>
      <w:r/>
      <w:bookmarkStart w:id="623" w:name="_Toc265228383"/>
      <w:r/>
      <w:bookmarkStart w:id="624" w:name="_Toc226337241"/>
      <w:r/>
      <w:bookmarkStart w:id="625" w:name="_Toc150509296"/>
      <w:r/>
      <w:bookmarkStart w:id="626" w:name="_Toc226965818"/>
      <w:r/>
      <w:bookmarkStart w:id="627" w:name="_Toc151193859"/>
      <w:r/>
      <w:bookmarkStart w:id="628" w:name="_Toc305158813"/>
      <w:r>
        <w:rPr>
          <w:rFonts w:hint="eastAsia" w:ascii="宋体" w:hAnsi="宋体" w:eastAsia="宋体" w:cs="宋体"/>
          <w:color w:val="000000"/>
          <w:sz w:val="28"/>
          <w:highlight w:val="none"/>
        </w:rPr>
        <w:t xml:space="preserve">六   </w:t>
      </w:r>
      <w:bookmarkEnd w:id="607"/>
      <w:r>
        <w:rPr>
          <w:rFonts w:hint="eastAsia" w:ascii="宋体" w:hAnsi="宋体" w:eastAsia="宋体" w:cs="宋体"/>
          <w:color w:val="000000"/>
          <w:sz w:val="28"/>
          <w:highlight w:val="none"/>
        </w:rPr>
        <w:t xml:space="preserve">确定中标</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Start w:id="629" w:name="_Toc226965737"/>
      <w:r/>
      <w:bookmarkStart w:id="630" w:name="_Toc151190174"/>
      <w:r/>
      <w:bookmarkStart w:id="631" w:name="_Toc164608661"/>
      <w:r/>
      <w:bookmarkStart w:id="632" w:name="_Toc226965820"/>
      <w:r/>
      <w:bookmarkStart w:id="633" w:name="_Toc151193935"/>
      <w:r/>
      <w:bookmarkStart w:id="634" w:name="_Toc265228385"/>
      <w:r/>
      <w:bookmarkStart w:id="635" w:name="_Toc150480785"/>
      <w:r/>
      <w:bookmarkStart w:id="636" w:name="_Toc195842912"/>
      <w:r/>
      <w:bookmarkStart w:id="637" w:name="_Toc151193645"/>
      <w:r/>
      <w:bookmarkStart w:id="638" w:name="_Toc127151748"/>
      <w:r/>
      <w:bookmarkStart w:id="639" w:name="_Toc150774647"/>
      <w:r/>
      <w:bookmarkStart w:id="640" w:name="_Toc142311049"/>
      <w:r/>
      <w:bookmarkStart w:id="641" w:name="_Toc164608816"/>
      <w:r/>
      <w:bookmarkStart w:id="642" w:name="_Toc150774752"/>
      <w:r/>
      <w:bookmarkStart w:id="643" w:name="_Toc151193789"/>
      <w:r/>
      <w:bookmarkStart w:id="644" w:name="_Toc164351641"/>
      <w:r/>
      <w:bookmarkStart w:id="645" w:name="_Toc149720840"/>
      <w:r/>
      <w:bookmarkStart w:id="646" w:name="_Toc226309791"/>
      <w:r/>
      <w:bookmarkStart w:id="647" w:name="_Toc164229242"/>
      <w:r/>
      <w:bookmarkStart w:id="648" w:name="_Toc127161461"/>
      <w:r/>
      <w:bookmarkStart w:id="649" w:name="_Toc264969237"/>
      <w:r/>
      <w:bookmarkStart w:id="650" w:name="_Toc151193861"/>
      <w:r/>
      <w:bookmarkStart w:id="651" w:name="_Toc226337243"/>
      <w:r/>
      <w:bookmarkStart w:id="652" w:name="_Toc305158889"/>
      <w:r/>
      <w:bookmarkStart w:id="653" w:name="_Toc127151547"/>
      <w:r/>
      <w:bookmarkStart w:id="654" w:name="_Toc150509298"/>
      <w:r/>
      <w:bookmarkStart w:id="655" w:name="_Toc305158815"/>
      <w:r/>
      <w:bookmarkStart w:id="656" w:name="_Toc151193717"/>
      <w:r/>
      <w:bookmarkStart w:id="657" w:name="_Toc164229388"/>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58" w:name="_Toc305158817"/>
      <w:r/>
      <w:bookmarkStart w:id="659" w:name="_Toc305158891"/>
      <w:r/>
      <w:bookmarkStart w:id="660" w:name="_Toc226337245"/>
      <w:r/>
      <w:bookmarkStart w:id="661" w:name="_Toc151193647"/>
      <w:r/>
      <w:bookmarkStart w:id="662" w:name="_Toc164229244"/>
      <w:r/>
      <w:bookmarkStart w:id="663" w:name="_Toc149720842"/>
      <w:r/>
      <w:bookmarkStart w:id="664" w:name="_Toc151193719"/>
      <w:r/>
      <w:bookmarkStart w:id="665" w:name="_Toc127161463"/>
      <w:r/>
      <w:bookmarkStart w:id="666" w:name="_Toc151190176"/>
      <w:r/>
      <w:bookmarkStart w:id="667" w:name="_Toc264969239"/>
      <w:r/>
      <w:bookmarkStart w:id="668" w:name="_Toc127151549"/>
      <w:r/>
      <w:bookmarkStart w:id="669" w:name="_Toc226965739"/>
      <w:r/>
      <w:bookmarkStart w:id="670" w:name="_Toc127151750"/>
      <w:r/>
      <w:bookmarkStart w:id="671" w:name="_Toc142311051"/>
      <w:r/>
      <w:bookmarkStart w:id="672" w:name="_Toc150480787"/>
      <w:r/>
      <w:bookmarkStart w:id="673" w:name="_Toc150509300"/>
      <w:r/>
      <w:bookmarkStart w:id="674" w:name="_Toc151193791"/>
      <w:r/>
      <w:bookmarkStart w:id="675" w:name="_Toc164229390"/>
      <w:r/>
      <w:bookmarkStart w:id="676" w:name="_Toc226309793"/>
      <w:r/>
      <w:bookmarkStart w:id="677" w:name="_Toc150774649"/>
      <w:r/>
      <w:bookmarkStart w:id="678" w:name="_Toc151193863"/>
      <w:r/>
      <w:bookmarkStart w:id="679" w:name="_Toc151193937"/>
      <w:r/>
      <w:bookmarkStart w:id="680" w:name="_Toc195842914"/>
      <w:r/>
      <w:bookmarkStart w:id="681" w:name="_Toc265228387"/>
      <w:r/>
      <w:bookmarkStart w:id="682" w:name="_Toc226965822"/>
      <w:r/>
      <w:bookmarkStart w:id="683" w:name="_Toc150774754"/>
      <w:r/>
      <w:bookmarkStart w:id="684" w:name="_Toc164351643"/>
      <w:r/>
      <w:bookmarkStart w:id="685" w:name="_Toc164608818"/>
      <w:r/>
      <w:bookmarkStart w:id="686" w:name="_Toc164608663"/>
      <w:r/>
      <w:bookmarkStart w:id="687" w:name="_Ref467307090"/>
      <w:r/>
      <w:bookmarkStart w:id="688" w:name="_Toc520356176"/>
      <w:r/>
      <w:bookmarkStart w:id="689" w:name="_Ref467306425"/>
      <w:r>
        <w:rPr>
          <w:rFonts w:hint="eastAsia" w:ascii="宋体" w:hAnsi="宋体" w:cs="宋体"/>
          <w:b/>
          <w:color w:val="000000"/>
          <w:sz w:val="24"/>
          <w:highlight w:val="none"/>
        </w:rPr>
        <w:t xml:space="preserve">中标公告与中标通知书</w:t>
      </w:r>
      <w:bookmarkEnd w:id="658"/>
      <w:r/>
      <w:bookmarkEnd w:id="659"/>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2"/>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Start w:id="690" w:name="_Toc127151550"/>
      <w:r/>
      <w:bookmarkStart w:id="691" w:name="_Toc164608664"/>
      <w:r/>
      <w:bookmarkStart w:id="692" w:name="_Ref467306978"/>
      <w:r/>
      <w:bookmarkStart w:id="693" w:name="_Toc226337246"/>
      <w:r/>
      <w:bookmarkStart w:id="694" w:name="_Toc150480788"/>
      <w:r/>
      <w:bookmarkStart w:id="695" w:name="_Toc150774650"/>
      <w:r/>
      <w:bookmarkStart w:id="696" w:name="_Toc151193792"/>
      <w:r/>
      <w:bookmarkStart w:id="697" w:name="_Toc264969240"/>
      <w:r/>
      <w:bookmarkStart w:id="698" w:name="_Toc164229391"/>
      <w:r/>
      <w:bookmarkStart w:id="699" w:name="_Toc305158892"/>
      <w:r/>
      <w:bookmarkStart w:id="700" w:name="_Toc164229245"/>
      <w:r/>
      <w:bookmarkStart w:id="701" w:name="_Toc151193720"/>
      <w:r/>
      <w:bookmarkStart w:id="702" w:name="_Toc226965740"/>
      <w:r/>
      <w:bookmarkStart w:id="703" w:name="_Toc142311052"/>
      <w:r/>
      <w:bookmarkStart w:id="704" w:name="_Toc305158818"/>
      <w:r/>
      <w:bookmarkStart w:id="705" w:name="_Toc127161464"/>
      <w:r/>
      <w:bookmarkStart w:id="706" w:name="_Toc226965823"/>
      <w:r/>
      <w:bookmarkStart w:id="707" w:name="_Toc151193648"/>
      <w:r/>
      <w:bookmarkStart w:id="708" w:name="_Toc265228388"/>
      <w:r/>
      <w:bookmarkStart w:id="709" w:name="_Toc149720843"/>
      <w:r/>
      <w:bookmarkStart w:id="710" w:name="_Toc151193938"/>
      <w:r/>
      <w:bookmarkStart w:id="711" w:name="_Toc520356175"/>
      <w:r/>
      <w:bookmarkStart w:id="712" w:name="_Toc150509301"/>
      <w:r/>
      <w:bookmarkStart w:id="713" w:name="_Toc164608819"/>
      <w:r/>
      <w:bookmarkStart w:id="714" w:name="_Ref467307062"/>
      <w:r/>
      <w:bookmarkStart w:id="715" w:name="_Toc195842915"/>
      <w:r/>
      <w:bookmarkStart w:id="716" w:name="_Toc164351644"/>
      <w:r/>
      <w:bookmarkStart w:id="717" w:name="_Ref467306377"/>
      <w:r/>
      <w:bookmarkStart w:id="718" w:name="_Toc151190177"/>
      <w:r/>
      <w:bookmarkStart w:id="719" w:name="_Toc127151751"/>
      <w:r/>
      <w:bookmarkStart w:id="720" w:name="_Ref467307204"/>
      <w:r/>
      <w:bookmarkStart w:id="721" w:name="_Toc151193864"/>
      <w:r/>
      <w:bookmarkStart w:id="722" w:name="_Toc150774755"/>
      <w:r/>
      <w:bookmarkStart w:id="723" w:name="_Toc226309794"/>
      <w:r>
        <w:rPr>
          <w:rFonts w:hint="eastAsia" w:ascii="宋体" w:hAnsi="宋体" w:cs="宋体"/>
          <w:b/>
          <w:color w:val="000000"/>
          <w:sz w:val="24"/>
          <w:highlight w:val="none"/>
        </w:rPr>
        <w:t xml:space="preserve">签订合同</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87"/>
      <w:r/>
      <w:bookmarkEnd w:id="688"/>
      <w:r/>
      <w:bookmarkEnd w:id="689"/>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2"/>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147"/>
          <w:rFonts w:hint="eastAsia" w:ascii="宋体" w:hAnsi="宋体" w:cs="宋体"/>
          <w:color w:val="000000"/>
          <w:highlight w:val="none"/>
        </w:rPr>
        <w:t xml:space="preserve">http://gk</w:t>
      </w:r>
      <w:bookmarkStart w:id="724" w:name="_Hlt100654014"/>
      <w:r>
        <w:rPr>
          <w:rStyle w:val="1147"/>
          <w:rFonts w:hint="eastAsia" w:ascii="宋体" w:hAnsi="宋体" w:cs="宋体"/>
          <w:color w:val="000000"/>
          <w:highlight w:val="none"/>
        </w:rPr>
        <w:t xml:space="preserve">s</w:t>
      </w:r>
      <w:bookmarkEnd w:id="724"/>
      <w:r>
        <w:rPr>
          <w:rStyle w:val="1147"/>
          <w:rFonts w:hint="eastAsia" w:ascii="宋体" w:hAnsi="宋体" w:cs="宋体"/>
          <w:color w:val="000000"/>
          <w:highlight w:val="none"/>
        </w:rPr>
        <w:t xml:space="preserve">.m</w:t>
      </w:r>
      <w:bookmarkStart w:id="725" w:name="_Hlt100653993"/>
      <w:r/>
      <w:bookmarkStart w:id="726" w:name="_Hlt100653994"/>
      <w:r>
        <w:rPr>
          <w:rStyle w:val="1147"/>
          <w:rFonts w:hint="eastAsia" w:ascii="宋体" w:hAnsi="宋体" w:cs="宋体"/>
          <w:color w:val="000000"/>
          <w:highlight w:val="none"/>
        </w:rPr>
        <w:t xml:space="preserve">o</w:t>
      </w:r>
      <w:bookmarkEnd w:id="725"/>
      <w:r/>
      <w:bookmarkEnd w:id="726"/>
      <w:r>
        <w:rPr>
          <w:rStyle w:val="1147"/>
          <w:rFonts w:hint="eastAsia" w:ascii="宋体" w:hAnsi="宋体" w:cs="宋体"/>
          <w:color w:val="000000"/>
          <w:highlight w:val="none"/>
        </w:rPr>
        <w:t xml:space="preserve">f.gov.cn/ztztz/zhengfucaigouguanli/201802/t20180201_2804589.htm</w:t>
      </w:r>
      <w:r>
        <w:rPr>
          <w:rStyle w:val="1147"/>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2"/>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27" w:name="_Toc353873934"/>
      <w:r/>
      <w:bookmarkStart w:id="728" w:name="_Toc150480792"/>
      <w:r/>
      <w:bookmarkStart w:id="729" w:name="_Toc127151554"/>
      <w:r/>
      <w:bookmarkStart w:id="730" w:name="_Toc142311056"/>
      <w:r/>
      <w:bookmarkStart w:id="731" w:name="_Toc353873664"/>
      <w:r/>
      <w:bookmarkStart w:id="732" w:name="_Toc264969244"/>
      <w:r/>
      <w:bookmarkStart w:id="733" w:name="_Toc226965827"/>
      <w:r/>
      <w:bookmarkStart w:id="734" w:name="_Toc305158896"/>
      <w:r/>
      <w:bookmarkStart w:id="735" w:name="_Toc226337250"/>
      <w:r/>
      <w:bookmarkStart w:id="736" w:name="_Toc305158822"/>
      <w:r/>
      <w:bookmarkStart w:id="737" w:name="_Toc353825544"/>
      <w:r/>
      <w:bookmarkStart w:id="738" w:name="_Toc150774759"/>
      <w:r/>
      <w:bookmarkStart w:id="739" w:name="_Toc265228392"/>
      <w:r>
        <w:rPr>
          <w:rFonts w:hint="eastAsia" w:ascii="宋体" w:hAnsi="宋体" w:cs="宋体"/>
          <w:color w:val="000000"/>
          <w:sz w:val="24"/>
          <w:highlight w:val="none"/>
        </w:rPr>
        <w:br w:type="page" w:clear="all"/>
      </w:r>
      <w:bookmarkStart w:id="740" w:name="_Toc99301421"/>
      <w:r>
        <w:rPr>
          <w:rFonts w:hint="eastAsia" w:ascii="宋体" w:hAnsi="宋体" w:cs="宋体"/>
          <w:b/>
          <w:color w:val="000000"/>
          <w:sz w:val="36"/>
          <w:szCs w:val="36"/>
          <w:highlight w:val="none"/>
        </w:rPr>
        <w:t xml:space="preserve">第三章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rFonts w:hint="eastAsia" w:ascii="宋体" w:hAnsi="宋体" w:cs="宋体"/>
          <w:b/>
          <w:color w:val="000000"/>
          <w:sz w:val="36"/>
          <w:szCs w:val="36"/>
          <w:highlight w:val="none"/>
        </w:rPr>
        <w:t xml:space="preserve">资格审查</w:t>
      </w:r>
      <w:bookmarkEnd w:id="740"/>
      <w:r/>
      <w:bookmarkStart w:id="741" w:name="_Toc487900382"/>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42" w:name="_Toc99301422"/>
      <w:r>
        <w:rPr>
          <w:rFonts w:hint="eastAsia" w:ascii="宋体" w:hAnsi="宋体" w:cs="宋体"/>
          <w:b/>
          <w:color w:val="000000"/>
          <w:sz w:val="24"/>
          <w:highlight w:val="none"/>
        </w:rPr>
        <w:t xml:space="preserve">一、资格审查程序</w:t>
      </w:r>
      <w:bookmarkEnd w:id="742"/>
      <w:r>
        <w:rPr>
          <w:rFonts w:hint="eastAsia" w:ascii="宋体" w:hAnsi="宋体" w:cs="宋体"/>
          <w:b/>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bookmarkStart w:id="743" w:name="_Hlt487972895"/>
            <w:r/>
            <w:bookmarkEnd w:id="743"/>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2"/>
        <w:jc w:val="left"/>
        <w:widowControl/>
        <w:rPr>
          <w:rFonts w:hint="eastAsia" w:ascii="宋体" w:hAnsi="宋体" w:cs="宋体"/>
          <w:color w:val="000000"/>
          <w:sz w:val="24"/>
          <w:highlight w:val="none"/>
        </w:rPr>
      </w:pPr>
      <w:r/>
      <w:bookmarkEnd w:id="741"/>
      <w:r/>
      <w:bookmarkStart w:id="744" w:name="_Toc127151779"/>
      <w:r/>
      <w:bookmarkStart w:id="745" w:name="_Toc226965858"/>
      <w:r/>
      <w:bookmarkStart w:id="746" w:name="_Toc127161490"/>
      <w:r/>
      <w:bookmarkStart w:id="747" w:name="_Toc353873940"/>
      <w:r/>
      <w:bookmarkStart w:id="748" w:name="_Toc35382555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49" w:name="_Toc99301423"/>
      <w:r>
        <w:rPr>
          <w:rFonts w:hint="eastAsia" w:ascii="宋体" w:hAnsi="宋体" w:cs="宋体"/>
          <w:b/>
          <w:color w:val="000000"/>
          <w:sz w:val="36"/>
          <w:szCs w:val="36"/>
          <w:highlight w:val="none"/>
        </w:rPr>
        <w:t xml:space="preserve">第四章   </w:t>
      </w:r>
      <w:bookmarkEnd w:id="744"/>
      <w:r/>
      <w:bookmarkEnd w:id="745"/>
      <w:r/>
      <w:bookmarkEnd w:id="746"/>
      <w:r/>
      <w:bookmarkEnd w:id="747"/>
      <w:r/>
      <w:bookmarkEnd w:id="748"/>
      <w:r/>
      <w:bookmarkStart w:id="750" w:name="_Hlt164229061"/>
      <w:r/>
      <w:bookmarkEnd w:id="750"/>
      <w:r>
        <w:rPr>
          <w:rFonts w:hint="eastAsia" w:ascii="宋体" w:hAnsi="宋体" w:cs="宋体"/>
          <w:b/>
          <w:color w:val="000000"/>
          <w:sz w:val="36"/>
          <w:szCs w:val="36"/>
          <w:highlight w:val="none"/>
        </w:rPr>
        <w:t xml:space="preserve">评标程序、评标方法和评标标准</w:t>
      </w:r>
      <w:bookmarkEnd w:id="749"/>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2"/>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51" w:name="_Toc150509292"/>
      <w:r/>
      <w:bookmarkStart w:id="752" w:name="_Toc151193855"/>
      <w:r/>
      <w:bookmarkStart w:id="753" w:name="_Toc151193929"/>
      <w:r/>
      <w:bookmarkStart w:id="754" w:name="_Toc226965814"/>
      <w:r/>
      <w:bookmarkStart w:id="755" w:name="_Toc164608810"/>
      <w:r/>
      <w:bookmarkStart w:id="756" w:name="_Toc149720834"/>
      <w:r/>
      <w:bookmarkStart w:id="757" w:name="_Toc195842906"/>
      <w:r/>
      <w:bookmarkStart w:id="758" w:name="_Toc151193639"/>
      <w:r/>
      <w:bookmarkStart w:id="759" w:name="_Toc164229236"/>
      <w:r/>
      <w:bookmarkStart w:id="760" w:name="_Toc151190168"/>
      <w:r/>
      <w:bookmarkStart w:id="761" w:name="_Toc150774641"/>
      <w:r/>
      <w:bookmarkStart w:id="762" w:name="_Toc226965731"/>
      <w:r/>
      <w:bookmarkStart w:id="763" w:name="_Toc151193783"/>
      <w:r/>
      <w:bookmarkStart w:id="764" w:name="_Toc150774746"/>
      <w:r/>
      <w:bookmarkStart w:id="765" w:name="_Toc151193711"/>
      <w:r/>
      <w:bookmarkStart w:id="766" w:name="_Toc353825551"/>
      <w:r/>
      <w:bookmarkStart w:id="767" w:name="_Toc353873941"/>
      <w:r/>
      <w:bookmarkStart w:id="768" w:name="_Toc127151742"/>
      <w:r/>
      <w:bookmarkStart w:id="769" w:name="_Toc265228379"/>
      <w:r/>
      <w:bookmarkStart w:id="770" w:name="_Toc226309785"/>
      <w:r/>
      <w:bookmarkStart w:id="771" w:name="_Toc305158883"/>
      <w:r/>
      <w:bookmarkStart w:id="772" w:name="_Toc142311043"/>
      <w:r/>
      <w:bookmarkStart w:id="773" w:name="_Toc164608655"/>
      <w:r/>
      <w:bookmarkStart w:id="774" w:name="_Toc127151541"/>
      <w:r/>
      <w:bookmarkStart w:id="775" w:name="_Toc226337237"/>
      <w:r/>
      <w:bookmarkStart w:id="776" w:name="_Toc150480779"/>
      <w:r/>
      <w:bookmarkStart w:id="777" w:name="_Toc305158809"/>
      <w:r/>
      <w:bookmarkStart w:id="778" w:name="_Toc164229382"/>
      <w:r/>
      <w:bookmarkStart w:id="779" w:name="_Toc127161455"/>
      <w:r/>
      <w:bookmarkStart w:id="780" w:name="_Toc264969231"/>
      <w:r/>
      <w:bookmarkStart w:id="781" w:name="_Toc164351635"/>
      <w:r>
        <w:rPr>
          <w:rFonts w:hint="eastAsia" w:ascii="宋体" w:hAnsi="宋体" w:cs="宋体"/>
          <w:b/>
          <w:color w:val="000000"/>
          <w:sz w:val="24"/>
          <w:highlight w:val="none"/>
        </w:rPr>
        <w:t xml:space="preserve">投标文件的符合性审查</w:t>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2"/>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813"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672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1813"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672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750"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1813"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672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2"/>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bookmarkEnd w:id="766"/>
      <w:r/>
      <w:bookmarkEnd w:id="767"/>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评审过程中出现下列情形之一的，评标委员会应当启动异常低价投标审查程序：</w:t>
      </w:r>
      <w:r>
        <w:rPr>
          <w:rFonts w:hint="eastAsia" w:ascii="宋体" w:hAnsi="宋体" w:cs="宋体"/>
          <w:color w:val="000000"/>
          <w:sz w:val="24"/>
          <w:highlight w:val="none"/>
        </w:rPr>
      </w:r>
      <w:r/>
    </w:p>
    <w:p>
      <w:pPr>
        <w:pStyle w:val="1072"/>
        <w:numPr>
          <w:ilvl w:val="2"/>
          <w:numId w:val="12"/>
        </w:numPr>
        <w:ind w:left="0" w:firstLine="420"/>
        <w:spacing w:line="360" w:lineRule="auto"/>
        <w:tabs>
          <w:tab w:val="left" w:pos="0" w:leader="none"/>
          <w:tab w:val="left" w:pos="567" w:leader="none"/>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highlight w:val="none"/>
        </w:rPr>
      </w:r>
      <w:r/>
    </w:p>
    <w:p>
      <w:pPr>
        <w:pStyle w:val="1072"/>
        <w:numPr>
          <w:ilvl w:val="2"/>
          <w:numId w:val="12"/>
        </w:numPr>
        <w:ind w:left="0" w:firstLine="420"/>
        <w:spacing w:line="360" w:lineRule="auto"/>
        <w:tabs>
          <w:tab w:val="left" w:pos="0" w:leader="none"/>
          <w:tab w:val="left" w:pos="567" w:leader="none"/>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highlight w:val="none"/>
        </w:rPr>
      </w:r>
      <w:r/>
    </w:p>
    <w:p>
      <w:pPr>
        <w:pStyle w:val="1072"/>
        <w:numPr>
          <w:ilvl w:val="2"/>
          <w:numId w:val="12"/>
        </w:numPr>
        <w:ind w:left="0" w:firstLine="420"/>
        <w:spacing w:line="360" w:lineRule="auto"/>
        <w:tabs>
          <w:tab w:val="left" w:pos="0" w:leader="none"/>
          <w:tab w:val="left" w:pos="567" w:leader="none"/>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投标（响应）报价低于采购项目最高限价45%的，即投标（响应）报价&lt;采购项目最高限价×45%；</w:t>
      </w:r>
      <w:r>
        <w:rPr>
          <w:rFonts w:hint="eastAsia" w:ascii="宋体" w:hAnsi="宋体" w:cs="宋体"/>
          <w:color w:val="000000"/>
          <w:sz w:val="24"/>
          <w:highlight w:val="none"/>
        </w:rPr>
      </w:r>
      <w:r/>
    </w:p>
    <w:p>
      <w:pPr>
        <w:pStyle w:val="1072"/>
        <w:numPr>
          <w:ilvl w:val="2"/>
          <w:numId w:val="12"/>
        </w:numPr>
        <w:ind w:left="0" w:firstLine="420"/>
        <w:spacing w:line="360" w:lineRule="auto"/>
        <w:tabs>
          <w:tab w:val="left" w:pos="0" w:leader="none"/>
          <w:tab w:val="left" w:pos="567" w:leader="none"/>
          <w:tab w:val="left" w:pos="8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评审委员会基于专业判断，认为供应商报价过低，有可能影响产品质量或者不能诚信履约的其他情形。 </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2"/>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2"/>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2"/>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olor w:val="000000"/>
          <w:sz w:val="24"/>
          <w:highlight w:val="none"/>
        </w:rPr>
      </w:r>
      <w:r/>
    </w:p>
    <w:p>
      <w:pPr>
        <w:pStyle w:val="1072"/>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305158888"/>
      <w:r/>
      <w:bookmarkStart w:id="784" w:name="_Toc520356170"/>
      <w:r/>
      <w:bookmarkStart w:id="785" w:name="_Toc151193716"/>
      <w:r/>
      <w:bookmarkStart w:id="786" w:name="_Toc127161460"/>
      <w:r/>
      <w:bookmarkStart w:id="787" w:name="_Toc195842911"/>
      <w:r/>
      <w:bookmarkStart w:id="788" w:name="_Toc164229241"/>
      <w:r/>
      <w:bookmarkStart w:id="789" w:name="_Toc150774751"/>
      <w:r/>
      <w:bookmarkStart w:id="790" w:name="_Toc151193788"/>
      <w:r/>
      <w:bookmarkStart w:id="791" w:name="_Toc150774646"/>
      <w:r/>
      <w:bookmarkStart w:id="792" w:name="_Toc265228384"/>
      <w:r/>
      <w:bookmarkStart w:id="793" w:name="_Toc142311048"/>
      <w:r/>
      <w:bookmarkStart w:id="794" w:name="_Toc151193934"/>
      <w:r/>
      <w:bookmarkStart w:id="795" w:name="_Toc149720839"/>
      <w:r/>
      <w:bookmarkStart w:id="796" w:name="_Toc151193644"/>
      <w:r/>
      <w:bookmarkStart w:id="797" w:name="_Toc150509297"/>
      <w:r/>
      <w:bookmarkStart w:id="798" w:name="_Ref467307010"/>
      <w:r/>
      <w:bookmarkStart w:id="799" w:name="_Toc151190173"/>
      <w:r/>
      <w:bookmarkStart w:id="800" w:name="_Toc305158814"/>
      <w:r/>
      <w:bookmarkStart w:id="801" w:name="_Toc164351640"/>
      <w:r/>
      <w:bookmarkStart w:id="802" w:name="_Toc150480784"/>
      <w:r/>
      <w:bookmarkStart w:id="803" w:name="_Toc226965736"/>
      <w:r/>
      <w:bookmarkStart w:id="804" w:name="_Toc164229387"/>
      <w:r/>
      <w:bookmarkStart w:id="805" w:name="_Toc127151546"/>
      <w:r/>
      <w:bookmarkStart w:id="806" w:name="_Toc164608815"/>
      <w:r/>
      <w:bookmarkStart w:id="807" w:name="_Toc226309790"/>
      <w:r/>
      <w:bookmarkStart w:id="808" w:name="_Toc264969236"/>
      <w:r/>
      <w:bookmarkStart w:id="809" w:name="_Toc151193860"/>
      <w:r/>
      <w:bookmarkStart w:id="810" w:name="_Toc164608660"/>
      <w:r/>
      <w:bookmarkStart w:id="811" w:name="_Toc226965819"/>
      <w:r/>
      <w:bookmarkStart w:id="812" w:name="_Toc127151747"/>
      <w:r/>
      <w:bookmarkStart w:id="813" w:name="_Toc226337242"/>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2"/>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2"/>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2"/>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962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评分因素</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分值</w:t>
            </w:r>
            <w:r>
              <w:rPr>
                <w:rFonts w:ascii="宋体" w:hAnsi="宋体"/>
                <w:bCs/>
                <w:color w:val="000000"/>
                <w:sz w:val="24"/>
                <w:highlight w:val="none"/>
              </w:rPr>
            </w:r>
            <w:r/>
          </w:p>
        </w:tc>
        <w:tc>
          <w:tcPr>
            <w:tcW w:w="3978"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评分标准</w:t>
            </w:r>
            <w:r>
              <w:rPr>
                <w:rFonts w:ascii="宋体" w:hAnsi="宋体"/>
                <w:bCs/>
                <w:color w:val="000000"/>
                <w:sz w:val="24"/>
                <w:highlight w:val="none"/>
              </w:rPr>
            </w:r>
            <w:r/>
          </w:p>
        </w:tc>
        <w:tc>
          <w:tcPr>
            <w:tcW w:w="2440" w:type="dxa"/>
            <w:vAlign w:val="center"/>
            <w:textDirection w:val="lrTb"/>
            <w:noWrap w:val="false"/>
          </w:tcPr>
          <w:p>
            <w:pPr>
              <w:pStyle w:val="1316"/>
              <w:spacing w:before="0" w:after="0" w:line="240" w:lineRule="auto"/>
              <w:rPr>
                <w:rFonts w:ascii="宋体" w:hAnsi="宋体" w:eastAsia="宋体"/>
                <w:b w:val="0"/>
                <w:bCs/>
                <w:color w:val="000000"/>
                <w:szCs w:val="24"/>
                <w:highlight w:val="none"/>
              </w:rPr>
            </w:pPr>
            <w:r>
              <w:rPr>
                <w:rFonts w:hint="eastAsia" w:ascii="宋体" w:hAnsi="宋体" w:eastAsia="宋体"/>
                <w:b w:val="0"/>
                <w:bCs/>
                <w:color w:val="000000"/>
                <w:szCs w:val="24"/>
                <w:highlight w:val="none"/>
              </w:rPr>
              <w:t xml:space="preserve">说明</w:t>
            </w:r>
            <w:r>
              <w:rPr>
                <w:rFonts w:ascii="宋体" w:hAnsi="宋体" w:eastAsia="宋体"/>
                <w:b w:val="0"/>
                <w:bCs/>
                <w:color w:val="000000"/>
                <w:szCs w:val="24"/>
                <w:highlight w:val="none"/>
              </w:rPr>
            </w:r>
            <w:r/>
          </w:p>
        </w:tc>
      </w:tr>
      <w:tr>
        <w:trPr>
          <w:trHeight w:val="631"/>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价格分</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10</w:t>
            </w:r>
            <w:r>
              <w:rPr>
                <w:rFonts w:ascii="宋体" w:hAnsi="宋体"/>
                <w:bCs/>
                <w:color w:val="000000"/>
                <w:sz w:val="24"/>
                <w:highlight w:val="none"/>
              </w:rPr>
            </w:r>
            <w:r/>
          </w:p>
        </w:tc>
        <w:tc>
          <w:tcPr>
            <w:tcW w:w="3978" w:type="dxa"/>
            <w:vAlign w:val="center"/>
            <w:textDirection w:val="lrTb"/>
            <w:noWrap w:val="false"/>
          </w:tcPr>
          <w:p>
            <w:pPr>
              <w:pStyle w:val="1072"/>
              <w:spacing w:line="360" w:lineRule="exact"/>
              <w:rPr>
                <w:rFonts w:ascii="宋体" w:hAnsi="宋体"/>
                <w:bCs/>
                <w:color w:val="000000"/>
                <w:sz w:val="24"/>
                <w:highlight w:val="none"/>
              </w:rPr>
            </w:pPr>
            <w:r>
              <w:rPr>
                <w:rFonts w:hint="eastAsia" w:ascii="宋体" w:hAnsi="宋体"/>
                <w:bCs/>
                <w:color w:val="000000"/>
                <w:sz w:val="24"/>
                <w:highlight w:val="none"/>
              </w:rPr>
              <w:t xml:space="preserve">满足招标文件要求且投标报价最低的</w:t>
            </w:r>
            <w:r>
              <w:rPr>
                <w:rFonts w:hint="eastAsia" w:ascii="宋体" w:hAnsi="宋体"/>
                <w:b/>
                <w:color w:val="000000"/>
                <w:sz w:val="24"/>
                <w:highlight w:val="none"/>
              </w:rPr>
              <w:t xml:space="preserve">（即投标分项报价表中投标费率或投标单价最低的）</w:t>
            </w:r>
            <w:r>
              <w:rPr>
                <w:rFonts w:hint="eastAsia" w:ascii="宋体" w:hAnsi="宋体"/>
                <w:bCs/>
                <w:color w:val="000000"/>
                <w:sz w:val="24"/>
                <w:highlight w:val="none"/>
              </w:rPr>
              <w:t xml:space="preserve">为评标基准价，其价格分为满分。</w:t>
            </w:r>
            <w:r>
              <w:rPr>
                <w:rFonts w:hint="eastAsia" w:ascii="宋体" w:hAnsi="宋体"/>
                <w:b/>
                <w:color w:val="000000"/>
                <w:sz w:val="24"/>
                <w:highlight w:val="none"/>
              </w:rPr>
              <w:t xml:space="preserve">（其中饮片价格分为4分，煎汤为3分，熬膏为3分。）</w:t>
            </w:r>
            <w:r>
              <w:rPr>
                <w:rFonts w:hint="eastAsia" w:ascii="宋体" w:hAnsi="宋体"/>
                <w:bCs/>
                <w:color w:val="000000"/>
                <w:sz w:val="24"/>
                <w:highlight w:val="none"/>
              </w:rPr>
              <w:t xml:space="preserve">其他投标人的价格分统一按照下列公式计算：</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报价得分＝评标基准价/投标报价×分值。</w:t>
            </w:r>
            <w:r>
              <w:rPr>
                <w:rFonts w:ascii="宋体" w:hAnsi="宋体"/>
                <w:bCs/>
                <w:color w:val="000000"/>
                <w:sz w:val="24"/>
                <w:highlight w:val="none"/>
              </w:rPr>
            </w:r>
            <w:r/>
          </w:p>
          <w:p>
            <w:pPr>
              <w:pStyle w:val="1072"/>
              <w:rPr>
                <w:rFonts w:hint="eastAsia" w:ascii="宋体" w:hAnsi="宋体" w:eastAsia="宋体"/>
                <w:bCs/>
                <w:color w:val="000000"/>
                <w:sz w:val="24"/>
                <w:highlight w:val="none"/>
                <w:lang w:val="en-US" w:eastAsia="zh-CN"/>
              </w:rPr>
            </w:pPr>
            <w:r>
              <w:rPr>
                <w:rFonts w:hint="eastAsia" w:ascii="宋体" w:hAnsi="宋体" w:eastAsia="宋体" w:cs="Times New Roman"/>
                <w:bCs/>
                <w:color w:val="000000"/>
                <w:sz w:val="24"/>
                <w:highlight w:val="none"/>
              </w:rPr>
              <w:t xml:space="preserve">总得分=饮片报价得分+煎汤报价得分</w:t>
            </w:r>
            <w:r>
              <w:rPr>
                <w:rFonts w:hint="eastAsia" w:ascii="宋体" w:hAnsi="宋体" w:eastAsia="宋体" w:cs="Times New Roman"/>
                <w:bCs/>
                <w:color w:val="000000"/>
                <w:sz w:val="24"/>
                <w:highlight w:val="none"/>
                <w:lang w:val="en-US" w:eastAsia="zh-CN"/>
              </w:rPr>
              <w:t xml:space="preserve">+</w:t>
            </w:r>
            <w:r>
              <w:rPr>
                <w:rFonts w:hint="eastAsia" w:ascii="宋体" w:hAnsi="宋体" w:eastAsia="宋体" w:cs="Times New Roman"/>
                <w:bCs/>
                <w:color w:val="000000"/>
                <w:sz w:val="24"/>
                <w:highlight w:val="none"/>
              </w:rPr>
              <w:t xml:space="preserve">熬膏报价得分</w:t>
            </w:r>
            <w:r>
              <w:rPr>
                <w:rFonts w:hint="eastAsia" w:ascii="宋体" w:hAnsi="宋体" w:eastAsia="宋体"/>
                <w:bCs/>
                <w:color w:val="000000"/>
                <w:sz w:val="24"/>
                <w:highlight w:val="none"/>
                <w:lang w:val="en-US" w:eastAsia="zh-CN"/>
              </w:rPr>
            </w:r>
            <w:r/>
          </w:p>
        </w:tc>
        <w:tc>
          <w:tcPr>
            <w:tcW w:w="2440" w:type="dxa"/>
            <w:vAlign w:val="center"/>
            <w:textDirection w:val="lrTb"/>
            <w:noWrap w:val="false"/>
          </w:tcPr>
          <w:p>
            <w:pPr>
              <w:pStyle w:val="1072"/>
              <w:ind w:left="-38"/>
              <w:rPr>
                <w:rFonts w:ascii="宋体" w:hAnsi="宋体"/>
                <w:bCs/>
                <w:color w:val="000000"/>
                <w:sz w:val="24"/>
                <w:highlight w:val="none"/>
              </w:rPr>
            </w:pPr>
            <w:r/>
            <w:bookmarkStart w:id="814" w:name="OLE_LINK34"/>
            <w:r>
              <w:rPr>
                <w:rFonts w:hint="eastAsia" w:ascii="宋体" w:hAnsi="宋体"/>
                <w:bCs/>
                <w:color w:val="000000"/>
                <w:sz w:val="24"/>
                <w:highlight w:val="none"/>
              </w:rPr>
              <w:t xml:space="preserve">此处投标报价指经过报价修正，及因落实政府采购政策进行价格调整后的报价，详见第四章《评标方法和评标标准》2.4及2.5。</w:t>
            </w:r>
            <w:bookmarkEnd w:id="814"/>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主观分</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45</w:t>
            </w:r>
            <w:r>
              <w:rPr>
                <w:rFonts w:hint="eastAsia" w:ascii="宋体" w:hAnsi="宋体"/>
                <w:bCs/>
                <w:color w:val="000000"/>
                <w:sz w:val="24"/>
                <w:highlight w:val="none"/>
              </w:rPr>
            </w:r>
            <w:r/>
          </w:p>
        </w:tc>
        <w:tc>
          <w:tcPr>
            <w:tcW w:w="3978" w:type="dxa"/>
            <w:vAlign w:val="center"/>
            <w:textDirection w:val="lrTb"/>
            <w:noWrap w:val="false"/>
          </w:tcPr>
          <w:p>
            <w:pPr>
              <w:pStyle w:val="1072"/>
              <w:rPr>
                <w:rFonts w:ascii="宋体" w:hAnsi="宋体"/>
                <w:bCs/>
                <w:color w:val="000000"/>
                <w:sz w:val="24"/>
                <w:highlight w:val="none"/>
              </w:rPr>
            </w:pPr>
            <w:r>
              <w:rPr>
                <w:rFonts w:ascii="宋体" w:hAnsi="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1</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cs="宋体"/>
                <w:bCs/>
                <w:color w:val="000000"/>
                <w:sz w:val="24"/>
                <w:highlight w:val="none"/>
              </w:rPr>
              <w:t xml:space="preserve">中药饮片质量控制标准</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rPr>
            </w:r>
            <w:r/>
          </w:p>
        </w:tc>
        <w:tc>
          <w:tcPr>
            <w:tcW w:w="3978" w:type="dxa"/>
            <w:vAlign w:val="center"/>
            <w:textDirection w:val="lrTb"/>
            <w:noWrap w:val="false"/>
          </w:tcPr>
          <w:p>
            <w:pPr>
              <w:pStyle w:val="1072"/>
              <w:rPr>
                <w:rFonts w:ascii="宋体" w:hAnsi="宋体"/>
                <w:bCs/>
                <w:color w:val="000000"/>
                <w:sz w:val="24"/>
                <w:highlight w:val="none"/>
              </w:rPr>
            </w:pPr>
            <w:r/>
            <w:bookmarkStart w:id="815" w:name="OLE_LINK45"/>
            <w:r>
              <w:rPr>
                <w:rFonts w:hint="eastAsia" w:ascii="宋体" w:hAnsi="宋体"/>
                <w:bCs/>
                <w:color w:val="000000"/>
                <w:sz w:val="24"/>
                <w:highlight w:val="none"/>
              </w:rPr>
              <w:t xml:space="preserve">提供对药材采购、药材检验检测情况、生产及炮制工艺的情况、内部质量保证等措施</w:t>
            </w:r>
            <w:r>
              <w:rPr>
                <w:rFonts w:hint="eastAsia" w:ascii="宋体" w:hAnsi="宋体"/>
                <w:bCs/>
                <w:color w:val="000000"/>
                <w:sz w:val="24"/>
                <w:highlight w:val="none"/>
                <w:shd w:val="clear" w:color="auto" w:fill="ffffff"/>
              </w:rPr>
              <w:t xml:space="preserve">。</w:t>
            </w:r>
            <w:r>
              <w:rPr>
                <w:rFonts w:ascii="宋体" w:hAnsi="宋体"/>
                <w:bCs/>
                <w:color w:val="000000"/>
                <w:sz w:val="24"/>
                <w:highlight w:val="none"/>
              </w:rPr>
            </w:r>
            <w:r/>
          </w:p>
          <w:p>
            <w:pPr>
              <w:pStyle w:val="1072"/>
              <w:rPr>
                <w:rStyle w:val="1326"/>
                <w:rFonts w:ascii="宋体" w:hAnsi="宋体" w:eastAsia="宋体"/>
                <w:bCs/>
                <w:color w:val="000000"/>
                <w:sz w:val="24"/>
                <w:szCs w:val="24"/>
                <w:highlight w:val="none"/>
              </w:rPr>
            </w:pPr>
            <w:r>
              <w:rPr>
                <w:rFonts w:hint="eastAsia" w:ascii="宋体" w:hAnsi="宋体" w:cs="宋体"/>
                <w:bCs/>
                <w:color w:val="000000"/>
                <w:sz w:val="24"/>
                <w:highlight w:val="none"/>
              </w:rPr>
              <w:t xml:space="preserve">措施完善、科学、具有可行性的得3分；措施较完善、较科学、基本可行的得2分；措施完善性、科学性有缺陷、可行性较差的得1分；未提供不得分。</w:t>
            </w:r>
            <w:bookmarkEnd w:id="815"/>
            <w:r>
              <w:rPr>
                <w:rStyle w:val="1326"/>
                <w:rFonts w:ascii="宋体" w:hAnsi="宋体" w:eastAsia="宋体"/>
                <w:bCs/>
                <w:color w:val="000000"/>
                <w:sz w:val="24"/>
                <w:szCs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2</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cs="宋体"/>
                <w:bCs/>
                <w:color w:val="000000"/>
                <w:sz w:val="24"/>
                <w:highlight w:val="none"/>
              </w:rPr>
              <w:t xml:space="preserve">中药饮片供应链完整性</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rPr>
            </w:r>
            <w:r/>
          </w:p>
        </w:tc>
        <w:tc>
          <w:tcPr>
            <w:tcW w:w="3978" w:type="dxa"/>
            <w:vAlign w:val="center"/>
            <w:textDirection w:val="lrTb"/>
            <w:noWrap w:val="false"/>
          </w:tcPr>
          <w:p>
            <w:pPr>
              <w:pStyle w:val="1072"/>
              <w:rPr>
                <w:rFonts w:ascii="宋体" w:hAnsi="宋体" w:cs="宋体"/>
                <w:bCs/>
                <w:color w:val="000000"/>
                <w:sz w:val="24"/>
                <w:highlight w:val="none"/>
              </w:rPr>
            </w:pPr>
            <w:r/>
            <w:bookmarkStart w:id="816" w:name="OLE_LINK46"/>
            <w:r>
              <w:rPr>
                <w:rFonts w:hint="eastAsia" w:ascii="宋体" w:hAnsi="宋体" w:cs="宋体"/>
                <w:bCs/>
                <w:color w:val="000000"/>
                <w:sz w:val="24"/>
                <w:highlight w:val="none"/>
              </w:rPr>
              <w:t xml:space="preserve">提供保证中药饮片供应链完整性相关材料及措施</w:t>
            </w:r>
            <w:r>
              <w:rPr>
                <w:rFonts w:ascii="宋体" w:hAnsi="宋体" w:cs="宋体"/>
                <w:bCs/>
                <w:color w:val="000000"/>
                <w:sz w:val="24"/>
                <w:highlight w:val="none"/>
              </w:rPr>
            </w:r>
            <w:r/>
          </w:p>
          <w:p>
            <w:pPr>
              <w:pStyle w:val="1072"/>
              <w:rPr>
                <w:rStyle w:val="1326"/>
                <w:rFonts w:ascii="宋体" w:hAnsi="宋体" w:eastAsia="宋体"/>
                <w:bCs/>
                <w:color w:val="000000"/>
                <w:sz w:val="24"/>
                <w:szCs w:val="24"/>
                <w:highlight w:val="none"/>
              </w:rPr>
            </w:pPr>
            <w:r>
              <w:rPr>
                <w:rFonts w:hint="eastAsia" w:ascii="宋体" w:hAnsi="宋体" w:cs="宋体"/>
                <w:bCs/>
                <w:color w:val="000000"/>
                <w:sz w:val="24"/>
                <w:highlight w:val="none"/>
              </w:rPr>
              <w:t xml:space="preserve">措施完善、科学、具有可行性的得3分；措施较完善、较科学、基本可行的得2分；措施完善性、科学性有缺陷、可行性较差的得1分；未提供不得分。</w:t>
            </w:r>
            <w:bookmarkEnd w:id="816"/>
            <w:r>
              <w:rPr>
                <w:rStyle w:val="1326"/>
                <w:rFonts w:ascii="宋体" w:hAnsi="宋体" w:eastAsia="宋体"/>
                <w:bCs/>
                <w:color w:val="000000"/>
                <w:sz w:val="24"/>
                <w:szCs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3</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cs="宋体"/>
                <w:bCs/>
                <w:color w:val="000000"/>
                <w:sz w:val="24"/>
                <w:highlight w:val="none"/>
              </w:rPr>
              <w:t xml:space="preserve">中药饮片产地溯源保证措施</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rPr>
            </w:r>
            <w:r/>
          </w:p>
        </w:tc>
        <w:tc>
          <w:tcPr>
            <w:tcW w:w="3978" w:type="dxa"/>
            <w:vAlign w:val="center"/>
            <w:textDirection w:val="lrTb"/>
            <w:noWrap w:val="false"/>
          </w:tcPr>
          <w:p>
            <w:pPr>
              <w:pStyle w:val="1072"/>
              <w:rPr>
                <w:rFonts w:ascii="宋体" w:hAnsi="宋体" w:cs="宋体"/>
                <w:bCs/>
                <w:color w:val="000000"/>
                <w:sz w:val="24"/>
                <w:highlight w:val="none"/>
              </w:rPr>
            </w:pPr>
            <w:r>
              <w:rPr>
                <w:rFonts w:hint="eastAsia" w:ascii="宋体" w:hAnsi="宋体" w:cs="宋体"/>
                <w:bCs/>
                <w:color w:val="000000"/>
                <w:sz w:val="24"/>
                <w:highlight w:val="none"/>
              </w:rPr>
              <w:t xml:space="preserve">提供保证中药饮片产地可溯源相关材料及措施。</w:t>
            </w:r>
            <w:r>
              <w:rPr>
                <w:rFonts w:ascii="宋体" w:hAnsi="宋体" w:cs="宋体"/>
                <w:bCs/>
                <w:color w:val="000000"/>
                <w:sz w:val="24"/>
                <w:highlight w:val="none"/>
              </w:rPr>
            </w:r>
            <w:r/>
          </w:p>
          <w:p>
            <w:pPr>
              <w:pStyle w:val="1072"/>
              <w:rPr>
                <w:rStyle w:val="1326"/>
                <w:rFonts w:ascii="宋体" w:hAnsi="宋体" w:eastAsia="宋体"/>
                <w:bCs/>
                <w:color w:val="000000"/>
                <w:sz w:val="24"/>
                <w:szCs w:val="24"/>
                <w:highlight w:val="none"/>
              </w:rPr>
            </w:pPr>
            <w:r>
              <w:rPr>
                <w:rFonts w:hint="eastAsia" w:ascii="宋体" w:hAnsi="宋体" w:cs="宋体"/>
                <w:bCs/>
                <w:color w:val="000000"/>
                <w:sz w:val="24"/>
                <w:highlight w:val="none"/>
              </w:rPr>
              <w:t xml:space="preserve">措施完善、科学、具有可行性的得</w:t>
            </w: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分；措施较完善、较科学、基本可行的得</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分；措施完善性、科学性有缺陷、可行性较差的得1分；未提供不得分。</w:t>
            </w:r>
            <w:r>
              <w:rPr>
                <w:rStyle w:val="1326"/>
                <w:rFonts w:ascii="宋体" w:hAnsi="宋体" w:eastAsia="宋体"/>
                <w:bCs/>
                <w:color w:val="000000"/>
                <w:sz w:val="24"/>
                <w:szCs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4</w:t>
            </w:r>
            <w:r>
              <w:rPr>
                <w:rFonts w:ascii="宋体" w:hAnsi="宋体"/>
                <w:bCs/>
                <w:color w:val="000000"/>
                <w:sz w:val="24"/>
                <w:highlight w:val="none"/>
              </w:rPr>
            </w:r>
            <w:r/>
          </w:p>
        </w:tc>
        <w:tc>
          <w:tcPr>
            <w:tcW w:w="1462" w:type="dxa"/>
            <w:vAlign w:val="center"/>
            <w:vMerge w:val="restart"/>
            <w:textDirection w:val="lrTb"/>
            <w:noWrap w:val="false"/>
          </w:tcPr>
          <w:p>
            <w:pPr>
              <w:pStyle w:val="1072"/>
              <w:ind w:firstLine="28"/>
              <w:jc w:val="center"/>
              <w:rPr>
                <w:rFonts w:ascii="宋体" w:hAnsi="宋体"/>
                <w:bCs/>
                <w:color w:val="000000"/>
                <w:sz w:val="24"/>
                <w:highlight w:val="none"/>
              </w:rPr>
            </w:pPr>
            <w:r>
              <w:rPr>
                <w:rFonts w:hint="eastAsia" w:ascii="宋体" w:hAnsi="宋体" w:cs="宋体"/>
                <w:color w:val="000000"/>
                <w:sz w:val="24"/>
                <w:highlight w:val="none"/>
                <w:lang w:val="zh-CN"/>
              </w:rPr>
              <w:t xml:space="preserve">代加工服务</w:t>
            </w:r>
            <w:r>
              <w:rPr>
                <w:rFonts w:hint="eastAsia" w:ascii="宋体" w:hAnsi="宋体" w:cs="宋体"/>
                <w:color w:val="000000"/>
                <w:sz w:val="24"/>
                <w:highlight w:val="none"/>
              </w:rPr>
              <w:t xml:space="preserve">管理制度</w:t>
            </w:r>
            <w:r>
              <w:rPr>
                <w:rFonts w:ascii="宋体" w:hAnsi="宋体"/>
                <w:bCs/>
                <w:color w:val="000000"/>
                <w:sz w:val="24"/>
                <w:highlight w:val="none"/>
              </w:rPr>
            </w:r>
            <w:r/>
          </w:p>
        </w:tc>
        <w:tc>
          <w:tcPr>
            <w:tcW w:w="913" w:type="dxa"/>
            <w:vAlign w:val="center"/>
            <w:textDirection w:val="lrTb"/>
            <w:noWrap w:val="false"/>
          </w:tcPr>
          <w:p>
            <w:pPr>
              <w:pStyle w:val="1072"/>
              <w:ind w:firstLine="28"/>
              <w:jc w:val="center"/>
              <w:spacing w:line="360" w:lineRule="exact"/>
              <w:rPr>
                <w:rFonts w:ascii="宋体" w:hAnsi="宋体"/>
                <w:bCs/>
                <w:color w:val="000000"/>
                <w:sz w:val="24"/>
                <w:highlight w:val="none"/>
              </w:rPr>
            </w:pPr>
            <w:r>
              <w:rPr>
                <w:rFonts w:hint="eastAsia" w:ascii="宋体" w:hAnsi="宋体" w:cs="宋体"/>
                <w:color w:val="000000"/>
                <w:sz w:val="24"/>
                <w:highlight w:val="none"/>
              </w:rPr>
              <w:t xml:space="preserve">3</w:t>
            </w:r>
            <w:r>
              <w:rPr>
                <w:rFonts w:ascii="宋体" w:hAnsi="宋体"/>
                <w:bCs/>
                <w:color w:val="000000"/>
                <w:sz w:val="24"/>
                <w:highlight w:val="none"/>
              </w:rPr>
            </w:r>
            <w:r/>
          </w:p>
        </w:tc>
        <w:tc>
          <w:tcPr>
            <w:tcW w:w="3978" w:type="dxa"/>
            <w:vAlign w:val="center"/>
            <w:textDirection w:val="lrTb"/>
            <w:noWrap w:val="false"/>
          </w:tcPr>
          <w:p>
            <w:pPr>
              <w:pStyle w:val="1166"/>
              <w:ind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代加工服务的质量管理制度及规范：</w:t>
            </w:r>
            <w:r>
              <w:rPr>
                <w:rFonts w:ascii="宋体" w:hAnsi="宋体" w:cs="宋体"/>
                <w:color w:val="000000"/>
                <w:sz w:val="24"/>
                <w:highlight w:val="none"/>
                <w:lang w:val="zh-CN"/>
              </w:rPr>
            </w:r>
            <w:r/>
          </w:p>
          <w:p>
            <w:pPr>
              <w:pStyle w:val="1166"/>
              <w:ind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管理制度及规范符合规定且完全符合采购单位需求的得</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1166"/>
              <w:ind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管理制度及规范一般，存在缺陷但影响不大的得</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1072"/>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管理制度及规范考虑不全，不符合采购单位需求的得1分；</w:t>
            </w:r>
            <w:r>
              <w:rPr>
                <w:rFonts w:ascii="宋体" w:hAnsi="宋体" w:cs="宋体"/>
                <w:color w:val="000000"/>
                <w:sz w:val="24"/>
                <w:highlight w:val="none"/>
                <w:lang w:val="zh-CN"/>
              </w:rPr>
            </w:r>
            <w:r/>
          </w:p>
          <w:p>
            <w:pPr>
              <w:pStyle w:val="1072"/>
              <w:spacing w:line="360" w:lineRule="exact"/>
              <w:rPr>
                <w:rStyle w:val="1326"/>
                <w:rFonts w:ascii="宋体" w:hAnsi="宋体" w:eastAsia="宋体"/>
                <w:bCs/>
                <w:color w:val="000000"/>
                <w:sz w:val="24"/>
                <w:szCs w:val="24"/>
                <w:highlight w:val="none"/>
              </w:rPr>
            </w:pPr>
            <w:r>
              <w:rPr>
                <w:rFonts w:hint="eastAsia" w:ascii="宋体" w:hAnsi="宋体" w:cs="宋体"/>
                <w:color w:val="000000"/>
                <w:sz w:val="24"/>
                <w:highlight w:val="none"/>
              </w:rPr>
              <w:t xml:space="preserve">未提供不得分。</w:t>
            </w:r>
            <w:r>
              <w:rPr>
                <w:rStyle w:val="1326"/>
                <w:rFonts w:ascii="宋体" w:hAnsi="宋体" w:eastAsia="宋体"/>
                <w:bCs/>
                <w:color w:val="000000"/>
                <w:sz w:val="24"/>
                <w:szCs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5</w:t>
            </w:r>
            <w:r>
              <w:rPr>
                <w:rFonts w:ascii="宋体" w:hAnsi="宋体"/>
                <w:bCs/>
                <w:color w:val="000000"/>
                <w:sz w:val="24"/>
                <w:highlight w:val="none"/>
              </w:rPr>
            </w:r>
            <w:r/>
          </w:p>
        </w:tc>
        <w:tc>
          <w:tcPr>
            <w:tcW w:w="1462" w:type="dxa"/>
            <w:vAlign w:val="center"/>
            <w:vMerge w:val="continue"/>
            <w:textDirection w:val="lrTb"/>
            <w:noWrap w:val="false"/>
          </w:tcPr>
          <w:p>
            <w:pPr>
              <w:pStyle w:val="1072"/>
              <w:ind w:firstLine="28"/>
              <w:jc w:val="center"/>
              <w:rPr>
                <w:rFonts w:ascii="宋体" w:hAnsi="宋体"/>
                <w:bCs/>
                <w:color w:val="000000"/>
                <w:sz w:val="24"/>
                <w:highlight w:val="none"/>
              </w:rPr>
            </w:pPr>
            <w:r>
              <w:rPr>
                <w:rFonts w:ascii="宋体" w:hAnsi="宋体"/>
                <w:bCs/>
                <w:color w:val="000000"/>
                <w:sz w:val="24"/>
                <w:highlight w:val="none"/>
              </w:rPr>
            </w:r>
            <w:r/>
          </w:p>
        </w:tc>
        <w:tc>
          <w:tcPr>
            <w:tcW w:w="913" w:type="dxa"/>
            <w:vAlign w:val="center"/>
            <w:textDirection w:val="lrTb"/>
            <w:noWrap w:val="false"/>
          </w:tcPr>
          <w:p>
            <w:pPr>
              <w:pStyle w:val="1072"/>
              <w:ind w:firstLine="28"/>
              <w:jc w:val="center"/>
              <w:spacing w:line="360" w:lineRule="exact"/>
              <w:rPr>
                <w:rFonts w:ascii="宋体" w:hAnsi="宋体"/>
                <w:bCs/>
                <w:color w:val="000000"/>
                <w:sz w:val="24"/>
                <w:highlight w:val="none"/>
              </w:rPr>
            </w:pPr>
            <w:r>
              <w:rPr>
                <w:rFonts w:hint="eastAsia" w:ascii="宋体" w:hAnsi="宋体" w:cs="宋体"/>
                <w:color w:val="000000"/>
                <w:sz w:val="24"/>
                <w:highlight w:val="none"/>
              </w:rPr>
              <w:t xml:space="preserve">3</w:t>
            </w:r>
            <w:r>
              <w:rPr>
                <w:rFonts w:ascii="宋体" w:hAnsi="宋体"/>
                <w:bCs/>
                <w:color w:val="000000"/>
                <w:sz w:val="24"/>
                <w:highlight w:val="none"/>
              </w:rPr>
            </w:r>
            <w:r/>
          </w:p>
        </w:tc>
        <w:tc>
          <w:tcPr>
            <w:tcW w:w="3978" w:type="dxa"/>
            <w:vAlign w:val="center"/>
            <w:textDirection w:val="lrTb"/>
            <w:noWrap w:val="false"/>
          </w:tcPr>
          <w:p>
            <w:pPr>
              <w:pStyle w:val="1166"/>
              <w:ind w:firstLine="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代加工服务场所的卫生管理制度及规范：管理制度及规范符合规定且完全符合采购单位需求的得3分；</w:t>
            </w:r>
            <w:r>
              <w:rPr>
                <w:rFonts w:ascii="宋体" w:hAnsi="宋体" w:cs="宋体"/>
                <w:color w:val="000000"/>
                <w:sz w:val="24"/>
                <w:highlight w:val="none"/>
              </w:rPr>
            </w:r>
            <w:r/>
          </w:p>
          <w:p>
            <w:pPr>
              <w:pStyle w:val="1166"/>
              <w:ind w:firstLine="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管理制度及规范一般，存在缺陷但影响不大的得2分；</w:t>
            </w:r>
            <w:r>
              <w:rPr>
                <w:rFonts w:ascii="宋体" w:hAnsi="宋体" w:cs="宋体"/>
                <w:color w:val="000000"/>
                <w:sz w:val="24"/>
                <w:highlight w:val="none"/>
              </w:rPr>
            </w:r>
            <w:r/>
          </w:p>
          <w:p>
            <w:pPr>
              <w:pStyle w:val="107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管理制度及规范考虑不全，不符合采购单位需求的得1分；</w:t>
            </w:r>
            <w:r>
              <w:rPr>
                <w:rFonts w:ascii="宋体" w:hAnsi="宋体" w:cs="宋体"/>
                <w:color w:val="000000"/>
                <w:sz w:val="24"/>
                <w:highlight w:val="none"/>
              </w:rPr>
            </w:r>
            <w:r/>
          </w:p>
          <w:p>
            <w:pPr>
              <w:pStyle w:val="1072"/>
              <w:spacing w:line="360" w:lineRule="exact"/>
              <w:rPr>
                <w:rStyle w:val="1326"/>
                <w:rFonts w:ascii="宋体" w:hAnsi="宋体" w:eastAsia="宋体"/>
                <w:bCs/>
                <w:color w:val="000000"/>
                <w:sz w:val="24"/>
                <w:szCs w:val="24"/>
                <w:highlight w:val="none"/>
              </w:rPr>
            </w:pPr>
            <w:r>
              <w:rPr>
                <w:rFonts w:hint="eastAsia" w:ascii="宋体" w:hAnsi="宋体" w:cs="宋体"/>
                <w:color w:val="000000"/>
                <w:sz w:val="24"/>
                <w:highlight w:val="none"/>
              </w:rPr>
              <w:t xml:space="preserve">未提供不得分。</w:t>
            </w:r>
            <w:r>
              <w:rPr>
                <w:rStyle w:val="1326"/>
                <w:rFonts w:ascii="宋体" w:hAnsi="宋体" w:eastAsia="宋体"/>
                <w:bCs/>
                <w:color w:val="000000"/>
                <w:sz w:val="24"/>
                <w:szCs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6</w:t>
            </w:r>
            <w:r>
              <w:rPr>
                <w:rFonts w:ascii="宋体" w:hAnsi="宋体"/>
                <w:bCs/>
                <w:color w:val="000000"/>
                <w:sz w:val="24"/>
                <w:highlight w:val="none"/>
              </w:rPr>
            </w:r>
            <w:r/>
          </w:p>
        </w:tc>
        <w:tc>
          <w:tcPr>
            <w:tcW w:w="1462" w:type="dxa"/>
            <w:vAlign w:val="center"/>
            <w:vMerge w:val="continue"/>
            <w:textDirection w:val="lrTb"/>
            <w:noWrap w:val="false"/>
          </w:tcPr>
          <w:p>
            <w:pPr>
              <w:pStyle w:val="1072"/>
              <w:ind w:firstLine="28"/>
              <w:jc w:val="center"/>
              <w:rPr>
                <w:rFonts w:ascii="宋体" w:hAnsi="宋体"/>
                <w:bCs/>
                <w:color w:val="000000"/>
                <w:sz w:val="24"/>
                <w:highlight w:val="none"/>
              </w:rPr>
            </w:pPr>
            <w:r>
              <w:rPr>
                <w:rFonts w:ascii="宋体" w:hAnsi="宋体"/>
                <w:bCs/>
                <w:color w:val="000000"/>
                <w:sz w:val="24"/>
                <w:highlight w:val="none"/>
              </w:rPr>
            </w:r>
            <w:r/>
          </w:p>
        </w:tc>
        <w:tc>
          <w:tcPr>
            <w:tcW w:w="913" w:type="dxa"/>
            <w:vAlign w:val="center"/>
            <w:textDirection w:val="lrTb"/>
            <w:noWrap w:val="false"/>
          </w:tcPr>
          <w:p>
            <w:pPr>
              <w:pStyle w:val="1072"/>
              <w:ind w:firstLine="28"/>
              <w:jc w:val="center"/>
              <w:spacing w:line="360" w:lineRule="exact"/>
              <w:rPr>
                <w:rFonts w:ascii="宋体" w:hAnsi="宋体"/>
                <w:bCs/>
                <w:color w:val="000000"/>
                <w:sz w:val="24"/>
                <w:highlight w:val="none"/>
              </w:rPr>
            </w:pPr>
            <w:r>
              <w:rPr>
                <w:rFonts w:hint="eastAsia" w:ascii="宋体" w:hAnsi="宋体" w:cs="宋体"/>
                <w:color w:val="000000"/>
                <w:sz w:val="24"/>
                <w:highlight w:val="none"/>
              </w:rPr>
              <w:t xml:space="preserve">3</w:t>
            </w:r>
            <w:r>
              <w:rPr>
                <w:rFonts w:ascii="宋体" w:hAnsi="宋体"/>
                <w:bCs/>
                <w:color w:val="000000"/>
                <w:sz w:val="24"/>
                <w:highlight w:val="none"/>
              </w:rPr>
            </w:r>
            <w:r/>
          </w:p>
        </w:tc>
        <w:tc>
          <w:tcPr>
            <w:tcW w:w="3978" w:type="dxa"/>
            <w:vAlign w:val="center"/>
            <w:textDirection w:val="lrTb"/>
            <w:noWrap w:val="false"/>
          </w:tcPr>
          <w:p>
            <w:pPr>
              <w:pStyle w:val="1166"/>
              <w:ind w:firstLine="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代加工中药设备的使用管理制度、操作规范：</w:t>
            </w:r>
            <w:r>
              <w:rPr>
                <w:rFonts w:ascii="宋体" w:hAnsi="宋体" w:cs="宋体"/>
                <w:color w:val="000000"/>
                <w:sz w:val="24"/>
                <w:highlight w:val="none"/>
              </w:rPr>
            </w:r>
            <w:r/>
          </w:p>
          <w:p>
            <w:pPr>
              <w:pStyle w:val="1166"/>
              <w:ind w:firstLine="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管理制度、操作规范，符合规定且完全符合采购单位需求的得3分；</w:t>
            </w:r>
            <w:r>
              <w:rPr>
                <w:rFonts w:ascii="宋体" w:hAnsi="宋体" w:cs="宋体"/>
                <w:color w:val="000000"/>
                <w:sz w:val="24"/>
                <w:highlight w:val="none"/>
              </w:rPr>
            </w:r>
            <w:r/>
          </w:p>
          <w:p>
            <w:pPr>
              <w:pStyle w:val="1166"/>
              <w:ind w:firstLine="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管理制度、操作规范简单，存在缺陷但影响不大的得2分；</w:t>
            </w:r>
            <w:r>
              <w:rPr>
                <w:rFonts w:ascii="宋体" w:hAnsi="宋体" w:cs="宋体"/>
                <w:color w:val="000000"/>
                <w:sz w:val="24"/>
                <w:highlight w:val="none"/>
              </w:rPr>
            </w:r>
            <w:r/>
          </w:p>
          <w:p>
            <w:pPr>
              <w:pStyle w:val="107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管理制度、操作规范考虑不全，不符合采购单位需求的得1分；</w:t>
            </w:r>
            <w:r>
              <w:rPr>
                <w:rFonts w:ascii="宋体" w:hAnsi="宋体" w:cs="宋体"/>
                <w:color w:val="000000"/>
                <w:sz w:val="24"/>
                <w:highlight w:val="none"/>
              </w:rPr>
            </w:r>
            <w:r/>
          </w:p>
          <w:p>
            <w:pPr>
              <w:pStyle w:val="1072"/>
              <w:spacing w:line="360" w:lineRule="exact"/>
              <w:rPr>
                <w:rStyle w:val="1326"/>
                <w:rFonts w:ascii="宋体" w:hAnsi="宋体" w:eastAsia="宋体"/>
                <w:bCs/>
                <w:color w:val="000000"/>
                <w:sz w:val="24"/>
                <w:szCs w:val="24"/>
                <w:highlight w:val="none"/>
              </w:rPr>
            </w:pPr>
            <w:r>
              <w:rPr>
                <w:rFonts w:hint="eastAsia" w:ascii="宋体" w:hAnsi="宋体" w:cs="宋体"/>
                <w:color w:val="000000"/>
                <w:sz w:val="24"/>
                <w:highlight w:val="none"/>
              </w:rPr>
              <w:t xml:space="preserve">未提供不得分。</w:t>
            </w:r>
            <w:r>
              <w:rPr>
                <w:rStyle w:val="1326"/>
                <w:rFonts w:ascii="宋体" w:hAnsi="宋体" w:eastAsia="宋体"/>
                <w:bCs/>
                <w:color w:val="000000"/>
                <w:sz w:val="24"/>
                <w:szCs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7</w:t>
            </w:r>
            <w:r>
              <w:rPr>
                <w:rFonts w:ascii="宋体" w:hAnsi="宋体"/>
                <w:bCs/>
                <w:color w:val="000000"/>
                <w:sz w:val="24"/>
                <w:highlight w:val="none"/>
              </w:rPr>
            </w:r>
            <w:r/>
          </w:p>
        </w:tc>
        <w:tc>
          <w:tcPr>
            <w:tcW w:w="1462" w:type="dxa"/>
            <w:vAlign w:val="center"/>
            <w:vMerge w:val="restart"/>
            <w:textDirection w:val="lrTb"/>
            <w:noWrap w:val="false"/>
          </w:tcPr>
          <w:p>
            <w:pPr>
              <w:pStyle w:val="1072"/>
              <w:ind w:firstLine="28"/>
              <w:jc w:val="center"/>
              <w:rPr>
                <w:rFonts w:ascii="宋体" w:hAnsi="宋体"/>
                <w:bCs/>
                <w:color w:val="000000"/>
                <w:sz w:val="24"/>
                <w:highlight w:val="none"/>
              </w:rPr>
            </w:pPr>
            <w:r>
              <w:rPr>
                <w:rStyle w:val="1326"/>
                <w:rFonts w:ascii="宋体" w:hAnsi="宋体" w:eastAsia="宋体" w:cs="宋体"/>
                <w:bCs/>
                <w:color w:val="000000"/>
                <w:sz w:val="24"/>
                <w:szCs w:val="24"/>
                <w:highlight w:val="none"/>
              </w:rPr>
              <w:t xml:space="preserve">加工方案</w:t>
            </w:r>
            <w:r>
              <w:rPr>
                <w:rFonts w:ascii="宋体" w:hAnsi="宋体"/>
                <w:bCs/>
                <w:color w:val="000000"/>
                <w:sz w:val="24"/>
                <w:highlight w:val="none"/>
              </w:rPr>
            </w:r>
            <w:r/>
          </w:p>
        </w:tc>
        <w:tc>
          <w:tcPr>
            <w:tcW w:w="913" w:type="dxa"/>
            <w:vAlign w:val="center"/>
            <w:textDirection w:val="lrTb"/>
            <w:noWrap w:val="false"/>
          </w:tcPr>
          <w:p>
            <w:pPr>
              <w:pStyle w:val="1072"/>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3978" w:type="dxa"/>
            <w:vAlign w:val="center"/>
            <w:textDirection w:val="lrTb"/>
            <w:noWrap w:val="false"/>
          </w:tcPr>
          <w:p>
            <w:pPr>
              <w:pStyle w:val="1072"/>
              <w:spacing w:line="360" w:lineRule="exact"/>
              <w:rPr>
                <w:rStyle w:val="1326"/>
                <w:rFonts w:ascii="宋体" w:hAnsi="宋体" w:eastAsia="宋体" w:cs="宋体"/>
                <w:bCs/>
                <w:color w:val="000000"/>
                <w:sz w:val="24"/>
                <w:szCs w:val="24"/>
                <w:highlight w:val="none"/>
              </w:rPr>
            </w:pPr>
            <w:r>
              <w:rPr>
                <w:rStyle w:val="1326"/>
                <w:rFonts w:ascii="宋体" w:hAnsi="宋体" w:eastAsia="宋体" w:cs="宋体"/>
                <w:bCs/>
                <w:color w:val="000000"/>
                <w:sz w:val="24"/>
                <w:szCs w:val="24"/>
                <w:highlight w:val="none"/>
              </w:rPr>
              <w:t xml:space="preserve">提供加工方案，包括</w:t>
            </w:r>
            <w:r>
              <w:rPr>
                <w:rFonts w:hint="eastAsia" w:ascii="宋体" w:hAnsi="宋体" w:cs="宋体"/>
                <w:bCs/>
                <w:color w:val="000000"/>
                <w:sz w:val="24"/>
                <w:highlight w:val="none"/>
                <w:shd w:val="clear" w:color="auto" w:fill="ffffff"/>
              </w:rPr>
              <w:t xml:space="preserve">煎制、包装等加工服务的工艺情况、服务能力、加工场所布局、设施设备情况等。</w:t>
            </w:r>
            <w:r>
              <w:rPr>
                <w:rStyle w:val="1326"/>
                <w:rFonts w:ascii="宋体" w:hAnsi="宋体" w:eastAsia="宋体" w:cs="宋体"/>
                <w:bCs/>
                <w:color w:val="000000"/>
                <w:sz w:val="24"/>
                <w:szCs w:val="24"/>
                <w:highlight w:val="none"/>
              </w:rPr>
            </w:r>
            <w:r/>
          </w:p>
          <w:p>
            <w:pPr>
              <w:pStyle w:val="1072"/>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方案详细完整，针对性强，思路合理得3分；</w:t>
            </w:r>
            <w:r>
              <w:rPr>
                <w:rFonts w:ascii="宋体" w:hAnsi="宋体" w:cs="宋体"/>
                <w:bCs/>
                <w:color w:val="000000"/>
                <w:sz w:val="24"/>
                <w:highlight w:val="none"/>
              </w:rPr>
            </w:r>
            <w:r/>
          </w:p>
          <w:p>
            <w:pPr>
              <w:pStyle w:val="1072"/>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方案较详细完整，针对性较强，思路较合理得2分；</w:t>
            </w:r>
            <w:r>
              <w:rPr>
                <w:rFonts w:ascii="宋体" w:hAnsi="宋体" w:cs="宋体"/>
                <w:bCs/>
                <w:color w:val="000000"/>
                <w:sz w:val="24"/>
                <w:highlight w:val="none"/>
              </w:rPr>
            </w:r>
            <w:r/>
          </w:p>
          <w:p>
            <w:pPr>
              <w:pStyle w:val="1072"/>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方案简单，针对性一般，思路可行性不高得1分；</w:t>
            </w:r>
            <w:r>
              <w:rPr>
                <w:rFonts w:ascii="宋体" w:hAnsi="宋体" w:cs="宋体"/>
                <w:bCs/>
                <w:color w:val="000000"/>
                <w:sz w:val="24"/>
                <w:highlight w:val="none"/>
              </w:rPr>
            </w:r>
            <w:r/>
          </w:p>
          <w:p>
            <w:pPr>
              <w:pStyle w:val="1072"/>
              <w:spacing w:line="360" w:lineRule="exact"/>
              <w:rPr>
                <w:rFonts w:ascii="宋体" w:hAnsi="宋体" w:cs="宋体"/>
                <w:color w:val="000000"/>
                <w:sz w:val="24"/>
                <w:highlight w:val="none"/>
              </w:rPr>
            </w:pPr>
            <w:r>
              <w:rPr>
                <w:rFonts w:hint="eastAsia" w:ascii="宋体" w:hAnsi="宋体" w:cs="宋体"/>
                <w:bCs/>
                <w:color w:val="000000"/>
                <w:sz w:val="24"/>
                <w:highlight w:val="none"/>
              </w:rPr>
              <w:t xml:space="preserve">不提供不得分。</w:t>
            </w:r>
            <w:r>
              <w:rPr>
                <w:rFonts w:ascii="宋体" w:hAnsi="宋体" w:cs="宋体"/>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8</w:t>
            </w:r>
            <w:r>
              <w:rPr>
                <w:rFonts w:ascii="宋体" w:hAnsi="宋体"/>
                <w:bCs/>
                <w:color w:val="000000"/>
                <w:sz w:val="24"/>
                <w:highlight w:val="none"/>
              </w:rPr>
            </w:r>
            <w:r/>
          </w:p>
        </w:tc>
        <w:tc>
          <w:tcPr>
            <w:tcW w:w="1462" w:type="dxa"/>
            <w:vAlign w:val="center"/>
            <w:vMerge w:val="continue"/>
            <w:textDirection w:val="lrTb"/>
            <w:noWrap w:val="false"/>
          </w:tcPr>
          <w:p>
            <w:pPr>
              <w:pStyle w:val="1072"/>
              <w:ind w:firstLine="28"/>
              <w:jc w:val="center"/>
              <w:rPr>
                <w:rFonts w:ascii="宋体" w:hAnsi="宋体"/>
                <w:bCs/>
                <w:color w:val="000000"/>
                <w:sz w:val="24"/>
                <w:highlight w:val="none"/>
              </w:rPr>
            </w:pPr>
            <w:r>
              <w:rPr>
                <w:rFonts w:ascii="宋体" w:hAnsi="宋体"/>
                <w:bCs/>
                <w:color w:val="000000"/>
                <w:sz w:val="24"/>
                <w:highlight w:val="none"/>
              </w:rPr>
            </w:r>
            <w:r/>
          </w:p>
        </w:tc>
        <w:tc>
          <w:tcPr>
            <w:tcW w:w="913" w:type="dxa"/>
            <w:vAlign w:val="center"/>
            <w:textDirection w:val="lrTb"/>
            <w:noWrap w:val="false"/>
          </w:tcPr>
          <w:p>
            <w:pPr>
              <w:pStyle w:val="1072"/>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3978" w:type="dxa"/>
            <w:vAlign w:val="center"/>
            <w:textDirection w:val="lrTb"/>
            <w:noWrap w:val="false"/>
          </w:tcPr>
          <w:p>
            <w:pPr>
              <w:pStyle w:val="1072"/>
              <w:spacing w:line="360" w:lineRule="exact"/>
              <w:rPr>
                <w:rFonts w:ascii="宋体" w:hAnsi="宋体" w:cs="宋体"/>
                <w:bCs/>
                <w:color w:val="000000"/>
                <w:sz w:val="24"/>
                <w:highlight w:val="none"/>
                <w:shd w:val="clear" w:color="auto" w:fill="ffffff"/>
              </w:rPr>
            </w:pPr>
            <w:r/>
            <w:bookmarkStart w:id="817" w:name="OLE_LINK41"/>
            <w:r>
              <w:rPr>
                <w:rFonts w:hint="eastAsia" w:ascii="宋体" w:hAnsi="宋体" w:cs="宋体"/>
                <w:color w:val="000000"/>
                <w:sz w:val="24"/>
                <w:highlight w:val="none"/>
              </w:rPr>
              <w:t xml:space="preserve">特色加工服务，</w:t>
            </w:r>
            <w:r>
              <w:rPr>
                <w:rStyle w:val="1326"/>
                <w:rFonts w:ascii="宋体" w:hAnsi="宋体" w:eastAsia="宋体" w:cs="宋体"/>
                <w:bCs/>
                <w:color w:val="000000"/>
                <w:sz w:val="24"/>
                <w:szCs w:val="24"/>
                <w:highlight w:val="none"/>
              </w:rPr>
              <w:t xml:space="preserve">包括</w:t>
            </w:r>
            <w:r>
              <w:rPr>
                <w:rStyle w:val="1326"/>
                <w:rFonts w:ascii="宋体" w:hAnsi="宋体" w:eastAsia="宋体" w:cs="宋体"/>
                <w:bCs/>
                <w:color w:val="000000"/>
                <w:sz w:val="24"/>
                <w:szCs w:val="24"/>
                <w:highlight w:val="none"/>
              </w:rPr>
              <w:t xml:space="preserve">熬膏、</w:t>
            </w:r>
            <w:r>
              <w:rPr>
                <w:rFonts w:hint="eastAsia" w:ascii="宋体" w:hAnsi="宋体" w:cs="宋体"/>
                <w:bCs/>
                <w:color w:val="000000"/>
                <w:sz w:val="24"/>
                <w:highlight w:val="none"/>
                <w:shd w:val="clear" w:color="auto" w:fill="ffffff"/>
              </w:rPr>
              <w:t xml:space="preserve">打粉、制丸、包装等加工服务的工艺情况、服务能力、加工场所布局、设施设备情况等。</w:t>
            </w:r>
            <w:r>
              <w:rPr>
                <w:rFonts w:ascii="宋体" w:hAnsi="宋体" w:cs="宋体"/>
                <w:bCs/>
                <w:color w:val="000000"/>
                <w:sz w:val="24"/>
                <w:highlight w:val="none"/>
                <w:shd w:val="clear" w:color="auto" w:fill="ffffff"/>
              </w:rPr>
            </w:r>
            <w:r/>
          </w:p>
          <w:p>
            <w:pPr>
              <w:pStyle w:val="1072"/>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方案详细完整，针对性强，思路合理得3分；</w:t>
            </w:r>
            <w:r>
              <w:rPr>
                <w:rFonts w:ascii="宋体" w:hAnsi="宋体" w:cs="宋体"/>
                <w:bCs/>
                <w:color w:val="000000"/>
                <w:sz w:val="24"/>
                <w:highlight w:val="none"/>
              </w:rPr>
            </w:r>
            <w:r/>
          </w:p>
          <w:p>
            <w:pPr>
              <w:pStyle w:val="1072"/>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方案较详细完整，针对性较强，思路较合理得2分；</w:t>
            </w:r>
            <w:r>
              <w:rPr>
                <w:rFonts w:ascii="宋体" w:hAnsi="宋体" w:cs="宋体"/>
                <w:bCs/>
                <w:color w:val="000000"/>
                <w:sz w:val="24"/>
                <w:highlight w:val="none"/>
              </w:rPr>
            </w:r>
            <w:r/>
          </w:p>
          <w:p>
            <w:pPr>
              <w:pStyle w:val="1072"/>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方案简单，针对性一般，思路可行性不高得1分；</w:t>
            </w:r>
            <w:r>
              <w:rPr>
                <w:rFonts w:ascii="宋体" w:hAnsi="宋体" w:cs="宋体"/>
                <w:bCs/>
                <w:color w:val="000000"/>
                <w:sz w:val="24"/>
                <w:highlight w:val="none"/>
              </w:rPr>
            </w:r>
            <w:r/>
          </w:p>
          <w:p>
            <w:pPr>
              <w:pStyle w:val="1072"/>
              <w:spacing w:line="360" w:lineRule="exact"/>
              <w:rPr>
                <w:rFonts w:ascii="宋体" w:hAnsi="宋体" w:cs="宋体"/>
                <w:color w:val="000000"/>
                <w:sz w:val="24"/>
                <w:highlight w:val="none"/>
              </w:rPr>
            </w:pPr>
            <w:r>
              <w:rPr>
                <w:rFonts w:hint="eastAsia" w:ascii="宋体" w:hAnsi="宋体" w:cs="宋体"/>
                <w:bCs/>
                <w:color w:val="000000"/>
                <w:sz w:val="24"/>
                <w:highlight w:val="none"/>
              </w:rPr>
              <w:t xml:space="preserve">不提供不得分。</w:t>
            </w:r>
            <w:bookmarkEnd w:id="817"/>
            <w:r>
              <w:rPr>
                <w:rFonts w:ascii="宋体" w:hAnsi="宋体" w:cs="宋体"/>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bookmarkStart w:id="818" w:name="_Hlk188619234"/>
            <w:r>
              <w:rPr>
                <w:rFonts w:hint="eastAsia" w:ascii="宋体" w:hAnsi="宋体"/>
                <w:bCs/>
                <w:color w:val="000000"/>
                <w:sz w:val="24"/>
                <w:highlight w:val="none"/>
              </w:rPr>
              <w:t xml:space="preserve">2.</w:t>
            </w:r>
            <w:r>
              <w:rPr>
                <w:rFonts w:ascii="宋体" w:hAnsi="宋体"/>
                <w:bCs/>
                <w:color w:val="000000"/>
                <w:sz w:val="24"/>
                <w:highlight w:val="none"/>
              </w:rPr>
              <w:t xml:space="preserve">9</w:t>
            </w:r>
            <w:r>
              <w:rPr>
                <w:rFonts w:ascii="宋体" w:hAnsi="宋体"/>
                <w:bCs/>
                <w:color w:val="000000"/>
                <w:sz w:val="24"/>
                <w:highlight w:val="none"/>
              </w:rPr>
            </w:r>
            <w:r/>
          </w:p>
        </w:tc>
        <w:tc>
          <w:tcPr>
            <w:tcW w:w="1462" w:type="dxa"/>
            <w:vAlign w:val="center"/>
            <w:textDirection w:val="lrTb"/>
            <w:noWrap w:val="false"/>
          </w:tcPr>
          <w:p>
            <w:pPr>
              <w:pStyle w:val="1072"/>
              <w:ind w:firstLine="28"/>
              <w:jc w:val="center"/>
              <w:spacing w:line="360" w:lineRule="exact"/>
              <w:rPr>
                <w:rFonts w:ascii="宋体" w:hAnsi="宋体"/>
                <w:bCs/>
                <w:color w:val="000000"/>
                <w:sz w:val="24"/>
                <w:highlight w:val="none"/>
              </w:rPr>
            </w:pPr>
            <w:r>
              <w:rPr>
                <w:rFonts w:hint="eastAsia" w:ascii="宋体" w:hAnsi="宋体" w:cs="宋体"/>
                <w:color w:val="000000"/>
                <w:sz w:val="24"/>
                <w:highlight w:val="none"/>
              </w:rPr>
              <w:t xml:space="preserve">加工场所</w:t>
            </w:r>
            <w:r>
              <w:rPr>
                <w:rFonts w:ascii="宋体" w:hAnsi="宋体"/>
                <w:bCs/>
                <w:color w:val="000000"/>
                <w:sz w:val="24"/>
                <w:highlight w:val="none"/>
              </w:rPr>
            </w:r>
            <w:r/>
          </w:p>
        </w:tc>
        <w:tc>
          <w:tcPr>
            <w:tcW w:w="913" w:type="dxa"/>
            <w:vAlign w:val="center"/>
            <w:textDirection w:val="lrTb"/>
            <w:noWrap w:val="false"/>
          </w:tcPr>
          <w:p>
            <w:pPr>
              <w:pStyle w:val="1072"/>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3978" w:type="dxa"/>
            <w:vAlign w:val="center"/>
            <w:textDirection w:val="lrTb"/>
            <w:noWrap w:val="false"/>
          </w:tcPr>
          <w:p>
            <w:pPr>
              <w:pStyle w:val="1166"/>
              <w:ind w:left="20"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包括投标人生产加工场所、生产设施、暂存库或暂存设备，贮存</w:t>
            </w:r>
            <w:r>
              <w:rPr>
                <w:rFonts w:hint="eastAsia" w:ascii="宋体" w:hAnsi="宋体" w:cs="宋体"/>
                <w:color w:val="000000"/>
                <w:sz w:val="24"/>
                <w:highlight w:val="none"/>
              </w:rPr>
              <w:t xml:space="preserve">饮片</w:t>
            </w:r>
            <w:r>
              <w:rPr>
                <w:rFonts w:hint="eastAsia" w:ascii="宋体" w:hAnsi="宋体" w:cs="宋体"/>
                <w:color w:val="000000"/>
                <w:sz w:val="24"/>
                <w:highlight w:val="none"/>
                <w:lang w:val="zh-CN"/>
              </w:rPr>
              <w:t xml:space="preserve">情况等。</w:t>
            </w:r>
            <w:r>
              <w:rPr>
                <w:rFonts w:ascii="宋体" w:hAnsi="宋体" w:cs="宋体"/>
                <w:color w:val="000000"/>
                <w:sz w:val="24"/>
                <w:highlight w:val="none"/>
                <w:lang w:val="zh-CN"/>
              </w:rPr>
            </w:r>
            <w:r/>
          </w:p>
          <w:p>
            <w:pPr>
              <w:pStyle w:val="1166"/>
              <w:ind w:left="20"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方案详细完整，针对性强，思路合理得</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1166"/>
              <w:ind w:left="20"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方案较详细完整，针对性较强，思路较合理得</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1166"/>
              <w:ind w:left="20"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方案简单，针对性一般，思路可行性不高得1分；</w:t>
            </w:r>
            <w:r>
              <w:rPr>
                <w:rFonts w:ascii="宋体" w:hAnsi="宋体" w:cs="宋体"/>
                <w:color w:val="000000"/>
                <w:sz w:val="24"/>
                <w:highlight w:val="none"/>
                <w:lang w:val="zh-CN"/>
              </w:rPr>
            </w:r>
            <w:r/>
          </w:p>
          <w:p>
            <w:pPr>
              <w:pStyle w:val="1072"/>
              <w:spacing w:line="360" w:lineRule="exact"/>
              <w:rPr>
                <w:rFonts w:ascii="宋体" w:hAnsi="宋体" w:cs="宋体"/>
                <w:bCs/>
                <w:color w:val="000000"/>
                <w:sz w:val="24"/>
                <w:highlight w:val="none"/>
              </w:rPr>
            </w:pPr>
            <w:r>
              <w:rPr>
                <w:rFonts w:hint="eastAsia" w:ascii="宋体" w:hAnsi="宋体" w:cs="宋体"/>
                <w:color w:val="000000"/>
                <w:sz w:val="24"/>
                <w:highlight w:val="none"/>
                <w:lang w:val="zh-CN"/>
              </w:rPr>
              <w:t xml:space="preserve">不提供不得分。</w:t>
            </w:r>
            <w:r>
              <w:rPr>
                <w:rFonts w:ascii="宋体" w:hAnsi="宋体" w:cs="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2.1</w:t>
            </w:r>
            <w:r>
              <w:rPr>
                <w:rFonts w:ascii="宋体" w:hAnsi="宋体"/>
                <w:bCs/>
                <w:color w:val="000000"/>
                <w:sz w:val="24"/>
                <w:highlight w:val="none"/>
              </w:rPr>
              <w:t xml:space="preserve">0</w:t>
            </w:r>
            <w:r>
              <w:rPr>
                <w:rFonts w:ascii="宋体" w:hAnsi="宋体"/>
                <w:bCs/>
                <w:color w:val="000000"/>
                <w:sz w:val="24"/>
                <w:highlight w:val="none"/>
              </w:rPr>
            </w:r>
            <w:r/>
          </w:p>
        </w:tc>
        <w:tc>
          <w:tcPr>
            <w:tcW w:w="1462" w:type="dxa"/>
            <w:vAlign w:val="center"/>
            <w:textDirection w:val="lrTb"/>
            <w:noWrap w:val="false"/>
          </w:tcPr>
          <w:p>
            <w:pPr>
              <w:pStyle w:val="1072"/>
              <w:ind w:firstLine="28"/>
              <w:jc w:val="center"/>
              <w:spacing w:line="360" w:lineRule="exact"/>
              <w:rPr>
                <w:rFonts w:ascii="宋体" w:hAnsi="宋体"/>
                <w:bCs/>
                <w:color w:val="000000"/>
                <w:sz w:val="24"/>
                <w:highlight w:val="none"/>
              </w:rPr>
            </w:pPr>
            <w:r>
              <w:rPr>
                <w:rFonts w:hint="eastAsia" w:ascii="宋体" w:hAnsi="宋体" w:cs="宋体"/>
                <w:color w:val="000000"/>
                <w:sz w:val="24"/>
                <w:highlight w:val="none"/>
              </w:rPr>
              <w:t xml:space="preserve">配送方案</w:t>
            </w:r>
            <w:r>
              <w:rPr>
                <w:rFonts w:ascii="宋体" w:hAnsi="宋体"/>
                <w:bCs/>
                <w:color w:val="000000"/>
                <w:sz w:val="24"/>
                <w:highlight w:val="none"/>
              </w:rPr>
            </w:r>
            <w:r/>
          </w:p>
        </w:tc>
        <w:tc>
          <w:tcPr>
            <w:tcW w:w="913" w:type="dxa"/>
            <w:vAlign w:val="center"/>
            <w:textDirection w:val="lrTb"/>
            <w:noWrap w:val="false"/>
          </w:tcPr>
          <w:p>
            <w:pPr>
              <w:pStyle w:val="1072"/>
              <w:ind w:firstLine="28"/>
              <w:jc w:val="center"/>
              <w:spacing w:line="360" w:lineRule="exact"/>
              <w:rPr>
                <w:rFonts w:hint="eastAsia" w:ascii="宋体" w:hAnsi="宋体"/>
                <w:bCs/>
                <w:color w:val="000000"/>
                <w:sz w:val="24"/>
                <w:highlight w:val="none"/>
              </w:rPr>
            </w:pPr>
            <w:r>
              <w:rPr>
                <w:rFonts w:hint="eastAsia" w:ascii="宋体" w:hAnsi="宋体" w:cs="宋体"/>
                <w:color w:val="000000"/>
                <w:sz w:val="24"/>
                <w:highlight w:val="none"/>
              </w:rPr>
              <w:t xml:space="preserve">3</w:t>
            </w:r>
            <w:r>
              <w:rPr>
                <w:rFonts w:hint="eastAsia" w:ascii="宋体" w:hAnsi="宋体"/>
                <w:bCs/>
                <w:color w:val="000000"/>
                <w:sz w:val="24"/>
                <w:highlight w:val="none"/>
              </w:rPr>
            </w:r>
            <w:r/>
          </w:p>
        </w:tc>
        <w:tc>
          <w:tcPr>
            <w:tcW w:w="3978" w:type="dxa"/>
            <w:vAlign w:val="center"/>
            <w:textDirection w:val="lrTb"/>
            <w:noWrap w:val="false"/>
          </w:tcPr>
          <w:p>
            <w:pPr>
              <w:pStyle w:val="1166"/>
              <w:ind w:left="20"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配送方案，包括运输设备配置、配送人员分工等。</w:t>
            </w:r>
            <w:r>
              <w:rPr>
                <w:rFonts w:ascii="宋体" w:hAnsi="宋体" w:cs="宋体"/>
                <w:color w:val="000000"/>
                <w:sz w:val="24"/>
                <w:highlight w:val="none"/>
                <w:lang w:val="zh-CN"/>
              </w:rPr>
            </w:r>
            <w:r/>
          </w:p>
          <w:p>
            <w:pPr>
              <w:pStyle w:val="1166"/>
              <w:ind w:left="20"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方案详细完整，针对性强，思路合理得</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1166"/>
              <w:ind w:left="20"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方案较详细完整，针对性较强，思路较合理得</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1166"/>
              <w:ind w:left="20" w:firstLine="0"/>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方案简单，针对性一般，思路可行性不高得1分；</w:t>
            </w:r>
            <w:r>
              <w:rPr>
                <w:rFonts w:ascii="宋体" w:hAnsi="宋体" w:cs="宋体"/>
                <w:color w:val="000000"/>
                <w:sz w:val="24"/>
                <w:highlight w:val="none"/>
                <w:lang w:val="zh-CN"/>
              </w:rPr>
            </w:r>
            <w:r/>
          </w:p>
          <w:p>
            <w:pPr>
              <w:pStyle w:val="1072"/>
              <w:spacing w:line="360" w:lineRule="exact"/>
              <w:rPr>
                <w:rStyle w:val="1326"/>
                <w:rFonts w:ascii="宋体" w:hAnsi="宋体" w:eastAsia="宋体"/>
                <w:bCs/>
                <w:color w:val="000000"/>
                <w:sz w:val="24"/>
                <w:szCs w:val="24"/>
                <w:highlight w:val="none"/>
              </w:rPr>
            </w:pPr>
            <w:r>
              <w:rPr>
                <w:rFonts w:hint="eastAsia" w:ascii="宋体" w:hAnsi="宋体" w:cs="宋体"/>
                <w:color w:val="000000"/>
                <w:sz w:val="24"/>
                <w:highlight w:val="none"/>
                <w:lang w:val="zh-CN"/>
              </w:rPr>
              <w:t xml:space="preserve">不提供不得分。</w:t>
            </w:r>
            <w:r>
              <w:rPr>
                <w:rStyle w:val="1326"/>
                <w:rFonts w:ascii="宋体" w:hAnsi="宋体" w:eastAsia="宋体"/>
                <w:bCs/>
                <w:color w:val="000000"/>
                <w:sz w:val="24"/>
                <w:szCs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bookmarkEnd w:id="818"/>
            <w:r>
              <w:rPr>
                <w:rFonts w:hint="eastAsia" w:ascii="宋体" w:hAnsi="宋体"/>
                <w:bCs/>
                <w:color w:val="000000"/>
                <w:sz w:val="24"/>
                <w:highlight w:val="none"/>
              </w:rPr>
              <w:t xml:space="preserve">2.</w:t>
            </w:r>
            <w:r>
              <w:rPr>
                <w:rFonts w:ascii="宋体" w:hAnsi="宋体"/>
                <w:bCs/>
                <w:color w:val="000000"/>
                <w:sz w:val="24"/>
                <w:highlight w:val="none"/>
              </w:rPr>
              <w:t xml:space="preserve">11</w:t>
            </w:r>
            <w:r>
              <w:rPr>
                <w:rFonts w:ascii="宋体" w:hAnsi="宋体"/>
                <w:bCs/>
                <w:color w:val="000000"/>
                <w:sz w:val="24"/>
                <w:highlight w:val="none"/>
              </w:rPr>
            </w:r>
            <w:r/>
          </w:p>
        </w:tc>
        <w:tc>
          <w:tcPr>
            <w:tcW w:w="1462" w:type="dxa"/>
            <w:vAlign w:val="center"/>
            <w:textDirection w:val="lrTb"/>
            <w:noWrap w:val="false"/>
          </w:tcPr>
          <w:p>
            <w:pPr>
              <w:pStyle w:val="1072"/>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lang w:val="zh-CN"/>
              </w:rPr>
              <w:t xml:space="preserve">追溯方案</w:t>
            </w:r>
            <w:r>
              <w:rPr>
                <w:rFonts w:ascii="宋体" w:hAnsi="宋体" w:cs="宋体"/>
                <w:color w:val="000000"/>
                <w:sz w:val="24"/>
                <w:highlight w:val="none"/>
              </w:rPr>
            </w:r>
            <w:r/>
          </w:p>
        </w:tc>
        <w:tc>
          <w:tcPr>
            <w:tcW w:w="913" w:type="dxa"/>
            <w:vAlign w:val="center"/>
            <w:textDirection w:val="lrTb"/>
            <w:noWrap w:val="false"/>
          </w:tcPr>
          <w:p>
            <w:pPr>
              <w:pStyle w:val="1072"/>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3978" w:type="dxa"/>
            <w:vAlign w:val="center"/>
            <w:textDirection w:val="lrTb"/>
            <w:noWrap w:val="false"/>
          </w:tcPr>
          <w:p>
            <w:pPr>
              <w:pStyle w:val="1072"/>
              <w:spacing w:line="360" w:lineRule="exact"/>
              <w:rPr>
                <w:rFonts w:ascii="宋体" w:hAnsi="宋体" w:cs="宋体"/>
                <w:bCs/>
                <w:color w:val="000000"/>
                <w:sz w:val="24"/>
                <w:highlight w:val="none"/>
              </w:rPr>
            </w:pPr>
            <w:r/>
            <w:bookmarkStart w:id="819" w:name="OLE_LINK44"/>
            <w:r>
              <w:rPr>
                <w:rFonts w:hint="eastAsia" w:ascii="宋体" w:hAnsi="宋体" w:cs="宋体"/>
                <w:bCs/>
                <w:color w:val="000000"/>
                <w:sz w:val="24"/>
                <w:highlight w:val="none"/>
              </w:rPr>
              <w:t xml:space="preserve">提供详细追溯说明，包括每张处方从医院审方传方、企业接方审方、转换生产指令、审核出单、规范调剂、配方审核、加工流程、成品审核、配送等追溯过程。</w:t>
            </w:r>
            <w:r>
              <w:rPr>
                <w:rFonts w:ascii="宋体" w:hAnsi="宋体" w:cs="宋体"/>
                <w:bCs/>
                <w:color w:val="000000"/>
                <w:sz w:val="24"/>
                <w:highlight w:val="none"/>
              </w:rPr>
            </w:r>
            <w:r/>
          </w:p>
          <w:p>
            <w:pPr>
              <w:pStyle w:val="1072"/>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能够做到每张处方从医院审方传方、企业接方审方、转换生产指令、审核出单、规范调剂、配方审核、加工流程、成品审核、配送等都可完整追溯得3分；</w:t>
            </w:r>
            <w:r>
              <w:rPr>
                <w:rFonts w:ascii="宋体" w:hAnsi="宋体" w:cs="宋体"/>
                <w:bCs/>
                <w:color w:val="000000"/>
                <w:sz w:val="24"/>
                <w:highlight w:val="none"/>
              </w:rPr>
            </w:r>
            <w:r/>
          </w:p>
          <w:p>
            <w:pPr>
              <w:pStyle w:val="1072"/>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基本能做到每张处方从医院审方传方、企业接方审方、转换生产指令、审核出单、规范调剂、配方审核、加工流程、成品审核、配送等都可完整追溯得2分；</w:t>
            </w:r>
            <w:r>
              <w:rPr>
                <w:rFonts w:ascii="宋体" w:hAnsi="宋体" w:cs="宋体"/>
                <w:bCs/>
                <w:color w:val="000000"/>
                <w:sz w:val="24"/>
                <w:highlight w:val="none"/>
              </w:rPr>
            </w:r>
            <w:r/>
          </w:p>
          <w:p>
            <w:pPr>
              <w:pStyle w:val="1072"/>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不能做到每张处方从医院审方传方、企业接方审方、转换生产指令、审核出单、规范调剂、配方审核、加工流程、成品审核、配送等都可完整追溯得1分；</w:t>
            </w:r>
            <w:r>
              <w:rPr>
                <w:rFonts w:ascii="宋体" w:hAnsi="宋体" w:cs="宋体"/>
                <w:bCs/>
                <w:color w:val="000000"/>
                <w:sz w:val="24"/>
                <w:highlight w:val="none"/>
              </w:rPr>
            </w:r>
            <w:r/>
          </w:p>
          <w:p>
            <w:pPr>
              <w:pStyle w:val="1072"/>
              <w:spacing w:line="360" w:lineRule="exact"/>
              <w:rPr>
                <w:rFonts w:ascii="宋体" w:hAnsi="宋体" w:cs="宋体"/>
                <w:color w:val="000000"/>
                <w:sz w:val="24"/>
                <w:highlight w:val="none"/>
                <w:lang w:val="zh-CN"/>
              </w:rPr>
            </w:pPr>
            <w:r>
              <w:rPr>
                <w:rFonts w:hint="eastAsia" w:ascii="宋体" w:hAnsi="宋体" w:cs="宋体"/>
                <w:bCs/>
                <w:color w:val="000000"/>
                <w:sz w:val="24"/>
                <w:highlight w:val="none"/>
              </w:rPr>
              <w:t xml:space="preserve">不提供不得分。</w:t>
            </w:r>
            <w:bookmarkEnd w:id="819"/>
            <w:r>
              <w:rPr>
                <w:rFonts w:ascii="宋体" w:hAnsi="宋体" w:cs="宋体"/>
                <w:color w:val="000000"/>
                <w:sz w:val="24"/>
                <w:highlight w:val="none"/>
                <w:lang w:val="zh-CN"/>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12</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cs="宋体"/>
                <w:color w:val="000000"/>
                <w:sz w:val="24"/>
                <w:highlight w:val="none"/>
                <w:lang w:val="zh-CN"/>
              </w:rPr>
            </w:pPr>
            <w:r>
              <w:rPr>
                <w:rFonts w:hint="eastAsia" w:ascii="宋体" w:hAnsi="宋体"/>
                <w:bCs/>
                <w:color w:val="000000"/>
                <w:sz w:val="24"/>
                <w:highlight w:val="none"/>
              </w:rPr>
              <w:t xml:space="preserve">系统信息更新</w:t>
            </w:r>
            <w:r>
              <w:rPr>
                <w:rFonts w:ascii="宋体" w:hAnsi="宋体" w:cs="宋体"/>
                <w:color w:val="000000"/>
                <w:sz w:val="24"/>
                <w:highlight w:val="none"/>
                <w:lang w:val="zh-CN"/>
              </w:rPr>
            </w:r>
            <w:r/>
          </w:p>
        </w:tc>
        <w:tc>
          <w:tcPr>
            <w:tcW w:w="913" w:type="dxa"/>
            <w:vAlign w:val="center"/>
            <w:textDirection w:val="lrTb"/>
            <w:noWrap w:val="false"/>
          </w:tcPr>
          <w:p>
            <w:pPr>
              <w:pStyle w:val="1072"/>
              <w:ind w:firstLine="28"/>
              <w:jc w:val="center"/>
              <w:rPr>
                <w:rFonts w:ascii="宋体" w:hAnsi="宋体" w:cs="宋体"/>
                <w:color w:val="000000"/>
                <w:sz w:val="24"/>
                <w:highlight w:val="none"/>
              </w:rPr>
            </w:pPr>
            <w:r>
              <w:rPr>
                <w:rFonts w:hint="eastAsia" w:ascii="宋体" w:hAnsi="宋体"/>
                <w:bCs/>
                <w:color w:val="000000"/>
                <w:sz w:val="24"/>
                <w:highlight w:val="none"/>
              </w:rPr>
              <w:t xml:space="preserve">3</w:t>
            </w:r>
            <w:r>
              <w:rPr>
                <w:rFonts w:ascii="宋体" w:hAnsi="宋体" w:cs="宋体"/>
                <w:color w:val="000000"/>
                <w:sz w:val="24"/>
                <w:highlight w:val="none"/>
              </w:rPr>
            </w:r>
            <w:r/>
          </w:p>
        </w:tc>
        <w:tc>
          <w:tcPr>
            <w:tcW w:w="3978" w:type="dxa"/>
            <w:vAlign w:val="center"/>
            <w:textDirection w:val="lrTb"/>
            <w:noWrap w:val="false"/>
          </w:tcPr>
          <w:p>
            <w:pPr>
              <w:pStyle w:val="1072"/>
              <w:rPr>
                <w:rFonts w:ascii="宋体" w:hAnsi="宋体"/>
                <w:bCs/>
                <w:color w:val="000000"/>
                <w:sz w:val="24"/>
                <w:highlight w:val="none"/>
              </w:rPr>
            </w:pPr>
            <w:r>
              <w:rPr>
                <w:rFonts w:hint="eastAsia" w:ascii="宋体" w:hAnsi="宋体"/>
                <w:bCs/>
                <w:color w:val="000000"/>
                <w:sz w:val="24"/>
                <w:highlight w:val="none"/>
              </w:rPr>
              <w:t xml:space="preserve">系统信息更新及时，保证医疗机构和投标人间的处方信息和配送信息及时传达到位，服务及时：</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系统界面操作简便，查阅方便得3分；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信息系统界面操作简便的得2分；</w:t>
            </w:r>
            <w:r>
              <w:rPr>
                <w:rFonts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信息传达不够及时的，系统界面操作复杂得1分；</w:t>
            </w:r>
            <w:r>
              <w:rPr>
                <w:rFonts w:ascii="宋体" w:hAnsi="宋体"/>
                <w:bCs/>
                <w:color w:val="000000"/>
                <w:sz w:val="24"/>
                <w:highlight w:val="none"/>
              </w:rPr>
            </w:r>
            <w:r/>
          </w:p>
          <w:p>
            <w:pPr>
              <w:pStyle w:val="1072"/>
              <w:rPr>
                <w:rFonts w:ascii="宋体" w:hAnsi="宋体" w:cs="宋体"/>
                <w:bCs/>
                <w:color w:val="000000"/>
                <w:sz w:val="24"/>
                <w:highlight w:val="none"/>
              </w:rPr>
            </w:pPr>
            <w:r>
              <w:rPr>
                <w:rStyle w:val="1326"/>
                <w:rFonts w:ascii="宋体" w:hAnsi="宋体" w:eastAsia="宋体"/>
                <w:bCs/>
                <w:color w:val="000000"/>
                <w:sz w:val="24"/>
                <w:szCs w:val="24"/>
                <w:highlight w:val="none"/>
              </w:rPr>
              <w:t xml:space="preserve">未提供不得分。</w:t>
            </w:r>
            <w:r>
              <w:rPr>
                <w:rFonts w:ascii="宋体" w:hAnsi="宋体" w:cs="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rPr>
                <w:rFonts w:ascii="宋体" w:hAnsi="宋体"/>
                <w:bCs/>
                <w:color w:val="000000"/>
                <w:sz w:val="24"/>
                <w:highlight w:val="none"/>
              </w:rPr>
            </w:pPr>
            <w:r>
              <w:rPr>
                <w:rFonts w:hint="eastAsia" w:ascii="宋体" w:hAnsi="宋体"/>
                <w:bCs/>
                <w:color w:val="000000"/>
                <w:sz w:val="24"/>
                <w:highlight w:val="none"/>
              </w:rPr>
              <w:t xml:space="preserve">2.13</w:t>
            </w:r>
            <w:r>
              <w:rPr>
                <w:rFonts w:ascii="宋体" w:hAnsi="宋体"/>
                <w:bCs/>
                <w:color w:val="000000"/>
                <w:sz w:val="24"/>
                <w:highlight w:val="none"/>
              </w:rPr>
            </w:r>
            <w:r/>
          </w:p>
        </w:tc>
        <w:tc>
          <w:tcPr>
            <w:tcW w:w="1462" w:type="dxa"/>
            <w:vAlign w:val="center"/>
            <w:textDirection w:val="lrTb"/>
            <w:noWrap w:val="false"/>
          </w:tcPr>
          <w:p>
            <w:pPr>
              <w:pStyle w:val="1072"/>
              <w:ind w:firstLine="28"/>
              <w:jc w:val="center"/>
              <w:spacing w:line="360" w:lineRule="exact"/>
              <w:rPr>
                <w:rFonts w:ascii="宋体" w:hAnsi="宋体" w:cs="宋体"/>
                <w:color w:val="000000"/>
                <w:sz w:val="24"/>
                <w:highlight w:val="none"/>
              </w:rPr>
            </w:pPr>
            <w:r>
              <w:rPr>
                <w:rStyle w:val="1326"/>
                <w:rFonts w:ascii="宋体" w:hAnsi="宋体" w:eastAsia="宋体" w:cs="宋体"/>
                <w:bCs/>
                <w:color w:val="000000"/>
                <w:sz w:val="24"/>
                <w:szCs w:val="24"/>
                <w:highlight w:val="none"/>
              </w:rPr>
              <w:t xml:space="preserve">售后服务方案</w:t>
            </w:r>
            <w:r>
              <w:rPr>
                <w:rFonts w:ascii="宋体" w:hAnsi="宋体" w:cs="宋体"/>
                <w:color w:val="000000"/>
                <w:sz w:val="24"/>
                <w:highlight w:val="none"/>
              </w:rPr>
            </w:r>
            <w:r/>
          </w:p>
        </w:tc>
        <w:tc>
          <w:tcPr>
            <w:tcW w:w="913" w:type="dxa"/>
            <w:vAlign w:val="center"/>
            <w:textDirection w:val="lrTb"/>
            <w:noWrap w:val="false"/>
          </w:tcPr>
          <w:p>
            <w:pPr>
              <w:pStyle w:val="1072"/>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3978" w:type="dxa"/>
            <w:vAlign w:val="center"/>
            <w:textDirection w:val="lrTb"/>
            <w:noWrap w:val="false"/>
          </w:tcPr>
          <w:p>
            <w:pPr>
              <w:pStyle w:val="1072"/>
              <w:spacing w:line="360" w:lineRule="exact"/>
              <w:rPr>
                <w:rStyle w:val="1326"/>
                <w:rFonts w:ascii="宋体" w:hAnsi="宋体" w:eastAsia="宋体" w:cs="宋体"/>
                <w:bCs/>
                <w:color w:val="000000"/>
                <w:sz w:val="24"/>
                <w:szCs w:val="24"/>
                <w:highlight w:val="none"/>
              </w:rPr>
            </w:pPr>
            <w:r/>
            <w:bookmarkStart w:id="820" w:name="OLE_LINK47"/>
            <w:r>
              <w:rPr>
                <w:rStyle w:val="1326"/>
                <w:rFonts w:ascii="宋体" w:hAnsi="宋体" w:eastAsia="宋体" w:cs="宋体"/>
                <w:bCs/>
                <w:color w:val="000000"/>
                <w:sz w:val="24"/>
                <w:szCs w:val="24"/>
                <w:highlight w:val="none"/>
              </w:rPr>
              <w:t xml:space="preserve">包括售后服务的内容和详细方案合理性、科学性、故障响应时间、重大故障解决方案等。</w:t>
            </w:r>
            <w:r>
              <w:rPr>
                <w:rStyle w:val="1326"/>
                <w:rFonts w:ascii="宋体" w:hAnsi="宋体" w:eastAsia="宋体" w:cs="宋体"/>
                <w:bCs/>
                <w:color w:val="000000"/>
                <w:sz w:val="24"/>
                <w:szCs w:val="24"/>
                <w:highlight w:val="none"/>
              </w:rPr>
            </w:r>
            <w:r/>
          </w:p>
          <w:p>
            <w:pPr>
              <w:pStyle w:val="1072"/>
              <w:spacing w:line="360" w:lineRule="exact"/>
              <w:rPr>
                <w:rStyle w:val="1326"/>
                <w:rFonts w:ascii="宋体" w:hAnsi="宋体" w:eastAsia="宋体" w:cs="宋体"/>
                <w:bCs/>
                <w:color w:val="000000"/>
                <w:sz w:val="24"/>
                <w:szCs w:val="24"/>
                <w:highlight w:val="none"/>
              </w:rPr>
            </w:pPr>
            <w:r>
              <w:rPr>
                <w:rStyle w:val="1326"/>
                <w:rFonts w:ascii="宋体" w:hAnsi="宋体" w:eastAsia="宋体" w:cs="宋体"/>
                <w:bCs/>
                <w:color w:val="000000"/>
                <w:sz w:val="24"/>
                <w:szCs w:val="24"/>
                <w:highlight w:val="none"/>
              </w:rPr>
              <w:t xml:space="preserve">售后服务方案详细完整，参照医院实际情况编制，思路合理得</w:t>
            </w:r>
            <w:r>
              <w:rPr>
                <w:rStyle w:val="1326"/>
                <w:rFonts w:ascii="宋体" w:hAnsi="宋体" w:cs="宋体"/>
                <w:bCs/>
                <w:color w:val="000000"/>
                <w:sz w:val="24"/>
                <w:szCs w:val="24"/>
                <w:highlight w:val="none"/>
              </w:rPr>
              <w:t xml:space="preserve">3</w:t>
            </w:r>
            <w:r>
              <w:rPr>
                <w:rStyle w:val="1326"/>
                <w:rFonts w:ascii="宋体" w:hAnsi="宋体" w:eastAsia="宋体" w:cs="宋体"/>
                <w:bCs/>
                <w:color w:val="000000"/>
                <w:sz w:val="24"/>
                <w:szCs w:val="24"/>
                <w:highlight w:val="none"/>
              </w:rPr>
              <w:t xml:space="preserve">分；</w:t>
            </w:r>
            <w:r>
              <w:rPr>
                <w:rStyle w:val="1326"/>
                <w:rFonts w:ascii="宋体" w:hAnsi="宋体" w:eastAsia="宋体" w:cs="宋体"/>
                <w:bCs/>
                <w:color w:val="000000"/>
                <w:sz w:val="24"/>
                <w:szCs w:val="24"/>
                <w:highlight w:val="none"/>
              </w:rPr>
            </w:r>
            <w:r/>
          </w:p>
          <w:p>
            <w:pPr>
              <w:pStyle w:val="1072"/>
              <w:spacing w:line="360" w:lineRule="exact"/>
              <w:rPr>
                <w:rStyle w:val="1326"/>
                <w:rFonts w:ascii="宋体" w:hAnsi="宋体" w:eastAsia="宋体" w:cs="宋体"/>
                <w:bCs/>
                <w:color w:val="000000"/>
                <w:sz w:val="24"/>
                <w:szCs w:val="24"/>
                <w:highlight w:val="none"/>
              </w:rPr>
            </w:pPr>
            <w:r>
              <w:rPr>
                <w:rStyle w:val="1326"/>
                <w:rFonts w:ascii="宋体" w:hAnsi="宋体" w:eastAsia="宋体" w:cs="宋体"/>
                <w:bCs/>
                <w:color w:val="000000"/>
                <w:sz w:val="24"/>
                <w:szCs w:val="24"/>
                <w:highlight w:val="none"/>
              </w:rPr>
              <w:t xml:space="preserve">售后服务方案较详细完整，与医院实际情况大致相符，思路较合理得</w:t>
            </w:r>
            <w:r>
              <w:rPr>
                <w:rStyle w:val="1326"/>
                <w:rFonts w:ascii="宋体" w:hAnsi="宋体" w:cs="宋体"/>
                <w:bCs/>
                <w:color w:val="000000"/>
                <w:sz w:val="24"/>
                <w:szCs w:val="24"/>
                <w:highlight w:val="none"/>
              </w:rPr>
              <w:t xml:space="preserve">2</w:t>
            </w:r>
            <w:r>
              <w:rPr>
                <w:rStyle w:val="1326"/>
                <w:rFonts w:ascii="宋体" w:hAnsi="宋体" w:eastAsia="宋体" w:cs="宋体"/>
                <w:bCs/>
                <w:color w:val="000000"/>
                <w:sz w:val="24"/>
                <w:szCs w:val="24"/>
                <w:highlight w:val="none"/>
              </w:rPr>
              <w:t xml:space="preserve">分；</w:t>
            </w:r>
            <w:r>
              <w:rPr>
                <w:rStyle w:val="1326"/>
                <w:rFonts w:ascii="宋体" w:hAnsi="宋体" w:eastAsia="宋体" w:cs="宋体"/>
                <w:bCs/>
                <w:color w:val="000000"/>
                <w:sz w:val="24"/>
                <w:szCs w:val="24"/>
                <w:highlight w:val="none"/>
              </w:rPr>
            </w:r>
            <w:r/>
          </w:p>
          <w:p>
            <w:pPr>
              <w:pStyle w:val="1072"/>
              <w:spacing w:line="360" w:lineRule="exact"/>
              <w:rPr>
                <w:rStyle w:val="1326"/>
                <w:rFonts w:ascii="宋体" w:hAnsi="宋体" w:eastAsia="宋体" w:cs="宋体"/>
                <w:bCs/>
                <w:color w:val="000000"/>
                <w:sz w:val="24"/>
                <w:szCs w:val="24"/>
                <w:highlight w:val="none"/>
              </w:rPr>
            </w:pPr>
            <w:r>
              <w:rPr>
                <w:rStyle w:val="1326"/>
                <w:rFonts w:ascii="宋体" w:hAnsi="宋体" w:eastAsia="宋体" w:cs="宋体"/>
                <w:bCs/>
                <w:color w:val="000000"/>
                <w:sz w:val="24"/>
                <w:szCs w:val="24"/>
                <w:highlight w:val="none"/>
              </w:rPr>
              <w:t xml:space="preserve">售后服务方案简单，不太符合医院实际情况，思路可行性不高得1分；</w:t>
            </w:r>
            <w:r>
              <w:rPr>
                <w:rStyle w:val="1326"/>
                <w:rFonts w:ascii="宋体" w:hAnsi="宋体" w:eastAsia="宋体" w:cs="宋体"/>
                <w:bCs/>
                <w:color w:val="000000"/>
                <w:sz w:val="24"/>
                <w:szCs w:val="24"/>
                <w:highlight w:val="none"/>
              </w:rPr>
            </w:r>
            <w:r/>
          </w:p>
          <w:p>
            <w:pPr>
              <w:pStyle w:val="1072"/>
              <w:spacing w:line="360" w:lineRule="exact"/>
              <w:rPr>
                <w:rFonts w:ascii="宋体" w:hAnsi="宋体" w:cs="宋体"/>
                <w:color w:val="000000"/>
                <w:sz w:val="24"/>
                <w:highlight w:val="none"/>
                <w:lang w:val="zh-CN"/>
              </w:rPr>
            </w:pPr>
            <w:r>
              <w:rPr>
                <w:rStyle w:val="1326"/>
                <w:rFonts w:ascii="宋体" w:hAnsi="宋体" w:eastAsia="宋体" w:cs="宋体"/>
                <w:bCs/>
                <w:color w:val="000000"/>
                <w:sz w:val="24"/>
                <w:szCs w:val="24"/>
                <w:highlight w:val="none"/>
              </w:rPr>
              <w:t xml:space="preserve">不提供不得分。</w:t>
            </w:r>
            <w:bookmarkEnd w:id="820"/>
            <w:r>
              <w:rPr>
                <w:rFonts w:ascii="宋体" w:hAnsi="宋体" w:cs="宋体"/>
                <w:color w:val="000000"/>
                <w:sz w:val="24"/>
                <w:highlight w:val="none"/>
                <w:lang w:val="zh-CN"/>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rPr>
                <w:rFonts w:ascii="宋体" w:hAnsi="宋体"/>
                <w:bCs/>
                <w:color w:val="000000"/>
                <w:sz w:val="24"/>
                <w:highlight w:val="none"/>
              </w:rPr>
            </w:pPr>
            <w:r>
              <w:rPr>
                <w:rFonts w:hint="eastAsia" w:ascii="宋体" w:hAnsi="宋体"/>
                <w:bCs/>
                <w:color w:val="000000"/>
                <w:sz w:val="24"/>
                <w:highlight w:val="none"/>
              </w:rPr>
              <w:t xml:space="preserve">2.14</w:t>
            </w:r>
            <w:r>
              <w:rPr>
                <w:rFonts w:ascii="宋体" w:hAnsi="宋体"/>
                <w:bCs/>
                <w:color w:val="000000"/>
                <w:sz w:val="24"/>
                <w:highlight w:val="none"/>
              </w:rPr>
            </w:r>
            <w:r/>
          </w:p>
        </w:tc>
        <w:tc>
          <w:tcPr>
            <w:tcW w:w="1462" w:type="dxa"/>
            <w:vAlign w:val="center"/>
            <w:textDirection w:val="lrTb"/>
            <w:noWrap w:val="false"/>
          </w:tcPr>
          <w:p>
            <w:pPr>
              <w:pStyle w:val="1072"/>
              <w:ind w:firstLine="28"/>
              <w:jc w:val="center"/>
              <w:spacing w:line="360" w:lineRule="exact"/>
              <w:rPr>
                <w:rStyle w:val="1326"/>
                <w:rFonts w:ascii="宋体" w:hAnsi="宋体" w:eastAsia="宋体" w:cs="宋体"/>
                <w:bCs/>
                <w:color w:val="000000"/>
                <w:sz w:val="24"/>
                <w:szCs w:val="24"/>
                <w:highlight w:val="none"/>
              </w:rPr>
            </w:pPr>
            <w:r>
              <w:rPr>
                <w:rFonts w:hint="eastAsia" w:ascii="宋体" w:hAnsi="宋体" w:cs="宋体"/>
                <w:bCs/>
                <w:color w:val="000000"/>
                <w:sz w:val="24"/>
                <w:highlight w:val="none"/>
                <w:shd w:val="clear" w:color="auto" w:fill="ffffff"/>
              </w:rPr>
              <w:t xml:space="preserve">应急需求预案</w:t>
            </w:r>
            <w:r>
              <w:rPr>
                <w:rStyle w:val="1326"/>
                <w:rFonts w:ascii="宋体" w:hAnsi="宋体" w:eastAsia="宋体" w:cs="宋体"/>
                <w:bCs/>
                <w:color w:val="000000"/>
                <w:sz w:val="24"/>
                <w:szCs w:val="24"/>
                <w:highlight w:val="none"/>
              </w:rPr>
            </w:r>
            <w:r/>
          </w:p>
        </w:tc>
        <w:tc>
          <w:tcPr>
            <w:tcW w:w="913" w:type="dxa"/>
            <w:vAlign w:val="center"/>
            <w:textDirection w:val="lrTb"/>
            <w:noWrap w:val="false"/>
          </w:tcPr>
          <w:p>
            <w:pPr>
              <w:pStyle w:val="1072"/>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3978" w:type="dxa"/>
            <w:vAlign w:val="center"/>
            <w:textDirection w:val="lrTb"/>
            <w:noWrap w:val="false"/>
          </w:tcPr>
          <w:p>
            <w:pPr>
              <w:pStyle w:val="1072"/>
              <w:spacing w:line="360" w:lineRule="exact"/>
              <w:rPr>
                <w:rFonts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包括运输中的突发应急措施、因问题产品引发的医疗事故应急措施、临时配送的应急措施以及其他应急措施等。</w:t>
            </w:r>
            <w:r>
              <w:rPr>
                <w:rFonts w:ascii="宋体" w:hAnsi="宋体" w:cs="宋体"/>
                <w:bCs/>
                <w:color w:val="000000"/>
                <w:sz w:val="24"/>
                <w:highlight w:val="none"/>
                <w:shd w:val="clear" w:color="auto" w:fill="ffffff"/>
              </w:rPr>
            </w:r>
            <w:r/>
          </w:p>
          <w:p>
            <w:pPr>
              <w:pStyle w:val="1072"/>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方案详细完整，针对性强，思路合理得3分；</w:t>
            </w:r>
            <w:r>
              <w:rPr>
                <w:rFonts w:ascii="宋体" w:hAnsi="宋体" w:cs="宋体"/>
                <w:bCs/>
                <w:color w:val="000000"/>
                <w:sz w:val="24"/>
                <w:highlight w:val="none"/>
              </w:rPr>
            </w:r>
            <w:r/>
          </w:p>
          <w:p>
            <w:pPr>
              <w:pStyle w:val="1072"/>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方案较详细完整，针对性较强，思路较合理得2分；</w:t>
            </w:r>
            <w:r>
              <w:rPr>
                <w:rFonts w:ascii="宋体" w:hAnsi="宋体" w:cs="宋体"/>
                <w:bCs/>
                <w:color w:val="000000"/>
                <w:sz w:val="24"/>
                <w:highlight w:val="none"/>
              </w:rPr>
            </w:r>
            <w:r/>
          </w:p>
          <w:p>
            <w:pPr>
              <w:pStyle w:val="1072"/>
              <w:spacing w:line="360" w:lineRule="exact"/>
              <w:rPr>
                <w:rFonts w:ascii="宋体" w:hAnsi="宋体" w:cs="宋体"/>
                <w:bCs/>
                <w:color w:val="000000"/>
                <w:sz w:val="24"/>
                <w:highlight w:val="none"/>
              </w:rPr>
            </w:pPr>
            <w:r>
              <w:rPr>
                <w:rFonts w:hint="eastAsia" w:ascii="宋体" w:hAnsi="宋体" w:cs="宋体"/>
                <w:bCs/>
                <w:color w:val="000000"/>
                <w:sz w:val="24"/>
                <w:highlight w:val="none"/>
              </w:rPr>
              <w:t xml:space="preserve">方案简单，针对性一般，思路可行性不高得1分；</w:t>
            </w:r>
            <w:r>
              <w:rPr>
                <w:rFonts w:ascii="宋体" w:hAnsi="宋体" w:cs="宋体"/>
                <w:bCs/>
                <w:color w:val="000000"/>
                <w:sz w:val="24"/>
                <w:highlight w:val="none"/>
              </w:rPr>
            </w:r>
            <w:r/>
          </w:p>
          <w:p>
            <w:pPr>
              <w:pStyle w:val="1072"/>
              <w:spacing w:line="360" w:lineRule="exact"/>
              <w:rPr>
                <w:rStyle w:val="1326"/>
                <w:rFonts w:ascii="宋体" w:hAnsi="宋体" w:eastAsia="宋体" w:cs="宋体"/>
                <w:bCs/>
                <w:color w:val="000000"/>
                <w:sz w:val="24"/>
                <w:szCs w:val="24"/>
                <w:highlight w:val="none"/>
              </w:rPr>
            </w:pPr>
            <w:r>
              <w:rPr>
                <w:rFonts w:hint="eastAsia" w:ascii="宋体" w:hAnsi="宋体" w:cs="宋体"/>
                <w:bCs/>
                <w:color w:val="000000"/>
                <w:sz w:val="24"/>
                <w:highlight w:val="none"/>
              </w:rPr>
              <w:t xml:space="preserve">不提供不得分。</w:t>
            </w:r>
            <w:r>
              <w:rPr>
                <w:rStyle w:val="1326"/>
                <w:rFonts w:ascii="宋体" w:hAnsi="宋体" w:eastAsia="宋体" w:cs="宋体"/>
                <w:bCs/>
                <w:color w:val="000000"/>
                <w:sz w:val="24"/>
                <w:szCs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rPr>
                <w:rFonts w:ascii="宋体" w:hAnsi="宋体"/>
                <w:bCs/>
                <w:color w:val="000000"/>
                <w:sz w:val="24"/>
                <w:highlight w:val="none"/>
              </w:rPr>
            </w:pPr>
            <w:r>
              <w:rPr>
                <w:rFonts w:hint="eastAsia" w:ascii="宋体" w:hAnsi="宋体"/>
                <w:bCs/>
                <w:color w:val="000000"/>
                <w:sz w:val="24"/>
                <w:highlight w:val="none"/>
              </w:rPr>
              <w:t xml:space="preserve">2.15</w:t>
            </w:r>
            <w:r>
              <w:rPr>
                <w:rFonts w:ascii="宋体" w:hAnsi="宋体"/>
                <w:bCs/>
                <w:color w:val="000000"/>
                <w:sz w:val="24"/>
                <w:highlight w:val="none"/>
              </w:rPr>
            </w:r>
            <w:r/>
          </w:p>
        </w:tc>
        <w:tc>
          <w:tcPr>
            <w:tcW w:w="1462" w:type="dxa"/>
            <w:vAlign w:val="center"/>
            <w:textDirection w:val="lrTb"/>
            <w:noWrap w:val="false"/>
          </w:tcPr>
          <w:p>
            <w:pPr>
              <w:pStyle w:val="1072"/>
              <w:ind w:firstLine="28"/>
              <w:jc w:val="center"/>
              <w:spacing w:line="360" w:lineRule="exact"/>
              <w:rPr>
                <w:rFonts w:ascii="宋体" w:hAnsi="宋体" w:cs="宋体"/>
                <w:bCs/>
                <w:color w:val="000000"/>
                <w:sz w:val="24"/>
                <w:highlight w:val="none"/>
                <w:shd w:val="clear" w:color="auto" w:fill="ffffff"/>
              </w:rPr>
            </w:pPr>
            <w:r>
              <w:rPr>
                <w:rStyle w:val="1326"/>
                <w:rFonts w:ascii="宋体" w:hAnsi="宋体" w:eastAsia="宋体" w:cs="宋体"/>
                <w:bCs/>
                <w:color w:val="000000"/>
                <w:sz w:val="24"/>
                <w:szCs w:val="24"/>
                <w:highlight w:val="none"/>
              </w:rPr>
              <w:t xml:space="preserve">技术支持方案</w:t>
            </w:r>
            <w:r>
              <w:rPr>
                <w:rFonts w:ascii="宋体" w:hAnsi="宋体" w:cs="宋体"/>
                <w:bCs/>
                <w:color w:val="000000"/>
                <w:sz w:val="24"/>
                <w:highlight w:val="none"/>
                <w:shd w:val="clear" w:color="auto" w:fill="ffffff"/>
              </w:rPr>
            </w:r>
            <w:r/>
          </w:p>
        </w:tc>
        <w:tc>
          <w:tcPr>
            <w:tcW w:w="913" w:type="dxa"/>
            <w:vAlign w:val="center"/>
            <w:textDirection w:val="lrTb"/>
            <w:noWrap w:val="false"/>
          </w:tcPr>
          <w:p>
            <w:pPr>
              <w:pStyle w:val="1072"/>
              <w:ind w:firstLine="28"/>
              <w:jc w:val="center"/>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3978" w:type="dxa"/>
            <w:vAlign w:val="center"/>
            <w:textDirection w:val="lrTb"/>
            <w:noWrap w:val="false"/>
          </w:tcPr>
          <w:p>
            <w:pPr>
              <w:pStyle w:val="1072"/>
              <w:spacing w:line="360" w:lineRule="exact"/>
              <w:rPr>
                <w:rStyle w:val="1326"/>
                <w:rFonts w:ascii="宋体" w:hAnsi="宋体" w:eastAsia="宋体" w:cs="宋体"/>
                <w:bCs/>
                <w:color w:val="000000"/>
                <w:sz w:val="24"/>
                <w:szCs w:val="24"/>
                <w:highlight w:val="none"/>
              </w:rPr>
            </w:pPr>
            <w:r/>
            <w:bookmarkStart w:id="821" w:name="OLE_LINK48"/>
            <w:r>
              <w:rPr>
                <w:rStyle w:val="1326"/>
                <w:rFonts w:ascii="宋体" w:hAnsi="宋体" w:eastAsia="宋体" w:cs="宋体"/>
                <w:bCs/>
                <w:color w:val="000000"/>
                <w:sz w:val="24"/>
                <w:szCs w:val="24"/>
                <w:highlight w:val="none"/>
              </w:rPr>
              <w:t xml:space="preserve">提供技术支持方案，包含促进医院中医发展增值方案，发挥中医特色在医院的作用等。</w:t>
            </w:r>
            <w:r>
              <w:rPr>
                <w:rStyle w:val="1326"/>
                <w:rFonts w:ascii="宋体" w:hAnsi="宋体" w:eastAsia="宋体" w:cs="宋体"/>
                <w:bCs/>
                <w:color w:val="000000"/>
                <w:sz w:val="24"/>
                <w:szCs w:val="24"/>
                <w:highlight w:val="none"/>
              </w:rPr>
            </w:r>
            <w:r/>
          </w:p>
          <w:p>
            <w:pPr>
              <w:pStyle w:val="1327"/>
              <w:spacing w:before="0" w:line="360" w:lineRule="exact"/>
              <w:tabs>
                <w:tab w:val="clear" w:pos="567" w:leader="none"/>
              </w:tabs>
              <w:rPr>
                <w:rStyle w:val="1326"/>
                <w:rFonts w:ascii="宋体" w:hAnsi="宋体" w:eastAsia="宋体" w:cs="宋体"/>
                <w:bCs/>
                <w:color w:val="000000"/>
                <w:sz w:val="24"/>
                <w:szCs w:val="24"/>
                <w:highlight w:val="none"/>
              </w:rPr>
            </w:pPr>
            <w:r>
              <w:rPr>
                <w:rStyle w:val="1326"/>
                <w:rFonts w:ascii="宋体" w:hAnsi="宋体" w:eastAsia="宋体" w:cs="宋体"/>
                <w:bCs/>
                <w:color w:val="000000"/>
                <w:sz w:val="24"/>
                <w:szCs w:val="24"/>
                <w:highlight w:val="none"/>
              </w:rPr>
              <w:t xml:space="preserve">方案详细，可行性高，内容齐全详细，得</w:t>
            </w:r>
            <w:r>
              <w:rPr>
                <w:rStyle w:val="1326"/>
                <w:rFonts w:cs="宋体"/>
                <w:bCs/>
                <w:color w:val="000000"/>
                <w:sz w:val="24"/>
                <w:szCs w:val="24"/>
                <w:highlight w:val="none"/>
              </w:rPr>
              <w:t xml:space="preserve">3</w:t>
            </w:r>
            <w:r>
              <w:rPr>
                <w:rStyle w:val="1326"/>
                <w:rFonts w:ascii="宋体" w:hAnsi="宋体" w:eastAsia="宋体" w:cs="宋体"/>
                <w:bCs/>
                <w:color w:val="000000"/>
                <w:sz w:val="24"/>
                <w:szCs w:val="24"/>
                <w:highlight w:val="none"/>
              </w:rPr>
              <w:t xml:space="preserve">分；</w:t>
            </w:r>
            <w:r>
              <w:rPr>
                <w:rStyle w:val="1326"/>
                <w:rFonts w:ascii="宋体" w:hAnsi="宋体" w:eastAsia="宋体" w:cs="宋体"/>
                <w:bCs/>
                <w:color w:val="000000"/>
                <w:sz w:val="24"/>
                <w:szCs w:val="24"/>
                <w:highlight w:val="none"/>
              </w:rPr>
            </w:r>
            <w:r/>
          </w:p>
          <w:p>
            <w:pPr>
              <w:pStyle w:val="1328"/>
              <w:ind w:firstLine="0"/>
              <w:spacing w:line="360" w:lineRule="exact"/>
              <w:rPr>
                <w:rStyle w:val="1326"/>
                <w:rFonts w:ascii="宋体" w:hAnsi="宋体" w:eastAsia="宋体" w:cs="宋体"/>
                <w:bCs/>
                <w:color w:val="000000"/>
                <w:sz w:val="24"/>
                <w:szCs w:val="24"/>
                <w:highlight w:val="none"/>
              </w:rPr>
            </w:pPr>
            <w:r>
              <w:rPr>
                <w:rStyle w:val="1326"/>
                <w:rFonts w:ascii="宋体" w:hAnsi="宋体" w:eastAsia="宋体" w:cs="宋体"/>
                <w:bCs/>
                <w:color w:val="000000"/>
                <w:sz w:val="24"/>
                <w:szCs w:val="24"/>
                <w:highlight w:val="none"/>
              </w:rPr>
              <w:t xml:space="preserve">方案较详细，具有一定的可行性，内容较完整，得</w:t>
            </w:r>
            <w:r>
              <w:rPr>
                <w:rStyle w:val="1326"/>
                <w:rFonts w:hAnsi="宋体" w:cs="宋体"/>
                <w:bCs/>
                <w:color w:val="000000"/>
                <w:sz w:val="24"/>
                <w:szCs w:val="24"/>
                <w:highlight w:val="none"/>
              </w:rPr>
              <w:t xml:space="preserve">2</w:t>
            </w:r>
            <w:r>
              <w:rPr>
                <w:rStyle w:val="1326"/>
                <w:rFonts w:ascii="宋体" w:hAnsi="宋体" w:eastAsia="宋体" w:cs="宋体"/>
                <w:bCs/>
                <w:color w:val="000000"/>
                <w:sz w:val="24"/>
                <w:szCs w:val="24"/>
                <w:highlight w:val="none"/>
              </w:rPr>
              <w:t xml:space="preserve">分；</w:t>
            </w:r>
            <w:r>
              <w:rPr>
                <w:rStyle w:val="1326"/>
                <w:rFonts w:ascii="宋体" w:hAnsi="宋体" w:eastAsia="宋体" w:cs="宋体"/>
                <w:bCs/>
                <w:color w:val="000000"/>
                <w:sz w:val="24"/>
                <w:szCs w:val="24"/>
                <w:highlight w:val="none"/>
              </w:rPr>
            </w:r>
            <w:r/>
          </w:p>
          <w:p>
            <w:pPr>
              <w:pStyle w:val="1072"/>
              <w:spacing w:line="360" w:lineRule="exact"/>
              <w:rPr>
                <w:rStyle w:val="1326"/>
                <w:rFonts w:ascii="宋体" w:hAnsi="宋体" w:eastAsia="宋体" w:cs="宋体"/>
                <w:bCs/>
                <w:color w:val="000000"/>
                <w:sz w:val="24"/>
                <w:szCs w:val="24"/>
                <w:highlight w:val="none"/>
              </w:rPr>
            </w:pPr>
            <w:r>
              <w:rPr>
                <w:rStyle w:val="1326"/>
                <w:rFonts w:ascii="宋体" w:hAnsi="宋体" w:eastAsia="宋体" w:cs="宋体"/>
                <w:bCs/>
                <w:color w:val="000000"/>
                <w:sz w:val="24"/>
                <w:szCs w:val="24"/>
                <w:highlight w:val="none"/>
              </w:rPr>
              <w:t xml:space="preserve">方案一般，可行性一般，内容较差，得1分；</w:t>
            </w:r>
            <w:r>
              <w:rPr>
                <w:rStyle w:val="1326"/>
                <w:rFonts w:ascii="宋体" w:hAnsi="宋体" w:eastAsia="宋体" w:cs="宋体"/>
                <w:bCs/>
                <w:color w:val="000000"/>
                <w:sz w:val="24"/>
                <w:szCs w:val="24"/>
                <w:highlight w:val="none"/>
              </w:rPr>
            </w:r>
            <w:r/>
          </w:p>
          <w:p>
            <w:pPr>
              <w:pStyle w:val="1072"/>
              <w:spacing w:line="360" w:lineRule="exact"/>
              <w:rPr>
                <w:rFonts w:ascii="宋体" w:hAnsi="宋体" w:cs="宋体"/>
                <w:bCs/>
                <w:color w:val="000000"/>
                <w:sz w:val="24"/>
                <w:highlight w:val="none"/>
              </w:rPr>
            </w:pPr>
            <w:r>
              <w:rPr>
                <w:rStyle w:val="1326"/>
                <w:rFonts w:ascii="宋体" w:hAnsi="宋体" w:eastAsia="宋体" w:cs="宋体"/>
                <w:bCs/>
                <w:color w:val="000000"/>
                <w:sz w:val="24"/>
                <w:szCs w:val="24"/>
                <w:highlight w:val="none"/>
              </w:rPr>
              <w:t xml:space="preserve">未提供不得分。</w:t>
            </w:r>
            <w:bookmarkEnd w:id="821"/>
            <w:r>
              <w:rPr>
                <w:rFonts w:ascii="宋体" w:hAnsi="宋体" w:cs="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客观分</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45</w:t>
            </w:r>
            <w:r>
              <w:rPr>
                <w:rFonts w:ascii="宋体" w:hAnsi="宋体"/>
                <w:bCs/>
                <w:color w:val="000000"/>
                <w:sz w:val="24"/>
                <w:highlight w:val="none"/>
              </w:rPr>
            </w:r>
            <w:r/>
          </w:p>
        </w:tc>
        <w:tc>
          <w:tcPr>
            <w:tcW w:w="3978" w:type="dxa"/>
            <w:vAlign w:val="center"/>
            <w:textDirection w:val="lrTb"/>
            <w:noWrap w:val="false"/>
          </w:tcPr>
          <w:p>
            <w:pPr>
              <w:pStyle w:val="1072"/>
              <w:rPr>
                <w:rFonts w:ascii="宋体" w:hAnsi="宋体"/>
                <w:bCs/>
                <w:color w:val="000000"/>
                <w:sz w:val="24"/>
                <w:highlight w:val="none"/>
              </w:rPr>
            </w:pPr>
            <w:r>
              <w:rPr>
                <w:rFonts w:ascii="宋体" w:hAnsi="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rHeight w:val="1539"/>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3.1</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业绩</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10</w:t>
            </w:r>
            <w:r>
              <w:rPr>
                <w:rFonts w:ascii="宋体" w:hAnsi="宋体"/>
                <w:bCs/>
                <w:color w:val="000000"/>
                <w:sz w:val="24"/>
                <w:highlight w:val="none"/>
              </w:rPr>
            </w:r>
            <w:r/>
          </w:p>
        </w:tc>
        <w:tc>
          <w:tcPr>
            <w:tcW w:w="3978" w:type="dxa"/>
            <w:vAlign w:val="center"/>
            <w:textDirection w:val="lrTb"/>
            <w:noWrap w:val="false"/>
          </w:tcPr>
          <w:p>
            <w:pPr>
              <w:pStyle w:val="1072"/>
              <w:rPr>
                <w:rFonts w:hint="eastAsia" w:ascii="宋体" w:hAnsi="宋体"/>
                <w:bCs/>
                <w:color w:val="000000"/>
                <w:sz w:val="24"/>
                <w:highlight w:val="none"/>
              </w:rPr>
            </w:pPr>
            <w:r>
              <w:rPr>
                <w:rFonts w:hint="eastAsia" w:ascii="宋体" w:hAnsi="宋体"/>
                <w:bCs/>
                <w:color w:val="000000"/>
                <w:sz w:val="24"/>
                <w:highlight w:val="none"/>
              </w:rPr>
              <w:t xml:space="preserve">投标人自2023年1月1日以来（以合同签订时间为准），具有类似项目业绩的</w:t>
            </w:r>
            <w:r>
              <w:rPr>
                <w:rFonts w:hint="eastAsia" w:ascii="宋体" w:hAnsi="宋体"/>
                <w:bCs/>
                <w:color w:val="000000"/>
                <w:sz w:val="24"/>
                <w:highlight w:val="none"/>
              </w:rPr>
              <w:t xml:space="preserve">有一个得2分，最高不超过10分。</w:t>
            </w:r>
            <w:r>
              <w:rPr>
                <w:rFonts w:hint="eastAsia" w:ascii="宋体" w:hAnsi="宋体"/>
                <w:bCs/>
                <w:color w:val="000000"/>
                <w:sz w:val="24"/>
                <w:highlight w:val="none"/>
              </w:rPr>
            </w:r>
            <w:r/>
          </w:p>
          <w:p>
            <w:pPr>
              <w:pStyle w:val="1072"/>
              <w:rPr>
                <w:rFonts w:hint="eastAsia" w:ascii="宋体" w:hAnsi="宋体"/>
                <w:bCs/>
                <w:color w:val="000000"/>
                <w:sz w:val="24"/>
                <w:highlight w:val="none"/>
              </w:rPr>
            </w:pPr>
            <w:r>
              <w:rPr>
                <w:rFonts w:hint="eastAsia" w:ascii="宋体" w:hAnsi="宋体" w:cs="宋体"/>
                <w:color w:val="000000"/>
                <w:sz w:val="24"/>
                <w:highlight w:val="none"/>
              </w:rPr>
              <w:t xml:space="preserve">注：同一单位业绩不重复得分。</w:t>
            </w:r>
            <w:r>
              <w:rPr>
                <w:rFonts w:hint="eastAsia" w:ascii="宋体" w:hAnsi="宋体"/>
                <w:bCs/>
                <w:color w:val="000000"/>
                <w:sz w:val="24"/>
                <w:highlight w:val="none"/>
              </w:rPr>
            </w:r>
            <w:r/>
          </w:p>
        </w:tc>
        <w:tc>
          <w:tcPr>
            <w:tcW w:w="2440" w:type="dxa"/>
            <w:vAlign w:val="center"/>
            <w:textDirection w:val="lrTb"/>
            <w:noWrap w:val="false"/>
          </w:tcPr>
          <w:p>
            <w:pPr>
              <w:pStyle w:val="1072"/>
              <w:ind w:left="-38"/>
              <w:rPr>
                <w:rFonts w:hint="eastAsia" w:ascii="宋体" w:hAnsi="宋体"/>
                <w:bCs/>
                <w:color w:val="000000"/>
                <w:sz w:val="24"/>
                <w:highlight w:val="none"/>
              </w:rPr>
            </w:pPr>
            <w:r>
              <w:rPr>
                <w:rFonts w:hint="eastAsia" w:ascii="宋体" w:hAnsi="宋体" w:cs="宋体"/>
                <w:color w:val="000000"/>
                <w:sz w:val="24"/>
                <w:highlight w:val="none"/>
              </w:rPr>
              <w:t xml:space="preserve">提供完整的合同原件扫描件加盖投标人公章。</w:t>
            </w:r>
            <w:r>
              <w:rPr>
                <w:rFonts w:hint="eastAsia" w:ascii="宋体" w:hAnsi="宋体"/>
                <w:bCs/>
                <w:color w:val="000000"/>
                <w:sz w:val="24"/>
                <w:highlight w:val="none"/>
              </w:rPr>
            </w:r>
            <w:r/>
          </w:p>
        </w:tc>
      </w:tr>
      <w:tr>
        <w:trPr>
          <w:trHeight w:val="1539"/>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3.2</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项目团队</w:t>
            </w:r>
            <w:r>
              <w:rPr>
                <w:rFonts w:hint="eastAsia"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4</w:t>
            </w:r>
            <w:r>
              <w:rPr>
                <w:rFonts w:hint="eastAsia" w:ascii="宋体" w:hAnsi="宋体"/>
                <w:bCs/>
                <w:color w:val="000000"/>
                <w:sz w:val="24"/>
                <w:highlight w:val="none"/>
              </w:rPr>
            </w:r>
            <w:r/>
          </w:p>
        </w:tc>
        <w:tc>
          <w:tcPr>
            <w:tcW w:w="3978" w:type="dxa"/>
            <w:vAlign w:val="center"/>
            <w:textDirection w:val="lrTb"/>
            <w:noWrap w:val="false"/>
          </w:tcPr>
          <w:p>
            <w:pPr>
              <w:pStyle w:val="1072"/>
              <w:rPr>
                <w:rFonts w:hint="eastAsia" w:ascii="宋体" w:hAnsi="宋体"/>
                <w:bCs/>
                <w:color w:val="000000"/>
                <w:sz w:val="24"/>
                <w:highlight w:val="none"/>
              </w:rPr>
            </w:pPr>
            <w:r>
              <w:rPr>
                <w:rFonts w:hint="eastAsia" w:ascii="宋体" w:hAnsi="宋体"/>
                <w:bCs/>
                <w:color w:val="000000"/>
                <w:sz w:val="24"/>
                <w:highlight w:val="none"/>
              </w:rPr>
              <w:t xml:space="preserve">投标人设药事部门，按照《处方管理办法》和《中药处方格式和书写要求规范》要求，进行审核、调配、核对、发药，并签名。</w:t>
            </w:r>
            <w:r>
              <w:rPr>
                <w:rFonts w:hint="eastAsia" w:ascii="宋体" w:hAnsi="宋体"/>
                <w:bCs/>
                <w:color w:val="000000"/>
                <w:sz w:val="24"/>
                <w:highlight w:val="none"/>
              </w:rPr>
            </w:r>
            <w:r/>
          </w:p>
          <w:p>
            <w:pPr>
              <w:pStyle w:val="1072"/>
              <w:rPr>
                <w:rFonts w:ascii="宋体" w:hAnsi="宋体" w:cs="宋体"/>
                <w:color w:val="000000"/>
                <w:sz w:val="24"/>
                <w:highlight w:val="none"/>
              </w:rPr>
            </w:pPr>
            <w:r>
              <w:rPr>
                <w:rFonts w:hint="eastAsia" w:ascii="宋体" w:hAnsi="宋体"/>
                <w:bCs/>
                <w:color w:val="000000"/>
                <w:sz w:val="24"/>
                <w:highlight w:val="none"/>
              </w:rPr>
              <w:t xml:space="preserve">投标人为本项目配备团队成员取得中药师（含以上）或执业中药师证书，成员数量11人及以上的得4分，6-10人的得2分，5人及以下的不得分。</w:t>
            </w:r>
            <w:r>
              <w:rPr>
                <w:rFonts w:ascii="宋体" w:hAnsi="宋体" w:cs="宋体"/>
                <w:color w:val="000000"/>
                <w:sz w:val="24"/>
                <w:highlight w:val="none"/>
              </w:rPr>
            </w:r>
            <w:r/>
          </w:p>
        </w:tc>
        <w:tc>
          <w:tcPr>
            <w:tcW w:w="24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bCs/>
                <w:color w:val="000000"/>
                <w:sz w:val="24"/>
                <w:highlight w:val="none"/>
              </w:rPr>
              <w:t xml:space="preserve">提供项目团队人员名单、证书及投标人为其缴纳的近三个月中任意一个月（自开标之日起往前推算）的社保缴纳记录加盖投标人公章。</w:t>
            </w:r>
            <w:r>
              <w:rPr>
                <w:rFonts w:hint="eastAsia" w:ascii="宋体" w:hAnsi="宋体" w:cs="宋体"/>
                <w:color w:val="000000"/>
                <w:sz w:val="24"/>
                <w:highlight w:val="none"/>
              </w:rPr>
            </w:r>
            <w:r/>
          </w:p>
        </w:tc>
      </w:tr>
      <w:tr>
        <w:trPr/>
        <w:tc>
          <w:tcPr>
            <w:tcW w:w="835"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3.3</w:t>
            </w:r>
            <w:r>
              <w:rPr>
                <w:rFonts w:hint="eastAsia"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配送时效</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rPr>
            </w:r>
            <w:r/>
          </w:p>
        </w:tc>
        <w:tc>
          <w:tcPr>
            <w:tcW w:w="3978" w:type="dxa"/>
            <w:vAlign w:val="center"/>
            <w:textDirection w:val="lrTb"/>
            <w:noWrap w:val="false"/>
          </w:tcPr>
          <w:p>
            <w:pPr>
              <w:pStyle w:val="1072"/>
              <w:rPr>
                <w:rFonts w:hint="eastAsia" w:ascii="宋体" w:hAnsi="宋体"/>
                <w:bCs/>
                <w:color w:val="000000"/>
                <w:sz w:val="24"/>
                <w:highlight w:val="none"/>
              </w:rPr>
            </w:pPr>
            <w:r>
              <w:rPr>
                <w:rFonts w:hint="eastAsia" w:ascii="宋体" w:hAnsi="宋体"/>
                <w:bCs/>
                <w:color w:val="000000"/>
                <w:sz w:val="24"/>
                <w:highlight w:val="none"/>
              </w:rPr>
              <w:t xml:space="preserve">投标人承诺能够在接到医院处方后，能按时完成代加工并按医院/患者要求配送到指定地点。</w:t>
            </w:r>
            <w:r>
              <w:rPr>
                <w:rFonts w:hint="eastAsia" w:ascii="宋体" w:hAnsi="宋体"/>
                <w:bCs/>
                <w:color w:val="000000"/>
                <w:sz w:val="24"/>
                <w:highlight w:val="none"/>
              </w:rPr>
            </w:r>
            <w:r/>
          </w:p>
          <w:p>
            <w:pPr>
              <w:pStyle w:val="1072"/>
              <w:rPr>
                <w:rFonts w:hint="eastAsia" w:ascii="宋体" w:hAnsi="宋体"/>
                <w:bCs/>
                <w:color w:val="000000"/>
                <w:sz w:val="24"/>
                <w:highlight w:val="none"/>
              </w:rPr>
            </w:pPr>
            <w:r>
              <w:rPr>
                <w:rFonts w:hint="eastAsia" w:ascii="宋体" w:hAnsi="宋体"/>
                <w:bCs/>
                <w:color w:val="000000"/>
                <w:sz w:val="24"/>
                <w:highlight w:val="none"/>
              </w:rPr>
              <w:t xml:space="preserve">1.当天17:00前接收的普通处方，加工方式为煎煮的，次日可送达得</w:t>
            </w:r>
            <w:r>
              <w:rPr>
                <w:rFonts w:ascii="宋体" w:hAnsi="宋体"/>
                <w:bCs/>
                <w:color w:val="000000"/>
                <w:sz w:val="24"/>
                <w:highlight w:val="none"/>
              </w:rPr>
              <w:t xml:space="preserve">2分。</w:t>
            </w:r>
            <w:r>
              <w:rPr>
                <w:rFonts w:hint="eastAsia"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2.加工方式为磨粉的，配送送达时间为收方后3天内；加工方式为制丸的，配送送达时间为收方后5天内；加工方式为熬膏的，配送送达时间为收方后7天内；满足得1分。</w:t>
            </w:r>
            <w:r>
              <w:rPr>
                <w:rFonts w:ascii="宋体" w:hAnsi="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hint="eastAsia" w:ascii="宋体" w:hAnsi="宋体"/>
                <w:bCs/>
                <w:color w:val="000000"/>
                <w:sz w:val="24"/>
                <w:highlight w:val="none"/>
              </w:rPr>
              <w:t xml:space="preserve">提供承诺函</w:t>
            </w:r>
            <w:r>
              <w:rPr>
                <w:rFonts w:hint="eastAsia" w:ascii="宋体" w:hAnsi="宋体" w:cs="宋体"/>
                <w:color w:val="000000"/>
                <w:sz w:val="24"/>
                <w:highlight w:val="none"/>
              </w:rPr>
              <w:t xml:space="preserve">加盖投标人公章。</w:t>
            </w: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3.4</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物流配送能力</w:t>
            </w:r>
            <w:r>
              <w:rPr>
                <w:rFonts w:hint="eastAsia"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4</w:t>
            </w:r>
            <w:r>
              <w:rPr>
                <w:rFonts w:ascii="宋体" w:hAnsi="宋体"/>
                <w:bCs/>
                <w:color w:val="000000"/>
                <w:sz w:val="24"/>
                <w:highlight w:val="none"/>
              </w:rPr>
            </w:r>
            <w:r/>
          </w:p>
        </w:tc>
        <w:tc>
          <w:tcPr>
            <w:tcW w:w="3978" w:type="dxa"/>
            <w:vAlign w:val="center"/>
            <w:textDirection w:val="lrTb"/>
            <w:noWrap w:val="false"/>
          </w:tcPr>
          <w:p>
            <w:pPr>
              <w:pStyle w:val="1072"/>
              <w:rPr>
                <w:rFonts w:hint="eastAsia" w:ascii="宋体" w:hAnsi="宋体"/>
                <w:bCs/>
                <w:color w:val="000000"/>
                <w:sz w:val="24"/>
                <w:highlight w:val="none"/>
              </w:rPr>
            </w:pPr>
            <w:r>
              <w:rPr>
                <w:rFonts w:hint="eastAsia" w:ascii="宋体" w:hAnsi="宋体"/>
                <w:bCs/>
                <w:color w:val="000000"/>
                <w:sz w:val="24"/>
                <w:highlight w:val="none"/>
              </w:rPr>
              <w:t xml:space="preserve">1.投标人为本项目配备专用配送车辆并备专用通信及GPS 设备，每提供1辆满足要求的车辆和专职驾驶员得1分，最多得3分。（提供车辆行驶证、交强险保单、GPS设备材料、GPS定位图片、驾驶员驾驶证及投标人（或委托的第三方配送公司，提供委托协议）为驾驶员缴纳的近三个月内任意一个月（自开标之日起往前推算）的社保记录。）</w:t>
            </w:r>
            <w:r>
              <w:rPr>
                <w:rFonts w:hint="eastAsia" w:ascii="宋体" w:hAnsi="宋体"/>
                <w:bCs/>
                <w:color w:val="000000"/>
                <w:sz w:val="24"/>
                <w:highlight w:val="none"/>
              </w:rPr>
            </w:r>
            <w:r/>
          </w:p>
          <w:p>
            <w:pPr>
              <w:pStyle w:val="1072"/>
              <w:rPr>
                <w:rFonts w:hint="eastAsia" w:ascii="宋体" w:hAnsi="宋体"/>
                <w:bCs/>
                <w:color w:val="000000"/>
                <w:sz w:val="24"/>
                <w:highlight w:val="none"/>
              </w:rPr>
            </w:pPr>
            <w:r>
              <w:rPr>
                <w:rFonts w:hint="eastAsia" w:ascii="宋体" w:hAnsi="宋体"/>
                <w:bCs/>
                <w:color w:val="000000"/>
                <w:sz w:val="24"/>
                <w:highlight w:val="none"/>
              </w:rPr>
              <w:t xml:space="preserve">2.投标人为本项目配备专用配送车辆或委托第三方配送车辆均安装空调设施，满足配送要求，得1分。（提供车辆</w:t>
            </w:r>
            <w:r>
              <w:rPr>
                <w:rFonts w:hint="eastAsia" w:ascii="宋体" w:hAnsi="宋体"/>
                <w:bCs/>
                <w:color w:val="000000"/>
                <w:sz w:val="24"/>
                <w:highlight w:val="none"/>
              </w:rPr>
              <w:t xml:space="preserve">（上述配备的专用配送车辆一致，否则不得分）</w:t>
            </w:r>
            <w:r>
              <w:rPr>
                <w:rFonts w:hint="eastAsia" w:ascii="宋体" w:hAnsi="宋体"/>
                <w:bCs/>
                <w:color w:val="000000"/>
                <w:sz w:val="24"/>
                <w:highlight w:val="none"/>
              </w:rPr>
              <w:t xml:space="preserve">图片及空调设施照片）</w:t>
            </w:r>
            <w:r>
              <w:rPr>
                <w:rFonts w:hint="eastAsia" w:ascii="宋体" w:hAnsi="宋体"/>
                <w:bCs/>
                <w:color w:val="000000"/>
                <w:sz w:val="24"/>
                <w:highlight w:val="none"/>
              </w:rPr>
            </w:r>
            <w:r/>
          </w:p>
        </w:tc>
        <w:tc>
          <w:tcPr>
            <w:tcW w:w="2440" w:type="dxa"/>
            <w:vAlign w:val="center"/>
            <w:textDirection w:val="lrTb"/>
            <w:noWrap w:val="false"/>
          </w:tcPr>
          <w:p>
            <w:pPr>
              <w:pStyle w:val="1072"/>
              <w:ind w:left="-38"/>
              <w:rPr>
                <w:rFonts w:hint="eastAsia" w:ascii="宋体" w:hAnsi="宋体"/>
                <w:bCs/>
                <w:color w:val="000000"/>
                <w:sz w:val="24"/>
                <w:highlight w:val="none"/>
              </w:rPr>
            </w:pPr>
            <w:r>
              <w:rPr>
                <w:rFonts w:hint="eastAsia" w:ascii="宋体" w:hAnsi="宋体"/>
                <w:bCs/>
                <w:color w:val="000000"/>
                <w:sz w:val="24"/>
                <w:highlight w:val="none"/>
              </w:rPr>
            </w:r>
            <w:r/>
          </w:p>
          <w:p>
            <w:pPr>
              <w:pStyle w:val="1072"/>
              <w:rPr>
                <w:color w:val="000000"/>
                <w:highlight w:val="none"/>
              </w:rPr>
            </w:pPr>
            <w:r>
              <w:rPr>
                <w:color w:val="000000"/>
                <w:highlight w:val="none"/>
              </w:rPr>
            </w:r>
            <w:r/>
          </w:p>
          <w:p>
            <w:pPr>
              <w:pStyle w:val="1072"/>
              <w:jc w:val="left"/>
              <w:rPr>
                <w:rFonts w:hint="eastAsia"/>
                <w:color w:val="000000"/>
                <w:highlight w:val="none"/>
              </w:rPr>
            </w:pPr>
            <w:r>
              <w:rPr>
                <w:rFonts w:hint="eastAsia" w:ascii="宋体" w:hAnsi="宋体"/>
                <w:bCs/>
                <w:color w:val="000000"/>
                <w:sz w:val="24"/>
                <w:highlight w:val="none"/>
              </w:rPr>
              <w:t xml:space="preserve">按要求提供证明材料加盖公章，否则不得分。</w:t>
            </w:r>
            <w:r>
              <w:rPr>
                <w:rFonts w:hint="eastAsia"/>
                <w:color w:val="000000"/>
                <w:highlight w:val="none"/>
              </w:rPr>
            </w:r>
            <w:r/>
          </w:p>
        </w:tc>
      </w:tr>
      <w:tr>
        <w:trPr/>
        <w:tc>
          <w:tcPr>
            <w:tcW w:w="835"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3.5</w:t>
            </w:r>
            <w:r>
              <w:rPr>
                <w:rFonts w:hint="eastAsia"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综合实力1</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4</w:t>
            </w:r>
            <w:r>
              <w:rPr>
                <w:rFonts w:hint="eastAsia" w:ascii="宋体" w:hAnsi="宋体"/>
                <w:bCs/>
                <w:color w:val="000000"/>
                <w:sz w:val="24"/>
                <w:highlight w:val="none"/>
              </w:rPr>
            </w:r>
            <w:r/>
          </w:p>
        </w:tc>
        <w:tc>
          <w:tcPr>
            <w:tcW w:w="3978" w:type="dxa"/>
            <w:vAlign w:val="center"/>
            <w:textDirection w:val="lrTb"/>
            <w:noWrap w:val="false"/>
          </w:tcPr>
          <w:p>
            <w:pPr>
              <w:pStyle w:val="1072"/>
              <w:rPr>
                <w:rFonts w:ascii="宋体" w:hAnsi="宋体"/>
                <w:bCs/>
                <w:color w:val="000000"/>
                <w:sz w:val="24"/>
                <w:highlight w:val="none"/>
              </w:rPr>
            </w:pPr>
            <w:r>
              <w:rPr>
                <w:rFonts w:hint="eastAsia" w:ascii="宋体" w:hAnsi="宋体"/>
                <w:bCs/>
                <w:color w:val="000000"/>
                <w:sz w:val="24"/>
                <w:highlight w:val="none"/>
              </w:rPr>
              <w:t xml:space="preserve">投标人必须严格执行国家药品标准和地方中药饮片炮制规范、工艺规程。在符合药品GMP条件下组织生产，用于配送和煎药的中药饮片，应检验合格，并可溯源。提供质量控制的相关证明材料；</w:t>
            </w:r>
            <w:r>
              <w:rPr>
                <w:rFonts w:ascii="宋体" w:hAnsi="宋体"/>
                <w:bCs/>
                <w:color w:val="000000"/>
                <w:sz w:val="24"/>
                <w:highlight w:val="none"/>
              </w:rPr>
            </w:r>
            <w:r/>
          </w:p>
          <w:p>
            <w:pPr>
              <w:pStyle w:val="1072"/>
              <w:rPr>
                <w:rFonts w:hint="eastAsia" w:ascii="宋体" w:hAnsi="宋体"/>
                <w:bCs/>
                <w:color w:val="000000"/>
                <w:sz w:val="24"/>
                <w:highlight w:val="none"/>
              </w:rPr>
            </w:pPr>
            <w:r>
              <w:rPr>
                <w:rFonts w:hint="eastAsia" w:ascii="宋体" w:hAnsi="宋体"/>
                <w:bCs/>
                <w:color w:val="000000"/>
                <w:sz w:val="24"/>
                <w:highlight w:val="none"/>
              </w:rPr>
              <w:t xml:space="preserve">（1）提供纸质版的留存检验报告。有留存的检验报告得</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分，没有不得分；</w:t>
            </w:r>
            <w:r>
              <w:rPr>
                <w:rFonts w:hint="eastAsia" w:ascii="宋体" w:hAnsi="宋体"/>
                <w:bCs/>
                <w:color w:val="000000"/>
                <w:sz w:val="24"/>
                <w:highlight w:val="none"/>
              </w:rPr>
            </w:r>
            <w:r/>
          </w:p>
          <w:p>
            <w:pPr>
              <w:pStyle w:val="1072"/>
              <w:rPr>
                <w:rFonts w:ascii="宋体" w:hAnsi="宋体"/>
                <w:bCs/>
                <w:color w:val="000000"/>
                <w:sz w:val="24"/>
                <w:highlight w:val="none"/>
              </w:rPr>
            </w:pPr>
            <w:r>
              <w:rPr>
                <w:rFonts w:hint="eastAsia" w:ascii="宋体" w:hAnsi="宋体"/>
                <w:bCs/>
                <w:color w:val="000000"/>
                <w:sz w:val="24"/>
                <w:highlight w:val="none"/>
              </w:rPr>
              <w:t xml:space="preserve">（2）提供相应的煎药室工作制度和相关设备的标准化操作程序（SOP）得</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分，没有不得分。</w:t>
            </w:r>
            <w:r>
              <w:rPr>
                <w:rFonts w:ascii="宋体" w:hAnsi="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hint="eastAsia" w:ascii="宋体" w:hAnsi="宋体"/>
                <w:bCs/>
                <w:color w:val="000000"/>
                <w:sz w:val="24"/>
                <w:highlight w:val="none"/>
              </w:rPr>
              <w:t xml:space="preserve">提供质量控制的相关证明材料</w:t>
            </w: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3.6</w:t>
            </w:r>
            <w:r>
              <w:rPr>
                <w:rFonts w:hint="eastAsia"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综合实力2</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5</w:t>
            </w:r>
            <w:r>
              <w:rPr>
                <w:rFonts w:hint="eastAsia" w:ascii="宋体" w:hAnsi="宋体"/>
                <w:bCs/>
                <w:color w:val="000000"/>
                <w:sz w:val="24"/>
                <w:highlight w:val="none"/>
              </w:rPr>
            </w:r>
            <w:r/>
          </w:p>
        </w:tc>
        <w:tc>
          <w:tcPr>
            <w:tcW w:w="3978" w:type="dxa"/>
            <w:vAlign w:val="center"/>
            <w:textDirection w:val="lrTb"/>
            <w:noWrap w:val="false"/>
          </w:tcPr>
          <w:p>
            <w:pPr>
              <w:pStyle w:val="1072"/>
              <w:rPr>
                <w:rFonts w:ascii="宋体" w:hAnsi="宋体"/>
                <w:bCs/>
                <w:color w:val="000000"/>
                <w:sz w:val="24"/>
                <w:highlight w:val="none"/>
              </w:rPr>
            </w:pPr>
            <w:r>
              <w:rPr>
                <w:rFonts w:hint="eastAsia" w:ascii="宋体" w:hAnsi="宋体"/>
                <w:color w:val="000000"/>
                <w:sz w:val="24"/>
                <w:highlight w:val="none"/>
              </w:rPr>
              <w:t xml:space="preserve">投标人销售的饮片品种在100种（含）-200种的得1分；在200种（含）-400种得2分；在400种（含）-600种得3分；在600种（含）-800种得4分；在800种（含）以上得5分，本项最高得5分。</w:t>
            </w:r>
            <w:r>
              <w:rPr>
                <w:rFonts w:ascii="宋体" w:hAnsi="宋体"/>
                <w:bCs/>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hint="eastAsia" w:ascii="宋体" w:hAnsi="宋体"/>
                <w:color w:val="000000"/>
                <w:sz w:val="24"/>
                <w:highlight w:val="none"/>
              </w:rPr>
              <w:t xml:space="preserve">提供本单位销售的中药饮片品种明细，不提供不得分。</w:t>
            </w:r>
            <w:r>
              <w:rPr>
                <w:rFonts w:ascii="宋体" w:hAnsi="宋体"/>
                <w:bCs/>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3.7</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综合实力3</w:t>
            </w:r>
            <w:r>
              <w:rPr>
                <w:rFonts w:hint="eastAsia"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5</w:t>
            </w:r>
            <w:r>
              <w:rPr>
                <w:rFonts w:ascii="宋体" w:hAnsi="宋体"/>
                <w:bCs/>
                <w:color w:val="000000"/>
                <w:sz w:val="24"/>
                <w:highlight w:val="none"/>
              </w:rPr>
            </w:r>
            <w:r/>
          </w:p>
        </w:tc>
        <w:tc>
          <w:tcPr>
            <w:tcW w:w="3978" w:type="dxa"/>
            <w:vAlign w:val="center"/>
            <w:textDirection w:val="lrTb"/>
            <w:noWrap w:val="false"/>
          </w:tcPr>
          <w:p>
            <w:pPr>
              <w:pStyle w:val="1072"/>
              <w:rPr>
                <w:rFonts w:hint="eastAsia" w:ascii="宋体" w:hAnsi="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lang w:val="zh-CN"/>
              </w:rPr>
              <w:t xml:space="preserve">提供用于本项目的代加工设备：煎药设备、包装设备，熬膏设备、</w:t>
            </w:r>
            <w:r>
              <w:rPr>
                <w:rFonts w:hint="eastAsia" w:ascii="宋体" w:hAnsi="宋体" w:cs="宋体"/>
                <w:color w:val="000000"/>
                <w:sz w:val="24"/>
                <w:highlight w:val="none"/>
              </w:rPr>
              <w:t xml:space="preserve">制丸设备</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打粉设备</w:t>
            </w:r>
            <w:r>
              <w:rPr>
                <w:rFonts w:hint="eastAsia" w:ascii="宋体" w:hAnsi="宋体" w:cs="宋体"/>
                <w:color w:val="000000"/>
                <w:sz w:val="24"/>
                <w:highlight w:val="none"/>
                <w:lang w:val="zh-CN"/>
              </w:rPr>
              <w:t xml:space="preserve">，每有一种得1分，最高</w:t>
            </w:r>
            <w:r>
              <w:rPr>
                <w:rFonts w:ascii="宋体" w:hAnsi="宋体" w:cs="宋体"/>
                <w:color w:val="000000"/>
                <w:sz w:val="24"/>
                <w:highlight w:val="none"/>
                <w:lang w:val="zh-CN"/>
              </w:rPr>
              <w:t xml:space="preserve">5</w:t>
            </w:r>
            <w:r>
              <w:rPr>
                <w:rFonts w:hint="eastAsia" w:ascii="宋体" w:hAnsi="宋体" w:cs="宋体"/>
                <w:color w:val="000000"/>
                <w:sz w:val="24"/>
                <w:highlight w:val="none"/>
                <w:lang w:val="zh-CN"/>
              </w:rPr>
              <w:t xml:space="preserve">分。</w:t>
            </w:r>
            <w:r>
              <w:rPr>
                <w:rFonts w:hint="eastAsia" w:ascii="宋体" w:hAnsi="宋体"/>
                <w:color w:val="000000"/>
                <w:sz w:val="24"/>
                <w:highlight w:val="none"/>
              </w:rPr>
            </w:r>
            <w:r/>
          </w:p>
        </w:tc>
        <w:tc>
          <w:tcPr>
            <w:tcW w:w="2440" w:type="dxa"/>
            <w:vAlign w:val="center"/>
            <w:textDirection w:val="lrTb"/>
            <w:noWrap w:val="false"/>
          </w:tcPr>
          <w:p>
            <w:pPr>
              <w:pStyle w:val="1072"/>
              <w:ind w:left="-38"/>
              <w:rPr>
                <w:rFonts w:hint="eastAsia" w:ascii="宋体" w:hAnsi="宋体"/>
                <w:color w:val="000000"/>
                <w:sz w:val="24"/>
                <w:highlight w:val="none"/>
              </w:rPr>
            </w:pPr>
            <w:r>
              <w:rPr>
                <w:rFonts w:hint="eastAsia" w:ascii="宋体" w:hAnsi="宋体"/>
                <w:color w:val="000000"/>
                <w:sz w:val="24"/>
                <w:highlight w:val="none"/>
              </w:rPr>
            </w:r>
            <w:r/>
          </w:p>
        </w:tc>
      </w:tr>
      <w:tr>
        <w:trPr/>
        <w:tc>
          <w:tcPr>
            <w:tcW w:w="835"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3.8</w:t>
            </w:r>
            <w:r>
              <w:rPr>
                <w:rFonts w:ascii="宋体" w:hAnsi="宋体"/>
                <w:bCs/>
                <w:color w:val="000000"/>
                <w:sz w:val="24"/>
                <w:highlight w:val="none"/>
              </w:rPr>
            </w:r>
            <w:r/>
          </w:p>
        </w:tc>
        <w:tc>
          <w:tcPr>
            <w:tcW w:w="1462"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综合实力4</w:t>
            </w:r>
            <w:r>
              <w:rPr>
                <w:rFonts w:hint="eastAsia"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6</w:t>
            </w:r>
            <w:r>
              <w:rPr>
                <w:rFonts w:ascii="宋体" w:hAnsi="宋体"/>
                <w:bCs/>
                <w:color w:val="000000"/>
                <w:sz w:val="24"/>
                <w:highlight w:val="none"/>
              </w:rPr>
            </w:r>
            <w:r/>
          </w:p>
        </w:tc>
        <w:tc>
          <w:tcPr>
            <w:tcW w:w="3978" w:type="dxa"/>
            <w:vAlign w:val="center"/>
            <w:textDirection w:val="lrTb"/>
            <w:noWrap w:val="false"/>
          </w:tcPr>
          <w:p>
            <w:pPr>
              <w:pStyle w:val="1072"/>
              <w:rPr>
                <w:rFonts w:ascii="宋体" w:hAnsi="宋体" w:cs="宋体"/>
                <w:color w:val="000000"/>
                <w:sz w:val="24"/>
                <w:highlight w:val="none"/>
              </w:rPr>
            </w:pPr>
            <w:r>
              <w:rPr>
                <w:rFonts w:hint="eastAsia" w:ascii="宋体" w:hAnsi="宋体" w:cs="宋体"/>
                <w:color w:val="000000"/>
                <w:sz w:val="24"/>
                <w:highlight w:val="none"/>
              </w:rPr>
              <w:t xml:space="preserve">投标人拟投入信息管理平台具备处方信息查询功能、中药代加工进度实时查询功能、配送信息查询实时功能，满足1项得2分，最高得6分。</w:t>
            </w:r>
            <w:r>
              <w:rPr>
                <w:rFonts w:ascii="宋体" w:hAnsi="宋体" w:cs="宋体"/>
                <w:color w:val="000000"/>
                <w:sz w:val="24"/>
                <w:highlight w:val="none"/>
              </w:rPr>
            </w:r>
            <w:r/>
          </w:p>
        </w:tc>
        <w:tc>
          <w:tcPr>
            <w:tcW w:w="2440" w:type="dxa"/>
            <w:vAlign w:val="center"/>
            <w:textDirection w:val="lrTb"/>
            <w:noWrap w:val="false"/>
          </w:tcPr>
          <w:p>
            <w:pPr>
              <w:pStyle w:val="1072"/>
              <w:rPr>
                <w:rFonts w:ascii="宋体" w:hAnsi="宋体"/>
                <w:color w:val="000000"/>
                <w:sz w:val="24"/>
                <w:highlight w:val="none"/>
              </w:rPr>
            </w:pPr>
            <w:r>
              <w:rPr>
                <w:rFonts w:hint="eastAsia" w:ascii="宋体" w:hAnsi="宋体"/>
                <w:color w:val="000000"/>
                <w:sz w:val="24"/>
                <w:highlight w:val="none"/>
              </w:rPr>
              <w:t xml:space="preserve">提供功能截图加盖公章</w:t>
            </w:r>
            <w:r>
              <w:rPr>
                <w:rFonts w:ascii="宋体" w:hAnsi="宋体"/>
                <w:color w:val="000000"/>
                <w:sz w:val="24"/>
                <w:highlight w:val="none"/>
              </w:rPr>
            </w:r>
            <w:r/>
          </w:p>
        </w:tc>
      </w:tr>
      <w:tr>
        <w:trPr/>
        <w:tc>
          <w:tcPr>
            <w:tcW w:w="835"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3.9</w:t>
            </w:r>
            <w:r>
              <w:rPr>
                <w:rFonts w:hint="eastAsia" w:ascii="宋体" w:hAnsi="宋体"/>
                <w:bCs/>
                <w:color w:val="000000"/>
                <w:sz w:val="24"/>
                <w:highlight w:val="none"/>
              </w:rPr>
            </w:r>
            <w:r/>
          </w:p>
        </w:tc>
        <w:tc>
          <w:tcPr>
            <w:tcW w:w="1462"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增值服务</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hint="eastAsia" w:ascii="宋体" w:hAnsi="宋体"/>
                <w:bCs/>
                <w:color w:val="000000"/>
                <w:sz w:val="24"/>
                <w:highlight w:val="none"/>
              </w:rPr>
            </w:pPr>
            <w:r>
              <w:rPr>
                <w:rFonts w:hint="eastAsia" w:ascii="宋体" w:hAnsi="宋体"/>
                <w:bCs/>
                <w:color w:val="000000"/>
                <w:sz w:val="24"/>
                <w:highlight w:val="none"/>
              </w:rPr>
              <w:t xml:space="preserve">4</w:t>
            </w:r>
            <w:r>
              <w:rPr>
                <w:rFonts w:hint="eastAsia" w:ascii="宋体" w:hAnsi="宋体"/>
                <w:bCs/>
                <w:color w:val="000000"/>
                <w:sz w:val="24"/>
                <w:highlight w:val="none"/>
              </w:rPr>
            </w:r>
            <w:r/>
          </w:p>
        </w:tc>
        <w:tc>
          <w:tcPr>
            <w:tcW w:w="3978" w:type="dxa"/>
            <w:vAlign w:val="center"/>
            <w:textDirection w:val="lrTb"/>
            <w:noWrap w:val="false"/>
          </w:tcPr>
          <w:p>
            <w:pPr>
              <w:pStyle w:val="1072"/>
              <w:rPr>
                <w:rFonts w:ascii="宋体" w:hAnsi="宋体"/>
                <w:color w:val="000000"/>
                <w:sz w:val="24"/>
                <w:highlight w:val="none"/>
              </w:rPr>
            </w:pPr>
            <w:r>
              <w:rPr>
                <w:rFonts w:hint="eastAsia" w:ascii="宋体" w:hAnsi="宋体"/>
                <w:bCs/>
                <w:color w:val="000000"/>
                <w:sz w:val="24"/>
                <w:highlight w:val="none"/>
                <w:shd w:val="clear" w:color="auto" w:fill="ffffff"/>
              </w:rPr>
              <w:t xml:space="preserve">除招标文件要求的服务内容以外，投标人每提供一条对采购人有实际工作、服务需要的优惠条件或增值服务，且经评标委员会一致认可的，加1分，满分4分。</w:t>
            </w:r>
            <w:r>
              <w:rPr>
                <w:rFonts w:ascii="宋体" w:hAnsi="宋体"/>
                <w:color w:val="000000"/>
                <w:sz w:val="24"/>
                <w:highlight w:val="none"/>
              </w:rPr>
            </w:r>
            <w:r/>
          </w:p>
        </w:tc>
        <w:tc>
          <w:tcPr>
            <w:tcW w:w="2440" w:type="dxa"/>
            <w:vAlign w:val="center"/>
            <w:textDirection w:val="lrTb"/>
            <w:noWrap w:val="false"/>
          </w:tcPr>
          <w:p>
            <w:pPr>
              <w:pStyle w:val="1072"/>
              <w:ind w:left="-38"/>
              <w:rPr>
                <w:rFonts w:ascii="宋体" w:hAnsi="宋体"/>
                <w:bCs/>
                <w:color w:val="000000"/>
                <w:sz w:val="24"/>
                <w:highlight w:val="none"/>
              </w:rPr>
            </w:pPr>
            <w:r>
              <w:rPr>
                <w:rFonts w:ascii="宋体" w:hAnsi="宋体"/>
                <w:bCs/>
                <w:color w:val="000000"/>
                <w:sz w:val="24"/>
                <w:highlight w:val="none"/>
              </w:rPr>
            </w:r>
            <w:r/>
          </w:p>
        </w:tc>
      </w:tr>
      <w:tr>
        <w:trPr/>
        <w:tc>
          <w:tcPr>
            <w:gridSpan w:val="2"/>
            <w:tcW w:w="2297"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合计</w:t>
            </w:r>
            <w:r>
              <w:rPr>
                <w:rFonts w:ascii="宋体" w:hAnsi="宋体"/>
                <w:bCs/>
                <w:color w:val="000000"/>
                <w:sz w:val="24"/>
                <w:highlight w:val="none"/>
              </w:rPr>
            </w:r>
            <w:r/>
          </w:p>
        </w:tc>
        <w:tc>
          <w:tcPr>
            <w:tcW w:w="913" w:type="dxa"/>
            <w:vAlign w:val="center"/>
            <w:textDirection w:val="lrTb"/>
            <w:noWrap w:val="false"/>
          </w:tcPr>
          <w:p>
            <w:pPr>
              <w:pStyle w:val="1072"/>
              <w:ind w:firstLine="28"/>
              <w:jc w:val="center"/>
              <w:rPr>
                <w:rFonts w:ascii="宋体" w:hAnsi="宋体"/>
                <w:bCs/>
                <w:color w:val="000000"/>
                <w:sz w:val="24"/>
                <w:highlight w:val="none"/>
              </w:rPr>
            </w:pPr>
            <w:r>
              <w:rPr>
                <w:rFonts w:hint="eastAsia" w:ascii="宋体" w:hAnsi="宋体"/>
                <w:bCs/>
                <w:color w:val="000000"/>
                <w:sz w:val="24"/>
                <w:highlight w:val="none"/>
              </w:rPr>
              <w:t xml:space="preserve">100</w:t>
            </w:r>
            <w:r>
              <w:rPr>
                <w:rFonts w:ascii="宋体" w:hAnsi="宋体"/>
                <w:bCs/>
                <w:color w:val="000000"/>
                <w:sz w:val="24"/>
                <w:highlight w:val="none"/>
              </w:rPr>
            </w:r>
            <w:r/>
          </w:p>
        </w:tc>
        <w:tc>
          <w:tcPr>
            <w:gridSpan w:val="2"/>
            <w:tcW w:w="6418" w:type="dxa"/>
            <w:vAlign w:val="center"/>
            <w:textDirection w:val="lrTb"/>
            <w:noWrap w:val="false"/>
          </w:tcPr>
          <w:p>
            <w:pPr>
              <w:pStyle w:val="1072"/>
              <w:rPr>
                <w:rFonts w:ascii="宋体" w:hAnsi="宋体"/>
                <w:bCs/>
                <w:color w:val="000000"/>
                <w:sz w:val="24"/>
                <w:highlight w:val="none"/>
              </w:rPr>
            </w:pPr>
            <w:r>
              <w:rPr>
                <w:rFonts w:ascii="宋体" w:hAnsi="宋体"/>
                <w:bCs/>
                <w:color w:val="000000"/>
                <w:sz w:val="24"/>
                <w:highlight w:val="none"/>
              </w:rPr>
            </w:r>
            <w:r/>
          </w:p>
        </w:tc>
      </w:tr>
    </w:tbl>
    <w:p>
      <w:pPr>
        <w:pStyle w:val="1072"/>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2"/>
        <w:jc w:val="center"/>
        <w:spacing w:line="360" w:lineRule="auto"/>
        <w:rPr>
          <w:rFonts w:ascii="宋体" w:hAnsi="宋体"/>
          <w:b/>
          <w:color w:val="000000"/>
          <w:sz w:val="36"/>
          <w:szCs w:val="36"/>
          <w:highlight w:val="none"/>
        </w:rPr>
        <w:outlineLvl w:val="0"/>
      </w:pPr>
      <w:r/>
      <w:bookmarkStart w:id="822" w:name="_Toc99301424"/>
      <w:r>
        <w:rPr>
          <w:rFonts w:ascii="宋体" w:hAnsi="宋体"/>
          <w:b/>
          <w:color w:val="000000"/>
          <w:sz w:val="36"/>
          <w:szCs w:val="36"/>
          <w:highlight w:val="none"/>
        </w:rPr>
        <w:br w:type="page" w:clear="all"/>
      </w:r>
      <w:r>
        <w:rPr>
          <w:rFonts w:ascii="宋体" w:hAnsi="宋体"/>
          <w:b/>
          <w:color w:val="000000"/>
          <w:sz w:val="36"/>
          <w:szCs w:val="36"/>
          <w:highlight w:val="none"/>
        </w:rPr>
        <w:t xml:space="preserve">第五章   采购需求</w:t>
      </w:r>
      <w:bookmarkEnd w:id="822"/>
      <w:r>
        <w:rPr>
          <w:rFonts w:ascii="宋体" w:hAnsi="宋体"/>
          <w:b/>
          <w:color w:val="000000"/>
          <w:sz w:val="36"/>
          <w:szCs w:val="36"/>
          <w:highlight w:val="none"/>
        </w:rPr>
      </w:r>
      <w:r/>
    </w:p>
    <w:p>
      <w:pPr>
        <w:pStyle w:val="1072"/>
        <w:contextualSpacing/>
        <w:spacing w:line="360" w:lineRule="auto"/>
        <w:rPr>
          <w:rFonts w:ascii="宋体" w:hAnsi="宋体"/>
          <w:color w:val="000000"/>
          <w:sz w:val="24"/>
          <w:highlight w:val="none"/>
        </w:rPr>
      </w:pPr>
      <w:r>
        <w:rPr>
          <w:rFonts w:ascii="宋体" w:hAnsi="宋体"/>
          <w:color w:val="000000"/>
          <w:sz w:val="24"/>
          <w:highlight w:val="none"/>
        </w:rPr>
      </w:r>
      <w:r/>
    </w:p>
    <w:p>
      <w:pPr>
        <w:pStyle w:val="1251"/>
        <w:contextualSpacing/>
        <w:ind w:firstLine="482"/>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一、项目概况</w:t>
      </w:r>
      <w:r>
        <w:rPr>
          <w:rFonts w:ascii="宋体" w:hAnsi="宋体"/>
          <w:b/>
          <w:bCs/>
          <w:color w:val="000000"/>
          <w:sz w:val="24"/>
          <w:szCs w:val="24"/>
          <w:highlight w:val="none"/>
        </w:rPr>
      </w:r>
      <w:r/>
    </w:p>
    <w:p>
      <w:pPr>
        <w:pStyle w:val="1251"/>
        <w:contextualSpacing/>
        <w:ind w:firstLine="480"/>
        <w:jc w:val="left"/>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本项目为</w:t>
      </w:r>
      <w:bookmarkStart w:id="823" w:name="OLE_LINK3"/>
      <w:r/>
      <w:bookmarkStart w:id="824" w:name="OLE_LINK4"/>
      <w:r/>
      <w:bookmarkStart w:id="825" w:name="OLE_LINK5"/>
      <w:r>
        <w:rPr>
          <w:rFonts w:hint="eastAsia" w:ascii="宋体" w:hAnsi="宋体"/>
          <w:color w:val="000000"/>
          <w:sz w:val="24"/>
          <w:szCs w:val="24"/>
          <w:highlight w:val="none"/>
        </w:rPr>
        <w:t xml:space="preserve">常州市第二人民医院</w:t>
      </w:r>
      <w:bookmarkEnd w:id="823"/>
      <w:r/>
      <w:bookmarkEnd w:id="824"/>
      <w:r/>
      <w:bookmarkEnd w:id="825"/>
      <w:r>
        <w:rPr>
          <w:rFonts w:hint="eastAsia" w:ascii="宋体" w:hAnsi="宋体"/>
          <w:color w:val="000000"/>
          <w:sz w:val="24"/>
          <w:szCs w:val="24"/>
          <w:highlight w:val="none"/>
        </w:rPr>
        <w:t xml:space="preserve">中药饮片及集中代加工和配送服务项目。</w:t>
      </w:r>
      <w:r>
        <w:rPr>
          <w:rFonts w:ascii="宋体" w:hAnsi="宋体"/>
          <w:color w:val="000000"/>
          <w:sz w:val="24"/>
          <w:szCs w:val="24"/>
          <w:highlight w:val="none"/>
        </w:rPr>
      </w:r>
      <w:r/>
    </w:p>
    <w:p>
      <w:pPr>
        <w:pStyle w:val="1166"/>
        <w:contextualSpacing/>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★二、商务要求（本大项均为实质性要求，必须响应并满足，否则投标无效）</w:t>
      </w:r>
      <w:r>
        <w:rPr>
          <w:rFonts w:hint="eastAsia" w:ascii="宋体" w:hAnsi="宋体"/>
          <w:b/>
          <w:color w:val="000000"/>
          <w:sz w:val="24"/>
          <w:szCs w:val="24"/>
          <w:highlight w:val="none"/>
        </w:rPr>
      </w:r>
      <w:r/>
    </w:p>
    <w:p>
      <w:pPr>
        <w:pStyle w:val="1072"/>
        <w:ind w:firstLine="482"/>
        <w:spacing w:line="360" w:lineRule="auto"/>
        <w:rPr>
          <w:rFonts w:hint="eastAsia" w:ascii="宋体" w:hAnsi="宋体" w:cs="宋体"/>
          <w:b/>
          <w:bCs/>
          <w:i/>
          <w:color w:val="000000"/>
          <w:sz w:val="24"/>
          <w:highlight w:val="none"/>
        </w:rPr>
      </w:pPr>
      <w:r>
        <w:rPr>
          <w:rFonts w:hint="eastAsia" w:ascii="宋体" w:hAnsi="宋体" w:cs="宋体"/>
          <w:b/>
          <w:bCs/>
          <w:color w:val="000000"/>
          <w:sz w:val="24"/>
          <w:highlight w:val="none"/>
        </w:rPr>
        <w:t xml:space="preserve">1.</w:t>
      </w:r>
      <w:r>
        <w:rPr>
          <w:rFonts w:hint="eastAsia" w:ascii="宋体" w:hAnsi="宋体"/>
          <w:b/>
          <w:bCs/>
          <w:color w:val="000000"/>
          <w:sz w:val="24"/>
          <w:highlight w:val="none"/>
        </w:rPr>
        <w:t xml:space="preserve">合同履行期限</w:t>
      </w:r>
      <w:r>
        <w:rPr>
          <w:rFonts w:hint="eastAsia" w:ascii="宋体" w:hAnsi="宋体" w:cs="宋体"/>
          <w:b/>
          <w:bCs/>
          <w:i/>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服务期三年，合同一年一签。合同到期前一个月，经招标人考核合格后，可续签下一年合同。</w:t>
      </w:r>
      <w:r>
        <w:rPr>
          <w:rFonts w:hint="eastAsia" w:ascii="宋体" w:hAnsi="宋体" w:cs="宋体"/>
          <w:color w:val="000000"/>
          <w:sz w:val="24"/>
          <w:highlight w:val="none"/>
        </w:rPr>
      </w:r>
      <w:r/>
    </w:p>
    <w:p>
      <w:pPr>
        <w:pStyle w:val="1072"/>
        <w:ind w:firstLine="482"/>
        <w:spacing w:line="360" w:lineRule="auto"/>
        <w:rPr>
          <w:color w:val="000000"/>
          <w:sz w:val="24"/>
          <w:highlight w:val="none"/>
        </w:rPr>
      </w:pPr>
      <w:r>
        <w:rPr>
          <w:rFonts w:hint="eastAsia"/>
          <w:color w:val="000000"/>
          <w:sz w:val="24"/>
          <w:highlight w:val="none"/>
        </w:rPr>
        <w:t xml:space="preserve">2.</w:t>
      </w:r>
      <w:r>
        <w:rPr>
          <w:rFonts w:hint="eastAsia" w:ascii="宋体" w:hAnsi="宋体" w:cs="宋体"/>
          <w:b/>
          <w:bCs/>
          <w:color w:val="000000"/>
          <w:sz w:val="24"/>
          <w:highlight w:val="none"/>
        </w:rPr>
        <w:t xml:space="preserve">付款方式</w:t>
      </w:r>
      <w:r>
        <w:rPr>
          <w:color w:val="000000"/>
          <w:sz w:val="24"/>
          <w:highlight w:val="none"/>
        </w:rPr>
      </w:r>
      <w:r/>
    </w:p>
    <w:p>
      <w:pPr>
        <w:pStyle w:val="1251"/>
        <w:contextualSpacing/>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2.1 </w:t>
      </w:r>
      <w:r>
        <w:rPr>
          <w:rFonts w:ascii="宋体" w:hAnsi="宋体"/>
          <w:b/>
          <w:color w:val="000000"/>
          <w:sz w:val="24"/>
          <w:szCs w:val="24"/>
          <w:highlight w:val="none"/>
        </w:rPr>
        <w:t xml:space="preserve">结算原则：</w:t>
      </w:r>
      <w:r>
        <w:rPr>
          <w:rFonts w:ascii="宋体" w:hAnsi="宋体"/>
          <w:b/>
          <w:color w:val="000000"/>
          <w:sz w:val="24"/>
          <w:szCs w:val="24"/>
          <w:highlight w:val="none"/>
        </w:rPr>
      </w:r>
      <w:r/>
    </w:p>
    <w:p>
      <w:pPr>
        <w:pStyle w:val="1251"/>
        <w:contextualSpacing/>
        <w:ind w:firstLine="480"/>
        <w:jc w:val="left"/>
        <w:spacing w:line="360" w:lineRule="auto"/>
        <w:rPr>
          <w:rFonts w:ascii="宋体" w:hAnsi="宋体"/>
          <w:color w:val="000000"/>
          <w:sz w:val="24"/>
          <w:highlight w:val="none"/>
        </w:rPr>
      </w:pPr>
      <w:r>
        <w:rPr>
          <w:rFonts w:hint="eastAsia" w:ascii="宋体" w:hAnsi="宋体"/>
          <w:color w:val="000000"/>
          <w:sz w:val="24"/>
          <w:szCs w:val="24"/>
          <w:highlight w:val="none"/>
        </w:rPr>
        <w:t xml:space="preserve">（1）中药饮片结算单价=常州地区中药饮片参考零售价*中标费率；（2）</w:t>
      </w:r>
      <w:r>
        <w:rPr>
          <w:rFonts w:hint="eastAsia" w:ascii="宋体" w:hAnsi="宋体"/>
          <w:color w:val="000000"/>
          <w:sz w:val="24"/>
          <w:highlight w:val="none"/>
        </w:rPr>
        <w:t xml:space="preserve">代加工服务单价=中标单价。</w:t>
      </w:r>
      <w:r>
        <w:rPr>
          <w:rFonts w:hint="eastAsia" w:ascii="宋体" w:hAnsi="宋体"/>
          <w:color w:val="000000"/>
          <w:sz w:val="24"/>
          <w:szCs w:val="24"/>
          <w:highlight w:val="none"/>
        </w:rPr>
        <w:t xml:space="preserve">数量以实际发生为准。</w:t>
      </w:r>
      <w:r>
        <w:rPr>
          <w:rFonts w:ascii="宋体" w:hAnsi="宋体"/>
          <w:color w:val="000000"/>
          <w:sz w:val="24"/>
          <w:highlight w:val="none"/>
        </w:rPr>
      </w:r>
      <w:r/>
    </w:p>
    <w:p>
      <w:pPr>
        <w:pStyle w:val="1251"/>
        <w:contextualSpacing/>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注：如合同执行期间与上级政策或规定不符，按上级新政策和规定执行，若不能按上级政策或规定执行的，则采购人有权无条件终止合同。</w:t>
      </w:r>
      <w:r>
        <w:rPr>
          <w:rFonts w:hint="eastAsia" w:ascii="宋体" w:hAnsi="宋体"/>
          <w:b/>
          <w:color w:val="000000"/>
          <w:sz w:val="24"/>
          <w:szCs w:val="24"/>
          <w:highlight w:val="none"/>
        </w:rPr>
      </w:r>
      <w:r/>
    </w:p>
    <w:p>
      <w:pPr>
        <w:pStyle w:val="1251"/>
        <w:contextualSpacing/>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2.2 结算依据：</w:t>
      </w:r>
      <w:r>
        <w:rPr>
          <w:rFonts w:hint="eastAsia" w:ascii="宋体" w:hAnsi="宋体" w:cs="宋体"/>
          <w:color w:val="000000"/>
          <w:sz w:val="24"/>
          <w:highlight w:val="none"/>
        </w:rPr>
        <w:t xml:space="preserve">根据财务结算要求，中标人提供相应数量及单价的票据。</w:t>
      </w:r>
      <w:r>
        <w:rPr>
          <w:rFonts w:hint="eastAsia" w:ascii="宋体" w:hAnsi="宋体"/>
          <w:b/>
          <w:color w:val="000000"/>
          <w:sz w:val="24"/>
          <w:szCs w:val="24"/>
          <w:highlight w:val="none"/>
        </w:rPr>
      </w:r>
      <w:r/>
    </w:p>
    <w:p>
      <w:pPr>
        <w:pStyle w:val="1072"/>
        <w:ind w:firstLine="48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2.3 </w:t>
      </w:r>
      <w:r>
        <w:rPr>
          <w:rFonts w:ascii="宋体" w:hAnsi="宋体"/>
          <w:b/>
          <w:color w:val="000000"/>
          <w:sz w:val="24"/>
          <w:highlight w:val="none"/>
        </w:rPr>
        <w:t xml:space="preserve">付款</w:t>
      </w:r>
      <w:r>
        <w:rPr>
          <w:rFonts w:hint="eastAsia" w:ascii="宋体" w:hAnsi="宋体"/>
          <w:b/>
          <w:color w:val="000000"/>
          <w:sz w:val="24"/>
          <w:highlight w:val="none"/>
        </w:rPr>
        <w:t xml:space="preserve">进度</w:t>
      </w:r>
      <w:r>
        <w:rPr>
          <w:rFonts w:ascii="宋体" w:hAnsi="宋体"/>
          <w:b/>
          <w:color w:val="000000"/>
          <w:sz w:val="24"/>
          <w:highlight w:val="none"/>
        </w:rPr>
        <w:t xml:space="preserve">：</w:t>
      </w:r>
      <w:r>
        <w:rPr>
          <w:rFonts w:hint="eastAsia" w:ascii="宋体" w:hAnsi="宋体"/>
          <w:b/>
          <w:color w:val="000000"/>
          <w:sz w:val="24"/>
          <w:highlight w:val="none"/>
        </w:rPr>
        <w:t xml:space="preserve">采购人</w:t>
      </w:r>
      <w:r>
        <w:rPr>
          <w:rFonts w:ascii="宋体" w:hAnsi="宋体"/>
          <w:b/>
          <w:color w:val="000000"/>
          <w:sz w:val="24"/>
          <w:highlight w:val="none"/>
        </w:rPr>
        <w:t xml:space="preserve">在收到中标人供应中药饮片</w:t>
      </w:r>
      <w:r>
        <w:rPr>
          <w:rFonts w:hint="eastAsia" w:ascii="宋体" w:hAnsi="宋体"/>
          <w:b/>
          <w:color w:val="000000"/>
          <w:sz w:val="24"/>
          <w:highlight w:val="none"/>
        </w:rPr>
        <w:t xml:space="preserve">（及相关</w:t>
      </w:r>
      <w:r>
        <w:rPr>
          <w:rFonts w:hint="eastAsia" w:ascii="宋体" w:hAnsi="宋体" w:cs="宋体"/>
          <w:color w:val="000000"/>
          <w:sz w:val="24"/>
          <w:highlight w:val="none"/>
        </w:rPr>
        <w:t xml:space="preserve">代加工服务</w:t>
      </w:r>
      <w:r>
        <w:rPr>
          <w:rFonts w:hint="eastAsia" w:ascii="宋体" w:hAnsi="宋体"/>
          <w:b/>
          <w:color w:val="000000"/>
          <w:sz w:val="24"/>
          <w:highlight w:val="none"/>
        </w:rPr>
        <w:t xml:space="preserve">）180天内</w:t>
      </w:r>
      <w:r>
        <w:rPr>
          <w:rFonts w:ascii="宋体" w:hAnsi="宋体"/>
          <w:b/>
          <w:color w:val="000000"/>
          <w:sz w:val="24"/>
          <w:highlight w:val="none"/>
        </w:rPr>
        <w:t xml:space="preserve">支付货款。中标人向付款单位开具正规发票</w:t>
      </w:r>
      <w:r>
        <w:rPr>
          <w:rFonts w:hint="eastAsia" w:ascii="宋体" w:hAnsi="宋体"/>
          <w:b/>
          <w:color w:val="000000"/>
          <w:sz w:val="24"/>
          <w:highlight w:val="none"/>
        </w:rPr>
        <w:t xml:space="preserve">。</w:t>
      </w:r>
      <w:r>
        <w:rPr>
          <w:rFonts w:hint="eastAsia" w:ascii="宋体" w:hAnsi="宋体"/>
          <w:b/>
          <w:color w:val="000000"/>
          <w:sz w:val="24"/>
          <w:highlight w:val="none"/>
        </w:rPr>
      </w:r>
      <w:r/>
    </w:p>
    <w:p>
      <w:pPr>
        <w:pStyle w:val="1166"/>
        <w:contextualSpacing/>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3、报价要求</w:t>
      </w:r>
      <w:r>
        <w:rPr>
          <w:rFonts w:hint="eastAsia" w:ascii="宋体" w:hAnsi="宋体"/>
          <w:b/>
          <w:color w:val="000000"/>
          <w:sz w:val="24"/>
          <w:szCs w:val="24"/>
          <w:highlight w:val="none"/>
        </w:rPr>
      </w:r>
      <w:r/>
    </w:p>
    <w:p>
      <w:pPr>
        <w:pStyle w:val="1166"/>
        <w:contextualSpacing/>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饮片价格</w:t>
      </w:r>
      <w:r>
        <w:rPr>
          <w:rFonts w:ascii="宋体" w:hAnsi="宋体"/>
          <w:b/>
          <w:color w:val="000000"/>
          <w:sz w:val="24"/>
          <w:szCs w:val="24"/>
          <w:highlight w:val="none"/>
        </w:rPr>
        <w:t xml:space="preserve">采用固定</w:t>
      </w:r>
      <w:r>
        <w:rPr>
          <w:rFonts w:hint="eastAsia" w:ascii="宋体" w:hAnsi="宋体"/>
          <w:b/>
          <w:color w:val="000000"/>
          <w:sz w:val="24"/>
          <w:szCs w:val="24"/>
          <w:highlight w:val="none"/>
        </w:rPr>
        <w:t xml:space="preserve">费率</w:t>
      </w:r>
      <w:r>
        <w:rPr>
          <w:rFonts w:ascii="宋体" w:hAnsi="宋体"/>
          <w:b/>
          <w:color w:val="000000"/>
          <w:sz w:val="24"/>
          <w:szCs w:val="24"/>
          <w:highlight w:val="none"/>
        </w:rPr>
        <w:t xml:space="preserve">报价</w:t>
      </w:r>
      <w:r>
        <w:rPr>
          <w:rFonts w:hint="eastAsia" w:ascii="宋体" w:hAnsi="宋体"/>
          <w:b/>
          <w:color w:val="000000"/>
          <w:sz w:val="24"/>
          <w:szCs w:val="24"/>
          <w:highlight w:val="none"/>
        </w:rPr>
        <w:t xml:space="preserve">；代加工服务（煎汤）采用单价报价。</w:t>
      </w:r>
      <w:r>
        <w:rPr>
          <w:rFonts w:hint="eastAsia" w:ascii="宋体" w:hAnsi="宋体"/>
          <w:b/>
          <w:color w:val="000000"/>
          <w:sz w:val="24"/>
          <w:szCs w:val="24"/>
          <w:highlight w:val="none"/>
        </w:rPr>
      </w:r>
      <w:r/>
    </w:p>
    <w:p>
      <w:pPr>
        <w:pStyle w:val="1166"/>
        <w:contextualSpacing/>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所报价格</w:t>
      </w:r>
      <w:r>
        <w:rPr>
          <w:rFonts w:ascii="宋体" w:hAnsi="宋体"/>
          <w:bCs/>
          <w:color w:val="000000"/>
          <w:sz w:val="24"/>
          <w:szCs w:val="24"/>
          <w:highlight w:val="none"/>
        </w:rPr>
        <w:t xml:space="preserve">包括但不限于招标文件所确定的招标范围相应货物和服务的供货、加工、包装、运输、保险、配送、管理、维护、劳务、培训、验收、办公设备、设备、工具、耗材、运送工具及耗材、利润、风险、税金及政策性文件规定等各项应有费用，以及为完成该项货物或者服务项目所涉及到的一切相关费用，采购人不再支付其他任何费用。</w:t>
      </w:r>
      <w:r>
        <w:rPr>
          <w:rFonts w:ascii="宋体" w:hAnsi="宋体"/>
          <w:bCs/>
          <w:color w:val="000000"/>
          <w:sz w:val="24"/>
          <w:szCs w:val="24"/>
          <w:highlight w:val="none"/>
        </w:rPr>
      </w:r>
      <w:r/>
    </w:p>
    <w:p>
      <w:pPr>
        <w:pStyle w:val="1166"/>
        <w:contextualSpacing/>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4、驻场服务要求：驻场团队人员不少于5人，其中至少2人具备中药类中级及以上职称，其余人员均为药学类相关专业人员</w:t>
      </w:r>
      <w:r>
        <w:rPr>
          <w:rFonts w:hint="eastAsia" w:ascii="宋体" w:hAnsi="宋体" w:cs="宋体"/>
          <w:color w:val="000000"/>
          <w:sz w:val="24"/>
          <w:highlight w:val="none"/>
        </w:rPr>
        <w:t xml:space="preserve">；</w:t>
      </w:r>
      <w:r>
        <w:rPr>
          <w:rFonts w:hint="eastAsia" w:ascii="宋体" w:hAnsi="宋体"/>
          <w:bCs/>
          <w:color w:val="000000"/>
          <w:sz w:val="24"/>
          <w:szCs w:val="24"/>
          <w:highlight w:val="none"/>
        </w:rPr>
        <w:t xml:space="preserve">驻场团队负责中药饮片的验收、储存管理、处方审核、调配复核、代加工服务及日常质量监控等全流程工作，确保饮片质量符合《中国药典》及地方炮制规范要求。驻场期间产生的人员薪酬、社会保险、食宿交通等一切费用由中标人承担。中标人须为驻场人员配备统一工作服及必要的工作防护用具，驻场人员须遵守采购人医院的规章制度和保密要求，服从医院统一管理。因驻场人员操作不当或管理疏漏导致的质量问题或医疗纠纷，由中标人承担全部法律责任和经济赔偿。</w:t>
      </w:r>
      <w:r>
        <w:rPr>
          <w:rFonts w:ascii="宋体" w:hAnsi="宋体"/>
          <w:bCs/>
          <w:color w:val="000000"/>
          <w:sz w:val="24"/>
          <w:szCs w:val="24"/>
          <w:highlight w:val="none"/>
        </w:rPr>
      </w:r>
      <w:r/>
    </w:p>
    <w:p>
      <w:pPr>
        <w:pStyle w:val="1166"/>
        <w:contextualSpacing/>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三、技术要求</w:t>
      </w:r>
      <w:r>
        <w:rPr>
          <w:rFonts w:hint="eastAsia" w:ascii="宋体" w:hAnsi="宋体"/>
          <w:b/>
          <w:color w:val="000000"/>
          <w:sz w:val="24"/>
          <w:szCs w:val="24"/>
          <w:highlight w:val="none"/>
        </w:rPr>
      </w:r>
      <w:r/>
    </w:p>
    <w:p>
      <w:pPr>
        <w:pStyle w:val="1251"/>
        <w:contextualSpacing/>
        <w:ind w:firstLine="482"/>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（一）采购需求</w:t>
      </w:r>
      <w:r>
        <w:rPr>
          <w:rFonts w:ascii="宋体" w:hAnsi="宋体"/>
          <w:b/>
          <w:bCs/>
          <w:color w:val="000000"/>
          <w:sz w:val="24"/>
          <w:szCs w:val="24"/>
          <w:highlight w:val="none"/>
        </w:rPr>
      </w:r>
      <w:r/>
    </w:p>
    <w:p>
      <w:pPr>
        <w:pStyle w:val="1251"/>
        <w:contextualSpacing/>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为规范中药饮片采购渠道，统一质量标准，保障中药饮片质量和供给，促进中医药事业发展，结合国家相关政策，拟采购中药饮片集中代加工及配送服务。中药饮片集中代加工及配送服务，需提供所需合格的中药饮片</w:t>
      </w:r>
      <w:r>
        <w:rPr>
          <w:rFonts w:hint="eastAsia" w:ascii="宋体" w:hAnsi="宋体" w:cs="宋体"/>
          <w:color w:val="000000"/>
          <w:sz w:val="24"/>
          <w:highlight w:val="none"/>
        </w:rPr>
        <w:t xml:space="preserve">（含小包装）</w:t>
      </w:r>
      <w:r>
        <w:rPr>
          <w:rFonts w:hint="eastAsia" w:ascii="宋体" w:hAnsi="宋体"/>
          <w:color w:val="000000"/>
          <w:sz w:val="24"/>
          <w:szCs w:val="24"/>
          <w:highlight w:val="none"/>
        </w:rPr>
        <w:t xml:space="preserve">，且利用信息技术优势和规模优势，为采购客户提供代配、代煎、熬膏等中药代加工服务，并将配好的药方或汤剂或膏方等代加工后的成品配送到医院或客户手中。</w:t>
      </w:r>
      <w:r>
        <w:rPr>
          <w:rFonts w:ascii="宋体" w:hAnsi="宋体"/>
          <w:color w:val="000000"/>
          <w:sz w:val="24"/>
          <w:szCs w:val="24"/>
          <w:highlight w:val="none"/>
        </w:rPr>
      </w:r>
      <w:r/>
    </w:p>
    <w:p>
      <w:pPr>
        <w:pStyle w:val="1251"/>
        <w:contextualSpacing/>
        <w:ind w:firstLine="482"/>
        <w:jc w:val="left"/>
        <w:spacing w:line="360" w:lineRule="auto"/>
        <w:rPr>
          <w:rFonts w:ascii="宋体" w:hAnsi="宋体"/>
          <w:b/>
          <w:bCs/>
          <w:color w:val="000000"/>
          <w:sz w:val="24"/>
          <w:szCs w:val="24"/>
          <w:highlight w:val="none"/>
        </w:rPr>
      </w:pPr>
      <w:r>
        <w:rPr>
          <w:rFonts w:hint="eastAsia" w:ascii="宋体" w:hAnsi="宋体"/>
          <w:b/>
          <w:color w:val="000000"/>
          <w:sz w:val="24"/>
          <w:szCs w:val="24"/>
          <w:highlight w:val="none"/>
        </w:rPr>
        <w:t xml:space="preserve">（二）品种需求、质量需求、服务需求</w:t>
      </w:r>
      <w:r>
        <w:rPr>
          <w:rFonts w:ascii="宋体" w:hAnsi="宋体"/>
          <w:b/>
          <w:bCs/>
          <w:color w:val="000000"/>
          <w:sz w:val="24"/>
          <w:szCs w:val="24"/>
          <w:highlight w:val="none"/>
        </w:rPr>
      </w:r>
      <w:r/>
    </w:p>
    <w:p>
      <w:pPr>
        <w:pStyle w:val="1072"/>
        <w:ind w:firstLine="600"/>
        <w:spacing w:line="360" w:lineRule="auto"/>
        <w:rPr>
          <w:rFonts w:ascii="宋体" w:hAnsi="宋体"/>
          <w:color w:val="000000"/>
          <w:sz w:val="24"/>
          <w:highlight w:val="none"/>
        </w:rPr>
      </w:pPr>
      <w:r/>
      <w:bookmarkStart w:id="826" w:name="OLE_LINK11"/>
      <w:r/>
      <w:bookmarkStart w:id="827" w:name="OLE_LINK10"/>
      <w:r>
        <w:rPr>
          <w:rFonts w:hint="eastAsia" w:ascii="宋体" w:hAnsi="宋体"/>
          <w:color w:val="000000"/>
          <w:sz w:val="24"/>
          <w:highlight w:val="none"/>
        </w:rPr>
        <w:t xml:space="preserve">1.膏方、丸剂、茶剂、以及代煎协定方（后期根据业务需要增加丸剂、茶剂等中药加工服务）。</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2.投标人需保证中药饮片质量合格。</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hint="eastAsia" w:ascii="宋体" w:hAnsi="宋体"/>
          <w:color w:val="000000"/>
          <w:sz w:val="24"/>
          <w:highlight w:val="none"/>
        </w:rPr>
        <w:t xml:space="preserve">3.投标人需提供中药饮片集中代加工，需提供免费配送服务，提供免费配送至医院及患者家中的服务，有专门的配送车队。</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hint="eastAsia" w:ascii="宋体" w:hAnsi="宋体"/>
          <w:color w:val="000000"/>
          <w:sz w:val="24"/>
          <w:highlight w:val="none"/>
        </w:rPr>
        <w:t xml:space="preserve">4.为采购客户提供代配、代煎等中药代加工服务，并将配好的药方或汤剂或膏方等代加工后的成品配送到医院或客户手中。</w:t>
      </w:r>
      <w:bookmarkEnd w:id="827"/>
      <w:r>
        <w:rPr>
          <w:rFonts w:hint="eastAsia" w:ascii="宋体" w:hAnsi="宋体"/>
          <w:color w:val="000000"/>
          <w:sz w:val="24"/>
          <w:highlight w:val="none"/>
        </w:rPr>
        <w:t xml:space="preserve"> </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hint="eastAsia" w:ascii="宋体" w:hAnsi="宋体"/>
          <w:color w:val="000000"/>
          <w:sz w:val="24"/>
          <w:highlight w:val="none"/>
        </w:rPr>
        <w:t xml:space="preserve">（三）技术要求</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hint="eastAsia" w:ascii="宋体" w:hAnsi="宋体"/>
          <w:bCs/>
          <w:color w:val="000000"/>
          <w:sz w:val="24"/>
          <w:highlight w:val="none"/>
        </w:rPr>
        <w:t xml:space="preserve">★</w:t>
      </w:r>
      <w:r>
        <w:rPr>
          <w:rFonts w:ascii="宋体" w:hAnsi="宋体"/>
          <w:color w:val="000000"/>
          <w:sz w:val="24"/>
          <w:highlight w:val="none"/>
        </w:rPr>
        <w:t xml:space="preserve">1.投标人提供的中药代加工服务应符合《药品管理法》《医院中药饮片管理规范》《医疗机构中药煎药室管理规范》等现行国家、省市有关标准及要求，并且符合医院相关的质量控制要求。投标人应确保用于代加工服务的中药饮片质量均应符合《中华人民共和国药典》《江苏省中药饮片炮制规范》等标准，且达到医院使用中药饮片质量的要求。</w:t>
      </w:r>
      <w:r>
        <w:rPr>
          <w:rFonts w:ascii="宋体" w:hAnsi="宋体"/>
          <w:b/>
          <w:color w:val="000000"/>
          <w:sz w:val="24"/>
          <w:highlight w:val="none"/>
        </w:rPr>
        <w:t xml:space="preserve">（提供承诺函（格式自拟）加盖投标人公章）</w:t>
      </w:r>
      <w:r>
        <w:rPr>
          <w:rFonts w:ascii="宋体" w:hAnsi="宋体"/>
          <w:color w:val="000000"/>
          <w:sz w:val="24"/>
          <w:highlight w:val="none"/>
        </w:rPr>
      </w:r>
      <w:r/>
    </w:p>
    <w:p>
      <w:pPr>
        <w:pStyle w:val="1072"/>
        <w:ind w:firstLine="600"/>
        <w:spacing w:line="360" w:lineRule="auto"/>
        <w:rPr>
          <w:rFonts w:ascii="宋体" w:hAnsi="宋体"/>
          <w:b/>
          <w:bCs/>
          <w:color w:val="000000"/>
          <w:sz w:val="24"/>
          <w:highlight w:val="none"/>
        </w:rPr>
      </w:pPr>
      <w:r>
        <w:rPr>
          <w:rFonts w:hint="eastAsia" w:ascii="宋体" w:hAnsi="宋体"/>
          <w:bCs/>
          <w:color w:val="000000"/>
          <w:sz w:val="24"/>
          <w:highlight w:val="none"/>
        </w:rPr>
        <w:t xml:space="preserve">★</w:t>
      </w:r>
      <w:r>
        <w:rPr>
          <w:rFonts w:ascii="宋体" w:hAnsi="宋体"/>
          <w:b/>
          <w:bCs/>
          <w:color w:val="000000"/>
          <w:sz w:val="24"/>
          <w:highlight w:val="none"/>
        </w:rPr>
        <w:t xml:space="preserve">2.投标人应有能力提供采购人使用的所有饮片，保证实际供货与采购人所需品名、规格完全相符，并应有保障饮片质量安全的仓储条件。（提供承诺书并加盖公章：如中标，在服务期内接受甲方不定期实地考察，如考察结果与投标人投标时提供的材料不符，接受甲方的处罚。）</w:t>
      </w:r>
      <w:r>
        <w:rPr>
          <w:rFonts w:ascii="宋体" w:hAnsi="宋体"/>
          <w:b/>
          <w:bCs/>
          <w:color w:val="000000"/>
          <w:sz w:val="24"/>
          <w:highlight w:val="none"/>
        </w:rPr>
      </w:r>
      <w:r/>
    </w:p>
    <w:p>
      <w:pPr>
        <w:pStyle w:val="1072"/>
        <w:ind w:firstLine="600"/>
        <w:spacing w:line="360" w:lineRule="auto"/>
        <w:rPr>
          <w:rFonts w:ascii="宋体" w:hAnsi="宋体"/>
          <w:b/>
          <w:bCs/>
          <w:color w:val="000000"/>
          <w:sz w:val="24"/>
          <w:highlight w:val="none"/>
        </w:rPr>
      </w:pPr>
      <w:r>
        <w:rPr>
          <w:rFonts w:hint="eastAsia" w:ascii="宋体" w:hAnsi="宋体"/>
          <w:bCs/>
          <w:color w:val="000000"/>
          <w:sz w:val="24"/>
          <w:highlight w:val="none"/>
        </w:rPr>
        <w:t xml:space="preserve">★</w:t>
      </w:r>
      <w:r>
        <w:rPr>
          <w:rFonts w:ascii="宋体" w:hAnsi="宋体"/>
          <w:b/>
          <w:bCs/>
          <w:color w:val="000000"/>
          <w:sz w:val="24"/>
          <w:highlight w:val="none"/>
        </w:rPr>
        <w:t xml:space="preserve">3.投标人提供的中药饮片代加工服务所配备的设备、包装材料须符合《中药煎药机》《中药汤剂包装机》等行业标准。场地、环境和人员资质须符合相关要求，并且为本项目配备与业务量相匹配的场地、设施设备及服务人员。加工过程的中废水、废气、废渣等管理应符合相关环保的法律法规要求。（提供承诺函（格式自拟）加盖投标人公章）</w:t>
      </w:r>
      <w:r>
        <w:rPr>
          <w:rFonts w:ascii="宋体" w:hAnsi="宋体"/>
          <w:b/>
          <w:bCs/>
          <w:color w:val="000000"/>
          <w:sz w:val="24"/>
          <w:highlight w:val="none"/>
        </w:rPr>
      </w:r>
      <w:r/>
    </w:p>
    <w:p>
      <w:pPr>
        <w:pStyle w:val="1072"/>
        <w:ind w:firstLine="600"/>
        <w:spacing w:line="360" w:lineRule="auto"/>
        <w:rPr>
          <w:rFonts w:ascii="宋体" w:hAnsi="宋体"/>
          <w:b/>
          <w:bCs/>
          <w:color w:val="000000"/>
          <w:sz w:val="24"/>
          <w:highlight w:val="none"/>
        </w:rPr>
      </w:pPr>
      <w:r>
        <w:rPr>
          <w:rFonts w:hint="eastAsia" w:ascii="宋体" w:hAnsi="宋体"/>
          <w:bCs/>
          <w:color w:val="000000"/>
          <w:sz w:val="24"/>
          <w:highlight w:val="none"/>
        </w:rPr>
        <w:t xml:space="preserve">★</w:t>
      </w:r>
      <w:r>
        <w:rPr>
          <w:rFonts w:ascii="宋体" w:hAnsi="宋体"/>
          <w:b/>
          <w:bCs/>
          <w:color w:val="000000"/>
          <w:sz w:val="24"/>
          <w:highlight w:val="none"/>
        </w:rPr>
        <w:t xml:space="preserve">4.投标人能进行个性化的中药汤剂、丸剂、散剂、膏方等多剂型的加工，包装费用由投标人自行考虑，采购人按实结算中药饮片、</w:t>
      </w:r>
      <w:r>
        <w:rPr>
          <w:rFonts w:hint="eastAsia" w:ascii="宋体" w:hAnsi="宋体"/>
          <w:b/>
          <w:bCs/>
          <w:color w:val="000000"/>
          <w:sz w:val="24"/>
          <w:highlight w:val="none"/>
        </w:rPr>
        <w:t xml:space="preserve">各</w:t>
      </w:r>
      <w:r>
        <w:rPr>
          <w:rFonts w:ascii="宋体" w:hAnsi="宋体"/>
          <w:b/>
          <w:bCs/>
          <w:color w:val="000000"/>
          <w:sz w:val="24"/>
          <w:highlight w:val="none"/>
        </w:rPr>
        <w:t xml:space="preserve">剂型</w:t>
      </w:r>
      <w:r>
        <w:rPr>
          <w:rFonts w:hint="eastAsia" w:ascii="宋体" w:hAnsi="宋体"/>
          <w:b/>
          <w:bCs/>
          <w:color w:val="000000"/>
          <w:sz w:val="24"/>
          <w:highlight w:val="none"/>
        </w:rPr>
        <w:t xml:space="preserve">的加工</w:t>
      </w:r>
      <w:r>
        <w:rPr>
          <w:rFonts w:ascii="宋体" w:hAnsi="宋体"/>
          <w:b/>
          <w:bCs/>
          <w:color w:val="000000"/>
          <w:sz w:val="24"/>
          <w:highlight w:val="none"/>
        </w:rPr>
        <w:t xml:space="preserve">费用。同时投标人的产能必须能满足医院要求，每日按时中药饮片处方的各类代加工工作。煎制质量有保证：煎药时长、温度、文武火、先煎后下等煎煮条件由计算机设置，避免人为操作失误，实现煎药过程标准化。(提供工作质量管理规范文件)</w:t>
      </w:r>
      <w:r>
        <w:rPr>
          <w:rFonts w:ascii="宋体" w:hAnsi="宋体"/>
          <w:b/>
          <w:bCs/>
          <w:color w:val="000000"/>
          <w:sz w:val="24"/>
          <w:highlight w:val="none"/>
        </w:rPr>
      </w:r>
      <w:r/>
    </w:p>
    <w:p>
      <w:pPr>
        <w:pStyle w:val="1072"/>
        <w:ind w:firstLine="600"/>
        <w:spacing w:line="360" w:lineRule="auto"/>
        <w:rPr>
          <w:rFonts w:ascii="宋体" w:hAnsi="宋体"/>
          <w:b/>
          <w:bCs/>
          <w:color w:val="000000"/>
          <w:sz w:val="24"/>
          <w:highlight w:val="none"/>
        </w:rPr>
      </w:pPr>
      <w:r>
        <w:rPr>
          <w:rFonts w:hint="eastAsia" w:ascii="宋体" w:hAnsi="宋体"/>
          <w:bCs/>
          <w:color w:val="000000"/>
          <w:sz w:val="24"/>
          <w:highlight w:val="none"/>
        </w:rPr>
        <w:t xml:space="preserve">★</w:t>
      </w:r>
      <w:r>
        <w:rPr>
          <w:rFonts w:ascii="宋体" w:hAnsi="宋体"/>
          <w:b/>
          <w:bCs/>
          <w:color w:val="000000"/>
          <w:sz w:val="24"/>
          <w:highlight w:val="none"/>
        </w:rPr>
        <w:t xml:space="preserve">5.投标人需与医院信息系统对接，确保投标人药品信息与医院药品信息完全一致，保证中药处方信息（包括代加工类别、患者信息等）及时准确传递，并能实时查询处方调剂状态，投标人须在确定中标后10个工作日内完成系统对接工作，投标人承担所有的接口费用。（需提供承诺书并加盖公章）</w:t>
      </w:r>
      <w:r>
        <w:rPr>
          <w:rFonts w:ascii="宋体" w:hAnsi="宋体"/>
          <w:b/>
          <w:bCs/>
          <w:color w:val="000000"/>
          <w:sz w:val="24"/>
          <w:highlight w:val="none"/>
        </w:rPr>
      </w:r>
      <w:r/>
    </w:p>
    <w:p>
      <w:pPr>
        <w:pStyle w:val="1072"/>
        <w:ind w:firstLine="602"/>
        <w:spacing w:line="360" w:lineRule="auto"/>
        <w:rPr>
          <w:rFonts w:ascii="宋体" w:hAnsi="宋体"/>
          <w:b/>
          <w:bCs/>
          <w:color w:val="000000"/>
          <w:sz w:val="24"/>
          <w:highlight w:val="none"/>
        </w:rPr>
      </w:pPr>
      <w:r>
        <w:rPr>
          <w:rFonts w:ascii="宋体" w:hAnsi="宋体"/>
          <w:b/>
          <w:bCs/>
          <w:color w:val="000000"/>
          <w:sz w:val="24"/>
          <w:highlight w:val="none"/>
        </w:rPr>
        <w:t xml:space="preserve">6.建立互联网+监管体系，实现远距离可实时监控加工流程，如：煎药机运行、操作人员工作状况等加工全流程追踪查询以及配送服务查询与跟踪。</w:t>
      </w:r>
      <w:r>
        <w:rPr>
          <w:rFonts w:ascii="宋体" w:hAnsi="宋体"/>
          <w:b/>
          <w:bCs/>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7.投标人应确保提供的中药代加工服务具有全流程质量保证体系：</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（1）制定质量保证管理制度、职责和操作规范；</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（2）有保证煎制质量的加工设备，保持良好的运行状态，能满足医院煎药数量以及特色煎制的需求；</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3）有规范的操作记录，建立留样制度，代加工处方配药实物留样及成品留样一个月以上，建立质量跟踪、追溯、监控体系。按要求对中药处方复核、润药、煎煮、过滤、包装、检查及配送。对润药加水量、煎制时间、煎制温度、先煎后下等煎煮条件进行智能化控制，避免人为操作失误，实现煎药过程标准化、同质化管理。</w:t>
      </w:r>
      <w:r>
        <w:rPr>
          <w:rFonts w:ascii="宋体" w:hAnsi="宋体"/>
          <w:color w:val="000000"/>
          <w:sz w:val="24"/>
          <w:highlight w:val="none"/>
        </w:rPr>
      </w:r>
      <w:r/>
    </w:p>
    <w:p>
      <w:pPr>
        <w:pStyle w:val="1072"/>
        <w:ind w:firstLine="602"/>
        <w:spacing w:line="360" w:lineRule="auto"/>
        <w:rPr>
          <w:rFonts w:ascii="宋体" w:hAnsi="宋体"/>
          <w:b/>
          <w:bCs/>
          <w:color w:val="000000"/>
          <w:sz w:val="24"/>
          <w:highlight w:val="none"/>
        </w:rPr>
      </w:pPr>
      <w:r>
        <w:rPr>
          <w:rFonts w:ascii="宋体" w:hAnsi="宋体"/>
          <w:b/>
          <w:bCs/>
          <w:color w:val="000000"/>
          <w:sz w:val="24"/>
          <w:highlight w:val="none"/>
        </w:rPr>
        <w:t xml:space="preserve">8.投标人对接收的每一张中药处方应生成完整的生产指令单。对每张处方的浸泡、加水、煎煮、包装、配送等各环节均可追溯各项数据（应具备必要的信息化控制手段，采用条码识别等；发货后支持物流跟踪查询）。可全程监控加工过程，并保存监控数据三个月以上。</w:t>
      </w:r>
      <w:r>
        <w:rPr>
          <w:rFonts w:ascii="宋体" w:hAnsi="宋体"/>
          <w:b/>
          <w:bCs/>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9.药品包装应符合国家药品监督管理部门规定，涉及的快递包装应符合《中华人民共和国邮政法》、《商品包装政府采购需求标准（试行）》、《快递包装政府采购需求标准（试行）》等相关法律法规和标准。包装应适应远距离运输、防潮、防震、防锈和防野蛮装卸，以确保货物安全无损运抵指定地点。</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10.应有明确的配送人员的分工职责。配送至医院单位的所有产品必须实行专车专人定点配送，按规定送到医院指定的</w:t>
      </w:r>
      <w:r>
        <w:rPr>
          <w:rFonts w:hint="eastAsia" w:ascii="宋体" w:hAnsi="宋体"/>
          <w:color w:val="000000"/>
          <w:sz w:val="24"/>
          <w:highlight w:val="none"/>
        </w:rPr>
        <w:t xml:space="preserve">定点</w:t>
      </w:r>
      <w:r>
        <w:rPr>
          <w:rFonts w:ascii="宋体" w:hAnsi="宋体"/>
          <w:color w:val="000000"/>
          <w:sz w:val="24"/>
          <w:highlight w:val="none"/>
        </w:rPr>
        <w:t xml:space="preserve">，并按存放要求堆放整齐</w:t>
      </w:r>
      <w:r>
        <w:rPr>
          <w:rFonts w:hint="eastAsia" w:ascii="宋体" w:hAnsi="宋体"/>
          <w:color w:val="000000"/>
          <w:sz w:val="24"/>
          <w:highlight w:val="none"/>
        </w:rPr>
        <w:t xml:space="preserve">。为确保中药代加工产品的质量始终处于最佳状态，供应商务必配备与之相匹配的冷藏设施，避免出现中药饮品出现变质、变味、药效降低等问题</w:t>
      </w:r>
      <w:r>
        <w:rPr>
          <w:rFonts w:ascii="宋体" w:hAnsi="宋体"/>
          <w:color w:val="000000"/>
          <w:sz w:val="24"/>
          <w:highlight w:val="none"/>
        </w:rPr>
        <w:t xml:space="preserve">。运输车辆及人员应符合《中华人民共和国道路交通安全法》等相关法律法规要求；</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11.投标人应确保代加工后的成品送达医院或患者指定地点，并提供代加工状态查询和配送物流查询服务。代加工成品配送时间应满足患者用药需要，交付时间不受节假日的影响。制定能够保证方剂加工质量与用药安全的配送管理制度和流程，确保配送及时、准确。配送过程中如发生漏液、破损现象，投标人须及时为患者重新调剂，并承担费用。</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12.配送的代加工成品出现质量问题，应在接到通知后2小时内响应到场，24小时内完成退换，并处理（或协助医院处理）好因质量问题和服务不当引起的投诉、纠纷，承担退换产生的费用及其他相关费用。</w:t>
      </w:r>
      <w:r>
        <w:rPr>
          <w:rFonts w:ascii="宋体" w:hAnsi="宋体"/>
          <w:color w:val="000000"/>
          <w:sz w:val="24"/>
          <w:highlight w:val="none"/>
        </w:rPr>
      </w:r>
      <w:r/>
    </w:p>
    <w:p>
      <w:pPr>
        <w:pStyle w:val="1072"/>
        <w:ind w:firstLine="602"/>
        <w:spacing w:line="360" w:lineRule="auto"/>
        <w:rPr>
          <w:rFonts w:hint="eastAsia" w:ascii="宋体" w:hAnsi="宋体"/>
          <w:b/>
          <w:color w:val="000000"/>
          <w:sz w:val="24"/>
          <w:highlight w:val="none"/>
        </w:rPr>
      </w:pPr>
      <w:r>
        <w:rPr>
          <w:rFonts w:hint="eastAsia" w:ascii="宋体" w:hAnsi="宋体"/>
          <w:b/>
          <w:bCs/>
          <w:color w:val="000000"/>
          <w:sz w:val="24"/>
          <w:highlight w:val="none"/>
        </w:rPr>
        <w:t xml:space="preserve">★</w:t>
      </w:r>
      <w:r>
        <w:rPr>
          <w:rFonts w:ascii="宋体" w:hAnsi="宋体"/>
          <w:b/>
          <w:color w:val="000000"/>
          <w:sz w:val="24"/>
          <w:highlight w:val="none"/>
        </w:rPr>
        <w:t xml:space="preserve">13.配送时效：</w:t>
      </w:r>
      <w:r>
        <w:rPr>
          <w:rFonts w:hint="eastAsia" w:ascii="宋体" w:hAnsi="宋体"/>
          <w:b/>
          <w:color w:val="000000"/>
          <w:sz w:val="24"/>
          <w:highlight w:val="none"/>
        </w:rPr>
        <w:t xml:space="preserve">投标人</w:t>
      </w:r>
      <w:r>
        <w:rPr>
          <w:rFonts w:ascii="宋体" w:hAnsi="宋体"/>
          <w:b/>
          <w:color w:val="000000"/>
          <w:sz w:val="24"/>
          <w:highlight w:val="none"/>
        </w:rPr>
        <w:t xml:space="preserve">能确保中药饮片在合同有效期内及时供货不断货，遇到紧急、应急、突发情况时能保证供货要求。</w:t>
      </w:r>
      <w:r>
        <w:rPr>
          <w:rFonts w:hint="eastAsia" w:ascii="宋体" w:hAnsi="宋体"/>
          <w:b/>
          <w:color w:val="000000"/>
          <w:sz w:val="24"/>
          <w:highlight w:val="none"/>
        </w:rPr>
        <w:t xml:space="preserve">代加工</w:t>
      </w:r>
      <w:r>
        <w:rPr>
          <w:rFonts w:hint="eastAsia"/>
          <w:b/>
          <w:color w:val="000000"/>
          <w:sz w:val="24"/>
          <w:highlight w:val="none"/>
        </w:rPr>
        <w:t xml:space="preserve">饮片</w:t>
      </w:r>
      <w:r>
        <w:rPr>
          <w:rFonts w:ascii="宋体" w:hAnsi="宋体"/>
          <w:b/>
          <w:color w:val="000000"/>
          <w:sz w:val="24"/>
          <w:highlight w:val="none"/>
        </w:rPr>
        <w:t xml:space="preserve">加工方式为临方配药、煎药的，收方时间在当天17：00之前的处方送货时间为收方后</w:t>
      </w:r>
      <w:r>
        <w:rPr>
          <w:rFonts w:hint="eastAsia" w:ascii="宋体" w:hAnsi="宋体"/>
          <w:b/>
          <w:color w:val="000000"/>
          <w:sz w:val="24"/>
          <w:highlight w:val="none"/>
        </w:rPr>
        <w:t xml:space="preserve">1-2</w:t>
      </w:r>
      <w:r>
        <w:rPr>
          <w:rFonts w:ascii="宋体" w:hAnsi="宋体"/>
          <w:b/>
          <w:color w:val="000000"/>
          <w:sz w:val="24"/>
          <w:highlight w:val="none"/>
        </w:rPr>
        <w:t xml:space="preserve">天</w:t>
      </w:r>
      <w:r>
        <w:rPr>
          <w:rFonts w:hint="eastAsia" w:ascii="宋体" w:hAnsi="宋体"/>
          <w:b/>
          <w:color w:val="000000"/>
          <w:sz w:val="24"/>
          <w:highlight w:val="none"/>
        </w:rPr>
        <w:t xml:space="preserve">；</w:t>
      </w:r>
      <w:r>
        <w:rPr>
          <w:rFonts w:ascii="宋体" w:hAnsi="宋体"/>
          <w:b/>
          <w:color w:val="000000"/>
          <w:sz w:val="24"/>
          <w:highlight w:val="none"/>
        </w:rPr>
        <w:t xml:space="preserve">加工方式为制丸的，送货时间为收方后10天</w:t>
      </w:r>
      <w:r>
        <w:rPr>
          <w:rFonts w:hint="eastAsia" w:ascii="宋体" w:hAnsi="宋体"/>
          <w:b/>
          <w:color w:val="000000"/>
          <w:sz w:val="24"/>
          <w:highlight w:val="none"/>
        </w:rPr>
        <w:t xml:space="preserve">；</w:t>
      </w:r>
      <w:r>
        <w:rPr>
          <w:rFonts w:ascii="宋体" w:hAnsi="宋体"/>
          <w:b/>
          <w:color w:val="000000"/>
          <w:sz w:val="24"/>
          <w:highlight w:val="none"/>
        </w:rPr>
        <w:t xml:space="preserve">加工方式为膏方加工的，送货时间为收方后7-10天</w:t>
      </w:r>
      <w:r>
        <w:rPr>
          <w:rFonts w:hint="eastAsia" w:ascii="宋体" w:hAnsi="宋体"/>
          <w:b/>
          <w:color w:val="000000"/>
          <w:sz w:val="24"/>
          <w:highlight w:val="none"/>
        </w:rPr>
        <w:t xml:space="preserve">；</w:t>
      </w:r>
      <w:r>
        <w:rPr>
          <w:rFonts w:hint="eastAsia" w:ascii="宋体" w:hAnsi="宋体"/>
          <w:b/>
          <w:bCs/>
          <w:color w:val="000000"/>
          <w:sz w:val="24"/>
          <w:highlight w:val="none"/>
        </w:rPr>
        <w:t xml:space="preserve">加工方式为磨粉的，配送送达时间为收方后3-5天内</w:t>
      </w:r>
      <w:r>
        <w:rPr>
          <w:rFonts w:ascii="宋体" w:hAnsi="宋体"/>
          <w:b/>
          <w:color w:val="000000"/>
          <w:sz w:val="24"/>
          <w:highlight w:val="none"/>
        </w:rPr>
        <w:t xml:space="preserve">。如遇加工量超出正常范围的，可临时协商送货时间。</w:t>
      </w:r>
      <w:r>
        <w:rPr>
          <w:rFonts w:hint="eastAsia" w:ascii="宋体" w:hAnsi="宋体"/>
          <w:b/>
          <w:color w:val="000000"/>
          <w:sz w:val="24"/>
          <w:highlight w:val="none"/>
        </w:rPr>
      </w:r>
      <w:r/>
    </w:p>
    <w:p>
      <w:pPr>
        <w:pStyle w:val="1072"/>
        <w:ind w:firstLine="600"/>
        <w:spacing w:line="360" w:lineRule="auto"/>
        <w:rPr>
          <w:rFonts w:ascii="宋体" w:hAnsi="宋体"/>
          <w:color w:val="000000"/>
          <w:sz w:val="24"/>
          <w:highlight w:val="none"/>
        </w:rPr>
      </w:pPr>
      <w:r>
        <w:rPr>
          <w:rFonts w:hint="eastAsia" w:ascii="宋体" w:hAnsi="宋体"/>
          <w:color w:val="000000"/>
          <w:sz w:val="24"/>
          <w:highlight w:val="none"/>
        </w:rPr>
        <w:t xml:space="preserve">（五）质量要求</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1.如合同执行期间与上级政策或规定不符，按上级新政策和规定执行，若不能按上级政策或规定执行的，则无条件终止合同。</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2.合同履行期内出现中药饮片个体化代加工成品质量事故的，医院根据医疗责任仲裁结果有权向中标人追究相关经济及法律责任，必要时终止合同。</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3.投标人应保证在为医院提供中药饮片及饮片代加工服务时免受第三方提出的有关专利权、商标权或保护期等方面的权利要求。</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4.投标人在中药代煎时必须符合《医疗机构中药煎药室管理规范》及卫生部、国家中医药管理局制定的有关标准和质量要求。</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ascii="宋体" w:hAnsi="宋体"/>
          <w:color w:val="000000"/>
          <w:sz w:val="24"/>
          <w:highlight w:val="none"/>
        </w:rPr>
        <w:t xml:space="preserve">服务要求</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1.投标人须严格按照《中华人民共和国药典》（最新版）、《中华人民共和国药典临床用药须知（中药饮片卷）》（最新版）、《江苏省中药饮片炮制规范》（最新版）标准供应中药饮片。对特许生产和经营的中药饮</w:t>
      </w:r>
      <w:r>
        <w:rPr>
          <w:rFonts w:ascii="宋体" w:hAnsi="宋体"/>
          <w:color w:val="000000"/>
          <w:sz w:val="24"/>
          <w:highlight w:val="none"/>
        </w:rPr>
        <w:t xml:space="preserve">片符合国家相关文件要求。中药饮片炮制规格应依照甲方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色标需符合国家中医药管理局规定的色标要求。</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2.投标人代加工处方配药实物留样及成品留样备查。</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3.投标人严格按照国家有关法律法规要求，对所代加工中药饮片储存环节的实施有效质量控制，把关中药饮片的真伪及掺假掺杂情况，确保医院临床使用中药饮片的安全性、稳定性。投标人需具有相应的内部质量保障制度；具有保障药品质量安全的仓储保障制度、仓储条件、提供仓储场地平面图，有标本室或留样室。</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4.投标人应确保提供的中药饮片代加工服务具有质量保证体系:（1）制定质量保证管理制度、职责和管理规范；（2）有保证煎药质量的合格的煎药设备，能满足医院煎药数量以及特色煎制的要求；（3）有规范的操作记录，建立留样制度，建立质量跟踪、追溯、监控体系；（4）有磨粉、制丸、熬膏等相应的制度、设备、流程及规范。</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5.投标人应具有与经营规模相适应的中药学专业技术人员。为本项目配置的项目团队人数、岗位分工以及人员资质能完全满足医院业务需求且团队人员工作经验丰富。本项目实施团队的人员应由收方人员、审方人员、饮片调剂人员、调剂复核人员、煎药人员、质量管理人员等组成。投标人有完善的审方系统，能及时发现处方问题并及时沟通。</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ascii="宋体" w:hAnsi="宋体"/>
          <w:color w:val="000000"/>
          <w:sz w:val="24"/>
          <w:highlight w:val="none"/>
        </w:rPr>
        <w:t xml:space="preserve">6.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hint="eastAsia" w:ascii="宋体" w:hAnsi="宋体"/>
          <w:color w:val="000000"/>
          <w:sz w:val="24"/>
          <w:highlight w:val="none"/>
        </w:rPr>
        <w:t xml:space="preserve">（八）文化宣传需求</w:t>
      </w:r>
      <w:r>
        <w:rPr>
          <w:rFonts w:ascii="宋体" w:hAnsi="宋体"/>
          <w:color w:val="000000"/>
          <w:sz w:val="24"/>
          <w:highlight w:val="none"/>
        </w:rPr>
      </w:r>
      <w:r/>
    </w:p>
    <w:p>
      <w:pPr>
        <w:pStyle w:val="1072"/>
        <w:ind w:firstLine="600"/>
        <w:spacing w:line="360" w:lineRule="auto"/>
        <w:rPr>
          <w:rFonts w:ascii="宋体" w:hAnsi="宋体"/>
          <w:color w:val="000000"/>
          <w:sz w:val="24"/>
          <w:highlight w:val="none"/>
        </w:rPr>
      </w:pPr>
      <w:r>
        <w:rPr>
          <w:rFonts w:hint="eastAsia" w:ascii="宋体" w:hAnsi="宋体"/>
          <w:color w:val="000000"/>
          <w:sz w:val="24"/>
          <w:highlight w:val="none"/>
        </w:rPr>
        <w:t xml:space="preserve">随着中药健康养生观念越发深入人心，中医药文化始终坚守的健康养生理念与实践经验，也与当下的时代节奏和大众需求更加契合。“风味独特”“价格美丽”“健康养生”个体化特色中药饮片具备药理学原理，材料安全透明，服用放心，更能赢得患者青睐和信任。需要投标人配合采购人做好个体化特色中药饮片产品和文化的宣传，如中药文化墙，中药文化展览厅、中医协定方整理归纳与推广培训等。</w:t>
      </w:r>
      <w:r>
        <w:rPr>
          <w:rFonts w:ascii="宋体" w:hAnsi="宋体"/>
          <w:color w:val="000000"/>
          <w:sz w:val="24"/>
          <w:highlight w:val="none"/>
        </w:rPr>
      </w:r>
      <w:r/>
    </w:p>
    <w:p>
      <w:pPr>
        <w:pStyle w:val="1166"/>
        <w:contextualSpacing/>
        <w:ind w:firstLine="482"/>
        <w:jc w:val="left"/>
        <w:spacing w:line="360" w:lineRule="auto"/>
        <w:rPr>
          <w:rFonts w:hint="eastAsia" w:ascii="宋体" w:hAnsi="宋体"/>
          <w:b/>
          <w:color w:val="000000"/>
          <w:sz w:val="24"/>
          <w:szCs w:val="24"/>
          <w:highlight w:val="none"/>
        </w:rPr>
      </w:pPr>
      <w:r/>
      <w:bookmarkEnd w:id="826"/>
      <w:r>
        <w:rPr>
          <w:rFonts w:hint="eastAsia" w:ascii="宋体" w:hAnsi="宋体"/>
          <w:b/>
          <w:color w:val="000000"/>
          <w:sz w:val="24"/>
          <w:szCs w:val="24"/>
          <w:highlight w:val="none"/>
        </w:rPr>
      </w:r>
      <w:r/>
    </w:p>
    <w:p>
      <w:pPr>
        <w:pStyle w:val="1072"/>
        <w:rPr>
          <w:rFonts w:ascii="宋体" w:hAnsi="宋体"/>
          <w:bCs/>
          <w:color w:val="000000"/>
          <w:highlight w:val="none"/>
        </w:rPr>
      </w:pPr>
      <w:r>
        <w:rPr>
          <w:rFonts w:ascii="宋体" w:hAnsi="宋体"/>
          <w:bCs/>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bookmarkStart w:id="828" w:name="_Toc99301425"/>
      <w:r>
        <w:rPr>
          <w:rFonts w:ascii="宋体" w:hAnsi="宋体"/>
          <w:b/>
          <w:color w:val="000000"/>
          <w:sz w:val="36"/>
          <w:szCs w:val="36"/>
          <w:highlight w:val="none"/>
        </w:rPr>
        <w:t xml:space="preserve">第六章   拟签订的合同文本</w:t>
      </w:r>
      <w:bookmarkEnd w:id="828"/>
      <w:r>
        <w:rPr>
          <w:rFonts w:ascii="宋体" w:hAnsi="宋体"/>
          <w:b/>
          <w:color w:val="000000"/>
          <w:sz w:val="36"/>
          <w:szCs w:val="36"/>
          <w:highlight w:val="none"/>
        </w:rPr>
      </w:r>
      <w:r/>
    </w:p>
    <w:p>
      <w:pPr>
        <w:pStyle w:val="1111"/>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11"/>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投标人（</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8"/>
        <w:ind w:firstLine="552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p>
      <w:pPr>
        <w:pStyle w:val="1072"/>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乙方根据甲方需求提供中药饮片及集中代加工和配送服务，</w:t>
      </w:r>
      <w:r>
        <w:rPr>
          <w:rFonts w:hint="eastAsia" w:ascii="宋体" w:hAnsi="宋体" w:cs="宋体"/>
          <w:color w:val="000000"/>
          <w:sz w:val="24"/>
          <w:highlight w:val="none"/>
        </w:rPr>
        <w:t xml:space="preserve">系指根据合同规定乙方须承担与服务有关的所有辅助服务</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72"/>
        <w:ind w:firstLine="480"/>
        <w:jc w:val="left"/>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11"/>
        <w:ind w:firstLine="482"/>
        <w:jc w:val="left"/>
        <w:spacing w:line="360" w:lineRule="auto"/>
        <w:rPr>
          <w:rFonts w:hAnsi="宋体"/>
          <w:b/>
          <w:color w:val="000000"/>
          <w:sz w:val="24"/>
          <w:szCs w:val="24"/>
          <w:highlight w:val="none"/>
        </w:rPr>
      </w:pPr>
      <w:r>
        <w:rPr>
          <w:rFonts w:hAnsi="宋体"/>
          <w:b/>
          <w:color w:val="000000"/>
          <w:sz w:val="24"/>
          <w:szCs w:val="24"/>
          <w:highlight w:val="none"/>
        </w:rPr>
        <w:t xml:space="preserve">签约合同总价及单价：</w:t>
      </w:r>
      <w:r>
        <w:rPr>
          <w:rFonts w:hAnsi="宋体"/>
          <w:b/>
          <w:color w:val="000000"/>
          <w:sz w:val="24"/>
          <w:szCs w:val="24"/>
          <w:highlight w:val="none"/>
        </w:rPr>
      </w:r>
      <w:r/>
    </w:p>
    <w:p>
      <w:pPr>
        <w:pStyle w:val="1324"/>
        <w:ind w:firstLine="482"/>
        <w:jc w:val="left"/>
        <w:spacing w:line="360" w:lineRule="auto"/>
        <w:rPr>
          <w:b/>
          <w:color w:val="000000"/>
          <w:sz w:val="24"/>
          <w:highlight w:val="none"/>
        </w:rPr>
      </w:pPr>
      <w:r>
        <w:rPr>
          <w:b/>
          <w:color w:val="000000"/>
          <w:sz w:val="24"/>
          <w:highlight w:val="none"/>
        </w:rPr>
        <w:t xml:space="preserve">合同总价：</w:t>
      </w:r>
      <w:r>
        <w:rPr>
          <w:rFonts w:hint="eastAsia"/>
          <w:b/>
          <w:color w:val="000000"/>
          <w:sz w:val="24"/>
          <w:highlight w:val="none"/>
        </w:rPr>
        <w:t xml:space="preserve">   </w:t>
      </w:r>
      <w:r>
        <w:rPr>
          <w:b/>
          <w:color w:val="000000"/>
          <w:sz w:val="24"/>
          <w:highlight w:val="none"/>
        </w:rPr>
        <w:t xml:space="preserve">万元；</w:t>
      </w:r>
      <w:r>
        <w:rPr>
          <w:b/>
          <w:color w:val="000000"/>
          <w:sz w:val="24"/>
          <w:highlight w:val="none"/>
        </w:rPr>
      </w:r>
      <w:r/>
    </w:p>
    <w:p>
      <w:pPr>
        <w:pStyle w:val="1324"/>
        <w:ind w:firstLine="482"/>
        <w:jc w:val="left"/>
        <w:spacing w:line="360" w:lineRule="auto"/>
        <w:rPr>
          <w:b/>
          <w:color w:val="000000"/>
          <w:sz w:val="24"/>
          <w:highlight w:val="none"/>
        </w:rPr>
      </w:pPr>
      <w:r>
        <w:rPr>
          <w:b/>
          <w:color w:val="000000"/>
          <w:sz w:val="24"/>
          <w:highlight w:val="none"/>
        </w:rPr>
        <w:t xml:space="preserve">中药饮片费率：</w:t>
      </w:r>
      <w:r>
        <w:rPr>
          <w:b/>
          <w:color w:val="000000"/>
          <w:sz w:val="24"/>
          <w:highlight w:val="none"/>
          <w:u w:val="single"/>
        </w:rPr>
        <w:t xml:space="preserve">           %</w:t>
      </w:r>
      <w:r>
        <w:rPr>
          <w:b/>
          <w:color w:val="000000"/>
          <w:sz w:val="24"/>
          <w:highlight w:val="none"/>
        </w:rPr>
        <w:t xml:space="preserve">（小写       ），即中药饮片单价=常州地区中药饮片参考零售价*</w:t>
      </w:r>
      <w:r>
        <w:rPr>
          <w:b/>
          <w:color w:val="000000"/>
          <w:sz w:val="24"/>
          <w:highlight w:val="none"/>
          <w:u w:val="single"/>
        </w:rPr>
        <w:t xml:space="preserve">           %</w:t>
      </w:r>
      <w:r>
        <w:rPr>
          <w:b/>
          <w:color w:val="000000"/>
          <w:sz w:val="24"/>
          <w:highlight w:val="none"/>
        </w:rPr>
        <w:t xml:space="preserve">；</w:t>
      </w:r>
      <w:r>
        <w:rPr>
          <w:b/>
          <w:color w:val="000000"/>
          <w:sz w:val="24"/>
          <w:highlight w:val="none"/>
        </w:rPr>
      </w:r>
      <w:r/>
    </w:p>
    <w:p>
      <w:pPr>
        <w:pStyle w:val="1111"/>
        <w:ind w:firstLine="482"/>
        <w:jc w:val="left"/>
        <w:spacing w:line="360" w:lineRule="auto"/>
        <w:rPr>
          <w:rFonts w:hAnsi="宋体" w:cs="宋体"/>
          <w:b/>
          <w:color w:val="000000"/>
          <w:sz w:val="24"/>
          <w:szCs w:val="24"/>
          <w:highlight w:val="none"/>
        </w:rPr>
      </w:pPr>
      <w:r>
        <w:rPr>
          <w:rFonts w:hAnsi="宋体"/>
          <w:b/>
          <w:color w:val="000000"/>
          <w:sz w:val="24"/>
          <w:szCs w:val="24"/>
          <w:highlight w:val="none"/>
          <w:u w:val="single"/>
        </w:rPr>
        <w:t xml:space="preserve">加工服务：煎汤</w:t>
      </w:r>
      <w:r>
        <w:rPr>
          <w:rFonts w:hAnsi="宋体"/>
          <w:b/>
          <w:color w:val="000000"/>
          <w:sz w:val="24"/>
          <w:szCs w:val="24"/>
          <w:highlight w:val="none"/>
          <w:u w:val="single"/>
        </w:rPr>
        <w:t xml:space="preserve">   </w:t>
      </w:r>
      <w:r>
        <w:rPr>
          <w:rFonts w:hAnsi="宋体"/>
          <w:b/>
          <w:color w:val="000000"/>
          <w:sz w:val="24"/>
          <w:szCs w:val="24"/>
          <w:highlight w:val="none"/>
        </w:rPr>
        <w:t xml:space="preserve">元/帖；熬膏</w:t>
      </w:r>
      <w:r>
        <w:rPr>
          <w:rFonts w:hAnsi="宋体" w:cs="宋体"/>
          <w:b/>
          <w:color w:val="000000"/>
          <w:sz w:val="24"/>
          <w:szCs w:val="24"/>
          <w:highlight w:val="none"/>
          <w:u w:val="single"/>
        </w:rPr>
        <w:t xml:space="preserve"> </w:t>
      </w:r>
      <w:r>
        <w:rPr>
          <w:rFonts w:hAnsi="宋体"/>
          <w:color w:val="000000"/>
          <w:sz w:val="24"/>
          <w:highlight w:val="none"/>
          <w:u w:val="single"/>
        </w:rPr>
        <w:t xml:space="preserve">   </w:t>
      </w:r>
      <w:r>
        <w:rPr>
          <w:rFonts w:hAnsi="宋体"/>
          <w:b/>
          <w:color w:val="000000"/>
          <w:sz w:val="24"/>
          <w:highlight w:val="none"/>
        </w:rPr>
        <w:t xml:space="preserve">元/料</w:t>
      </w:r>
      <w:r>
        <w:rPr>
          <w:rFonts w:hAnsi="宋体" w:cs="宋体"/>
          <w:b/>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Ansi="宋体" w:cs="宋体"/>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合同履行期限</w:t>
      </w:r>
      <w:r>
        <w:rPr>
          <w:rFonts w:hAnsi="宋体" w:cs="宋体"/>
          <w:b/>
          <w:color w:val="000000"/>
          <w:sz w:val="24"/>
          <w:szCs w:val="24"/>
          <w:highlight w:val="none"/>
        </w:rPr>
      </w:r>
      <w:r/>
    </w:p>
    <w:p>
      <w:pPr>
        <w:pStyle w:val="1111"/>
        <w:ind w:firstLine="480"/>
        <w:spacing w:line="360" w:lineRule="auto"/>
        <w:rPr>
          <w:rFonts w:hAnsi="宋体"/>
          <w:bCs/>
          <w:color w:val="000000"/>
          <w:sz w:val="24"/>
          <w:szCs w:val="24"/>
          <w:highlight w:val="none"/>
        </w:rPr>
      </w:pPr>
      <w:r>
        <w:rPr>
          <w:rFonts w:hAnsi="宋体"/>
          <w:bCs/>
          <w:color w:val="000000"/>
          <w:sz w:val="24"/>
          <w:szCs w:val="24"/>
          <w:highlight w:val="none"/>
        </w:rPr>
        <w:t xml:space="preserve">服务期三年，合同一年一签。合同到期前一个月，经甲方考核合格后，可续签下一年合同。</w:t>
      </w:r>
      <w:r>
        <w:rPr>
          <w:rFonts w:hAnsi="宋体"/>
          <w:bCs/>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第四条 组成本合同的有关文件</w:t>
      </w:r>
      <w:r>
        <w:rPr>
          <w:rFonts w:hAnsi="宋体" w:cs="宋体"/>
          <w:b/>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合同款结算及支付</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251"/>
        <w:contextualSpacing/>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3.结算原则：固定费率/单价，按实结算</w:t>
      </w:r>
      <w:r>
        <w:rPr>
          <w:rFonts w:ascii="宋体" w:hAnsi="宋体" w:cs="宋体"/>
          <w:color w:val="000000"/>
          <w:sz w:val="24"/>
          <w:highlight w:val="none"/>
        </w:rPr>
      </w:r>
      <w:r/>
    </w:p>
    <w:p>
      <w:pPr>
        <w:pStyle w:val="1251"/>
        <w:contextualSpacing/>
        <w:ind w:firstLine="480"/>
        <w:jc w:val="left"/>
        <w:spacing w:line="360" w:lineRule="auto"/>
        <w:rPr>
          <w:rFonts w:ascii="宋体" w:hAnsi="宋体"/>
          <w:color w:val="000000"/>
          <w:sz w:val="24"/>
          <w:highlight w:val="none"/>
        </w:rPr>
      </w:pPr>
      <w:r>
        <w:rPr>
          <w:rFonts w:hint="eastAsia" w:ascii="宋体" w:hAnsi="宋体"/>
          <w:color w:val="000000"/>
          <w:sz w:val="24"/>
          <w:szCs w:val="24"/>
          <w:highlight w:val="none"/>
        </w:rPr>
        <w:t xml:space="preserve">（1）中药饮片结算单价=常州地区中药饮片参考零售价*中标费率；（2）</w:t>
      </w:r>
      <w:r>
        <w:rPr>
          <w:rFonts w:hint="eastAsia" w:ascii="宋体" w:hAnsi="宋体"/>
          <w:color w:val="000000"/>
          <w:sz w:val="24"/>
          <w:highlight w:val="none"/>
        </w:rPr>
        <w:t xml:space="preserve">代加工服务单价=中标单价。</w:t>
      </w:r>
      <w:r>
        <w:rPr>
          <w:rFonts w:hint="eastAsia" w:ascii="宋体" w:hAnsi="宋体"/>
          <w:color w:val="000000"/>
          <w:sz w:val="24"/>
          <w:szCs w:val="24"/>
          <w:highlight w:val="none"/>
        </w:rPr>
        <w:t xml:space="preserve">数量以实际发生为准。</w:t>
      </w:r>
      <w:r>
        <w:rPr>
          <w:rFonts w:hint="eastAsia" w:ascii="宋体" w:hAnsi="宋体"/>
          <w:b/>
          <w:color w:val="000000"/>
          <w:sz w:val="24"/>
          <w:szCs w:val="24"/>
          <w:highlight w:val="none"/>
        </w:rPr>
        <w:t xml:space="preserve">结算依据：</w:t>
      </w:r>
      <w:r>
        <w:rPr>
          <w:rFonts w:hint="eastAsia" w:ascii="宋体" w:hAnsi="宋体" w:cs="宋体"/>
          <w:color w:val="000000"/>
          <w:sz w:val="24"/>
          <w:highlight w:val="none"/>
        </w:rPr>
        <w:t xml:space="preserve">根据财务结算要求，乙方提供相应数量及单价的票据。</w:t>
      </w:r>
      <w:r>
        <w:rPr>
          <w:rFonts w:ascii="宋体" w:hAnsi="宋体"/>
          <w:color w:val="000000"/>
          <w:sz w:val="24"/>
          <w:highlight w:val="none"/>
        </w:rPr>
      </w:r>
      <w:r/>
    </w:p>
    <w:p>
      <w:pPr>
        <w:pStyle w:val="1251"/>
        <w:contextualSpacing/>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注：如合同执行期间与上级政策或规定不符，按上级新政策和规定执行，若不能按上级政策或规定执行的，则甲方有权无条件终止合同。</w:t>
      </w:r>
      <w:r>
        <w:rPr>
          <w:rFonts w:hint="eastAsia" w:ascii="宋体" w:hAnsi="宋体"/>
          <w:b/>
          <w:color w:val="000000"/>
          <w:sz w:val="24"/>
          <w:szCs w:val="24"/>
          <w:highlight w:val="none"/>
        </w:rPr>
      </w:r>
      <w:r/>
    </w:p>
    <w:p>
      <w:pPr>
        <w:pStyle w:val="1072"/>
        <w:ind w:firstLine="482"/>
        <w:spacing w:line="360" w:lineRule="auto"/>
        <w:rPr>
          <w:rFonts w:hint="eastAsia" w:ascii="宋体" w:hAnsi="宋体"/>
          <w:b/>
          <w:color w:val="000000"/>
          <w:sz w:val="24"/>
          <w:highlight w:val="none"/>
        </w:rPr>
      </w:pPr>
      <w:r>
        <w:rPr>
          <w:rFonts w:hint="eastAsia" w:ascii="宋体" w:hAnsi="宋体" w:cs="宋体"/>
          <w:b/>
          <w:color w:val="000000"/>
          <w:sz w:val="24"/>
          <w:highlight w:val="none"/>
        </w:rPr>
        <w:t xml:space="preserve">4.付款方式：甲方</w:t>
      </w:r>
      <w:r>
        <w:rPr>
          <w:rFonts w:ascii="宋体" w:hAnsi="宋体"/>
          <w:b/>
          <w:color w:val="000000"/>
          <w:sz w:val="24"/>
          <w:highlight w:val="none"/>
        </w:rPr>
        <w:t xml:space="preserve">在收到</w:t>
      </w:r>
      <w:r>
        <w:rPr>
          <w:rFonts w:hint="eastAsia" w:ascii="宋体" w:hAnsi="宋体"/>
          <w:b/>
          <w:color w:val="000000"/>
          <w:sz w:val="24"/>
          <w:highlight w:val="none"/>
        </w:rPr>
        <w:t xml:space="preserve">乙方</w:t>
      </w:r>
      <w:r>
        <w:rPr>
          <w:rFonts w:ascii="宋体" w:hAnsi="宋体"/>
          <w:b/>
          <w:color w:val="000000"/>
          <w:sz w:val="24"/>
          <w:highlight w:val="none"/>
        </w:rPr>
        <w:t xml:space="preserve">供应中药饮片</w:t>
      </w:r>
      <w:r>
        <w:rPr>
          <w:rFonts w:hint="eastAsia" w:ascii="宋体" w:hAnsi="宋体"/>
          <w:b/>
          <w:color w:val="000000"/>
          <w:sz w:val="24"/>
          <w:highlight w:val="none"/>
        </w:rPr>
        <w:t xml:space="preserve">（及相关</w:t>
      </w:r>
      <w:r>
        <w:rPr>
          <w:rFonts w:hint="eastAsia" w:ascii="宋体" w:hAnsi="宋体" w:cs="宋体"/>
          <w:b/>
          <w:color w:val="000000"/>
          <w:sz w:val="24"/>
          <w:highlight w:val="none"/>
        </w:rPr>
        <w:t xml:space="preserve">代加工服务</w:t>
      </w:r>
      <w:r>
        <w:rPr>
          <w:rFonts w:hint="eastAsia" w:ascii="宋体" w:hAnsi="宋体"/>
          <w:b/>
          <w:color w:val="000000"/>
          <w:sz w:val="24"/>
          <w:highlight w:val="none"/>
        </w:rPr>
        <w:t xml:space="preserve">）180天内</w:t>
      </w:r>
      <w:r>
        <w:rPr>
          <w:rFonts w:ascii="宋体" w:hAnsi="宋体"/>
          <w:b/>
          <w:color w:val="000000"/>
          <w:sz w:val="24"/>
          <w:highlight w:val="none"/>
        </w:rPr>
        <w:t xml:space="preserve">支付货款。</w:t>
      </w:r>
      <w:r>
        <w:rPr>
          <w:rFonts w:hint="eastAsia" w:ascii="宋体" w:hAnsi="宋体"/>
          <w:b/>
          <w:color w:val="000000"/>
          <w:sz w:val="24"/>
          <w:highlight w:val="none"/>
        </w:rPr>
        <w:t xml:space="preserve">乙方</w:t>
      </w:r>
      <w:r>
        <w:rPr>
          <w:rFonts w:ascii="宋体" w:hAnsi="宋体"/>
          <w:b/>
          <w:color w:val="000000"/>
          <w:sz w:val="24"/>
          <w:highlight w:val="none"/>
        </w:rPr>
        <w:t xml:space="preserve">向</w:t>
      </w:r>
      <w:r>
        <w:rPr>
          <w:rFonts w:hint="eastAsia" w:ascii="宋体" w:hAnsi="宋体"/>
          <w:b/>
          <w:color w:val="000000"/>
          <w:sz w:val="24"/>
          <w:highlight w:val="none"/>
        </w:rPr>
        <w:t xml:space="preserve">甲方</w:t>
      </w:r>
      <w:r>
        <w:rPr>
          <w:rFonts w:ascii="宋体" w:hAnsi="宋体"/>
          <w:b/>
          <w:color w:val="000000"/>
          <w:sz w:val="24"/>
          <w:highlight w:val="none"/>
        </w:rPr>
        <w:t xml:space="preserve">开具正规发票</w:t>
      </w:r>
      <w:r>
        <w:rPr>
          <w:rFonts w:hint="eastAsia" w:ascii="宋体" w:hAnsi="宋体"/>
          <w:b/>
          <w:color w:val="000000"/>
          <w:sz w:val="24"/>
          <w:highlight w:val="none"/>
        </w:rPr>
        <w:t xml:space="preserve">。</w:t>
      </w:r>
      <w:r>
        <w:rPr>
          <w:rFonts w:hint="eastAsia" w:ascii="宋体" w:hAnsi="宋体"/>
          <w:b/>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违约责任</w:t>
      </w:r>
      <w:r>
        <w:rPr>
          <w:rFonts w:ascii="宋体" w:hAnsi="宋体" w:cs="宋体"/>
          <w:b/>
          <w:color w:val="000000"/>
          <w:sz w:val="24"/>
          <w:highlight w:val="none"/>
        </w:rPr>
      </w:r>
      <w:r/>
    </w:p>
    <w:p>
      <w:pPr>
        <w:pStyle w:val="107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1.如乙方不能按约定进行服务的，甲方有权解除合同，同时有权要求乙方按照合同总价5%的标准支付违约金，解除合同的通知自发出之日生效。</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2.乙方未按本合同的规定和“服务承诺”提供伴随服务的，甲方有权提前解除本合同，同时乙方应按合同总价款的5 %向甲方承担违约责任。</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4.乙方投标属虚假承诺，或是由于乙方的过错造成合同无法继续履行的，还应向甲方支付不少于合同总价30%违约金，若该违约金不足以弥补甲方损失，则应当赔偿甲方所有损失。</w:t>
      </w:r>
      <w:r>
        <w:rPr>
          <w:rFonts w:ascii="宋体" w:hAnsi="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olor w:val="000000"/>
          <w:sz w:val="24"/>
          <w:highlight w:val="none"/>
        </w:rPr>
        <w:t xml:space="preserve">5.其他未尽事宜，以《民法典》等有关法律法规规定为准，无相关规定的，双方协商解决。</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合同的变更和终止</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合同的转让</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不可抗力</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w:t>
      </w:r>
      <w:r>
        <w:rPr>
          <w:rFonts w:hint="eastAsia" w:ascii="宋体" w:hAnsi="宋体" w:cs="宋体"/>
          <w:color w:val="000000"/>
          <w:sz w:val="24"/>
          <w:highlight w:val="none"/>
          <w:u w:val="single"/>
        </w:rPr>
        <w:t xml:space="preserve">   个</w:t>
      </w:r>
      <w:r>
        <w:rPr>
          <w:rFonts w:hint="eastAsia" w:ascii="宋体" w:hAnsi="宋体" w:cs="宋体"/>
          <w:color w:val="000000"/>
          <w:sz w:val="24"/>
          <w:highlight w:val="none"/>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争议的解决</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2.在法院审理和仲裁期间，除有争议部分外，本合同其他部分应继续履行。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诚实信用 </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合同生效及其他</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2"/>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传真：</w:t>
      </w:r>
      <w:r>
        <w:rPr>
          <w:rFonts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传真：                                   开户银行：        账号：</w:t>
      </w:r>
      <w:r>
        <w:rPr>
          <w:rFonts w:ascii="宋体" w:hAnsi="宋体" w:cs="宋体"/>
          <w:color w:val="000000"/>
          <w:sz w:val="24"/>
          <w:highlight w:val="none"/>
        </w:rPr>
        <w:br w:type="page" w:clear="all"/>
      </w:r>
      <w:r>
        <w:rPr>
          <w:rFonts w:ascii="宋体" w:hAnsi="宋体" w:cs="宋体"/>
          <w:color w:val="000000"/>
          <w:sz w:val="24"/>
          <w:highlight w:val="none"/>
        </w:rPr>
      </w:r>
      <w:r/>
    </w:p>
    <w:p>
      <w:pPr>
        <w:pStyle w:val="1075"/>
        <w:numPr>
          <w:ilvl w:val="2"/>
          <w:numId w:val="14"/>
        </w:numPr>
        <w:contextualSpacing/>
        <w:ind w:firstLine="643"/>
        <w:jc w:val="center"/>
        <w:spacing w:before="120" w:after="0" w:line="360" w:lineRule="auto"/>
        <w:tabs>
          <w:tab w:val="center" w:pos="4677" w:leader="none"/>
          <w:tab w:val="left" w:pos="7652" w:leader="none"/>
        </w:tabs>
        <w:rPr>
          <w:rFonts w:hint="eastAsia" w:hAnsi="宋体"/>
          <w:b w:val="0"/>
          <w:color w:val="000000"/>
          <w:sz w:val="32"/>
          <w:szCs w:val="32"/>
          <w:highlight w:val="none"/>
        </w:rPr>
      </w:pPr>
      <w:r>
        <w:rPr>
          <w:rFonts w:hint="eastAsia" w:hAnsi="宋体"/>
          <w:color w:val="000000"/>
          <w:sz w:val="32"/>
          <w:szCs w:val="32"/>
          <w:highlight w:val="none"/>
          <w:u w:val="none"/>
        </w:rPr>
        <w:t xml:space="preserve">廉 政 责 任 书</w:t>
      </w:r>
      <w:r>
        <w:rPr>
          <w:rFonts w:hint="eastAsia" w:hAnsi="宋体"/>
          <w:b w:val="0"/>
          <w:color w:val="000000"/>
          <w:sz w:val="32"/>
          <w:szCs w:val="32"/>
          <w:highlight w:val="none"/>
        </w:rPr>
      </w:r>
      <w:r/>
    </w:p>
    <w:p>
      <w:pPr>
        <w:pStyle w:val="1072"/>
        <w:ind w:firstLine="560"/>
        <w:spacing w:line="40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为进一步加强廉政建设，特订立如下责任书：</w:t>
      </w:r>
      <w:r>
        <w:rPr>
          <w:rFonts w:hint="eastAsia" w:ascii="宋体" w:hAnsi="宋体"/>
          <w:color w:val="000000"/>
          <w:sz w:val="24"/>
          <w:highlight w:val="none"/>
        </w:rPr>
      </w:r>
      <w:r/>
    </w:p>
    <w:p>
      <w:pPr>
        <w:pStyle w:val="1072"/>
        <w:ind w:firstLine="482"/>
        <w:spacing w:line="540" w:lineRule="exact"/>
        <w:widowControl/>
        <w:rPr>
          <w:rFonts w:hint="eastAsia" w:ascii="宋体" w:hAnsi="宋体"/>
          <w:b/>
          <w:color w:val="000000"/>
          <w:sz w:val="24"/>
          <w:highlight w:val="none"/>
        </w:rPr>
      </w:pPr>
      <w:r>
        <w:rPr>
          <w:rFonts w:hint="eastAsia" w:ascii="宋体" w:hAnsi="宋体"/>
          <w:b/>
          <w:color w:val="000000"/>
          <w:sz w:val="24"/>
          <w:highlight w:val="none"/>
        </w:rPr>
        <w:t xml:space="preserve">一、甲、乙双方的权利和义务</w:t>
      </w:r>
      <w:r>
        <w:rPr>
          <w:rFonts w:hint="eastAsia" w:ascii="宋体" w:hAnsi="宋体"/>
          <w:b/>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1. 甲乙双方应严格遵守党的政策规定和国家有关法律法规。</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2. 甲乙双方应严格执行项目的合同文件，自觉按合同办事。</w:t>
      </w:r>
      <w:r>
        <w:rPr>
          <w:rFonts w:hint="eastAsia" w:ascii="宋体" w:hAnsi="宋体"/>
          <w:color w:val="000000"/>
          <w:sz w:val="24"/>
          <w:highlight w:val="none"/>
        </w:rPr>
      </w:r>
      <w:r/>
    </w:p>
    <w:p>
      <w:pPr>
        <w:pStyle w:val="1072"/>
        <w:ind w:firstLine="464"/>
        <w:spacing w:line="540" w:lineRule="exact"/>
        <w:widowControl/>
        <w:rPr>
          <w:rFonts w:hint="eastAsia" w:ascii="宋体" w:hAnsi="宋体"/>
          <w:color w:val="000000"/>
          <w:sz w:val="24"/>
          <w:highlight w:val="none"/>
        </w:rPr>
      </w:pPr>
      <w:r>
        <w:rPr>
          <w:rFonts w:hint="eastAsia" w:ascii="宋体" w:hAnsi="宋体"/>
          <w:color w:val="000000"/>
          <w:spacing w:val="-4"/>
          <w:sz w:val="24"/>
          <w:highlight w:val="none"/>
        </w:rPr>
        <w:t xml:space="preserve">3．甲乙双方的业务活动应坚持公开、公平、公正、诚信、透明的原则</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4．甲乙双方不得以任何理由向对方工作人员行贿或馈赠礼金、有价证券、贵重礼品。不得在对方报销任何应由个人支付的费用。</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5．甲乙双方不得以任何理由违反廉洁自律的有关规定。</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6．甲乙双方发现对方严重违反本协议条款的行为，有及时提醒对方、向其上级有关部门举报、建议给予处理并要求告知处理结果的权利。</w:t>
      </w:r>
      <w:r>
        <w:rPr>
          <w:rFonts w:hint="eastAsia" w:ascii="宋体" w:hAnsi="宋体"/>
          <w:color w:val="000000"/>
          <w:sz w:val="24"/>
          <w:highlight w:val="none"/>
        </w:rPr>
      </w:r>
      <w:r/>
    </w:p>
    <w:p>
      <w:pPr>
        <w:pStyle w:val="1072"/>
        <w:ind w:firstLine="482"/>
        <w:spacing w:line="540" w:lineRule="exact"/>
        <w:widowControl/>
        <w:rPr>
          <w:rFonts w:hint="eastAsia" w:ascii="宋体" w:hAnsi="宋体"/>
          <w:b/>
          <w:color w:val="000000"/>
          <w:sz w:val="24"/>
          <w:highlight w:val="none"/>
        </w:rPr>
      </w:pPr>
      <w:r>
        <w:rPr>
          <w:rFonts w:hint="eastAsia" w:ascii="宋体" w:hAnsi="宋体"/>
          <w:b/>
          <w:color w:val="000000"/>
          <w:sz w:val="24"/>
          <w:highlight w:val="none"/>
        </w:rPr>
        <w:t xml:space="preserve">二、违约责任</w:t>
      </w:r>
      <w:r>
        <w:rPr>
          <w:rFonts w:hint="eastAsia" w:ascii="宋体" w:hAnsi="宋体"/>
          <w:b/>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2．本协议一式三份，由甲、乙双方各执一份，送交甲方的监督单位一份。</w:t>
      </w:r>
      <w:r>
        <w:rPr>
          <w:rFonts w:hint="eastAsia" w:ascii="宋体" w:hAnsi="宋体"/>
          <w:color w:val="000000"/>
          <w:sz w:val="24"/>
          <w:highlight w:val="none"/>
        </w:rPr>
      </w:r>
      <w:r/>
    </w:p>
    <w:p>
      <w:pPr>
        <w:pStyle w:val="1072"/>
        <w:ind w:firstLine="480"/>
        <w:spacing w:line="540" w:lineRule="exact"/>
        <w:widowControl/>
        <w:rPr>
          <w:rFonts w:ascii="宋体" w:hAnsi="宋体"/>
          <w:color w:val="000000"/>
          <w:sz w:val="24"/>
          <w:highlight w:val="none"/>
        </w:rPr>
      </w:pPr>
      <w:r>
        <w:rPr>
          <w:rFonts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甲方（盖章）：            </w:t>
      </w:r>
      <w:r>
        <w:rPr>
          <w:rFonts w:ascii="宋体" w:hAnsi="宋体"/>
          <w:color w:val="000000"/>
          <w:sz w:val="24"/>
          <w:highlight w:val="none"/>
        </w:rPr>
        <w:t xml:space="preserve">         </w:t>
      </w:r>
      <w:r>
        <w:rPr>
          <w:rFonts w:hint="eastAsia" w:ascii="宋体" w:hAnsi="宋体"/>
          <w:color w:val="000000"/>
          <w:sz w:val="24"/>
          <w:highlight w:val="none"/>
        </w:rPr>
        <w:t xml:space="preserve">乙方（盖章）：</w:t>
      </w:r>
      <w:r>
        <w:rPr>
          <w:rFonts w:hint="eastAsia" w:ascii="宋体" w:hAnsi="宋体"/>
          <w:color w:val="000000"/>
          <w:sz w:val="24"/>
          <w:highlight w:val="none"/>
        </w:rPr>
      </w:r>
      <w:r/>
    </w:p>
    <w:p>
      <w:pPr>
        <w:pStyle w:val="1072"/>
        <w:ind w:firstLine="480"/>
        <w:spacing w:line="540" w:lineRule="exact"/>
        <w:widowControl/>
        <w:rPr>
          <w:rFonts w:hint="eastAsia" w:ascii="宋体" w:hAnsi="宋体"/>
          <w:color w:val="000000"/>
          <w:sz w:val="24"/>
          <w:highlight w:val="none"/>
        </w:rPr>
      </w:pPr>
      <w:r>
        <w:rPr>
          <w:rFonts w:hint="eastAsia" w:ascii="宋体" w:hAnsi="宋体"/>
          <w:color w:val="000000"/>
          <w:sz w:val="24"/>
          <w:highlight w:val="none"/>
        </w:rPr>
        <w:t xml:space="preserve">日期：    年   月   日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1072"/>
        <w:spacing w:line="360" w:lineRule="auto"/>
        <w:rPr>
          <w:rFonts w:ascii="宋体" w:hAnsi="宋体" w:cs="宋体"/>
          <w:color w:val="000000"/>
          <w:sz w:val="24"/>
          <w:highlight w:val="none"/>
        </w:rPr>
      </w:pPr>
      <w:r>
        <w:rPr>
          <w:rFonts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9" w:name="_Toc99301426"/>
      <w:r>
        <w:rPr>
          <w:rFonts w:ascii="宋体" w:hAnsi="宋体"/>
          <w:b/>
          <w:color w:val="000000"/>
          <w:sz w:val="36"/>
          <w:szCs w:val="36"/>
          <w:highlight w:val="none"/>
        </w:rPr>
        <w:t xml:space="preserve">第七章   投标文件格式</w:t>
      </w:r>
      <w:bookmarkEnd w:id="829"/>
      <w:r>
        <w:rPr>
          <w:rFonts w:ascii="宋体" w:hAnsi="宋体"/>
          <w:b/>
          <w:color w:val="000000"/>
          <w:sz w:val="36"/>
          <w:szCs w:val="36"/>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2"/>
        <w:jc w:val="left"/>
        <w:keepLines/>
        <w:keepNext/>
        <w:spacing w:before="120" w:line="300" w:lineRule="auto"/>
        <w:rPr>
          <w:rFonts w:ascii="宋体" w:hAnsi="宋体"/>
          <w:b/>
          <w:color w:val="000000"/>
          <w:sz w:val="30"/>
          <w:szCs w:val="20"/>
          <w:highlight w:val="none"/>
        </w:rPr>
        <w:outlineLvl w:val="1"/>
      </w:pPr>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2"/>
        <w:rPr>
          <w:rFonts w:ascii="宋体" w:hAnsi="宋体"/>
          <w:b/>
          <w:color w:val="000000"/>
          <w:spacing w:val="20"/>
          <w:szCs w:val="21"/>
          <w:highlight w:val="none"/>
        </w:rPr>
      </w:pPr>
      <w:r>
        <w:rPr>
          <w:rFonts w:ascii="宋体" w:hAnsi="宋体"/>
          <w:b/>
          <w:color w:val="000000"/>
          <w:spacing w:val="20"/>
          <w:szCs w:val="21"/>
          <w:highlight w:val="none"/>
        </w:rPr>
      </w:r>
      <w:r/>
    </w:p>
    <w:p>
      <w:pPr>
        <w:pStyle w:val="1072"/>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2"/>
        <w:jc w:val="center"/>
        <w:rPr>
          <w:rFonts w:ascii="宋体" w:hAnsi="宋体"/>
          <w:color w:val="000000"/>
          <w:szCs w:val="21"/>
          <w:highlight w:val="none"/>
        </w:rPr>
      </w:pPr>
      <w:r>
        <w:rPr>
          <w:rFonts w:ascii="宋体" w:hAnsi="宋体"/>
          <w:color w:val="000000"/>
          <w:szCs w:val="21"/>
          <w:highlight w:val="none"/>
        </w:rPr>
      </w:r>
      <w:r/>
    </w:p>
    <w:p>
      <w:pPr>
        <w:pStyle w:val="1072"/>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jc w:val="center"/>
        <w:rPr>
          <w:rFonts w:ascii="宋体" w:hAnsi="宋体"/>
          <w:b/>
          <w:color w:val="000000"/>
          <w:sz w:val="32"/>
          <w:szCs w:val="32"/>
          <w:highlight w:val="none"/>
        </w:rPr>
      </w:pPr>
      <w:r>
        <w:rPr>
          <w:rFonts w:ascii="宋体" w:hAnsi="宋体"/>
          <w:b/>
          <w:color w:val="000000"/>
          <w:sz w:val="32"/>
          <w:szCs w:val="32"/>
          <w:highlight w:val="none"/>
        </w:rPr>
      </w:r>
      <w:r/>
    </w:p>
    <w:p>
      <w:pPr>
        <w:pStyle w:val="1072"/>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2"/>
        <w:rPr>
          <w:rFonts w:ascii="宋体" w:hAnsi="宋体"/>
          <w:b/>
          <w:color w:val="000000"/>
          <w:highlight w:val="none"/>
        </w:rPr>
      </w:pPr>
      <w:r>
        <w:rPr>
          <w:rFonts w:ascii="宋体" w:hAnsi="宋体"/>
          <w:b/>
          <w:color w:val="000000"/>
          <w:highlight w:val="none"/>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5"/>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8"/>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88"/>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88"/>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2-3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2"/>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3-2其他特定资格要求</w:t>
      </w:r>
      <w:r>
        <w:rPr>
          <w:rFonts w:hint="eastAsia" w:ascii="宋体" w:hAnsi="宋体"/>
          <w:b/>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30" w:name="_Toc142311058"/>
      <w:r/>
      <w:bookmarkStart w:id="831" w:name="_Ref467988698"/>
      <w:r/>
      <w:bookmarkStart w:id="832" w:name="_Toc127151556"/>
      <w:r/>
      <w:bookmarkStart w:id="833" w:name="_Toc150774761"/>
      <w:r/>
      <w:bookmarkStart w:id="834" w:name="_Toc195842921"/>
      <w:r/>
      <w:bookmarkStart w:id="835" w:name="_Toc520356217"/>
      <w:r/>
      <w:bookmarkStart w:id="836" w:name="_Toc480942349"/>
      <w:r/>
      <w:bookmarkStart w:id="837" w:name="_Toc226337252"/>
      <w:r/>
      <w:bookmarkStart w:id="838" w:name="_Toc226965829"/>
      <w:r/>
      <w:bookmarkStart w:id="839" w:name="_Toc226965746"/>
      <w:r/>
      <w:bookmarkStart w:id="840" w:name="_Toc150480794"/>
      <w:r/>
      <w:bookmarkStart w:id="841" w:name="_Toc226309800"/>
      <w:r>
        <w:rPr>
          <w:rFonts w:hint="eastAsia" w:ascii="宋体" w:hAnsi="宋体"/>
          <w:b/>
          <w:color w:val="000000"/>
          <w:sz w:val="32"/>
          <w:szCs w:val="32"/>
          <w:highlight w:val="none"/>
        </w:rPr>
      </w:r>
      <w:r/>
    </w:p>
    <w:p>
      <w:pPr>
        <w:pStyle w:val="1072"/>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30"/>
      <w:r/>
      <w:bookmarkEnd w:id="831"/>
      <w:r/>
      <w:bookmarkEnd w:id="832"/>
      <w:r/>
      <w:bookmarkEnd w:id="833"/>
      <w:r/>
      <w:bookmarkEnd w:id="834"/>
      <w:r/>
      <w:bookmarkEnd w:id="835"/>
      <w:r/>
      <w:bookmarkEnd w:id="836"/>
      <w:r/>
      <w:bookmarkEnd w:id="837"/>
      <w:r/>
      <w:bookmarkEnd w:id="838"/>
      <w:r/>
      <w:bookmarkEnd w:id="839"/>
      <w:r/>
      <w:bookmarkEnd w:id="840"/>
      <w:r/>
      <w:bookmarkEnd w:id="841"/>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（4）如我方中标，我方将在法律规定的期限内与你方签订合同，按照招标文件要求在合同约定的期限内完成合同规定的全部义务。</w:t>
      </w:r>
      <w:r>
        <w:rPr>
          <w:rFonts w:ascii="宋体" w:hAnsi="宋体"/>
          <w:color w:val="000000"/>
          <w:sz w:val="24"/>
          <w:highlight w:val="none"/>
        </w:rPr>
      </w:r>
      <w:r/>
    </w:p>
    <w:p>
      <w:pPr>
        <w:pStyle w:val="1072"/>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2"/>
        <w:jc w:val="left"/>
        <w:widowControl/>
        <w:rPr>
          <w:rFonts w:hint="eastAsia" w:ascii="宋体" w:hAnsi="宋体"/>
          <w:b/>
          <w:color w:val="000000"/>
          <w:sz w:val="24"/>
          <w:highlight w:val="none"/>
        </w:rPr>
      </w:pPr>
      <w:r/>
      <w:bookmarkStart w:id="842" w:name="_Hlt520356243"/>
      <w:r/>
      <w:bookmarkEnd w:id="842"/>
      <w:r/>
      <w:bookmarkStart w:id="843" w:name="_Hlt520355938"/>
      <w:r/>
      <w:bookmarkEnd w:id="843"/>
      <w:r>
        <w:rPr>
          <w:rFonts w:ascii="宋体" w:hAnsi="宋体"/>
          <w:color w:val="000000"/>
          <w:sz w:val="24"/>
          <w:highlight w:val="none"/>
        </w:rPr>
        <w:br w:type="page" w:clear="all"/>
      </w:r>
      <w:r>
        <w:rPr>
          <w:rFonts w:hint="eastAsia" w:ascii="宋体" w:hAnsi="宋体"/>
          <w:b/>
          <w:color w:val="000000"/>
          <w:sz w:val="24"/>
          <w:highlight w:val="none"/>
        </w:rPr>
      </w:r>
      <w:r/>
    </w:p>
    <w:p>
      <w:pPr>
        <w:pStyle w:val="107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ascii="宋体" w:hAnsi="宋体"/>
          <w:color w:val="000000"/>
          <w:sz w:val="24"/>
          <w:highlight w:val="none"/>
        </w:rPr>
      </w:r>
      <w:r/>
    </w:p>
    <w:p>
      <w:pPr>
        <w:pStyle w:val="1084"/>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4"/>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0"/>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2"/>
        <w:spacing w:line="400" w:lineRule="exact"/>
        <w:rPr>
          <w:rFonts w:ascii="宋体" w:hAnsi="宋体" w:cs="宋体"/>
          <w:color w:val="000000"/>
          <w:sz w:val="24"/>
          <w:highlight w:val="none"/>
        </w:rPr>
      </w:pPr>
      <w:r>
        <w:rPr>
          <w:rFonts w:ascii="宋体" w:hAnsi="宋体" w:cs="宋体"/>
          <w:color w:val="000000"/>
          <w:sz w:val="24"/>
          <w:highlight w:val="none"/>
        </w:rPr>
      </w:r>
      <w:r/>
    </w:p>
    <w:p>
      <w:pPr>
        <w:pStyle w:val="1084"/>
        <w:ind w:right="-46"/>
        <w:spacing w:line="583" w:lineRule="auto"/>
        <w:tabs>
          <w:tab w:val="left" w:pos="567" w:leader="none"/>
        </w:tabs>
        <w:rPr>
          <w:b/>
          <w:bCs/>
          <w:color w:val="000000"/>
          <w:highlight w:val="none"/>
        </w:rPr>
      </w:pPr>
      <w:r>
        <w:rPr>
          <w:b/>
          <w:bCs/>
          <w:color w:val="000000"/>
          <w:highlight w:val="none"/>
        </w:rPr>
        <w:t xml:space="preserve">附：</w:t>
      </w:r>
      <w:r>
        <w:rPr>
          <w:b/>
          <w:bCs/>
          <w:color w:val="000000"/>
          <w:highlight w:val="none"/>
        </w:rPr>
      </w:r>
      <w:r/>
    </w:p>
    <w:p>
      <w:pPr>
        <w:pStyle w:val="1084"/>
        <w:ind w:right="-46"/>
        <w:spacing w:line="583" w:lineRule="auto"/>
        <w:tabs>
          <w:tab w:val="left" w:pos="567" w:leader="none"/>
        </w:tabs>
        <w:rPr>
          <w:b/>
          <w:bCs/>
          <w:color w:val="000000"/>
          <w:spacing w:val="-3"/>
          <w:highlight w:val="none"/>
        </w:rPr>
      </w:pPr>
      <w:r>
        <w:rPr>
          <w:rFonts w:hint="eastAsia"/>
          <w:b/>
          <w:bCs/>
          <w:color w:val="000000"/>
          <w:highlight w:val="none"/>
        </w:rPr>
        <w:t xml:space="preserve">1、</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84"/>
        <w:ind w:right="-46"/>
        <w:spacing w:line="583" w:lineRule="auto"/>
        <w:tabs>
          <w:tab w:val="left" w:pos="567" w:leader="none"/>
        </w:tabs>
        <w:rPr>
          <w:rFonts w:hint="eastAsia"/>
          <w:b/>
          <w:bCs/>
          <w:color w:val="000000"/>
          <w:highlight w:val="none"/>
        </w:rPr>
      </w:pPr>
      <w:r>
        <w:rPr>
          <w:rFonts w:hint="eastAsia"/>
          <w:b/>
          <w:bCs/>
          <w:color w:val="000000"/>
          <w:highlight w:val="none"/>
        </w:rPr>
        <w:t xml:space="preserve">2、投标人近三个月内任意一个月（自开标之日往前推）为其缴纳社保的记录</w:t>
      </w:r>
      <w:r>
        <w:rPr>
          <w:rFonts w:hint="eastAsia"/>
          <w:b/>
          <w:bCs/>
          <w:color w:val="000000"/>
          <w:highlight w:val="none"/>
        </w:rPr>
      </w:r>
      <w:r/>
    </w:p>
    <w:p>
      <w:pPr>
        <w:pStyle w:val="107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4"/>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2"/>
        <w:ind w:firstLine="640"/>
        <w:rPr>
          <w:rFonts w:ascii="宋体" w:hAnsi="宋体"/>
          <w:color w:val="000000"/>
          <w:highlight w:val="none"/>
        </w:rPr>
      </w:pPr>
      <w:r>
        <w:rPr>
          <w:rFonts w:ascii="宋体" w:hAnsi="宋体"/>
          <w:color w:val="000000"/>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9"/>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44" w:name="_Hlt520273711"/>
      <w:r/>
      <w:bookmarkEnd w:id="844"/>
      <w:r/>
      <w:bookmarkStart w:id="845" w:name="_Hlt520274393"/>
      <w:r/>
      <w:bookmarkEnd w:id="845"/>
      <w:r/>
      <w:bookmarkStart w:id="846" w:name="_Hlt520274407"/>
      <w:r/>
      <w:bookmarkEnd w:id="846"/>
      <w:r/>
      <w:bookmarkStart w:id="847" w:name="_Hlt520350918"/>
      <w:r/>
      <w:bookmarkEnd w:id="847"/>
      <w:r/>
      <w:bookmarkStart w:id="848" w:name="_Hlt520274065"/>
      <w:r/>
      <w:bookmarkEnd w:id="848"/>
      <w:r/>
      <w:bookmarkStart w:id="849" w:name="_Hlt520355504"/>
      <w:r/>
      <w:bookmarkEnd w:id="849"/>
      <w:r/>
      <w:bookmarkStart w:id="850" w:name="_Hlt520343000"/>
      <w:r/>
      <w:bookmarkEnd w:id="850"/>
      <w:r/>
      <w:bookmarkStart w:id="851" w:name="_Hlt520343392"/>
      <w:r/>
      <w:bookmarkEnd w:id="851"/>
      <w:r/>
      <w:bookmarkStart w:id="852" w:name="_Hlt520271212"/>
      <w:r/>
      <w:bookmarkEnd w:id="852"/>
      <w:r/>
      <w:bookmarkStart w:id="853" w:name="_Hlt520274121"/>
      <w:r/>
      <w:bookmarkEnd w:id="853"/>
      <w:r/>
      <w:bookmarkStart w:id="854" w:name="_Toc142311059"/>
      <w:r/>
      <w:bookmarkStart w:id="855" w:name="_Toc520356218"/>
      <w:r/>
      <w:bookmarkStart w:id="856" w:name="_Toc226337253"/>
      <w:r/>
      <w:bookmarkStart w:id="857" w:name="_Ref467988705"/>
      <w:r/>
      <w:bookmarkStart w:id="858" w:name="_Toc264969247"/>
      <w:r/>
      <w:bookmarkStart w:id="859" w:name="_Toc226309801"/>
      <w:r/>
      <w:bookmarkStart w:id="860" w:name="_Toc127151557"/>
      <w:r/>
      <w:bookmarkStart w:id="861" w:name="_Toc150480795"/>
      <w:r/>
      <w:bookmarkStart w:id="862" w:name="_Toc265228395"/>
      <w:r/>
      <w:bookmarkStart w:id="863" w:name="_Toc226965747"/>
      <w:r/>
      <w:bookmarkStart w:id="864" w:name="_Toc195842922"/>
      <w:r/>
      <w:bookmarkStart w:id="865" w:name="_Toc480942350"/>
      <w:r/>
      <w:bookmarkStart w:id="866" w:name="_Toc150774762"/>
      <w:r/>
      <w:bookmarkStart w:id="867" w:name="_Toc226965830"/>
      <w:r/>
      <w:bookmarkStart w:id="868" w:name="_Toc305158899"/>
      <w:r/>
      <w:bookmarkStart w:id="869" w:name="_Toc305158825"/>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b/>
          <w:color w:val="000000"/>
          <w:sz w:val="36"/>
          <w:szCs w:val="36"/>
          <w:highlight w:val="none"/>
        </w:rPr>
      </w:pPr>
      <w:r/>
      <w:bookmarkStart w:id="870" w:name="_Toc264969248"/>
      <w:r/>
      <w:bookmarkStart w:id="871" w:name="_Toc226337254"/>
      <w:r/>
      <w:bookmarkStart w:id="872" w:name="_Toc265228396"/>
      <w:r/>
      <w:bookmarkStart w:id="873" w:name="_Toc195842923"/>
      <w:r/>
      <w:bookmarkStart w:id="874" w:name="_Toc226309802"/>
      <w:r/>
      <w:bookmarkStart w:id="875" w:name="_Toc226965748"/>
      <w:r/>
      <w:bookmarkStart w:id="876" w:name="_Toc305158826"/>
      <w:r/>
      <w:bookmarkStart w:id="877" w:name="_Toc164608672"/>
      <w:r/>
      <w:bookmarkStart w:id="878" w:name="_Toc305158900"/>
      <w:r/>
      <w:bookmarkStart w:id="879" w:name="_Toc164608827"/>
      <w:r/>
      <w:bookmarkStart w:id="880" w:name="_Toc226965831"/>
      <w:r>
        <w:rPr>
          <w:rFonts w:hint="eastAsia" w:ascii="宋体" w:hAnsi="宋体"/>
          <w:b/>
          <w:color w:val="000000"/>
          <w:sz w:val="36"/>
          <w:szCs w:val="36"/>
          <w:highlight w:val="none"/>
        </w:rPr>
        <w:t xml:space="preserve">开标一览表</w:t>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color w:val="000000"/>
          <w:sz w:val="36"/>
          <w:szCs w:val="36"/>
          <w:highlight w:val="none"/>
        </w:rPr>
      </w:r>
      <w:r/>
    </w:p>
    <w:p>
      <w:pPr>
        <w:pStyle w:val="1072"/>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2"/>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14"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13"/>
        <w:gridCol w:w="1990"/>
        <w:gridCol w:w="1988"/>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8"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7"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4"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7"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4"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r>
      <w:tr>
        <w:trPr>
          <w:trHeight w:val="976"/>
        </w:trPr>
        <w:tc>
          <w:tcPr>
            <w:gridSpan w:val="4"/>
            <w:tcW w:w="8381" w:type="dxa"/>
            <w:vAlign w:val="center"/>
            <w:textDirection w:val="lrTb"/>
            <w:noWrap w:val="false"/>
          </w:tcPr>
          <w:p>
            <w:pPr>
              <w:pStyle w:val="1072"/>
              <w:tabs>
                <w:tab w:val="left" w:pos="5580" w:leader="none"/>
              </w:tabs>
              <w:rPr>
                <w:rFonts w:ascii="宋体" w:hAnsi="宋体"/>
                <w:color w:val="000000"/>
                <w:sz w:val="24"/>
                <w:highlight w:val="none"/>
              </w:rPr>
            </w:pPr>
            <w:r>
              <w:rPr>
                <w:rFonts w:hint="eastAsia" w:ascii="宋体" w:hAnsi="宋体"/>
                <w:b/>
                <w:color w:val="000000"/>
                <w:sz w:val="24"/>
                <w:highlight w:val="none"/>
              </w:rPr>
              <w:t xml:space="preserve">“开标一览表”为实质性格式，各供应商</w:t>
            </w:r>
            <w:r>
              <w:rPr>
                <w:rFonts w:hint="eastAsia" w:ascii="宋体" w:hAnsi="宋体"/>
                <w:b/>
                <w:color w:val="000000"/>
                <w:sz w:val="24"/>
                <w:szCs w:val="20"/>
                <w:highlight w:val="none"/>
              </w:rPr>
              <w:t xml:space="preserve">投标报价统一按照预算价（1500万元）进行报价，否则视为未响应实质性格式，其投标无效。</w:t>
            </w:r>
            <w:r>
              <w:rPr>
                <w:rFonts w:ascii="宋体" w:hAnsi="宋体"/>
                <w:color w:val="000000"/>
                <w:sz w:val="24"/>
                <w:highlight w:val="none"/>
              </w:rPr>
            </w:r>
            <w:r/>
          </w:p>
        </w:tc>
      </w:tr>
    </w:tbl>
    <w:p>
      <w:pPr>
        <w:pStyle w:val="1072"/>
        <w:jc w:val="left"/>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81" w:name="_Toc142311060"/>
      <w:r/>
      <w:bookmarkStart w:id="882" w:name="_Toc305158901"/>
      <w:r/>
      <w:bookmarkStart w:id="883" w:name="_Toc265228397"/>
      <w:r/>
      <w:bookmarkStart w:id="884" w:name="_Toc226309803"/>
      <w:r/>
      <w:bookmarkStart w:id="885" w:name="_Toc127151558"/>
      <w:r/>
      <w:bookmarkStart w:id="886" w:name="_Toc150774763"/>
      <w:r/>
      <w:bookmarkStart w:id="887" w:name="_Toc226965749"/>
      <w:r/>
      <w:bookmarkStart w:id="888" w:name="_Toc226965832"/>
      <w:r/>
      <w:bookmarkStart w:id="889" w:name="_Toc150480796"/>
      <w:r/>
      <w:bookmarkStart w:id="890" w:name="_Toc305158827"/>
      <w:r/>
      <w:bookmarkStart w:id="891" w:name="_Toc226337255"/>
      <w:r/>
      <w:bookmarkStart w:id="892" w:name="_Toc264969249"/>
      <w:r/>
      <w:bookmarkStart w:id="893" w:name="_Toc195842924"/>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2"/>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w:t>
      </w:r>
      <w:r>
        <w:rPr>
          <w:rFonts w:ascii="宋体" w:hAnsi="宋体"/>
          <w:color w:val="000000"/>
          <w:sz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2340"/>
        <w:gridCol w:w="2291"/>
        <w:gridCol w:w="2023"/>
        <w:gridCol w:w="1701"/>
      </w:tblGrid>
      <w:tr>
        <w:trPr/>
        <w:tc>
          <w:tcPr>
            <w:tcW w:w="933"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bookmarkStart w:id="894" w:name="_Toc150480798"/>
            <w:r/>
            <w:bookmarkStart w:id="895" w:name="_Toc305158830"/>
            <w:r/>
            <w:bookmarkStart w:id="896" w:name="_Toc226337258"/>
            <w:r/>
            <w:bookmarkStart w:id="897" w:name="_Toc195842927"/>
            <w:r/>
            <w:bookmarkStart w:id="898" w:name="_Toc226309806"/>
            <w:r/>
            <w:bookmarkStart w:id="899" w:name="_Toc305158904"/>
            <w:r/>
            <w:bookmarkStart w:id="900" w:name="_Toc265228400"/>
            <w:r/>
            <w:bookmarkStart w:id="901" w:name="_Toc264969252"/>
            <w:r/>
            <w:bookmarkStart w:id="902" w:name="_Toc150774765"/>
            <w:r/>
            <w:bookmarkStart w:id="903" w:name="_Toc226965752"/>
            <w:r/>
            <w:bookmarkStart w:id="904" w:name="_Toc127151562"/>
            <w:r/>
            <w:bookmarkStart w:id="905" w:name="_Toc226965835"/>
            <w:r/>
            <w:bookmarkStart w:id="906" w:name="_Toc142311062"/>
            <w:r/>
            <w:bookmarkStart w:id="907" w:name="_Toc142311061"/>
            <w:r/>
            <w:bookmarkStart w:id="908" w:name="_Toc264969251"/>
            <w:r/>
            <w:bookmarkStart w:id="909" w:name="_Toc127151561"/>
            <w:r/>
            <w:bookmarkStart w:id="910" w:name="_Toc226337257"/>
            <w:r/>
            <w:bookmarkStart w:id="911" w:name="_Toc226965834"/>
            <w:r/>
            <w:bookmarkStart w:id="912" w:name="_Toc150774764"/>
            <w:r/>
            <w:bookmarkStart w:id="913" w:name="_Toc226965751"/>
            <w:r/>
            <w:bookmarkStart w:id="914" w:name="_Toc305158829"/>
            <w:r/>
            <w:bookmarkStart w:id="915" w:name="_Toc226309805"/>
            <w:r/>
            <w:bookmarkStart w:id="916" w:name="_Toc195842926"/>
            <w:r/>
            <w:bookmarkStart w:id="917" w:name="_Toc265228399"/>
            <w:r/>
            <w:bookmarkStart w:id="918" w:name="_Toc150480797"/>
            <w:r/>
            <w:bookmarkStart w:id="919" w:name="_Toc305158903"/>
            <w:r>
              <w:rPr>
                <w:rFonts w:hint="eastAsia" w:ascii="宋体" w:hAnsi="宋体"/>
                <w:color w:val="000000"/>
                <w:sz w:val="24"/>
                <w:highlight w:val="none"/>
              </w:rPr>
              <w:t xml:space="preserve">序号</w:t>
            </w:r>
            <w:r>
              <w:rPr>
                <w:rFonts w:ascii="宋体" w:hAnsi="宋体"/>
                <w:color w:val="000000"/>
                <w:sz w:val="24"/>
                <w:highlight w:val="none"/>
              </w:rPr>
            </w:r>
            <w:r/>
          </w:p>
        </w:tc>
        <w:tc>
          <w:tcPr>
            <w:tcW w:w="2340"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类别</w:t>
            </w:r>
            <w:r>
              <w:rPr>
                <w:rFonts w:ascii="宋体" w:hAnsi="宋体"/>
                <w:color w:val="000000"/>
                <w:sz w:val="24"/>
                <w:highlight w:val="none"/>
              </w:rPr>
            </w:r>
            <w:r/>
          </w:p>
        </w:tc>
        <w:tc>
          <w:tcPr>
            <w:tcW w:w="2291"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限价费率</w:t>
            </w:r>
            <w:r>
              <w:rPr>
                <w:rFonts w:ascii="宋体" w:hAnsi="宋体"/>
                <w:color w:val="000000"/>
                <w:sz w:val="24"/>
                <w:highlight w:val="none"/>
              </w:rPr>
            </w:r>
            <w:r/>
          </w:p>
        </w:tc>
        <w:tc>
          <w:tcPr>
            <w:tcW w:w="2023"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投标费率</w:t>
            </w:r>
            <w:r>
              <w:rPr>
                <w:rFonts w:ascii="宋体" w:hAnsi="宋体"/>
                <w:color w:val="000000"/>
                <w:sz w:val="24"/>
                <w:highlight w:val="none"/>
              </w:rPr>
            </w:r>
            <w:r/>
          </w:p>
        </w:tc>
        <w:tc>
          <w:tcPr>
            <w:tcW w:w="1701"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最终结算价格</w:t>
            </w:r>
            <w:r>
              <w:rPr>
                <w:rFonts w:ascii="宋体" w:hAnsi="宋体"/>
                <w:color w:val="000000"/>
                <w:sz w:val="24"/>
                <w:highlight w:val="none"/>
              </w:rPr>
            </w:r>
            <w:r/>
          </w:p>
        </w:tc>
      </w:tr>
      <w:tr>
        <w:trPr/>
        <w:tc>
          <w:tcPr>
            <w:tcW w:w="933"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2340"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中药饮片供应</w:t>
            </w:r>
            <w:r>
              <w:rPr>
                <w:rFonts w:ascii="宋体" w:hAnsi="宋体"/>
                <w:color w:val="000000"/>
                <w:sz w:val="24"/>
                <w:highlight w:val="none"/>
              </w:rPr>
            </w:r>
            <w:r/>
          </w:p>
        </w:tc>
        <w:tc>
          <w:tcPr>
            <w:tcW w:w="2291" w:type="dxa"/>
            <w:vAlign w:val="center"/>
            <w:textDirection w:val="lrTb"/>
            <w:noWrap w:val="false"/>
          </w:tcPr>
          <w:p>
            <w:pPr>
              <w:pStyle w:val="1072"/>
              <w:ind w:firstLine="960"/>
              <w:tabs>
                <w:tab w:val="left" w:pos="1800" w:leader="none"/>
                <w:tab w:val="left" w:pos="5580" w:leader="none"/>
              </w:tabs>
              <w:rPr>
                <w:rFonts w:hAnsi="宋体"/>
                <w:b/>
                <w:color w:val="000000"/>
                <w:sz w:val="24"/>
                <w:highlight w:val="none"/>
              </w:rPr>
            </w:pPr>
            <w:r>
              <w:rPr>
                <w:rFonts w:hint="eastAsia" w:ascii="宋体" w:hAnsi="宋体"/>
                <w:color w:val="000000"/>
                <w:sz w:val="24"/>
                <w:highlight w:val="none"/>
              </w:rPr>
              <w:t xml:space="preserve">100%</w:t>
            </w:r>
            <w:r>
              <w:rPr>
                <w:rFonts w:hAnsi="宋体"/>
                <w:b/>
                <w:color w:val="000000"/>
                <w:sz w:val="24"/>
                <w:highlight w:val="none"/>
              </w:rPr>
            </w:r>
            <w:r/>
          </w:p>
        </w:tc>
        <w:tc>
          <w:tcPr>
            <w:tcW w:w="2023"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tc>
        <w:tc>
          <w:tcPr>
            <w:tcW w:w="1701"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常州地区中药饮片参考零售价*中标费率</w:t>
            </w:r>
            <w:r>
              <w:rPr>
                <w:rFonts w:ascii="宋体" w:hAnsi="宋体"/>
                <w:color w:val="000000"/>
                <w:sz w:val="24"/>
                <w:highlight w:val="none"/>
              </w:rPr>
            </w:r>
            <w:r/>
          </w:p>
        </w:tc>
      </w:tr>
      <w:tr>
        <w:trPr/>
        <w:tc>
          <w:tcPr>
            <w:tcW w:w="933"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2340"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类别</w:t>
            </w:r>
            <w:r>
              <w:rPr>
                <w:rFonts w:ascii="宋体" w:hAnsi="宋体"/>
                <w:color w:val="000000"/>
                <w:sz w:val="24"/>
                <w:highlight w:val="none"/>
              </w:rPr>
            </w:r>
            <w:r/>
          </w:p>
        </w:tc>
        <w:tc>
          <w:tcPr>
            <w:tcW w:w="2291"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限价</w:t>
            </w:r>
            <w:r>
              <w:rPr>
                <w:rFonts w:ascii="宋体" w:hAnsi="宋体"/>
                <w:color w:val="000000"/>
                <w:sz w:val="24"/>
                <w:highlight w:val="none"/>
              </w:rPr>
            </w:r>
            <w:r/>
          </w:p>
        </w:tc>
        <w:tc>
          <w:tcPr>
            <w:tcW w:w="2023"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投标报价</w:t>
            </w:r>
            <w:r>
              <w:rPr>
                <w:rFonts w:ascii="宋体" w:hAnsi="宋体"/>
                <w:color w:val="000000"/>
                <w:sz w:val="24"/>
                <w:highlight w:val="none"/>
              </w:rPr>
            </w:r>
            <w:r/>
          </w:p>
        </w:tc>
        <w:tc>
          <w:tcPr>
            <w:tcW w:w="1701"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最终结算价格</w:t>
            </w:r>
            <w:r>
              <w:rPr>
                <w:rFonts w:ascii="宋体" w:hAnsi="宋体"/>
                <w:color w:val="000000"/>
                <w:sz w:val="24"/>
                <w:highlight w:val="none"/>
              </w:rPr>
            </w:r>
            <w:r/>
          </w:p>
        </w:tc>
      </w:tr>
      <w:tr>
        <w:trPr>
          <w:trHeight w:val="311"/>
        </w:trPr>
        <w:tc>
          <w:tcPr>
            <w:tcW w:w="933" w:type="dxa"/>
            <w:vAlign w:val="center"/>
            <w:vMerge w:val="restart"/>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2340" w:type="dxa"/>
            <w:vAlign w:val="center"/>
            <w:vMerge w:val="restart"/>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中药代加工服务</w:t>
            </w:r>
            <w:r>
              <w:rPr>
                <w:rFonts w:ascii="宋体" w:hAnsi="宋体"/>
                <w:color w:val="000000"/>
                <w:sz w:val="24"/>
                <w:highlight w:val="none"/>
              </w:rPr>
            </w:r>
            <w:r/>
          </w:p>
        </w:tc>
        <w:tc>
          <w:tcPr>
            <w:tcW w:w="2291" w:type="dxa"/>
            <w:vAlign w:val="center"/>
            <w:textDirection w:val="lrTb"/>
            <w:noWrap w:val="false"/>
          </w:tcPr>
          <w:p>
            <w:pPr>
              <w:pStyle w:val="1072"/>
              <w:tabs>
                <w:tab w:val="left" w:pos="1800" w:leader="none"/>
                <w:tab w:val="left" w:pos="5580" w:leader="none"/>
              </w:tabs>
              <w:rPr>
                <w:rFonts w:ascii="宋体" w:hAnsi="宋体"/>
                <w:color w:val="000000"/>
                <w:sz w:val="24"/>
                <w:highlight w:val="none"/>
              </w:rPr>
            </w:pPr>
            <w:r>
              <w:rPr>
                <w:rFonts w:hint="eastAsia" w:hAnsi="宋体"/>
                <w:color w:val="000000"/>
                <w:sz w:val="24"/>
                <w:highlight w:val="none"/>
              </w:rPr>
              <w:t xml:space="preserve">煎汤3.2元/帖；</w:t>
            </w:r>
            <w:r>
              <w:rPr>
                <w:rFonts w:ascii="宋体" w:hAnsi="宋体"/>
                <w:color w:val="000000"/>
                <w:sz w:val="24"/>
                <w:highlight w:val="none"/>
              </w:rPr>
            </w:r>
            <w:r/>
          </w:p>
        </w:tc>
        <w:tc>
          <w:tcPr>
            <w:tcW w:w="2023" w:type="dxa"/>
            <w:vAlign w:val="center"/>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hAnsi="宋体"/>
                <w:color w:val="000000"/>
                <w:sz w:val="24"/>
                <w:highlight w:val="none"/>
                <w:u w:val="single"/>
              </w:rPr>
              <w:t xml:space="preserve">煎汤</w:t>
            </w:r>
            <w:r>
              <w:rPr>
                <w:rFonts w:hAnsi="宋体"/>
                <w:color w:val="000000"/>
                <w:sz w:val="24"/>
                <w:highlight w:val="none"/>
                <w:u w:val="single"/>
              </w:rPr>
              <w:t xml:space="preserve"> </w:t>
            </w:r>
            <w:r>
              <w:rPr>
                <w:rFonts w:hint="eastAsia" w:hAnsi="宋体"/>
                <w:color w:val="000000"/>
                <w:sz w:val="24"/>
                <w:highlight w:val="none"/>
                <w:u w:val="single"/>
              </w:rPr>
              <w:t xml:space="preserve"> </w:t>
            </w:r>
            <w:r>
              <w:rPr>
                <w:rFonts w:hAnsi="宋体"/>
                <w:color w:val="000000"/>
                <w:sz w:val="24"/>
                <w:highlight w:val="none"/>
                <w:u w:val="single"/>
              </w:rPr>
              <w:t xml:space="preserve">  </w:t>
            </w:r>
            <w:r>
              <w:rPr>
                <w:rFonts w:hint="eastAsia" w:hAnsi="宋体"/>
                <w:color w:val="000000"/>
                <w:sz w:val="24"/>
                <w:highlight w:val="none"/>
              </w:rPr>
              <w:t xml:space="preserve">元/帖；</w:t>
            </w:r>
            <w:r>
              <w:rPr>
                <w:rFonts w:ascii="宋体" w:hAnsi="宋体"/>
                <w:color w:val="000000"/>
                <w:sz w:val="24"/>
                <w:highlight w:val="none"/>
              </w:rPr>
            </w:r>
            <w:r/>
          </w:p>
        </w:tc>
        <w:tc>
          <w:tcPr>
            <w:tcW w:w="1701" w:type="dxa"/>
            <w:vAlign w:val="center"/>
            <w:vMerge w:val="restart"/>
            <w:textDirection w:val="lrTb"/>
            <w:noWrap w:val="false"/>
          </w:tcPr>
          <w:p>
            <w:pPr>
              <w:pStyle w:val="1072"/>
              <w:jc w:val="center"/>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按中标单价结算</w:t>
            </w:r>
            <w:r>
              <w:rPr>
                <w:rFonts w:ascii="宋体" w:hAnsi="宋体"/>
                <w:color w:val="000000"/>
                <w:sz w:val="24"/>
                <w:highlight w:val="none"/>
              </w:rPr>
            </w:r>
            <w:r/>
          </w:p>
        </w:tc>
      </w:tr>
      <w:tr>
        <w:trPr>
          <w:trHeight w:val="311"/>
        </w:trPr>
        <w:tc>
          <w:tcPr>
            <w:tcW w:w="933" w:type="dxa"/>
            <w:vAlign w:val="center"/>
            <w:vMerge w:val="continue"/>
            <w:textDirection w:val="lrTb"/>
            <w:noWrap w:val="false"/>
          </w:tcPr>
          <w:p>
            <w:pPr>
              <w:pStyle w:val="1072"/>
              <w:jc w:val="center"/>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tc>
        <w:tc>
          <w:tcPr>
            <w:tcW w:w="2340" w:type="dxa"/>
            <w:vAlign w:val="center"/>
            <w:vMerge w:val="continue"/>
            <w:textDirection w:val="lrTb"/>
            <w:noWrap w:val="false"/>
          </w:tcPr>
          <w:p>
            <w:pPr>
              <w:pStyle w:val="1072"/>
              <w:jc w:val="center"/>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tc>
        <w:tc>
          <w:tcPr>
            <w:tcW w:w="2291" w:type="dxa"/>
            <w:vAlign w:val="center"/>
            <w:textDirection w:val="lrTb"/>
            <w:noWrap w:val="false"/>
          </w:tcPr>
          <w:p>
            <w:pPr>
              <w:pStyle w:val="1072"/>
              <w:tabs>
                <w:tab w:val="left" w:pos="1800" w:leader="none"/>
                <w:tab w:val="left" w:pos="5580" w:leader="none"/>
              </w:tabs>
              <w:rPr>
                <w:rFonts w:hint="eastAsia" w:hAnsi="宋体"/>
                <w:color w:val="000000"/>
                <w:sz w:val="24"/>
                <w:highlight w:val="none"/>
              </w:rPr>
            </w:pPr>
            <w:r>
              <w:rPr>
                <w:rFonts w:hint="eastAsia" w:hAnsi="宋体"/>
                <w:color w:val="000000"/>
                <w:sz w:val="24"/>
                <w:highlight w:val="none"/>
              </w:rPr>
              <w:t xml:space="preserve">熬膏220元/料；</w:t>
            </w:r>
            <w:r>
              <w:rPr>
                <w:rFonts w:hint="eastAsia" w:hAnsi="宋体"/>
                <w:color w:val="000000"/>
                <w:sz w:val="24"/>
                <w:highlight w:val="none"/>
              </w:rPr>
            </w:r>
            <w:r/>
          </w:p>
        </w:tc>
        <w:tc>
          <w:tcPr>
            <w:tcW w:w="2023" w:type="dxa"/>
            <w:vAlign w:val="center"/>
            <w:textDirection w:val="lrTb"/>
            <w:noWrap w:val="false"/>
          </w:tcPr>
          <w:p>
            <w:pPr>
              <w:pStyle w:val="1072"/>
              <w:jc w:val="center"/>
              <w:tabs>
                <w:tab w:val="left" w:pos="1800" w:leader="none"/>
                <w:tab w:val="left" w:pos="5580" w:leader="none"/>
              </w:tabs>
              <w:rPr>
                <w:rFonts w:hint="eastAsia" w:hAnsi="宋体"/>
                <w:color w:val="000000"/>
                <w:sz w:val="24"/>
                <w:highlight w:val="none"/>
                <w:u w:val="single"/>
              </w:rPr>
            </w:pPr>
            <w:r>
              <w:rPr>
                <w:rFonts w:hint="eastAsia" w:hAnsi="宋体"/>
                <w:color w:val="000000"/>
                <w:sz w:val="24"/>
                <w:highlight w:val="none"/>
              </w:rPr>
              <w:t xml:space="preserve">熬膏</w:t>
            </w:r>
            <w:r>
              <w:rPr>
                <w:rFonts w:hAnsi="宋体"/>
                <w:color w:val="000000"/>
                <w:sz w:val="24"/>
                <w:highlight w:val="none"/>
                <w:u w:val="single"/>
              </w:rPr>
              <w:t xml:space="preserve">   </w:t>
            </w:r>
            <w:r>
              <w:rPr>
                <w:rFonts w:hint="eastAsia" w:hAnsi="宋体"/>
                <w:color w:val="000000"/>
                <w:sz w:val="24"/>
                <w:highlight w:val="none"/>
              </w:rPr>
              <w:t xml:space="preserve">元/料；</w:t>
            </w:r>
            <w:r>
              <w:rPr>
                <w:rFonts w:hint="eastAsia" w:hAnsi="宋体"/>
                <w:color w:val="000000"/>
                <w:sz w:val="24"/>
                <w:highlight w:val="none"/>
                <w:u w:val="single"/>
              </w:rPr>
            </w:r>
            <w:r/>
          </w:p>
        </w:tc>
        <w:tc>
          <w:tcPr>
            <w:tcW w:w="1701" w:type="dxa"/>
            <w:vAlign w:val="center"/>
            <w:vMerge w:val="continue"/>
            <w:textDirection w:val="lrTb"/>
            <w:noWrap w:val="false"/>
          </w:tcPr>
          <w:p>
            <w:pPr>
              <w:pStyle w:val="1072"/>
              <w:jc w:val="center"/>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tc>
      </w:tr>
    </w:tbl>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3.中药饮片价格不超过常州地区中药饮片参考零售价的100%。</w:t>
      </w:r>
      <w:r>
        <w:rPr>
          <w:rFonts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4.中药代加工服务限价：煎汤</w:t>
      </w:r>
      <w:r>
        <w:rPr>
          <w:rFonts w:hint="eastAsia" w:hAnsi="宋体"/>
          <w:color w:val="000000"/>
          <w:sz w:val="24"/>
          <w:highlight w:val="none"/>
        </w:rPr>
        <w:t xml:space="preserve">3.2元/帖；熬膏220元/料，其他费用另行商定。</w:t>
      </w: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2"/>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7"/>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2"/>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2"/>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2"/>
        <w:jc w:val="center"/>
        <w:spacing w:before="240" w:after="240" w:line="360" w:lineRule="auto"/>
        <w:rPr>
          <w:rFonts w:ascii="宋体" w:hAnsi="宋体"/>
          <w:b/>
          <w:bCs/>
          <w:color w:val="000000"/>
          <w:sz w:val="36"/>
          <w:szCs w:val="36"/>
          <w:highlight w:val="none"/>
        </w:rPr>
      </w:pPr>
      <w:r>
        <w:rPr>
          <w:rFonts w:ascii="宋体" w:hAnsi="宋体"/>
          <w:b/>
          <w:bCs/>
          <w:color w:val="000000"/>
          <w:sz w:val="36"/>
          <w:szCs w:val="36"/>
          <w:highlight w:val="none"/>
        </w:rPr>
        <w:t xml:space="preserve">中小企业声明函（服务）格式</w:t>
      </w:r>
      <w:r>
        <w:rPr>
          <w:rFonts w:ascii="宋体" w:hAnsi="宋体"/>
          <w:b/>
          <w:bCs/>
          <w:color w:val="000000"/>
          <w:sz w:val="36"/>
          <w:szCs w:val="36"/>
          <w:highlight w:val="none"/>
        </w:rPr>
      </w:r>
      <w:r/>
    </w:p>
    <w:p>
      <w:pPr>
        <w:pStyle w:val="1072"/>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4"/>
          <w:highlight w:val="none"/>
        </w:rPr>
      </w:r>
      <w:r/>
    </w:p>
    <w:p>
      <w:pPr>
        <w:pStyle w:val="1072"/>
        <w:numPr>
          <w:ilvl w:val="0"/>
          <w:numId w:val="15"/>
        </w:numPr>
        <w:ind w:left="284" w:right="236" w:firstLine="576"/>
        <w:jc w:val="left"/>
        <w:spacing w:line="360" w:lineRule="auto"/>
        <w:tabs>
          <w:tab w:val="left" w:pos="1276" w:leader="none"/>
          <w:tab w:val="left" w:pos="5005" w:leader="none"/>
          <w:tab w:val="left" w:pos="722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hint="eastAsia" w:ascii="宋体" w:hAnsi="宋体"/>
          <w:color w:val="000000"/>
          <w:sz w:val="24"/>
          <w:highlight w:val="none"/>
        </w:rPr>
        <w:t xml:space="preserve">其他未列明行业</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"_bookmark1"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numPr>
          <w:ilvl w:val="0"/>
          <w:numId w:val="15"/>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hint="eastAsia" w:ascii="宋体" w:hAnsi="宋体"/>
          <w:color w:val="000000"/>
          <w:sz w:val="24"/>
          <w:highlight w:val="none"/>
        </w:rPr>
        <w:t xml:space="preserve">其他未列明行业</w:t>
      </w:r>
      <w:r>
        <w:rPr>
          <w:rFonts w:ascii="宋体" w:hAnsi="宋体"/>
          <w:color w:val="000000"/>
          <w:sz w:val="24"/>
          <w:highlight w:val="none"/>
        </w:rPr>
        <w:t xml:space="preserve">；承建（承接）企业为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2"/>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pacing w:val="6"/>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jc w:val="left"/>
        <w:rPr>
          <w:rFonts w:ascii="宋体" w:hAnsi="宋体"/>
          <w:color w:val="000000"/>
          <w:sz w:val="24"/>
          <w:szCs w:val="21"/>
          <w:highlight w:val="none"/>
        </w:rPr>
      </w:pPr>
      <w:r>
        <w:rPr>
          <w:rFonts w:ascii="宋体" w:hAnsi="宋体"/>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2"/>
        <w:jc w:val="left"/>
        <w:rPr>
          <w:rFonts w:ascii="宋体" w:hAnsi="宋体"/>
          <w:color w:val="000000"/>
          <w:szCs w:val="21"/>
          <w:highlight w:val="none"/>
          <w:vertAlign w:val="superscript"/>
        </w:rPr>
      </w:pPr>
      <w:r>
        <w:rPr>
          <w:rFonts w:ascii="宋体" w:hAnsi="宋体"/>
          <w:color w:val="000000"/>
          <w:szCs w:val="21"/>
          <w:highlight w:val="none"/>
          <w:vertAlign w:val="superscript"/>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2"/>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2"/>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2"/>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2"/>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2"/>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ascii="宋体" w:hAnsi="宋体"/>
          <w:color w:val="000000"/>
          <w:sz w:val="24"/>
          <w:szCs w:val="2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Style w:val="1146"/>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color w:val="000000"/>
          <w:highlight w:val="none"/>
          <w:u w:val="single"/>
          <w:shd w:val="clear" w:color="auto" w:fill="ffffff"/>
        </w:rPr>
        <w:t xml:space="preserve">（厂名）</w:t>
      </w:r>
      <w:r>
        <w:rPr>
          <w:rStyle w:val="1146"/>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6"/>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highlight w:val="none"/>
          <w:u w:val="single"/>
          <w:shd w:val="clear" w:color="auto" w:fill="ffffff"/>
        </w:rPr>
        <w:t xml:space="preserve">（规定</w:t>
      </w:r>
      <w:r>
        <w:rPr>
          <w:rStyle w:val="1146"/>
          <w:rFonts w:ascii="方正魏碑_GBK" w:hAnsi="方正魏碑_GBK" w:eastAsia="方正魏碑_GBK" w:cs="方正魏碑_GBK"/>
          <w:color w:val="000000"/>
          <w:highlight w:val="none"/>
          <w:u w:val="single"/>
          <w:shd w:val="clear" w:color="auto" w:fill="ffffff"/>
        </w:rPr>
        <w:t xml:space="preserve">比例</w:t>
      </w:r>
      <w:r>
        <w:rPr>
          <w:rStyle w:val="1146"/>
          <w:rFonts w:hint="eastAsia" w:ascii="方正魏碑_GBK" w:hAnsi="方正魏碑_GBK" w:eastAsia="方正魏碑_GBK" w:cs="方正魏碑_GBK"/>
          <w:color w:val="000000"/>
          <w:highlight w:val="none"/>
          <w:u w:val="single"/>
          <w:shd w:val="clear" w:color="auto" w:fill="ffffff"/>
        </w:rPr>
        <w:t xml:space="preserve">）</w:t>
      </w:r>
      <w:r>
        <w:rPr>
          <w:rStyle w:val="1146"/>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w:t>
      </w:r>
      <w:r>
        <w:rPr>
          <w:rStyle w:val="1146"/>
          <w:rFonts w:ascii="方正魏碑_GBK" w:hAnsi="方正魏碑_GBK" w:eastAsia="方正魏碑_GBK" w:cs="方正魏碑_GBK"/>
          <w:color w:val="000000"/>
          <w:highlight w:val="none"/>
          <w:u w:val="single"/>
          <w:shd w:val="clear" w:color="auto" w:fill="ffffff"/>
        </w:rPr>
        <w:t xml:space="preserve">组件</w:t>
      </w:r>
      <w:r>
        <w:rPr>
          <w:rStyle w:val="1146"/>
          <w:rFonts w:hint="eastAsia" w:ascii="方正魏碑_GBK" w:hAnsi="方正魏碑_GBK" w:eastAsia="方正魏碑_GBK" w:cs="方正魏碑_GBK"/>
          <w:color w:val="000000"/>
          <w:highlight w:val="none"/>
          <w:u w:val="single"/>
          <w:shd w:val="clear" w:color="auto" w:fill="ffffff"/>
        </w:rPr>
        <w:t xml:space="preserve">）</w:t>
      </w:r>
      <w:r>
        <w:rPr>
          <w:rStyle w:val="1146"/>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（关键工序）</w:t>
      </w:r>
      <w:r>
        <w:rPr>
          <w:rStyle w:val="1146"/>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highlight w:val="none"/>
          <w:u w:val="single"/>
          <w:shd w:val="clear" w:color="auto" w:fill="ffffff"/>
        </w:rPr>
        <w:t xml:space="preserve">（规定</w:t>
      </w:r>
      <w:r>
        <w:rPr>
          <w:rStyle w:val="1146"/>
          <w:rFonts w:ascii="方正魏碑_GBK" w:hAnsi="方正魏碑_GBK" w:eastAsia="方正魏碑_GBK" w:cs="方正魏碑_GBK"/>
          <w:color w:val="000000"/>
          <w:highlight w:val="none"/>
          <w:u w:val="single"/>
          <w:shd w:val="clear" w:color="auto" w:fill="ffffff"/>
        </w:rPr>
        <w:t xml:space="preserve">比例</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w:t>
      </w:r>
      <w:r>
        <w:rPr>
          <w:rStyle w:val="1146"/>
          <w:rFonts w:ascii="方正魏碑_GBK" w:hAnsi="方正魏碑_GBK" w:eastAsia="方正魏碑_GBK" w:cs="方正魏碑_GBK"/>
          <w:color w:val="000000"/>
          <w:highlight w:val="none"/>
          <w:u w:val="single"/>
          <w:shd w:val="clear" w:color="auto" w:fill="ffffff"/>
        </w:rPr>
        <w:t xml:space="preserve">组件</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3"/>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2"/>
        <w:spacing w:line="360" w:lineRule="auto"/>
        <w:rPr>
          <w:rFonts w:ascii="宋体" w:hAnsi="宋体"/>
          <w:b/>
          <w:color w:val="000000"/>
          <w:sz w:val="24"/>
          <w:szCs w:val="20"/>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1</w:t>
      </w:r>
      <w:r>
        <w:rPr>
          <w:rFonts w:ascii="宋体" w:hAnsi="宋体"/>
          <w:b/>
          <w:color w:val="000000"/>
          <w:sz w:val="24"/>
          <w:highlight w:val="none"/>
        </w:rPr>
        <w:t xml:space="preserve">1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详见评标标准</w:t>
      </w:r>
      <w:r>
        <w:rPr>
          <w:rFonts w:ascii="宋体" w:hAnsi="宋体"/>
          <w:color w:val="000000"/>
          <w:sz w:val="24"/>
          <w:szCs w:val="20"/>
          <w:highlight w:val="none"/>
        </w:rPr>
      </w:r>
      <w:r/>
    </w:p>
    <w:p>
      <w:pPr>
        <w:pStyle w:val="1084"/>
        <w:tabs>
          <w:tab w:val="left" w:pos="567" w:leader="none"/>
        </w:tabs>
        <w:rPr>
          <w:rFonts w:hint="eastAsia"/>
          <w:color w:val="000000"/>
          <w:highlight w:val="none"/>
        </w:rPr>
      </w:pPr>
      <w:r>
        <w:rPr>
          <w:rFonts w:hint="eastAsia"/>
          <w:color w:val="000000"/>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w:t>
      </w:r>
      <w:r>
        <w:rPr>
          <w:rFonts w:ascii="宋体" w:hAnsi="宋体"/>
          <w:b/>
          <w:color w:val="000000"/>
          <w:sz w:val="24"/>
          <w:highlight w:val="none"/>
        </w:rPr>
        <w:t xml:space="preserve">2</w:t>
      </w:r>
      <w:r>
        <w:rPr>
          <w:rFonts w:hint="eastAsia" w:ascii="宋体" w:hAnsi="宋体"/>
          <w:b/>
          <w:color w:val="000000"/>
          <w:sz w:val="24"/>
          <w:highlight w:val="none"/>
        </w:rPr>
        <w:t xml:space="preserve">  参加本项目人员一览表</w:t>
      </w:r>
      <w:r>
        <w:rPr>
          <w:rFonts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2"/>
        <w:spacing w:line="360" w:lineRule="auto"/>
        <w:rPr>
          <w:rFonts w:ascii="宋体" w:hAnsi="宋体"/>
          <w:color w:val="000000"/>
          <w:sz w:val="22"/>
          <w:highlight w:val="none"/>
        </w:rPr>
      </w:pPr>
      <w:r>
        <w:rPr>
          <w:rFonts w:ascii="宋体" w:hAnsi="宋体"/>
          <w:color w:val="000000"/>
          <w:sz w:val="22"/>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2"/>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20" w:name="_Toc288738839"/>
      <w:r/>
      <w:bookmarkStart w:id="921" w:name="_Toc288738397"/>
      <w:r>
        <w:rPr>
          <w:rFonts w:hint="eastAsia" w:ascii="宋体" w:hAnsi="宋体"/>
          <w:b/>
          <w:color w:val="000000"/>
          <w:sz w:val="24"/>
          <w:highlight w:val="none"/>
        </w:rPr>
        <w:t xml:space="preserve">1</w:t>
      </w:r>
      <w:r>
        <w:rPr>
          <w:rFonts w:ascii="宋体" w:hAnsi="宋体"/>
          <w:b/>
          <w:color w:val="000000"/>
          <w:sz w:val="24"/>
          <w:highlight w:val="none"/>
        </w:rPr>
        <w:t xml:space="preserve">3</w:t>
      </w:r>
      <w:r>
        <w:rPr>
          <w:rFonts w:hint="eastAsia" w:ascii="宋体" w:hAnsi="宋体"/>
          <w:b/>
          <w:color w:val="000000"/>
          <w:sz w:val="24"/>
          <w:highlight w:val="none"/>
        </w:rPr>
        <w:t xml:space="preserve">  相关业绩案例一览表</w:t>
      </w:r>
      <w:r>
        <w:rPr>
          <w:rFonts w:ascii="宋体" w:hAnsi="宋体"/>
          <w:b/>
          <w:color w:val="000000"/>
          <w:sz w:val="24"/>
          <w:szCs w:val="20"/>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0"/>
      <w:r/>
      <w:bookmarkEnd w:id="921"/>
      <w:r>
        <w:rPr>
          <w:rFonts w:ascii="宋体" w:hAnsi="宋体"/>
          <w:b/>
          <w:color w:val="000000"/>
          <w:sz w:val="32"/>
          <w:szCs w:val="32"/>
          <w:highlight w:val="none"/>
        </w:rPr>
      </w:r>
      <w:r/>
    </w:p>
    <w:p>
      <w:pPr>
        <w:pStyle w:val="107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2"/>
        <w:spacing w:line="360" w:lineRule="auto"/>
        <w:rPr>
          <w:rFonts w:ascii="宋体" w:hAnsi="宋体" w:cs="宋体"/>
          <w:color w:val="000000"/>
          <w:sz w:val="24"/>
          <w:highlight w:val="none"/>
        </w:rPr>
      </w:pPr>
      <w:r>
        <w:rPr>
          <w:rFonts w:ascii="宋体" w:hAnsi="宋体" w:cs="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color w:val="000000"/>
          <w:highlight w:val="none"/>
        </w:rPr>
        <w:outlineLvl w:val="2"/>
      </w:pPr>
      <w:r>
        <w:rPr>
          <w:rFonts w:ascii="宋体" w:hAnsi="宋体"/>
          <w:color w:val="000000"/>
          <w:highlight w:val="none"/>
        </w:rPr>
      </w:r>
      <w:r/>
    </w:p>
    <w:p>
      <w:pPr>
        <w:pStyle w:val="1072"/>
        <w:spacing w:line="360" w:lineRule="auto"/>
        <w:rPr>
          <w:rFonts w:ascii="宋体" w:hAnsi="宋体"/>
          <w:color w:val="000000"/>
          <w:highlight w:val="none"/>
        </w:rPr>
        <w:outlineLvl w:val="2"/>
      </w:pPr>
      <w:r>
        <w:rPr>
          <w:rFonts w:ascii="宋体" w:hAnsi="宋体"/>
          <w:color w:val="000000"/>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highlight w:val="none"/>
        </w:rPr>
        <w:t xml:space="preserve">4  招标文件要求提供或投标人认为应附的其他材料</w:t>
      </w:r>
      <w:r>
        <w:rPr>
          <w:rFonts w:ascii="宋体" w:hAnsi="宋体"/>
          <w:b/>
          <w:color w:val="000000"/>
          <w:sz w:val="24"/>
          <w:szCs w:val="20"/>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84"/>
        <w:tabs>
          <w:tab w:val="left" w:pos="567" w:leader="none"/>
        </w:tabs>
        <w:rPr>
          <w:color w:val="000000"/>
          <w:highlight w:val="none"/>
        </w:rPr>
      </w:pPr>
      <w:r>
        <w:rPr>
          <w:color w:val="000000"/>
          <w:highlight w:val="none"/>
        </w:rPr>
      </w:r>
      <w:r/>
    </w:p>
    <w:p>
      <w:pPr>
        <w:pStyle w:val="1072"/>
        <w:rPr>
          <w:rFonts w:hint="eastAsia"/>
          <w:color w:val="000000"/>
          <w:highlight w:val="none"/>
        </w:rPr>
      </w:pPr>
      <w:r>
        <w:rPr>
          <w:rFonts w:hint="eastAsia"/>
          <w:color w:val="000000"/>
          <w:highlight w:val="none"/>
        </w:rPr>
      </w:r>
      <w:r/>
    </w:p>
    <w:p>
      <w:pPr>
        <w:pStyle w:val="1084"/>
        <w:tabs>
          <w:tab w:val="left" w:pos="567" w:leader="none"/>
        </w:tabs>
        <w:rPr>
          <w:rFonts w:hint="eastAsia"/>
          <w:color w:val="000000"/>
          <w:highlight w:val="none"/>
        </w:rPr>
      </w:pPr>
      <w:r>
        <w:rPr>
          <w:rFonts w:hint="eastAsia"/>
          <w:color w:val="000000"/>
          <w:highlight w:val="none"/>
        </w:rPr>
      </w:r>
      <w:r/>
    </w:p>
    <w:p>
      <w:pPr>
        <w:pStyle w:val="1072"/>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2"/>
        <w:jc w:val="center"/>
        <w:rPr>
          <w:rFonts w:hint="eastAsia" w:ascii="宋体" w:hAnsi="宋体" w:cs="黑体"/>
          <w:b/>
          <w:color w:val="000000"/>
          <w:sz w:val="32"/>
          <w:highlight w:val="none"/>
        </w:rPr>
      </w:pPr>
      <w:r>
        <w:rPr>
          <w:rFonts w:hint="eastAsia" w:ascii="宋体" w:hAnsi="宋体" w:cs="黑体"/>
          <w:b/>
          <w:color w:val="000000"/>
          <w:sz w:val="32"/>
          <w:highlight w:val="none"/>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1">
    <w:multiLevelType w:val="hybridMultilevel"/>
    <w:lvl w:ilvl="0">
      <w:start w:val="1"/>
      <w:numFmt w:val="decimal"/>
      <w:pStyle w:val="1180"/>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2">
    <w:multiLevelType w:val="hybridMultilevel"/>
    <w:lvl w:ilvl="0">
      <w:start w:val="1"/>
      <w:numFmt w:val="lowerLetter"/>
      <w:pStyle w:val="1255"/>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3">
    <w:multiLevelType w:val="hybridMultilevel"/>
    <w:lvl w:ilvl="0">
      <w:start w:val="1"/>
      <w:numFmt w:val="decimal"/>
      <w:pStyle w:val="1225"/>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章"/>
      <w:legacy w:legacy="1" w:legacyIndent="0" w:legacySpace="0"/>
      <w:lvlJc w:val="left"/>
      <w:pPr>
        <w:pStyle w:val="1072"/>
      </w:pPr>
    </w:lvl>
    <w:lvl w:ilvl="1">
      <w:start w:val="1"/>
      <w:numFmt w:val="decimal"/>
      <w:isLgl w:val="false"/>
      <w:suff w:val="nothing"/>
      <w:lvlText w:val=""/>
      <w:lvlJc w:val="left"/>
      <w:pPr>
        <w:pStyle w:val="1072"/>
      </w:pPr>
    </w:lvl>
    <w:lvl w:ilvl="2">
      <w:start w:val="1"/>
      <w:numFmt w:val="decimal"/>
      <w:isLgl w:val="false"/>
      <w:suff w:val="nothing"/>
      <w:lvlText w:val=""/>
      <w:lvlJc w:val="left"/>
      <w:pPr>
        <w:pStyle w:val="1072"/>
      </w:pPr>
    </w:lvl>
    <w:lvl w:ilvl="3">
      <w:start w:val="1"/>
      <w:numFmt w:val="decimal"/>
      <w:isLgl w:val="false"/>
      <w:suff w:val="nothing"/>
      <w:lvlText w:val=""/>
      <w:lvlJc w:val="left"/>
      <w:pPr>
        <w:pStyle w:val="1072"/>
      </w:pPr>
    </w:lvl>
    <w:lvl w:ilvl="4">
      <w:start w:val="1"/>
      <w:numFmt w:val="decimal"/>
      <w:isLgl w:val="false"/>
      <w:suff w:val="nothing"/>
      <w:lvlText w:val=""/>
      <w:lvlJc w:val="left"/>
      <w:pPr>
        <w:pStyle w:val="1072"/>
      </w:pPr>
    </w:lvl>
    <w:lvl w:ilvl="5">
      <w:start w:val="1"/>
      <w:numFmt w:val="decimal"/>
      <w:isLgl w:val="false"/>
      <w:suff w:val="nothing"/>
      <w:lvlText w:val=""/>
      <w:lvlJc w:val="left"/>
      <w:pPr>
        <w:pStyle w:val="1072"/>
      </w:pPr>
    </w:lvl>
    <w:lvl w:ilvl="6">
      <w:start w:val="1"/>
      <w:numFmt w:val="decimal"/>
      <w:isLgl w:val="false"/>
      <w:suff w:val="nothing"/>
      <w:lvlText w:val=""/>
      <w:lvlJc w:val="left"/>
      <w:pPr>
        <w:pStyle w:val="1072"/>
      </w:pPr>
    </w:lvl>
    <w:lvl w:ilvl="7">
      <w:start w:val="1"/>
      <w:numFmt w:val="decimal"/>
      <w:isLgl w:val="false"/>
      <w:suff w:val="nothing"/>
      <w:lvlText w:val=""/>
      <w:lvlJc w:val="left"/>
      <w:pPr>
        <w:pStyle w:val="1072"/>
      </w:pPr>
    </w:lvl>
    <w:lvl w:ilvl="8">
      <w:start w:val="1"/>
      <w:numFmt w:val="decimal"/>
      <w:isLgl w:val="false"/>
      <w:suff w:val="nothing"/>
      <w:lvlText w:val=""/>
      <w:lvlJc w:val="left"/>
      <w:pPr>
        <w:pStyle w:val="1072"/>
      </w:pPr>
    </w:lvl>
  </w:abstractNum>
  <w:abstractNum w:abstractNumId="5">
    <w:multiLevelType w:val="hybridMultilevel"/>
    <w:lvl w:ilvl="0">
      <w:start w:val="1"/>
      <w:numFmt w:val="decimal"/>
      <w:pStyle w:val="1174"/>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2"/>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8">
    <w:multiLevelType w:val="hybridMultilevel"/>
    <w:lvl w:ilvl="0">
      <w:start w:val="1"/>
      <w:numFmt w:val="decimal"/>
      <w:pStyle w:val="1179"/>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9">
    <w:multiLevelType w:val="hybridMultilevel"/>
    <w:lvl w:ilvl="0">
      <w:start w:val="1"/>
      <w:numFmt w:val="decimal"/>
      <w:isLgl w:val="false"/>
      <w:suff w:val="tab"/>
      <w:lvlText w:val="%1."/>
      <w:lvlJc w:val="left"/>
      <w:pPr>
        <w:pStyle w:val="1072"/>
        <w:ind w:left="1242" w:hanging="382"/>
      </w:pPr>
      <w:rPr>
        <w:rFonts w:ascii="仿宋" w:hAnsi="仿宋" w:eastAsia="仿宋" w:cs="仿宋"/>
        <w:spacing w:val="0"/>
        <w:sz w:val="32"/>
        <w:szCs w:val="32"/>
      </w:rPr>
    </w:lvl>
    <w:lvl w:ilvl="1">
      <w:start w:val="0"/>
      <w:numFmt w:val="bullet"/>
      <w:isLgl w:val="false"/>
      <w:suff w:val="tab"/>
      <w:lvlText w:val="•"/>
      <w:lvlJc w:val="left"/>
      <w:pPr>
        <w:pStyle w:val="1072"/>
        <w:ind w:left="2010" w:hanging="382"/>
      </w:pPr>
    </w:lvl>
    <w:lvl w:ilvl="2">
      <w:start w:val="0"/>
      <w:numFmt w:val="bullet"/>
      <w:isLgl w:val="false"/>
      <w:suff w:val="tab"/>
      <w:lvlText w:val="•"/>
      <w:lvlJc w:val="left"/>
      <w:pPr>
        <w:pStyle w:val="1072"/>
        <w:ind w:left="2781" w:hanging="382"/>
      </w:pPr>
    </w:lvl>
    <w:lvl w:ilvl="3">
      <w:start w:val="0"/>
      <w:numFmt w:val="bullet"/>
      <w:isLgl w:val="false"/>
      <w:suff w:val="tab"/>
      <w:lvlText w:val="•"/>
      <w:lvlJc w:val="left"/>
      <w:pPr>
        <w:pStyle w:val="1072"/>
        <w:ind w:left="3551" w:hanging="382"/>
      </w:pPr>
    </w:lvl>
    <w:lvl w:ilvl="4">
      <w:start w:val="0"/>
      <w:numFmt w:val="bullet"/>
      <w:isLgl w:val="false"/>
      <w:suff w:val="tab"/>
      <w:lvlText w:val="•"/>
      <w:lvlJc w:val="left"/>
      <w:pPr>
        <w:pStyle w:val="1072"/>
        <w:ind w:left="4322" w:hanging="382"/>
      </w:pPr>
    </w:lvl>
    <w:lvl w:ilvl="5">
      <w:start w:val="0"/>
      <w:numFmt w:val="bullet"/>
      <w:isLgl w:val="false"/>
      <w:suff w:val="tab"/>
      <w:lvlText w:val="•"/>
      <w:lvlJc w:val="left"/>
      <w:pPr>
        <w:pStyle w:val="1072"/>
        <w:ind w:left="5093" w:hanging="382"/>
      </w:pPr>
    </w:lvl>
    <w:lvl w:ilvl="6">
      <w:start w:val="0"/>
      <w:numFmt w:val="bullet"/>
      <w:isLgl w:val="false"/>
      <w:suff w:val="tab"/>
      <w:lvlText w:val="•"/>
      <w:lvlJc w:val="left"/>
      <w:pPr>
        <w:pStyle w:val="1072"/>
        <w:ind w:left="5863" w:hanging="382"/>
      </w:pPr>
    </w:lvl>
    <w:lvl w:ilvl="7">
      <w:start w:val="0"/>
      <w:numFmt w:val="bullet"/>
      <w:isLgl w:val="false"/>
      <w:suff w:val="tab"/>
      <w:lvlText w:val="•"/>
      <w:lvlJc w:val="left"/>
      <w:pPr>
        <w:pStyle w:val="1072"/>
        <w:ind w:left="6634" w:hanging="382"/>
      </w:pPr>
    </w:lvl>
    <w:lvl w:ilvl="8">
      <w:start w:val="0"/>
      <w:numFmt w:val="bullet"/>
      <w:isLgl w:val="false"/>
      <w:suff w:val="tab"/>
      <w:lvlText w:val="•"/>
      <w:lvlJc w:val="left"/>
      <w:pPr>
        <w:pStyle w:val="1072"/>
        <w:ind w:left="7404" w:hanging="382"/>
      </w:pPr>
    </w:lvl>
  </w:abstractNum>
  <w:abstractNum w:abstractNumId="10">
    <w:multiLevelType w:val="hybridMultilevel"/>
    <w:lvl w:ilvl="0">
      <w:start w:val="1"/>
      <w:numFmt w:val="decimal"/>
      <w:pStyle w:val="1280"/>
      <w:isLgl w:val="false"/>
      <w:suff w:val="tab"/>
      <w:lvlText w:val="%1"/>
      <w:lvlJc w:val="left"/>
      <w:pPr>
        <w:pStyle w:val="1072"/>
        <w:ind w:left="680" w:hanging="680"/>
      </w:pPr>
      <w:rPr>
        <w:rFonts w:hint="eastAsia" w:ascii="宋体" w:hAnsi="宋体" w:eastAsia="宋体"/>
      </w:rPr>
    </w:lvl>
    <w:lvl w:ilvl="1">
      <w:start w:val="1"/>
      <w:numFmt w:val="decimal"/>
      <w:pStyle w:val="1281"/>
      <w:isLgl w:val="false"/>
      <w:suff w:val="tab"/>
      <w:lvlText w:val="%1.%2"/>
      <w:lvlJc w:val="left"/>
      <w:pPr>
        <w:pStyle w:val="1072"/>
        <w:ind w:left="851" w:hanging="851"/>
      </w:pPr>
      <w:rPr>
        <w:rFonts w:hint="eastAsia" w:ascii="宋体" w:hAnsi="宋体" w:eastAsia="宋体"/>
        <w:color w:val="000000"/>
      </w:rPr>
    </w:lvl>
    <w:lvl w:ilvl="2">
      <w:start w:val="1"/>
      <w:numFmt w:val="decimal"/>
      <w:pStyle w:val="1282"/>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5"/>
  </w:num>
  <w:num w:numId="2">
    <w:abstractNumId w:val="1"/>
  </w:num>
  <w:num w:numId="3">
    <w:abstractNumId w:val="8"/>
  </w:num>
  <w:num w:numId="4">
    <w:abstractNumId w:val="6"/>
  </w:num>
  <w:num w:numId="5">
    <w:abstractNumId w:val="3"/>
  </w:num>
  <w:num w:numId="6">
    <w:abstractNumId w:val="2"/>
  </w:num>
  <w:num w:numId="7">
    <w:abstractNumId w:val="10"/>
  </w:num>
  <w:num w:numId="8">
    <w:abstractNumId w:val="7"/>
  </w:num>
  <w:num w:numId="9">
    <w:abstractNumId w:val="12"/>
  </w:num>
  <w:num w:numId="10">
    <w:abstractNumId w:val="0"/>
  </w:num>
  <w:num w:numId="11">
    <w:abstractNumId w:val="13"/>
  </w:num>
  <w:num w:numId="12">
    <w:abstractNumId w:val="11"/>
  </w:num>
  <w:num w:numId="13">
    <w:abstractNumId w:val="14"/>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84"/>
    <w:link w:val="1072"/>
    <w:qFormat/>
    <w:pPr>
      <w:jc w:val="both"/>
      <w:widowControl w:val="off"/>
    </w:pPr>
    <w:rPr>
      <w:sz w:val="21"/>
      <w:szCs w:val="24"/>
      <w:lang w:val="en-US" w:eastAsia="zh-CN" w:bidi="ar-SA"/>
    </w:rPr>
  </w:style>
  <w:style w:type="paragraph" w:styleId="1073">
    <w:name w:val="标题 1"/>
    <w:basedOn w:val="1072"/>
    <w:next w:val="1072"/>
    <w:link w:val="1086"/>
    <w:qFormat/>
    <w:pPr>
      <w:jc w:val="center"/>
      <w:keepLines/>
      <w:keepNext/>
      <w:spacing w:before="240" w:after="120" w:line="300" w:lineRule="auto"/>
      <w:outlineLvl w:val="0"/>
    </w:pPr>
    <w:rPr>
      <w:rFonts w:ascii="宋体"/>
      <w:b/>
      <w:sz w:val="32"/>
      <w:szCs w:val="20"/>
    </w:rPr>
  </w:style>
  <w:style w:type="paragraph" w:styleId="1074">
    <w:name w:val="标题 2"/>
    <w:basedOn w:val="1072"/>
    <w:next w:val="1088"/>
    <w:link w:val="1087"/>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8"/>
    <w:link w:val="1090"/>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91"/>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2"/>
    <w:qFormat/>
    <w:pPr>
      <w:keepLines/>
      <w:keepNext/>
      <w:spacing w:before="280" w:after="290" w:line="376" w:lineRule="atLeast"/>
      <w:outlineLvl w:val="4"/>
    </w:pPr>
    <w:rPr>
      <w:b/>
      <w:sz w:val="28"/>
      <w:szCs w:val="20"/>
    </w:rPr>
  </w:style>
  <w:style w:type="paragraph" w:styleId="1078">
    <w:name w:val="标题 6"/>
    <w:basedOn w:val="1072"/>
    <w:next w:val="1072"/>
    <w:link w:val="1093"/>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4"/>
    <w:qFormat/>
    <w:pPr>
      <w:keepLines/>
      <w:keepNext/>
      <w:spacing w:before="240" w:after="64" w:line="320" w:lineRule="atLeast"/>
      <w:outlineLvl w:val="6"/>
    </w:pPr>
    <w:rPr>
      <w:b/>
      <w:sz w:val="24"/>
      <w:szCs w:val="20"/>
    </w:rPr>
  </w:style>
  <w:style w:type="paragraph" w:styleId="1080">
    <w:name w:val="标题 8"/>
    <w:basedOn w:val="1072"/>
    <w:next w:val="1072"/>
    <w:link w:val="1095"/>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6"/>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paragraph" w:styleId="1084">
    <w:name w:val="正文文本"/>
    <w:basedOn w:val="1072"/>
    <w:next w:val="1072"/>
    <w:link w:val="1085"/>
    <w:qFormat/>
    <w:pPr>
      <w:spacing w:before="120" w:line="22" w:lineRule="atLeast"/>
      <w:tabs>
        <w:tab w:val="left" w:pos="567" w:leader="none"/>
      </w:tabs>
    </w:pPr>
    <w:rPr>
      <w:rFonts w:ascii="宋体" w:hAnsi="宋体"/>
      <w:sz w:val="24"/>
    </w:rPr>
  </w:style>
  <w:style w:type="character" w:styleId="1085">
    <w:name w:val="正文文本 字符1"/>
    <w:next w:val="1085"/>
    <w:link w:val="1084"/>
    <w:qFormat/>
    <w:rPr>
      <w:rFonts w:ascii="宋体" w:hAnsi="宋体"/>
      <w:sz w:val="24"/>
      <w:szCs w:val="24"/>
    </w:rPr>
  </w:style>
  <w:style w:type="character" w:styleId="1086">
    <w:name w:val="标题 1 字符"/>
    <w:next w:val="1086"/>
    <w:link w:val="1073"/>
    <w:qFormat/>
    <w:rPr>
      <w:rFonts w:ascii="宋体"/>
      <w:b/>
      <w:sz w:val="32"/>
    </w:rPr>
  </w:style>
  <w:style w:type="character" w:styleId="1087">
    <w:name w:val="标题 2 字符"/>
    <w:next w:val="1087"/>
    <w:link w:val="1074"/>
    <w:qFormat/>
    <w:rPr>
      <w:rFonts w:ascii="Arial" w:hAnsi="Arial" w:eastAsia="黑体"/>
      <w:b/>
      <w:sz w:val="30"/>
      <w:lang w:val="en-US" w:eastAsia="zh-CN" w:bidi="ar-SA"/>
    </w:rPr>
  </w:style>
  <w:style w:type="paragraph" w:styleId="1088">
    <w:name w:val="正文缩进"/>
    <w:basedOn w:val="1072"/>
    <w:next w:val="1072"/>
    <w:link w:val="1089"/>
    <w:uiPriority w:val="99"/>
    <w:qFormat/>
    <w:pPr>
      <w:ind w:firstLine="420"/>
      <w:jc w:val="left"/>
    </w:pPr>
    <w:rPr>
      <w:rFonts w:ascii="宋体"/>
      <w:sz w:val="24"/>
    </w:rPr>
  </w:style>
  <w:style w:type="character" w:styleId="1089">
    <w:name w:val="正文缩进 字符1"/>
    <w:next w:val="1089"/>
    <w:link w:val="1088"/>
    <w:qFormat/>
    <w:rPr>
      <w:rFonts w:ascii="宋体" w:eastAsia="宋体"/>
      <w:sz w:val="24"/>
      <w:szCs w:val="24"/>
      <w:lang w:val="en-US" w:eastAsia="zh-CN" w:bidi="ar-SA"/>
    </w:rPr>
  </w:style>
  <w:style w:type="character" w:styleId="1090">
    <w:name w:val="标题 3 字符"/>
    <w:next w:val="1090"/>
    <w:link w:val="1075"/>
    <w:qFormat/>
    <w:rPr>
      <w:rFonts w:ascii="宋体" w:eastAsia="宋体"/>
      <w:b/>
      <w:sz w:val="24"/>
      <w:u w:val="single"/>
      <w:lang w:val="en-US" w:eastAsia="zh-CN" w:bidi="ar-SA"/>
    </w:rPr>
  </w:style>
  <w:style w:type="character" w:styleId="1091">
    <w:name w:val="标题 4 字符"/>
    <w:next w:val="1091"/>
    <w:link w:val="1076"/>
    <w:qFormat/>
    <w:rPr>
      <w:rFonts w:ascii="Arial" w:hAnsi="Arial" w:eastAsia="黑体"/>
      <w:b/>
      <w:sz w:val="28"/>
    </w:rPr>
  </w:style>
  <w:style w:type="character" w:styleId="1092">
    <w:name w:val="标题 5 字符"/>
    <w:next w:val="1092"/>
    <w:link w:val="1077"/>
    <w:qFormat/>
    <w:rPr>
      <w:b/>
      <w:sz w:val="28"/>
    </w:rPr>
  </w:style>
  <w:style w:type="character" w:styleId="1093">
    <w:name w:val="标题 6 字符"/>
    <w:next w:val="1093"/>
    <w:link w:val="1078"/>
    <w:qFormat/>
    <w:rPr>
      <w:rFonts w:ascii="Arial" w:hAnsi="Arial" w:eastAsia="黑体"/>
      <w:b/>
      <w:sz w:val="24"/>
    </w:rPr>
  </w:style>
  <w:style w:type="character" w:styleId="1094">
    <w:name w:val="标题 7 字符"/>
    <w:next w:val="1094"/>
    <w:link w:val="1079"/>
    <w:qFormat/>
    <w:rPr>
      <w:b/>
      <w:sz w:val="24"/>
    </w:rPr>
  </w:style>
  <w:style w:type="character" w:styleId="1095">
    <w:name w:val="标题 8 字符"/>
    <w:next w:val="1095"/>
    <w:link w:val="1080"/>
    <w:qFormat/>
    <w:rPr>
      <w:rFonts w:ascii="Arial" w:hAnsi="Arial" w:eastAsia="黑体"/>
      <w:sz w:val="24"/>
    </w:rPr>
  </w:style>
  <w:style w:type="character" w:styleId="1096">
    <w:name w:val="标题 9 字符"/>
    <w:next w:val="1096"/>
    <w:link w:val="1081"/>
    <w:qFormat/>
    <w:rPr>
      <w:rFonts w:ascii="Arial" w:hAnsi="Arial" w:eastAsia="黑体"/>
      <w:sz w:val="21"/>
    </w:rPr>
  </w:style>
  <w:style w:type="paragraph" w:styleId="1097">
    <w:name w:val="目录 7"/>
    <w:basedOn w:val="1072"/>
    <w:next w:val="1072"/>
    <w:link w:val="1072"/>
    <w:qFormat/>
    <w:pPr>
      <w:ind w:left="2520"/>
    </w:pPr>
  </w:style>
  <w:style w:type="paragraph" w:styleId="1098">
    <w:name w:val="题注"/>
    <w:basedOn w:val="1072"/>
    <w:next w:val="1072"/>
    <w:link w:val="1072"/>
    <w:qFormat/>
    <w:pPr>
      <w:spacing w:line="480" w:lineRule="auto"/>
    </w:pPr>
    <w:rPr>
      <w:rFonts w:ascii="华文中宋" w:hAnsi="华文中宋" w:eastAsia="华文中宋"/>
      <w:sz w:val="36"/>
      <w:szCs w:val="20"/>
    </w:rPr>
  </w:style>
  <w:style w:type="paragraph" w:styleId="1099">
    <w:name w:val="文档结构图"/>
    <w:basedOn w:val="1072"/>
    <w:next w:val="1099"/>
    <w:link w:val="1100"/>
    <w:qFormat/>
    <w:pPr>
      <w:shd w:val="clear" w:color="auto" w:fill="000080"/>
    </w:pPr>
  </w:style>
  <w:style w:type="character" w:styleId="1100">
    <w:name w:val="文档结构图 字符"/>
    <w:next w:val="1100"/>
    <w:link w:val="1099"/>
    <w:qFormat/>
    <w:rPr>
      <w:sz w:val="21"/>
      <w:szCs w:val="24"/>
      <w:shd w:val="clear" w:color="auto" w:fill="000080"/>
    </w:rPr>
  </w:style>
  <w:style w:type="paragraph" w:styleId="1101">
    <w:name w:val="批注文字"/>
    <w:basedOn w:val="1072"/>
    <w:next w:val="1101"/>
    <w:link w:val="1102"/>
    <w:uiPriority w:val="99"/>
    <w:qFormat/>
    <w:pPr>
      <w:jc w:val="left"/>
    </w:pPr>
  </w:style>
  <w:style w:type="character" w:styleId="1102">
    <w:name w:val="批注文字 字符1"/>
    <w:next w:val="1102"/>
    <w:link w:val="1101"/>
    <w:uiPriority w:val="99"/>
    <w:qFormat/>
    <w:rPr>
      <w:sz w:val="21"/>
      <w:szCs w:val="24"/>
    </w:rPr>
  </w:style>
  <w:style w:type="paragraph" w:styleId="1103">
    <w:name w:val="正文文本 3"/>
    <w:basedOn w:val="1072"/>
    <w:next w:val="1103"/>
    <w:link w:val="1104"/>
    <w:qFormat/>
    <w:pPr>
      <w:spacing w:after="120"/>
    </w:pPr>
    <w:rPr>
      <w:sz w:val="16"/>
      <w:szCs w:val="16"/>
    </w:rPr>
  </w:style>
  <w:style w:type="character" w:styleId="1104">
    <w:name w:val="正文文本 3 字符"/>
    <w:next w:val="1104"/>
    <w:link w:val="1103"/>
    <w:qFormat/>
    <w:rPr>
      <w:sz w:val="16"/>
      <w:szCs w:val="16"/>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字符"/>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111"/>
    <w:link w:val="1112"/>
    <w:uiPriority w:val="99"/>
    <w:qFormat/>
    <w:rPr>
      <w:rFonts w:hint="eastAsia" w:ascii="宋体" w:hAnsi="Courier New"/>
      <w:szCs w:val="20"/>
    </w:rPr>
  </w:style>
  <w:style w:type="character" w:styleId="1112">
    <w:name w:val="纯文本 字符2"/>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101"/>
    <w:next w:val="1101"/>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139"/>
    <w:link w:val="1140"/>
    <w:qFormat/>
    <w:pPr>
      <w:ind w:left="420" w:firstLine="420"/>
      <w:spacing w:after="120" w:line="480" w:lineRule="exact"/>
    </w:pPr>
    <w:rPr>
      <w:szCs w:val="20"/>
    </w:rPr>
  </w:style>
  <w:style w:type="character" w:styleId="1140">
    <w:name w:val="正文首行缩进 2 字符"/>
    <w:next w:val="1140"/>
    <w:link w:val="113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qFormat/>
    <w:rPr>
      <w:b/>
      <w:bCs/>
    </w:rPr>
  </w:style>
  <w:style w:type="character" w:styleId="1144">
    <w:name w:val="页码"/>
    <w:next w:val="1144"/>
    <w:link w:val="1072"/>
    <w:qFormat/>
  </w:style>
  <w:style w:type="character" w:styleId="1145">
    <w:name w:val="已访问的超链接"/>
    <w:next w:val="1145"/>
    <w:link w:val="1072"/>
    <w:qFormat/>
    <w:rPr>
      <w:color w:val="800080"/>
      <w:u w:val="single"/>
    </w:rPr>
  </w:style>
  <w:style w:type="character" w:styleId="1146">
    <w:name w:val="强调"/>
    <w:next w:val="1146"/>
    <w:link w:val="1072"/>
    <w:qFormat/>
    <w:rPr>
      <w:color w:val="cc0033"/>
    </w:rPr>
  </w:style>
  <w:style w:type="character" w:styleId="1147">
    <w:name w:val="超链接"/>
    <w:next w:val="1147"/>
    <w:link w:val="1072"/>
    <w:uiPriority w:val="99"/>
    <w:qFormat/>
    <w:rPr>
      <w:color w:val="0000ff"/>
      <w:u w:val="single"/>
    </w:rPr>
  </w:style>
  <w:style w:type="character" w:styleId="1148">
    <w:name w:val="批注引用"/>
    <w:next w:val="1148"/>
    <w:link w:val="1072"/>
    <w:uiPriority w:val="99"/>
    <w:qFormat/>
    <w:rPr>
      <w:sz w:val="21"/>
      <w:szCs w:val="21"/>
    </w:rPr>
  </w:style>
  <w:style w:type="character" w:styleId="1149">
    <w:name w:val="HTML 引文"/>
    <w:next w:val="1149"/>
    <w:link w:val="1072"/>
    <w:qFormat/>
    <w:rPr>
      <w:i/>
      <w:iCs/>
    </w:rPr>
  </w:style>
  <w:style w:type="character" w:styleId="1150">
    <w:name w:val="批注文字 字符"/>
    <w:next w:val="1150"/>
    <w:link w:val="1072"/>
    <w:uiPriority w:val="99"/>
    <w:qFormat/>
    <w:rPr>
      <w:rFonts w:ascii="Times New Roman" w:hAnsi="Times New Roman" w:eastAsia="宋体" w:cs="Times New Roman"/>
      <w:sz w:val="24"/>
      <w:lang w:val="en-US" w:eastAsia="zh-CN" w:bidi="ar-SA"/>
    </w:rPr>
  </w:style>
  <w:style w:type="character" w:styleId="1151">
    <w:name w:val="c21"/>
    <w:next w:val="1151"/>
    <w:link w:val="1072"/>
    <w:qFormat/>
    <w:rPr>
      <w:rFonts w:ascii="ˎ̥" w:hAnsi="ˎ̥"/>
      <w:color w:val="000000"/>
      <w:sz w:val="20"/>
      <w:szCs w:val="20"/>
      <w:u w:val="none"/>
    </w:rPr>
  </w:style>
  <w:style w:type="character" w:styleId="1152">
    <w:name w:val="title4"/>
    <w:next w:val="1152"/>
    <w:link w:val="1072"/>
    <w:qFormat/>
    <w:rPr>
      <w:b/>
      <w:bCs/>
      <w:color w:val="1d87b3"/>
      <w:sz w:val="15"/>
      <w:szCs w:val="15"/>
    </w:rPr>
  </w:style>
  <w:style w:type="character" w:styleId="1153">
    <w:name w:val="标题 2 Char Char"/>
    <w:next w:val="1153"/>
    <w:link w:val="1072"/>
    <w:qFormat/>
    <w:rPr>
      <w:rFonts w:ascii="Arial" w:hAnsi="Arial" w:eastAsia="黑体"/>
      <w:b/>
      <w:bCs/>
      <w:sz w:val="32"/>
      <w:szCs w:val="32"/>
      <w:lang w:val="en-US" w:eastAsia="zh-CN" w:bidi="ar-SA"/>
    </w:rPr>
  </w:style>
  <w:style w:type="character" w:styleId="1154">
    <w:name w:val="black1"/>
    <w:next w:val="1154"/>
    <w:link w:val="1072"/>
    <w:qFormat/>
    <w:rPr>
      <w:color w:val="000000"/>
    </w:rPr>
  </w:style>
  <w:style w:type="character" w:styleId="1155">
    <w:name w:val="street-address"/>
    <w:next w:val="1155"/>
    <w:link w:val="1072"/>
    <w:qFormat/>
  </w:style>
  <w:style w:type="character" w:styleId="1156">
    <w:name w:val="locality"/>
    <w:next w:val="1156"/>
    <w:link w:val="1072"/>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2"/>
    <w:next w:val="1158"/>
    <w:link w:val="1157"/>
    <w:qFormat/>
    <w:pPr>
      <w:ind w:firstLine="480"/>
      <w:spacing w:line="480" w:lineRule="exact"/>
    </w:pPr>
    <w:rPr>
      <w:rFonts w:ascii="宋体" w:hAnsi="宋体"/>
      <w:sz w:val="24"/>
    </w:rPr>
  </w:style>
  <w:style w:type="character" w:styleId="1159">
    <w:name w:val="Char Char11"/>
    <w:next w:val="1159"/>
    <w:link w:val="1072"/>
    <w:qFormat/>
    <w:rPr>
      <w:rFonts w:ascii="宋体" w:eastAsia="宋体"/>
      <w:b/>
      <w:sz w:val="24"/>
      <w:u w:val="single"/>
      <w:lang w:val="en-US" w:eastAsia="zh-CN" w:bidi="ar-SA"/>
    </w:rPr>
  </w:style>
  <w:style w:type="character" w:styleId="1160">
    <w:name w:val="txt"/>
    <w:next w:val="1160"/>
    <w:link w:val="1072"/>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2"/>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2"/>
    <w:qFormat/>
    <w:rPr>
      <w:rFonts w:ascii="宋体" w:hAnsi="Courier New" w:eastAsia="宋体"/>
      <w:sz w:val="21"/>
      <w:lang w:val="en-US" w:eastAsia="zh-CN" w:bidi="ar-SA"/>
    </w:rPr>
  </w:style>
  <w:style w:type="character" w:styleId="1164">
    <w:name w:val="chanpin1"/>
    <w:next w:val="1164"/>
    <w:link w:val="1072"/>
    <w:qFormat/>
    <w:rPr>
      <w:rFonts w:ascii="ˎ̥" w:hAnsi="ˎ̥"/>
      <w:color w:val="000000"/>
      <w:sz w:val="20"/>
      <w:szCs w:val="20"/>
      <w:u w:val="none"/>
    </w:rPr>
  </w:style>
  <w:style w:type="character" w:styleId="1165">
    <w:name w:val="列出段落 字符"/>
    <w:next w:val="1165"/>
    <w:link w:val="1166"/>
    <w:uiPriority w:val="34"/>
    <w:qFormat/>
    <w:rPr>
      <w:rFonts w:ascii="Calibri" w:hAnsi="Calibri" w:eastAsia="宋体"/>
      <w:sz w:val="21"/>
      <w:szCs w:val="22"/>
      <w:lang w:val="en-US" w:eastAsia="zh-CN" w:bidi="ar-SA"/>
    </w:rPr>
  </w:style>
  <w:style w:type="paragraph" w:styleId="1166">
    <w:name w:val="列出段落"/>
    <w:basedOn w:val="1072"/>
    <w:next w:val="1166"/>
    <w:link w:val="1165"/>
    <w:uiPriority w:val="34"/>
    <w:qFormat/>
    <w:pPr>
      <w:ind w:firstLine="420"/>
    </w:pPr>
    <w:rPr>
      <w:rFonts w:ascii="Calibri" w:hAnsi="Calibri"/>
      <w:szCs w:val="22"/>
    </w:rPr>
  </w:style>
  <w:style w:type="character" w:styleId="1167">
    <w:name w:val="标题 3 Char Char"/>
    <w:next w:val="1167"/>
    <w:link w:val="1072"/>
    <w:qFormat/>
    <w:rPr>
      <w:rFonts w:eastAsia="宋体"/>
      <w:b/>
      <w:bCs/>
      <w:sz w:val="32"/>
      <w:szCs w:val="32"/>
      <w:lang w:val="en-US" w:eastAsia="zh-CN" w:bidi="ar-SA"/>
    </w:rPr>
  </w:style>
  <w:style w:type="character" w:styleId="1168">
    <w:name w:val="段1 Char"/>
    <w:next w:val="1168"/>
    <w:link w:val="1072"/>
    <w:qFormat/>
    <w:rPr>
      <w:rFonts w:ascii="宋体" w:eastAsia="宋体"/>
      <w:sz w:val="24"/>
      <w:lang w:val="en-US" w:eastAsia="zh-CN" w:bidi="ar-SA"/>
    </w:rPr>
  </w:style>
  <w:style w:type="character" w:styleId="1169">
    <w:name w:val="chanpin拷贝"/>
    <w:next w:val="1169"/>
    <w:link w:val="1072"/>
    <w:qFormat/>
  </w:style>
  <w:style w:type="character" w:styleId="1170">
    <w:name w:val="纯文本 Char1"/>
    <w:next w:val="1170"/>
    <w:link w:val="1072"/>
    <w:uiPriority w:val="99"/>
    <w:qFormat/>
    <w:rPr>
      <w:rFonts w:ascii="宋体" w:hAnsi="Courier New" w:eastAsia="宋体"/>
      <w:sz w:val="21"/>
      <w:lang w:val="en-US" w:eastAsia="zh-CN" w:bidi="ar-SA"/>
    </w:rPr>
  </w:style>
  <w:style w:type="character" w:styleId="1171">
    <w:name w:val="apple-style-span"/>
    <w:next w:val="1171"/>
    <w:link w:val="1072"/>
    <w:qFormat/>
    <w:rPr>
      <w:rFonts w:cs="Times New Roman"/>
    </w:rPr>
  </w:style>
  <w:style w:type="paragraph" w:styleId="1172">
    <w:name w:val="二级条标题"/>
    <w:basedOn w:val="1173"/>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2"/>
    <w:link w:val="1072"/>
    <w:qFormat/>
    <w:pPr>
      <w:numPr>
        <w:ilvl w:val="1"/>
      </w:numPr>
      <w:ind w:left="0" w:hanging="840"/>
      <w:tabs>
        <w:tab w:val="left" w:pos="360" w:leader="none"/>
        <w:tab w:val="left" w:pos="840" w:leader="none"/>
      </w:tabs>
      <w:outlineLvl w:val="1"/>
    </w:pPr>
  </w:style>
  <w:style w:type="paragraph" w:styleId="1174">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2"/>
    <w:next w:val="1175"/>
    <w:link w:val="1072"/>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2"/>
    <w:next w:val="1176"/>
    <w:link w:val="1072"/>
    <w:qFormat/>
    <w:rPr>
      <w:rFonts w:ascii="Tahoma" w:hAnsi="Tahoma"/>
      <w:sz w:val="24"/>
      <w:szCs w:val="20"/>
    </w:rPr>
  </w:style>
  <w:style w:type="paragraph" w:styleId="1177">
    <w:name w:val="Char3 Char Char Char"/>
    <w:basedOn w:val="1072"/>
    <w:next w:val="1177"/>
    <w:link w:val="1072"/>
    <w:qFormat/>
    <w:rPr>
      <w:rFonts w:ascii="Tahoma" w:hAnsi="Tahoma"/>
      <w:sz w:val="24"/>
      <w:szCs w:val="20"/>
    </w:rPr>
  </w:style>
  <w:style w:type="paragraph" w:styleId="1178">
    <w:name w:val="font6"/>
    <w:basedOn w:val="1072"/>
    <w:next w:val="1178"/>
    <w:link w:val="1072"/>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2"/>
    <w:qFormat/>
    <w:pPr>
      <w:numPr>
        <w:numId w:val="3"/>
      </w:numPr>
    </w:pPr>
  </w:style>
  <w:style w:type="paragraph" w:styleId="1180">
    <w:name w:val="项目编号1"/>
    <w:basedOn w:val="1072"/>
    <w:next w:val="1180"/>
    <w:link w:val="1072"/>
    <w:qFormat/>
    <w:pPr>
      <w:numPr>
        <w:ilvl w:val="0"/>
        <w:numId w:val="2"/>
      </w:numPr>
      <w:spacing w:before="100" w:beforeAutospacing="1" w:after="100" w:afterAutospacing="1" w:line="360" w:lineRule="auto"/>
    </w:pPr>
    <w:rPr>
      <w:sz w:val="24"/>
    </w:rPr>
  </w:style>
  <w:style w:type="paragraph" w:styleId="1181">
    <w:name w:val="图中文字"/>
    <w:basedOn w:val="1072"/>
    <w:next w:val="1181"/>
    <w:link w:val="1072"/>
    <w:qFormat/>
    <w:pPr>
      <w:jc w:val="center"/>
      <w:spacing w:line="0" w:lineRule="atLeast"/>
    </w:pPr>
    <w:rPr>
      <w:sz w:val="24"/>
      <w:szCs w:val="20"/>
    </w:rPr>
  </w:style>
  <w:style w:type="paragraph" w:styleId="1182">
    <w:name w:val="xl46"/>
    <w:basedOn w:val="1072"/>
    <w:next w:val="1182"/>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2"/>
    <w:next w:val="118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2"/>
    <w:next w:val="1184"/>
    <w:link w:val="1072"/>
    <w:qFormat/>
    <w:rPr>
      <w:rFonts w:ascii="Tahoma" w:hAnsi="Tahoma"/>
      <w:sz w:val="24"/>
      <w:szCs w:val="20"/>
    </w:rPr>
  </w:style>
  <w:style w:type="paragraph" w:styleId="1185">
    <w:name w:val="xl35"/>
    <w:basedOn w:val="1072"/>
    <w:next w:val="1185"/>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2"/>
    <w:next w:val="118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2"/>
    <w:next w:val="118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2"/>
    <w:next w:val="1189"/>
    <w:link w:val="1072"/>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2"/>
    <w:next w:val="1190"/>
    <w:link w:val="1072"/>
    <w:qFormat/>
    <w:pPr>
      <w:ind w:firstLine="200"/>
      <w:spacing w:line="360" w:lineRule="auto"/>
    </w:pPr>
    <w:rPr>
      <w:rFonts w:eastAsia="仿宋_GB2312"/>
      <w:sz w:val="24"/>
    </w:rPr>
  </w:style>
  <w:style w:type="paragraph" w:styleId="1191">
    <w:name w:val="xl38"/>
    <w:basedOn w:val="1072"/>
    <w:next w:val="119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2"/>
    <w:next w:val="1192"/>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2"/>
    <w:next w:val="1193"/>
    <w:link w:val="1072"/>
    <w:qFormat/>
    <w:pPr>
      <w:ind w:left="360" w:hanging="360"/>
      <w:jc w:val="left"/>
      <w:widowControl/>
    </w:pPr>
    <w:rPr>
      <w:rFonts w:ascii="宋体" w:hAnsi="宋体" w:cs="宋体"/>
      <w:b/>
      <w:bCs/>
      <w:color w:val="000000"/>
      <w:sz w:val="18"/>
      <w:szCs w:val="18"/>
    </w:rPr>
  </w:style>
  <w:style w:type="paragraph" w:styleId="1194">
    <w:name w:val="正文列项_数字"/>
    <w:basedOn w:val="1072"/>
    <w:next w:val="1194"/>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2"/>
    <w:next w:val="119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2"/>
    <w:next w:val="119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2"/>
    <w:next w:val="119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2"/>
    <w:next w:val="1198"/>
    <w:link w:val="1072"/>
    <w:qFormat/>
    <w:pPr>
      <w:jc w:val="left"/>
      <w:spacing w:before="100" w:beforeAutospacing="1" w:after="100" w:afterAutospacing="1"/>
      <w:widowControl/>
    </w:pPr>
    <w:rPr>
      <w:sz w:val="36"/>
      <w:szCs w:val="36"/>
    </w:rPr>
  </w:style>
  <w:style w:type="paragraph" w:styleId="1199">
    <w:name w:val="Char"/>
    <w:basedOn w:val="1072"/>
    <w:next w:val="1199"/>
    <w:link w:val="1072"/>
    <w:qFormat/>
    <w:pPr>
      <w:tabs>
        <w:tab w:val="left" w:pos="360" w:leader="none"/>
      </w:tabs>
    </w:pPr>
    <w:rPr>
      <w:sz w:val="24"/>
    </w:rPr>
  </w:style>
  <w:style w:type="paragraph" w:styleId="1200">
    <w:name w:val="Char Char Char Char Char Char Char Char Char Char Char Char Char Char Char Char"/>
    <w:basedOn w:val="1072"/>
    <w:next w:val="1200"/>
    <w:link w:val="1072"/>
    <w:qFormat/>
    <w:pPr>
      <w:jc w:val="center"/>
      <w:spacing w:after="160" w:line="240" w:lineRule="exact"/>
      <w:widowControl/>
    </w:pPr>
    <w:rPr>
      <w:rFonts w:ascii="宋体" w:hAnsi="宋体"/>
      <w:b/>
      <w:sz w:val="30"/>
      <w:szCs w:val="30"/>
      <w:lang w:eastAsia="en-US"/>
    </w:rPr>
  </w:style>
  <w:style w:type="paragraph" w:styleId="1201">
    <w:name w:val="xl45"/>
    <w:basedOn w:val="1072"/>
    <w:next w:val="1201"/>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2"/>
    <w:next w:val="1202"/>
    <w:link w:val="1072"/>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9"/>
    <w:next w:val="1203"/>
    <w:link w:val="1072"/>
    <w:qFormat/>
    <w:rPr>
      <w:rFonts w:ascii="Tahoma" w:hAnsi="Tahoma"/>
      <w:sz w:val="24"/>
    </w:rPr>
  </w:style>
  <w:style w:type="paragraph" w:styleId="1204">
    <w:name w:val="xl26"/>
    <w:basedOn w:val="1072"/>
    <w:next w:val="120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2"/>
    <w:next w:val="120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2"/>
    <w:next w:val="1207"/>
    <w:link w:val="1072"/>
    <w:qFormat/>
    <w:pPr>
      <w:jc w:val="left"/>
    </w:pPr>
    <w:rPr>
      <w:rFonts w:ascii="宋体" w:hAnsi="宋体"/>
      <w:szCs w:val="20"/>
    </w:rPr>
  </w:style>
  <w:style w:type="paragraph" w:styleId="1208">
    <w:name w:val="Char1 Char Char Char1"/>
    <w:basedOn w:val="1072"/>
    <w:next w:val="1208"/>
    <w:link w:val="1072"/>
    <w:qFormat/>
    <w:rPr>
      <w:rFonts w:ascii="Tahoma" w:hAnsi="Tahoma" w:cs="仿宋_GB2312"/>
      <w:sz w:val="24"/>
      <w:szCs w:val="28"/>
    </w:rPr>
  </w:style>
  <w:style w:type="paragraph" w:styleId="1209">
    <w:name w:val="四级条标题"/>
    <w:basedOn w:val="1210"/>
    <w:next w:val="1072"/>
    <w:link w:val="1072"/>
    <w:qFormat/>
    <w:pPr>
      <w:numPr>
        <w:ilvl w:val="4"/>
      </w:numPr>
      <w:ind w:left="0" w:hanging="840"/>
      <w:tabs>
        <w:tab w:val="left" w:pos="360" w:leader="none"/>
        <w:tab w:val="left" w:pos="840" w:leader="none"/>
      </w:tabs>
      <w:outlineLvl w:val="4"/>
    </w:pPr>
  </w:style>
  <w:style w:type="paragraph" w:styleId="1210">
    <w:name w:val="三级条标题"/>
    <w:basedOn w:val="1172"/>
    <w:next w:val="1072"/>
    <w:link w:val="1072"/>
    <w:qFormat/>
    <w:pPr>
      <w:numPr>
        <w:ilvl w:val="3"/>
        <w:numId w:val="1"/>
      </w:numPr>
      <w:ind w:left="0" w:hanging="840"/>
      <w:tabs>
        <w:tab w:val="left" w:pos="360" w:leader="none"/>
        <w:tab w:val="left" w:pos="840" w:leader="none"/>
      </w:tabs>
      <w:outlineLvl w:val="3"/>
    </w:pPr>
  </w:style>
  <w:style w:type="paragraph" w:styleId="1211">
    <w:name w:val="??"/>
    <w:next w:val="1211"/>
    <w:link w:val="1072"/>
    <w:qFormat/>
    <w:pPr>
      <w:jc w:val="both"/>
      <w:widowControl w:val="off"/>
    </w:pPr>
    <w:rPr>
      <w:sz w:val="21"/>
      <w:lang w:val="en-US" w:eastAsia="en-US" w:bidi="ar-SA"/>
    </w:rPr>
  </w:style>
  <w:style w:type="paragraph" w:styleId="1212">
    <w:name w:val="样式 标题 2 + 宋体 五号 行距: 单倍行距"/>
    <w:basedOn w:val="1074"/>
    <w:next w:val="1212"/>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2"/>
    <w:next w:val="1213"/>
    <w:link w:val="1072"/>
    <w:qFormat/>
    <w:pPr>
      <w:ind w:firstLine="420"/>
    </w:pPr>
    <w:rPr>
      <w:rFonts w:ascii="Calibri" w:hAnsi="Calibri"/>
      <w:szCs w:val="22"/>
    </w:rPr>
  </w:style>
  <w:style w:type="paragraph" w:styleId="1214">
    <w:name w:val="项目符号1"/>
    <w:basedOn w:val="1215"/>
    <w:next w:val="1214"/>
    <w:link w:val="1072"/>
    <w:qFormat/>
    <w:pPr>
      <w:ind w:left="-25" w:firstLine="0"/>
    </w:pPr>
  </w:style>
  <w:style w:type="paragraph" w:styleId="1215">
    <w:name w:val="正文文本样式"/>
    <w:basedOn w:val="1072"/>
    <w:next w:val="1215"/>
    <w:link w:val="1072"/>
    <w:qFormat/>
    <w:pPr>
      <w:ind w:firstLine="482"/>
      <w:spacing w:line="360" w:lineRule="auto"/>
    </w:pPr>
    <w:rPr>
      <w:rFonts w:cs="宋体"/>
      <w:sz w:val="24"/>
      <w:szCs w:val="20"/>
    </w:rPr>
  </w:style>
  <w:style w:type="paragraph" w:styleId="1216">
    <w:name w:val="xl27"/>
    <w:basedOn w:val="1072"/>
    <w:next w:val="121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2"/>
    <w:next w:val="1217"/>
    <w:link w:val="1072"/>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2"/>
    <w:link w:val="1072"/>
    <w:qFormat/>
    <w:pPr>
      <w:numPr>
        <w:ilvl w:val="5"/>
      </w:numPr>
      <w:ind w:left="0" w:hanging="840"/>
      <w:tabs>
        <w:tab w:val="left" w:pos="360" w:leader="none"/>
        <w:tab w:val="left" w:pos="840" w:leader="none"/>
      </w:tabs>
      <w:outlineLvl w:val="5"/>
    </w:pPr>
  </w:style>
  <w:style w:type="paragraph" w:styleId="1219">
    <w:name w:val="xl49"/>
    <w:basedOn w:val="1072"/>
    <w:next w:val="121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2"/>
    <w:next w:val="1220"/>
    <w:link w:val="1072"/>
    <w:qFormat/>
    <w:pPr>
      <w:spacing w:before="120" w:after="120" w:line="180" w:lineRule="auto"/>
    </w:pPr>
    <w:rPr>
      <w:rFonts w:ascii="Arial" w:hAnsi="Arial"/>
      <w:szCs w:val="20"/>
    </w:rPr>
  </w:style>
  <w:style w:type="paragraph" w:styleId="1221">
    <w:name w:val="xl33"/>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2"/>
    <w:next w:val="122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2"/>
    <w:next w:val="1223"/>
    <w:link w:val="1072"/>
    <w:qFormat/>
    <w:rPr>
      <w:rFonts w:ascii="Tahoma" w:hAnsi="Tahoma"/>
      <w:sz w:val="24"/>
      <w:szCs w:val="20"/>
    </w:rPr>
  </w:style>
  <w:style w:type="paragraph" w:styleId="1224">
    <w:name w:val="xl44"/>
    <w:basedOn w:val="1072"/>
    <w:next w:val="122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2"/>
    <w:next w:val="1225"/>
    <w:link w:val="1072"/>
    <w:qFormat/>
    <w:pPr>
      <w:numPr>
        <w:ilvl w:val="0"/>
        <w:numId w:val="5"/>
      </w:numPr>
      <w:spacing w:before="120"/>
      <w:tabs>
        <w:tab w:val="left" w:pos="360" w:leader="none"/>
      </w:tabs>
    </w:pPr>
    <w:rPr>
      <w:rFonts w:ascii="宋体"/>
      <w:sz w:val="28"/>
      <w:szCs w:val="20"/>
    </w:rPr>
  </w:style>
  <w:style w:type="paragraph" w:styleId="1226">
    <w:name w:val="font9"/>
    <w:basedOn w:val="1072"/>
    <w:next w:val="1226"/>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2"/>
    <w:next w:val="1227"/>
    <w:link w:val="1072"/>
    <w:qFormat/>
    <w:rPr>
      <w:rFonts w:ascii="Tahoma" w:hAnsi="Tahoma"/>
      <w:sz w:val="24"/>
      <w:szCs w:val="20"/>
    </w:rPr>
  </w:style>
  <w:style w:type="paragraph" w:styleId="1228">
    <w:name w:val="Char Char Char Char Char Char Char Char Char Char"/>
    <w:basedOn w:val="1072"/>
    <w:next w:val="1228"/>
    <w:link w:val="1072"/>
    <w:qFormat/>
  </w:style>
  <w:style w:type="paragraph" w:styleId="1229">
    <w:name w:val="Char Char1 Char Char Char Char Char Char Char Char"/>
    <w:basedOn w:val="1072"/>
    <w:next w:val="1229"/>
    <w:link w:val="1072"/>
    <w:qFormat/>
    <w:pPr>
      <w:jc w:val="left"/>
      <w:spacing w:after="160" w:line="240" w:lineRule="exact"/>
      <w:widowControl/>
    </w:pPr>
    <w:rPr>
      <w:rFonts w:ascii="Verdana" w:hAnsi="Verdana"/>
      <w:sz w:val="20"/>
      <w:szCs w:val="20"/>
      <w:lang w:eastAsia="en-US"/>
    </w:rPr>
  </w:style>
  <w:style w:type="paragraph" w:styleId="1230">
    <w:name w:val="Char1"/>
    <w:basedOn w:val="1072"/>
    <w:next w:val="1230"/>
    <w:link w:val="1072"/>
    <w:qFormat/>
    <w:pPr>
      <w:tabs>
        <w:tab w:val="left" w:pos="360" w:leader="none"/>
      </w:tabs>
    </w:pPr>
    <w:rPr>
      <w:sz w:val="24"/>
    </w:rPr>
  </w:style>
  <w:style w:type="paragraph" w:styleId="1231">
    <w:name w:val="正文列项_字母"/>
    <w:basedOn w:val="1072"/>
    <w:next w:val="1231"/>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2"/>
    <w:next w:val="123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2"/>
    <w:next w:val="1233"/>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2"/>
    <w:next w:val="1234"/>
    <w:link w:val="1072"/>
    <w:qFormat/>
    <w:rPr>
      <w:rFonts w:ascii="Arial" w:hAnsi="Arial" w:cs="Arial"/>
      <w:szCs w:val="21"/>
    </w:rPr>
  </w:style>
  <w:style w:type="paragraph" w:styleId="1235">
    <w:name w:val="xl48"/>
    <w:basedOn w:val="1072"/>
    <w:next w:val="123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2"/>
    <w:next w:val="1236"/>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2"/>
    <w:next w:val="1238"/>
    <w:link w:val="1072"/>
    <w:qFormat/>
    <w:rPr>
      <w:rFonts w:ascii="Tahoma" w:hAnsi="Tahoma"/>
      <w:sz w:val="24"/>
      <w:szCs w:val="20"/>
    </w:rPr>
  </w:style>
  <w:style w:type="paragraph" w:styleId="1239">
    <w:name w:val="xl50"/>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2"/>
    <w:next w:val="1240"/>
    <w:link w:val="1072"/>
    <w:qFormat/>
    <w:pPr>
      <w:jc w:val="left"/>
    </w:pPr>
    <w:rPr>
      <w:sz w:val="24"/>
    </w:rPr>
  </w:style>
  <w:style w:type="paragraph" w:styleId="1241">
    <w:name w:val="Char Char Char1"/>
    <w:basedOn w:val="1072"/>
    <w:next w:val="1241"/>
    <w:link w:val="1072"/>
    <w:qFormat/>
    <w:rPr>
      <w:rFonts w:ascii="Tahoma" w:hAnsi="Tahoma"/>
      <w:sz w:val="24"/>
      <w:szCs w:val="20"/>
    </w:rPr>
  </w:style>
  <w:style w:type="paragraph" w:styleId="1242">
    <w:name w:val="Char Char Char Char Char Char Char1"/>
    <w:basedOn w:val="1072"/>
    <w:next w:val="1242"/>
    <w:link w:val="1072"/>
    <w:qFormat/>
    <w:pPr>
      <w:ind w:firstLine="200"/>
      <w:spacing w:line="360" w:lineRule="auto"/>
    </w:pPr>
    <w:rPr>
      <w:rFonts w:eastAsia="仿宋_GB2312"/>
      <w:sz w:val="24"/>
    </w:rPr>
  </w:style>
  <w:style w:type="paragraph" w:styleId="1243">
    <w:name w:val="xl51"/>
    <w:basedOn w:val="1072"/>
    <w:next w:val="1243"/>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2"/>
    <w:qFormat/>
    <w:pPr>
      <w:jc w:val="center"/>
      <w:spacing w:line="360" w:lineRule="auto"/>
    </w:pPr>
    <w:rPr>
      <w:sz w:val="24"/>
    </w:rPr>
  </w:style>
  <w:style w:type="paragraph" w:styleId="1245">
    <w:name w:val="xl24"/>
    <w:basedOn w:val="1072"/>
    <w:next w:val="124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2"/>
    <w:next w:val="124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2"/>
    <w:next w:val="1247"/>
    <w:link w:val="1072"/>
    <w:qFormat/>
    <w:pPr>
      <w:jc w:val="left"/>
      <w:widowControl/>
    </w:pPr>
    <w:rPr>
      <w:rFonts w:ascii="楷体_GB2312" w:eastAsia="楷体_GB2312" w:cs="Arial"/>
      <w:sz w:val="24"/>
    </w:rPr>
  </w:style>
  <w:style w:type="paragraph" w:styleId="1248">
    <w:name w:val="xl34"/>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2"/>
    <w:next w:val="1249"/>
    <w:link w:val="1072"/>
    <w:qFormat/>
    <w:rPr>
      <w:rFonts w:ascii="Tahoma" w:hAnsi="Tahoma"/>
      <w:sz w:val="24"/>
      <w:szCs w:val="20"/>
    </w:rPr>
  </w:style>
  <w:style w:type="paragraph" w:styleId="1250">
    <w:name w:val="Default"/>
    <w:next w:val="1250"/>
    <w:link w:val="1072"/>
    <w:qFormat/>
    <w:pPr>
      <w:widowControl w:val="off"/>
    </w:pPr>
    <w:rPr>
      <w:rFonts w:ascii="Symbol" w:hAnsi="Symbol" w:cs="Symbol"/>
      <w:color w:val="000000"/>
      <w:sz w:val="24"/>
      <w:szCs w:val="24"/>
      <w:lang w:val="en-US" w:eastAsia="zh-CN" w:bidi="ar-SA"/>
    </w:rPr>
  </w:style>
  <w:style w:type="paragraph" w:styleId="1251">
    <w:name w:val="列出段落1"/>
    <w:basedOn w:val="1072"/>
    <w:next w:val="1251"/>
    <w:link w:val="1072"/>
    <w:qFormat/>
    <w:pPr>
      <w:ind w:firstLine="420"/>
    </w:pPr>
    <w:rPr>
      <w:rFonts w:ascii="Calibri" w:hAnsi="Calibri"/>
      <w:szCs w:val="22"/>
    </w:rPr>
  </w:style>
  <w:style w:type="paragraph" w:styleId="1252">
    <w:name w:val="default"/>
    <w:basedOn w:val="1072"/>
    <w:next w:val="1252"/>
    <w:link w:val="1072"/>
    <w:qFormat/>
    <w:pPr>
      <w:jc w:val="left"/>
      <w:spacing w:before="100" w:beforeAutospacing="1" w:after="100" w:afterAutospacing="1"/>
      <w:widowControl/>
    </w:pPr>
    <w:rPr>
      <w:rFonts w:ascii="宋体" w:hAnsi="宋体" w:cs="宋体"/>
      <w:sz w:val="24"/>
    </w:rPr>
  </w:style>
  <w:style w:type="paragraph" w:styleId="1253">
    <w:name w:val="字元 字元1"/>
    <w:basedOn w:val="1072"/>
    <w:next w:val="1253"/>
    <w:link w:val="1072"/>
    <w:qFormat/>
    <w:rPr>
      <w:rFonts w:ascii="Tahoma" w:hAnsi="Tahoma"/>
      <w:sz w:val="24"/>
      <w:szCs w:val="20"/>
    </w:rPr>
  </w:style>
  <w:style w:type="paragraph" w:styleId="1254">
    <w:name w:val="_Style 160"/>
    <w:next w:val="1254"/>
    <w:link w:val="1072"/>
    <w:qFormat/>
    <w:rPr>
      <w:sz w:val="21"/>
      <w:szCs w:val="24"/>
      <w:lang w:val="en-US" w:eastAsia="zh-CN" w:bidi="ar-SA"/>
    </w:rPr>
  </w:style>
  <w:style w:type="paragraph" w:styleId="1255">
    <w:name w:val="项目编号3"/>
    <w:basedOn w:val="1215"/>
    <w:next w:val="1255"/>
    <w:link w:val="1072"/>
    <w:qFormat/>
    <w:pPr>
      <w:numPr>
        <w:ilvl w:val="0"/>
        <w:numId w:val="6"/>
      </w:numPr>
    </w:pPr>
  </w:style>
  <w:style w:type="paragraph" w:styleId="1256">
    <w:name w:val="Char21"/>
    <w:basedOn w:val="1072"/>
    <w:next w:val="1256"/>
    <w:link w:val="1072"/>
    <w:qFormat/>
    <w:rPr>
      <w:rFonts w:ascii="Tahoma" w:hAnsi="Tahoma"/>
      <w:sz w:val="24"/>
      <w:szCs w:val="20"/>
    </w:rPr>
  </w:style>
  <w:style w:type="paragraph" w:styleId="1257">
    <w:name w:val="表格文字"/>
    <w:basedOn w:val="1105"/>
    <w:next w:val="1257"/>
    <w:link w:val="1072"/>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2"/>
    <w:next w:val="1258"/>
    <w:link w:val="1072"/>
    <w:qFormat/>
    <w:rPr>
      <w:rFonts w:ascii="宋体" w:hAnsi="宋体" w:cs="Courier New"/>
      <w:sz w:val="32"/>
      <w:szCs w:val="32"/>
    </w:rPr>
  </w:style>
  <w:style w:type="paragraph" w:styleId="1259">
    <w:name w:val="正文文本样式 加粗"/>
    <w:basedOn w:val="1215"/>
    <w:next w:val="1259"/>
    <w:link w:val="1072"/>
    <w:qFormat/>
    <w:rPr>
      <w:b/>
    </w:rPr>
  </w:style>
  <w:style w:type="paragraph" w:styleId="1260">
    <w:name w:val="Char2 Char Char Char Char Char Char"/>
    <w:basedOn w:val="1072"/>
    <w:next w:val="1260"/>
    <w:link w:val="1072"/>
    <w:qFormat/>
    <w:pPr>
      <w:jc w:val="center"/>
      <w:spacing w:line="400" w:lineRule="exact"/>
      <w:widowControl/>
    </w:pPr>
  </w:style>
  <w:style w:type="paragraph" w:styleId="1261">
    <w:name w:val="Char Char4"/>
    <w:basedOn w:val="1072"/>
    <w:next w:val="1261"/>
    <w:link w:val="1072"/>
    <w:qFormat/>
    <w:pPr>
      <w:jc w:val="center"/>
      <w:spacing w:line="400" w:lineRule="exact"/>
      <w:widowControl/>
    </w:pPr>
  </w:style>
  <w:style w:type="paragraph" w:styleId="1262">
    <w:name w:val="Char3 Char Char Char1"/>
    <w:basedOn w:val="1072"/>
    <w:next w:val="1262"/>
    <w:link w:val="1072"/>
    <w:qFormat/>
    <w:rPr>
      <w:rFonts w:ascii="Tahoma" w:hAnsi="Tahoma"/>
      <w:sz w:val="24"/>
      <w:szCs w:val="20"/>
    </w:rPr>
  </w:style>
  <w:style w:type="paragraph" w:styleId="1263">
    <w:name w:val="无间隔"/>
    <w:next w:val="1263"/>
    <w:link w:val="1072"/>
    <w:qFormat/>
    <w:pPr>
      <w:jc w:val="both"/>
      <w:widowControl w:val="off"/>
    </w:pPr>
    <w:rPr>
      <w:sz w:val="21"/>
      <w:szCs w:val="24"/>
      <w:lang w:val="en-US" w:eastAsia="zh-CN" w:bidi="ar-SA"/>
    </w:rPr>
  </w:style>
  <w:style w:type="paragraph" w:styleId="1264">
    <w:name w:val="22222222222222"/>
    <w:basedOn w:val="1072"/>
    <w:next w:val="1264"/>
    <w:link w:val="1072"/>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2"/>
    <w:next w:val="1267"/>
    <w:link w:val="1072"/>
    <w:qFormat/>
    <w:pPr>
      <w:spacing w:after="50" w:line="360" w:lineRule="auto"/>
    </w:pPr>
    <w:rPr>
      <w:sz w:val="24"/>
    </w:rPr>
  </w:style>
  <w:style w:type="paragraph" w:styleId="1268">
    <w:name w:val="xl23"/>
    <w:basedOn w:val="1072"/>
    <w:next w:val="1268"/>
    <w:link w:val="1072"/>
    <w:qFormat/>
    <w:pPr>
      <w:spacing w:before="100" w:beforeAutospacing="1" w:after="100" w:afterAutospacing="1" w:line="360" w:lineRule="auto"/>
      <w:widowControl/>
    </w:pPr>
    <w:rPr>
      <w:sz w:val="24"/>
      <w:szCs w:val="20"/>
    </w:rPr>
  </w:style>
  <w:style w:type="paragraph" w:styleId="1269">
    <w:name w:val="正文表格"/>
    <w:basedOn w:val="1072"/>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2"/>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3"/>
    <w:next w:val="1273"/>
    <w:link w:val="1072"/>
    <w:qFormat/>
    <w:pPr>
      <w:jc w:val="left"/>
    </w:pPr>
    <w:rPr>
      <w:sz w:val="24"/>
      <w:szCs w:val="24"/>
    </w:rPr>
  </w:style>
  <w:style w:type="paragraph" w:styleId="1274">
    <w:name w:val="正文小标题"/>
    <w:basedOn w:val="1072"/>
    <w:next w:val="1088"/>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8"/>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2"/>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2"/>
    <w:next w:val="1072"/>
    <w:link w:val="1072"/>
    <w:qFormat/>
    <w:pPr>
      <w:numPr>
        <w:ilvl w:val="0"/>
        <w:numId w:val="7"/>
      </w:numPr>
      <w:spacing w:line="300" w:lineRule="auto"/>
    </w:pPr>
    <w:rPr>
      <w:rFonts w:ascii="宋体" w:hAnsi="Calibri"/>
      <w:sz w:val="24"/>
      <w:szCs w:val="21"/>
    </w:rPr>
  </w:style>
  <w:style w:type="paragraph" w:styleId="1281">
    <w:name w:val="正文须知-2级"/>
    <w:basedOn w:val="1072"/>
    <w:next w:val="1281"/>
    <w:link w:val="1072"/>
    <w:qFormat/>
    <w:pPr>
      <w:numPr>
        <w:ilvl w:val="1"/>
        <w:numId w:val="7"/>
      </w:numPr>
      <w:spacing w:line="300" w:lineRule="auto"/>
    </w:pPr>
    <w:rPr>
      <w:rFonts w:ascii="宋体" w:hAnsi="Calibri"/>
      <w:sz w:val="24"/>
      <w:szCs w:val="21"/>
    </w:rPr>
  </w:style>
  <w:style w:type="paragraph" w:styleId="1282">
    <w:name w:val="正文须知-3级"/>
    <w:basedOn w:val="1072"/>
    <w:next w:val="1282"/>
    <w:link w:val="1072"/>
    <w:qFormat/>
    <w:pPr>
      <w:numPr>
        <w:ilvl w:val="2"/>
        <w:numId w:val="7"/>
      </w:numPr>
      <w:ind w:hanging="355"/>
      <w:spacing w:line="300" w:lineRule="auto"/>
    </w:pPr>
    <w:rPr>
      <w:rFonts w:ascii="宋体" w:hAnsi="Calibri"/>
      <w:sz w:val="24"/>
      <w:szCs w:val="21"/>
    </w:rPr>
  </w:style>
  <w:style w:type="character" w:styleId="1283">
    <w:name w:val="纯文本 字符"/>
    <w:next w:val="1283"/>
    <w:link w:val="1072"/>
    <w:uiPriority w:val="99"/>
    <w:qFormat/>
    <w:rPr>
      <w:rFonts w:ascii="宋体" w:hAnsi="Courier New" w:eastAsia="宋体" w:cs="Times New Roman"/>
      <w:sz w:val="21"/>
      <w:szCs w:val="21"/>
      <w:lang w:val="en-US" w:eastAsia="zh-CN" w:bidi="ar-SA"/>
    </w:rPr>
  </w:style>
  <w:style w:type="paragraph" w:styleId="1284">
    <w:name w:val="表格1"/>
    <w:basedOn w:val="1072"/>
    <w:next w:val="1284"/>
    <w:link w:val="1072"/>
    <w:qFormat/>
    <w:pPr>
      <w:ind w:firstLine="480"/>
      <w:jc w:val="center"/>
    </w:pPr>
    <w:rPr>
      <w:sz w:val="24"/>
      <w:szCs w:val="20"/>
    </w:rPr>
  </w:style>
  <w:style w:type="character" w:styleId="1285">
    <w:name w:val="纯文本 字符1"/>
    <w:next w:val="1285"/>
    <w:link w:val="1072"/>
    <w:qFormat/>
    <w:rPr>
      <w:rFonts w:ascii="宋体" w:hAnsi="Courier New"/>
    </w:rPr>
  </w:style>
  <w:style w:type="character" w:styleId="1286">
    <w:name w:val="bjh-p"/>
    <w:next w:val="1286"/>
    <w:link w:val="1072"/>
    <w:qFormat/>
  </w:style>
  <w:style w:type="paragraph" w:styleId="1287">
    <w:name w:val="无标题条"/>
    <w:next w:val="1072"/>
    <w:link w:val="1072"/>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2"/>
    <w:next w:val="1289"/>
    <w:link w:val="1288"/>
    <w:qFormat/>
    <w:pPr>
      <w:ind w:firstLine="480"/>
      <w:spacing w:line="360" w:lineRule="auto"/>
    </w:pPr>
    <w:rPr>
      <w:rFonts w:ascii="宋体" w:hAnsi="宋体"/>
      <w:sz w:val="24"/>
      <w:lang w:val="en-GB"/>
    </w:rPr>
  </w:style>
  <w:style w:type="character" w:styleId="1290">
    <w:name w:val="标题 3 Char"/>
    <w:next w:val="1290"/>
    <w:link w:val="1072"/>
    <w:qFormat/>
    <w:rPr>
      <w:rFonts w:ascii="宋体" w:eastAsia="宋体"/>
      <w:b/>
      <w:sz w:val="24"/>
      <w:u w:val="single"/>
      <w:lang w:val="en-US" w:eastAsia="zh-CN" w:bidi="ar-SA"/>
    </w:rPr>
  </w:style>
  <w:style w:type="character" w:styleId="1291">
    <w:name w:val="正文缩进 Char"/>
    <w:next w:val="1291"/>
    <w:link w:val="1072"/>
    <w:qFormat/>
    <w:rPr>
      <w:rFonts w:ascii="宋体" w:eastAsia="宋体"/>
      <w:sz w:val="24"/>
      <w:szCs w:val="24"/>
      <w:lang w:val="en-US" w:eastAsia="zh-CN" w:bidi="ar-SA"/>
    </w:rPr>
  </w:style>
  <w:style w:type="character" w:styleId="1292">
    <w:name w:val="Char Char111"/>
    <w:next w:val="1292"/>
    <w:link w:val="1072"/>
    <w:qFormat/>
    <w:rPr>
      <w:rFonts w:ascii="宋体" w:eastAsia="宋体"/>
      <w:b/>
      <w:sz w:val="24"/>
      <w:u w:val="single"/>
      <w:lang w:val="en-US" w:eastAsia="zh-CN" w:bidi="ar-SA"/>
    </w:rPr>
  </w:style>
  <w:style w:type="character" w:styleId="1293">
    <w:name w:val="正文文本缩进 Char"/>
    <w:next w:val="1293"/>
    <w:link w:val="1072"/>
    <w:qFormat/>
    <w:rPr>
      <w:rFonts w:eastAsia="宋体"/>
      <w:sz w:val="24"/>
      <w:szCs w:val="24"/>
      <w:lang w:val="en-US" w:eastAsia="zh-CN" w:bidi="ar-SA"/>
    </w:rPr>
  </w:style>
  <w:style w:type="character" w:styleId="1294">
    <w:name w:val="列出段落 Char"/>
    <w:next w:val="1294"/>
    <w:link w:val="1072"/>
    <w:qFormat/>
    <w:rPr>
      <w:rFonts w:ascii="Calibri" w:hAnsi="Calibri" w:eastAsia="宋体"/>
      <w:sz w:val="21"/>
      <w:szCs w:val="22"/>
      <w:lang w:val="en-US" w:eastAsia="zh-CN" w:bidi="ar-SA"/>
    </w:rPr>
  </w:style>
  <w:style w:type="character" w:styleId="1295">
    <w:name w:val="页眉 Char"/>
    <w:next w:val="1295"/>
    <w:link w:val="1072"/>
    <w:qFormat/>
    <w:rPr>
      <w:rFonts w:eastAsia="宋体"/>
      <w:sz w:val="18"/>
      <w:szCs w:val="18"/>
      <w:lang w:val="en-US" w:eastAsia="zh-CN" w:bidi="ar-SA"/>
    </w:rPr>
  </w:style>
  <w:style w:type="character" w:styleId="1296">
    <w:name w:val="标题 2 Char"/>
    <w:next w:val="1296"/>
    <w:link w:val="1072"/>
    <w:qFormat/>
    <w:rPr>
      <w:rFonts w:ascii="Arial" w:hAnsi="Arial" w:eastAsia="黑体"/>
      <w:b/>
      <w:sz w:val="30"/>
      <w:lang w:val="en-US" w:eastAsia="zh-CN" w:bidi="ar-SA"/>
    </w:rPr>
  </w:style>
  <w:style w:type="paragraph" w:styleId="1297">
    <w:name w:val="字元 字元2"/>
    <w:basedOn w:val="1072"/>
    <w:next w:val="1297"/>
    <w:link w:val="1072"/>
    <w:qFormat/>
    <w:rPr>
      <w:rFonts w:ascii="Tahoma" w:hAnsi="Tahoma"/>
      <w:sz w:val="24"/>
      <w:szCs w:val="20"/>
    </w:rPr>
  </w:style>
  <w:style w:type="paragraph" w:styleId="1298">
    <w:name w:val="Char3 Char Char Char2"/>
    <w:basedOn w:val="1072"/>
    <w:next w:val="1298"/>
    <w:link w:val="1072"/>
    <w:qFormat/>
    <w:rPr>
      <w:rFonts w:ascii="Tahoma" w:hAnsi="Tahoma"/>
      <w:sz w:val="24"/>
      <w:szCs w:val="20"/>
    </w:rPr>
  </w:style>
  <w:style w:type="paragraph" w:styleId="1299">
    <w:name w:val="正文文本缩进2"/>
    <w:basedOn w:val="1072"/>
    <w:next w:val="1299"/>
    <w:link w:val="1072"/>
    <w:qFormat/>
    <w:pPr>
      <w:ind w:firstLine="480"/>
      <w:spacing w:line="480" w:lineRule="exact"/>
    </w:pPr>
    <w:rPr>
      <w:rFonts w:ascii="宋体" w:hAnsi="宋体"/>
      <w:sz w:val="24"/>
      <w:lang w:val="zh-CN" w:eastAsia="zh-CN"/>
    </w:rPr>
  </w:style>
  <w:style w:type="paragraph" w:styleId="1300">
    <w:name w:val="Char3"/>
    <w:basedOn w:val="1072"/>
    <w:next w:val="1300"/>
    <w:link w:val="1072"/>
    <w:qFormat/>
    <w:pPr>
      <w:tabs>
        <w:tab w:val="left" w:pos="360" w:leader="none"/>
      </w:tabs>
    </w:pPr>
    <w:rPr>
      <w:sz w:val="24"/>
    </w:rPr>
  </w:style>
  <w:style w:type="paragraph" w:styleId="1301">
    <w:name w:val="Char Char Char Char Char Char Char Char Char Char Char Char Char Char Char Char1"/>
    <w:basedOn w:val="1072"/>
    <w:next w:val="1301"/>
    <w:link w:val="1072"/>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2"/>
    <w:next w:val="1302"/>
    <w:link w:val="1072"/>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2"/>
    <w:next w:val="1303"/>
    <w:link w:val="1072"/>
    <w:qFormat/>
    <w:pPr>
      <w:ind w:firstLine="420"/>
    </w:pPr>
    <w:rPr>
      <w:rFonts w:ascii="Calibri" w:hAnsi="Calibri"/>
      <w:szCs w:val="22"/>
    </w:rPr>
  </w:style>
  <w:style w:type="paragraph" w:styleId="1304">
    <w:name w:val="Char Char Char1 Char2"/>
    <w:basedOn w:val="1072"/>
    <w:next w:val="1304"/>
    <w:link w:val="1072"/>
    <w:qFormat/>
    <w:rPr>
      <w:rFonts w:ascii="Tahoma" w:hAnsi="Tahoma"/>
      <w:sz w:val="24"/>
      <w:szCs w:val="20"/>
    </w:rPr>
  </w:style>
  <w:style w:type="paragraph" w:styleId="1305">
    <w:name w:val="Char Char Char2"/>
    <w:basedOn w:val="1072"/>
    <w:next w:val="1305"/>
    <w:link w:val="1072"/>
    <w:qFormat/>
    <w:rPr>
      <w:rFonts w:ascii="Tahoma" w:hAnsi="Tahoma"/>
      <w:sz w:val="24"/>
      <w:szCs w:val="20"/>
    </w:rPr>
  </w:style>
  <w:style w:type="paragraph" w:styleId="1306">
    <w:name w:val="Char Char Char Char Char Char Char2"/>
    <w:basedOn w:val="1072"/>
    <w:next w:val="1306"/>
    <w:link w:val="1072"/>
    <w:qFormat/>
    <w:pPr>
      <w:ind w:firstLine="200"/>
      <w:spacing w:line="360" w:lineRule="auto"/>
    </w:pPr>
    <w:rPr>
      <w:rFonts w:eastAsia="仿宋_GB2312"/>
      <w:sz w:val="24"/>
    </w:rPr>
  </w:style>
  <w:style w:type="paragraph" w:styleId="1307">
    <w:name w:val="正文缩进2"/>
    <w:basedOn w:val="1072"/>
    <w:next w:val="1307"/>
    <w:link w:val="1072"/>
    <w:qFormat/>
    <w:pPr>
      <w:ind w:firstLine="567"/>
      <w:spacing w:line="480" w:lineRule="exact"/>
      <w:widowControl/>
    </w:pPr>
    <w:rPr>
      <w:rFonts w:ascii="宋体"/>
      <w:color w:val="000000"/>
      <w:sz w:val="28"/>
      <w:szCs w:val="20"/>
      <w:lang w:val="zh-CN" w:eastAsia="zh-CN"/>
    </w:rPr>
  </w:style>
  <w:style w:type="paragraph" w:styleId="1308">
    <w:name w:val="Revision"/>
    <w:next w:val="1308"/>
    <w:link w:val="1072"/>
    <w:qFormat/>
    <w:rPr>
      <w:sz w:val="21"/>
      <w:szCs w:val="24"/>
      <w:lang w:val="en-US" w:eastAsia="zh-CN" w:bidi="ar-SA"/>
    </w:rPr>
  </w:style>
  <w:style w:type="paragraph" w:styleId="1309">
    <w:name w:val="Char22"/>
    <w:basedOn w:val="1072"/>
    <w:next w:val="1309"/>
    <w:link w:val="1072"/>
    <w:qFormat/>
    <w:rPr>
      <w:rFonts w:ascii="Tahoma" w:hAnsi="Tahoma"/>
      <w:sz w:val="24"/>
      <w:szCs w:val="20"/>
    </w:rPr>
  </w:style>
  <w:style w:type="paragraph" w:styleId="1310">
    <w:name w:val="Char Char Char Char Char Char Char Char Char Char2"/>
    <w:basedOn w:val="1072"/>
    <w:next w:val="1310"/>
    <w:link w:val="1072"/>
    <w:qFormat/>
    <w:rPr>
      <w:rFonts w:ascii="宋体" w:hAnsi="宋体" w:cs="Courier New"/>
      <w:sz w:val="32"/>
      <w:szCs w:val="32"/>
    </w:rPr>
  </w:style>
  <w:style w:type="paragraph" w:styleId="1311">
    <w:name w:val="Char2 Char Char Char Char Char Char1"/>
    <w:basedOn w:val="1072"/>
    <w:next w:val="1311"/>
    <w:link w:val="1072"/>
    <w:qFormat/>
    <w:pPr>
      <w:jc w:val="center"/>
      <w:spacing w:line="400" w:lineRule="exact"/>
      <w:widowControl/>
    </w:pPr>
  </w:style>
  <w:style w:type="character" w:styleId="1312">
    <w:name w:val="页脚 Char"/>
    <w:next w:val="1312"/>
    <w:link w:val="1072"/>
    <w:qFormat/>
    <w:rPr>
      <w:rFonts w:ascii="宋体" w:eastAsia="宋体"/>
      <w:sz w:val="18"/>
      <w:lang w:val="en-US" w:eastAsia="zh-CN" w:bidi="ar-SA"/>
    </w:rPr>
  </w:style>
  <w:style w:type="paragraph" w:styleId="1313">
    <w:name w:val="Char Char41"/>
    <w:basedOn w:val="1072"/>
    <w:next w:val="1313"/>
    <w:link w:val="1072"/>
    <w:qFormat/>
    <w:pPr>
      <w:jc w:val="center"/>
      <w:spacing w:line="400" w:lineRule="exact"/>
      <w:widowControl/>
    </w:pPr>
  </w:style>
  <w:style w:type="character" w:styleId="1314">
    <w:name w:val="批注文字 Char"/>
    <w:next w:val="1314"/>
    <w:link w:val="1072"/>
    <w:uiPriority w:val="99"/>
    <w:qFormat/>
    <w:rPr>
      <w:sz w:val="21"/>
      <w:szCs w:val="24"/>
    </w:rPr>
  </w:style>
  <w:style w:type="character" w:styleId="1315">
    <w:name w:val="标题 Char"/>
    <w:next w:val="1315"/>
    <w:link w:val="1072"/>
    <w:qFormat/>
    <w:rPr>
      <w:b/>
      <w:sz w:val="32"/>
    </w:rPr>
  </w:style>
  <w:style w:type="paragraph" w:styleId="1316">
    <w:name w:val="图例"/>
    <w:basedOn w:val="1072"/>
    <w:next w:val="1316"/>
    <w:link w:val="1072"/>
    <w:qFormat/>
    <w:pPr>
      <w:jc w:val="center"/>
      <w:spacing w:before="120" w:after="120" w:line="360" w:lineRule="auto"/>
    </w:pPr>
    <w:rPr>
      <w:rFonts w:eastAsia="仿宋_GB2312"/>
      <w:b/>
      <w:sz w:val="24"/>
      <w:szCs w:val="20"/>
    </w:rPr>
  </w:style>
  <w:style w:type="table" w:styleId="1317">
    <w:name w:val="Table Normal"/>
    <w:next w:val="1317"/>
    <w:link w:val="1072"/>
    <w:uiPriority w:val="2"/>
    <w:unhideWhenUsed/>
    <w:qFormat/>
    <w:pPr>
      <w:widowControl w:val="off"/>
    </w:pPr>
    <w:rPr>
      <w:rFonts w:ascii="Calibri" w:hAnsi="Calibri"/>
      <w:sz w:val="22"/>
      <w:szCs w:val="22"/>
      <w:lang w:val="en-US" w:eastAsia="en-US" w:bidi="ar-SA"/>
    </w:rPr>
    <w:tblPr/>
  </w:style>
  <w:style w:type="paragraph" w:styleId="1318">
    <w:name w:val="Table Paragraph"/>
    <w:basedOn w:val="1072"/>
    <w:next w:val="1318"/>
    <w:link w:val="1072"/>
    <w:uiPriority w:val="1"/>
    <w:qFormat/>
    <w:pPr>
      <w:jc w:val="left"/>
    </w:pPr>
    <w:rPr>
      <w:rFonts w:ascii="宋体" w:hAnsi="宋体" w:cs="宋体"/>
      <w:sz w:val="22"/>
      <w:szCs w:val="22"/>
      <w:lang w:eastAsia="en-US"/>
    </w:rPr>
  </w:style>
  <w:style w:type="paragraph" w:styleId="1319">
    <w:name w:val="成文日期"/>
    <w:basedOn w:val="1072"/>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2"/>
    <w:uiPriority w:val="99"/>
    <w:unhideWhenUsed/>
    <w:rPr>
      <w:sz w:val="21"/>
      <w:szCs w:val="24"/>
      <w:lang w:val="en-US" w:eastAsia="zh-CN" w:bidi="ar-SA"/>
    </w:rPr>
  </w:style>
  <w:style w:type="character" w:styleId="1322">
    <w:name w:val="正文缩进 字符"/>
    <w:next w:val="1322"/>
    <w:link w:val="1072"/>
    <w:uiPriority w:val="99"/>
    <w:qFormat/>
    <w:rPr>
      <w:rFonts w:ascii="宋体" w:hAnsi="Times New Roman" w:eastAsia="宋体" w:cs="Times New Roman"/>
      <w:sz w:val="24"/>
    </w:rPr>
  </w:style>
  <w:style w:type="character" w:styleId="1323">
    <w:name w:val="正文文本 字符"/>
    <w:next w:val="1323"/>
    <w:link w:val="1072"/>
    <w:qFormat/>
    <w:rPr>
      <w:rFonts w:ascii="宋体" w:hAnsi="宋体"/>
      <w:sz w:val="24"/>
      <w:szCs w:val="24"/>
    </w:rPr>
  </w:style>
  <w:style w:type="paragraph" w:styleId="1324">
    <w:name w:val="纯文本1"/>
    <w:next w:val="1324"/>
    <w:link w:val="1072"/>
    <w:qFormat/>
    <w:pPr>
      <w:jc w:val="both"/>
      <w:widowControl w:val="off"/>
    </w:pPr>
    <w:rPr>
      <w:rFonts w:ascii="宋体" w:hAnsi="宋体"/>
      <w:sz w:val="26"/>
      <w:szCs w:val="24"/>
      <w:lang w:val="en-US" w:eastAsia="zh-CN" w:bidi="ar-SA"/>
    </w:rPr>
  </w:style>
  <w:style w:type="paragraph" w:styleId="1325">
    <w:name w:val="AONormal"/>
    <w:next w:val="1325"/>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26">
    <w:name w:val="font51"/>
    <w:next w:val="1326"/>
    <w:link w:val="1072"/>
    <w:qFormat/>
    <w:rPr>
      <w:rFonts w:hint="eastAsia" w:ascii="仿宋" w:hAnsi="仿宋" w:eastAsia="仿宋"/>
      <w:color w:val="000000"/>
      <w:sz w:val="20"/>
      <w:szCs w:val="20"/>
      <w:u w:val="none"/>
    </w:rPr>
  </w:style>
  <w:style w:type="paragraph" w:styleId="1327">
    <w:name w:val="正文文本1"/>
    <w:basedOn w:val="1072"/>
    <w:next w:val="1327"/>
    <w:link w:val="1072"/>
    <w:qFormat/>
    <w:pPr>
      <w:spacing w:before="120" w:line="22" w:lineRule="atLeast"/>
      <w:tabs>
        <w:tab w:val="left" w:pos="567" w:leader="none"/>
      </w:tabs>
    </w:pPr>
    <w:rPr>
      <w:rFonts w:ascii="宋体" w:hAnsi="宋体"/>
      <w:sz w:val="24"/>
    </w:rPr>
  </w:style>
  <w:style w:type="paragraph" w:styleId="1328">
    <w:name w:val="段"/>
    <w:basedOn w:val="1072"/>
    <w:next w:val="1328"/>
    <w:link w:val="1072"/>
    <w:qFormat/>
    <w:pPr>
      <w:ind w:firstLine="200"/>
      <w:widowControl/>
    </w:pPr>
    <w:rPr>
      <w:rFonts w:hint="eastAsia" w:ascii="宋体" w:hAnsi="Calibri"/>
      <w:szCs w:val="20"/>
    </w:rPr>
  </w:style>
  <w:style w:type="character" w:styleId="1329" w:default="1">
    <w:name w:val="Default Paragraph Font"/>
    <w:uiPriority w:val="1"/>
    <w:semiHidden/>
    <w:unhideWhenUsed/>
  </w:style>
  <w:style w:type="numbering" w:styleId="1330" w:default="1">
    <w:name w:val="No List"/>
    <w:uiPriority w:val="99"/>
    <w:semiHidden/>
    <w:unhideWhenUsed/>
  </w:style>
  <w:style w:type="table" w:styleId="13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3</cp:revision>
  <dcterms:created xsi:type="dcterms:W3CDTF">2022-05-30T08:08:00Z</dcterms:created>
  <dcterms:modified xsi:type="dcterms:W3CDTF">2026-04-09T00:53:06Z</dcterms:modified>
</cp:coreProperties>
</file>