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firstLine="0"/>
        <w:jc w:val="center"/>
        <w:rPr>
          <w:rFonts w:hint="eastAsia" w:ascii="宋体" w:hAnsi="宋体"/>
          <w:b/>
          <w:bCs/>
          <w:color w:val="000000" w:themeColor="text1"/>
          <w:spacing w:val="80"/>
          <w:sz w:val="72"/>
          <w:szCs w:val="72"/>
          <w:highlight w:val="none"/>
          <w14:textFill>
            <w14:solidFill>
              <w14:schemeClr w14:val="tx1"/>
            </w14:solidFill>
          </w14:textFill>
        </w:rPr>
      </w:pPr>
      <w:r>
        <w:rPr>
          <w:rFonts w:hint="eastAsia" w:ascii="宋体" w:hAnsi="宋体"/>
          <w:b/>
          <w:bCs/>
          <w:color w:val="000000" w:themeColor="text1"/>
          <w:spacing w:val="80"/>
          <w:sz w:val="72"/>
          <w:szCs w:val="72"/>
          <w:highlight w:val="none"/>
          <w14:textFill>
            <w14:solidFill>
              <w14:schemeClr w14:val="tx1"/>
            </w14:solidFill>
          </w14:textFill>
        </w:rPr>
      </w:r>
      <w:r/>
    </w:p>
    <w:p>
      <w:pPr>
        <w:pStyle w:val="1061"/>
        <w:ind w:firstLine="0"/>
        <w:jc w:val="center"/>
        <w:rPr>
          <w:rFonts w:hint="eastAsia" w:ascii="宋体" w:hAnsi="宋体"/>
          <w:color w:val="000000" w:themeColor="text1"/>
          <w:sz w:val="72"/>
          <w:szCs w:val="72"/>
          <w:highlight w:val="none"/>
          <w14:textFill>
            <w14:solidFill>
              <w14:schemeClr w14:val="tx1"/>
            </w14:solidFill>
          </w14:textFill>
        </w:rPr>
      </w:pPr>
      <w:r>
        <w:rPr>
          <w:rFonts w:hint="eastAsia" w:ascii="宋体" w:hAnsi="宋体"/>
          <w:b/>
          <w:bCs/>
          <w:color w:val="000000" w:themeColor="text1"/>
          <w:spacing w:val="80"/>
          <w:sz w:val="72"/>
          <w:szCs w:val="72"/>
          <w:highlight w:val="none"/>
          <w14:textFill>
            <w14:solidFill>
              <w14:schemeClr w14:val="tx1"/>
            </w14:solidFill>
          </w14:textFill>
        </w:rPr>
        <w:t xml:space="preserve">连云港市政府采购</w:t>
      </w:r>
      <w:r/>
    </w:p>
    <w:p>
      <w:pPr>
        <w:pStyle w:val="1061"/>
        <w:ind w:firstLine="0"/>
        <w:jc w:val="center"/>
        <w:rPr>
          <w:rFonts w:hint="eastAsia"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r>
      <w:r/>
    </w:p>
    <w:p>
      <w:pPr>
        <w:pStyle w:val="1061"/>
        <w:ind w:firstLine="0"/>
        <w:jc w:val="center"/>
        <w:rPr>
          <w:rFonts w:hint="eastAsia" w:ascii="宋体" w:hAnsi="宋体"/>
          <w:b/>
          <w:color w:val="000000" w:themeColor="text1"/>
          <w:sz w:val="52"/>
          <w:szCs w:val="52"/>
          <w:highlight w:val="none"/>
          <w14:textFill>
            <w14:solidFill>
              <w14:schemeClr w14:val="tx1"/>
            </w14:solidFill>
          </w14:textFill>
        </w:rPr>
      </w:pPr>
      <w:r>
        <w:rPr>
          <w:rFonts w:hint="eastAsia" w:ascii="宋体" w:hAnsi="宋体"/>
          <w:b/>
          <w:color w:val="000000" w:themeColor="text1"/>
          <w:sz w:val="52"/>
          <w:szCs w:val="52"/>
          <w:highlight w:val="none"/>
          <w14:textFill>
            <w14:solidFill>
              <w14:schemeClr w14:val="tx1"/>
            </w14:solidFill>
          </w14:textFill>
        </w:rPr>
      </w:r>
      <w:r/>
    </w:p>
    <w:p>
      <w:pPr>
        <w:pStyle w:val="1061"/>
        <w:ind w:firstLine="0"/>
        <w:jc w:val="center"/>
        <w:rPr>
          <w:rFonts w:hint="eastAsia" w:ascii="宋体" w:hAnsi="宋体"/>
          <w:b/>
          <w:bCs/>
          <w:color w:val="000000" w:themeColor="text1"/>
          <w:sz w:val="72"/>
          <w:szCs w:val="72"/>
          <w:highlight w:val="none"/>
          <w14:textFill>
            <w14:solidFill>
              <w14:schemeClr w14:val="tx1"/>
            </w14:solidFill>
          </w14:textFill>
        </w:rPr>
      </w:pPr>
      <w:r>
        <w:rPr>
          <w:rFonts w:hint="eastAsia" w:ascii="宋体" w:hAnsi="宋体"/>
          <w:b/>
          <w:bCs/>
          <w:color w:val="000000" w:themeColor="text1"/>
          <w:sz w:val="72"/>
          <w:szCs w:val="72"/>
          <w:highlight w:val="none"/>
          <w14:textFill>
            <w14:solidFill>
              <w14:schemeClr w14:val="tx1"/>
            </w14:solidFill>
          </w14:textFill>
        </w:rPr>
        <w:t xml:space="preserve">竞争性磋商文件</w:t>
      </w:r>
      <w:r/>
    </w:p>
    <w:p>
      <w:pPr>
        <w:pStyle w:val="1061"/>
        <w:ind w:firstLine="0"/>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643"/>
        <w:jc w:val="left"/>
        <w:spacing w:before="150" w:after="150" w:line="360" w:lineRule="auto"/>
        <w:shd w:val="clear" w:color="auto" w:fill="ffffff"/>
        <w:widowControl/>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t xml:space="preserve">项目名称：东海县重点水库蓝藻控制项目</w:t>
      </w:r>
      <w:r/>
    </w:p>
    <w:p>
      <w:pPr>
        <w:ind w:firstLine="643"/>
        <w:jc w:val="left"/>
        <w:spacing w:before="150" w:after="150" w:line="360" w:lineRule="auto"/>
        <w:shd w:val="clear" w:color="auto" w:fill="ffffff"/>
        <w:widowControl/>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t xml:space="preserve">项目编号：JSZC-320722-ZXGL-C2026-0002</w:t>
      </w:r>
      <w:r/>
    </w:p>
    <w:p>
      <w:pPr>
        <w:pStyle w:val="1061"/>
        <w:ind w:firstLine="0"/>
        <w:jc w:val="both"/>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pStyle w:val="1061"/>
        <w:ind w:firstLine="0"/>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pStyle w:val="1061"/>
        <w:ind w:firstLine="0"/>
        <w:jc w:val="center"/>
        <w:rPr>
          <w:rFonts w:hint="eastAsia" w:ascii="宋体" w:hAnsi="宋体"/>
          <w:b/>
          <w:bCs/>
          <w:color w:val="000000" w:themeColor="text1"/>
          <w:sz w:val="32"/>
          <w:highlight w:val="none"/>
          <w14:textFill>
            <w14:solidFill>
              <w14:schemeClr w14:val="tx1"/>
            </w14:solidFill>
          </w14:textFill>
        </w:rPr>
      </w:pPr>
      <w:r>
        <w:rPr>
          <w:rFonts w:hint="eastAsia" w:ascii="宋体" w:hAnsi="宋体"/>
          <w:b/>
          <w:bCs/>
          <w:color w:val="000000" w:themeColor="text1"/>
          <w:sz w:val="32"/>
          <w:highlight w:val="none"/>
          <w14:textFill>
            <w14:solidFill>
              <w14:schemeClr w14:val="tx1"/>
            </w14:solidFill>
          </w14:textFill>
        </w:rPr>
      </w:r>
      <w:r/>
    </w:p>
    <w:p>
      <w:pPr>
        <w:pStyle w:val="1061"/>
        <w:ind w:firstLine="1600"/>
        <w:rPr>
          <w:rFonts w:hint="eastAsia" w:ascii="宋体" w:hAnsi="宋体"/>
          <w:bCs/>
          <w:color w:val="000000" w:themeColor="text1"/>
          <w:sz w:val="32"/>
          <w:highlight w:val="none"/>
          <w14:textFill>
            <w14:solidFill>
              <w14:schemeClr w14:val="tx1"/>
            </w14:solidFill>
          </w14:textFill>
        </w:rPr>
      </w:pPr>
      <w:r>
        <w:rPr>
          <w:rFonts w:hint="eastAsia" w:ascii="宋体" w:hAnsi="宋体"/>
          <w:bCs/>
          <w:color w:val="000000" w:themeColor="text1"/>
          <w:sz w:val="32"/>
          <w:highlight w:val="none"/>
          <w14:textFill>
            <w14:solidFill>
              <w14:schemeClr w14:val="tx1"/>
            </w14:solidFill>
          </w14:textFill>
        </w:rPr>
        <w:t xml:space="preserve">采   购   人：连云港市东海生态环境局</w:t>
      </w:r>
      <w:r/>
    </w:p>
    <w:p>
      <w:pPr>
        <w:pStyle w:val="1061"/>
        <w:ind w:firstLine="1600"/>
        <w:rPr>
          <w:rFonts w:hint="eastAsia" w:ascii="宋体" w:hAnsi="宋体"/>
          <w:bCs/>
          <w:color w:val="000000" w:themeColor="text1"/>
          <w:sz w:val="32"/>
          <w:highlight w:val="none"/>
          <w14:textFill>
            <w14:solidFill>
              <w14:schemeClr w14:val="tx1"/>
            </w14:solidFill>
          </w14:textFill>
        </w:rPr>
      </w:pPr>
      <w:r>
        <w:rPr>
          <w:rFonts w:hint="eastAsia" w:ascii="宋体" w:hAnsi="宋体"/>
          <w:bCs/>
          <w:color w:val="000000" w:themeColor="text1"/>
          <w:sz w:val="32"/>
          <w:highlight w:val="none"/>
          <w14:textFill>
            <w14:solidFill>
              <w14:schemeClr w14:val="tx1"/>
            </w14:solidFill>
          </w14:textFill>
        </w:rPr>
        <w:t xml:space="preserve">采购代理机构：江苏振兴工程项目管理有限公司</w:t>
      </w:r>
      <w:r/>
    </w:p>
    <w:p>
      <w:pPr>
        <w:pStyle w:val="1061"/>
        <w:jc w:val="center"/>
        <w:rPr>
          <w:rFonts w:hint="eastAsia" w:ascii="宋体" w:hAnsi="宋体"/>
          <w:bCs/>
          <w:color w:val="000000" w:themeColor="text1"/>
          <w:sz w:val="32"/>
          <w:highlight w:val="none"/>
          <w14:textFill>
            <w14:solidFill>
              <w14:schemeClr w14:val="tx1"/>
            </w14:solidFill>
          </w14:textFill>
        </w:rPr>
      </w:pPr>
      <w:r>
        <w:rPr>
          <w:rFonts w:hint="eastAsia" w:ascii="宋体" w:hAnsi="宋体"/>
          <w:bCs/>
          <w:color w:val="000000" w:themeColor="text1"/>
          <w:sz w:val="32"/>
          <w:highlight w:val="none"/>
          <w14:textFill>
            <w14:solidFill>
              <w14:schemeClr w14:val="tx1"/>
            </w14:solidFill>
          </w14:textFill>
        </w:rPr>
        <w:t xml:space="preserve">2026年04月</w:t>
      </w:r>
      <w:r/>
    </w:p>
    <w:p>
      <w:pPr>
        <w:rPr>
          <w:rFonts w:ascii="黑体" w:eastAsia="黑体"/>
          <w:b/>
          <w:color w:val="000000" w:themeColor="text1"/>
          <w:sz w:val="44"/>
          <w:szCs w:val="21"/>
          <w:highlight w:val="none"/>
          <w14:textFill>
            <w14:solidFill>
              <w14:schemeClr w14:val="tx1"/>
            </w14:solidFill>
          </w14:textFill>
        </w:rPr>
      </w:pPr>
      <w:r/>
      <w:bookmarkStart w:id="0" w:name="_Toc465856610"/>
      <w:r>
        <w:rPr>
          <w:rFonts w:hint="eastAsia" w:ascii="黑体" w:eastAsia="黑体"/>
          <w:b/>
          <w:color w:val="000000" w:themeColor="text1"/>
          <w:sz w:val="44"/>
          <w:szCs w:val="21"/>
          <w:highlight w:val="none"/>
          <w14:textFill>
            <w14:solidFill>
              <w14:schemeClr w14:val="tx1"/>
            </w14:solidFill>
          </w14:textFill>
        </w:rPr>
        <w:br w:type="page" w:clear="all"/>
      </w:r>
      <w:r/>
    </w:p>
    <w:p>
      <w:pPr>
        <w:pStyle w:val="1061"/>
        <w:jc w:val="center"/>
        <w:rPr>
          <w:rFonts w:ascii="黑体" w:eastAsia="黑体"/>
          <w:b/>
          <w:color w:val="000000" w:themeColor="text1"/>
          <w:sz w:val="44"/>
          <w:szCs w:val="21"/>
          <w:highlight w:val="none"/>
          <w14:textFill>
            <w14:solidFill>
              <w14:schemeClr w14:val="tx1"/>
            </w14:solidFill>
          </w14:textFill>
        </w:rPr>
      </w:pPr>
      <w:r>
        <w:rPr>
          <w:rFonts w:hint="eastAsia" w:ascii="黑体" w:eastAsia="黑体"/>
          <w:b/>
          <w:color w:val="000000" w:themeColor="text1"/>
          <w:sz w:val="44"/>
          <w:szCs w:val="21"/>
          <w:highlight w:val="none"/>
          <w14:textFill>
            <w14:solidFill>
              <w14:schemeClr w14:val="tx1"/>
            </w14:solidFill>
          </w14:textFill>
        </w:rPr>
        <w:t xml:space="preserve"> 目 录</w:t>
      </w:r>
      <w:bookmarkEnd w:id="0"/>
      <w:r/>
      <w:r/>
    </w:p>
    <w:sdt>
      <w:sdtPr>
        <w15:appearance w15:val="boundingBox"/>
        <w15:color w:val="dbdbdb"/>
        <w:id w:val="147456548"/>
        <w:docPartObj>
          <w:docPartGallery w:val="Table of Contents"/>
          <w:docPartUnique w:val="true"/>
        </w:docPartObj>
        <w:rPr>
          <w:rFonts w:ascii="宋体" w:hAnsi="宋体"/>
          <w:color w:val="000000" w:themeColor="text1"/>
          <w:highlight w:val="none"/>
          <w14:textFill>
            <w14:solidFill>
              <w14:schemeClr w14:val="tx1"/>
            </w14:solidFill>
          </w14:textFill>
        </w:rPr>
      </w:sdtPr>
      <w:sdtContent>
        <w:p>
          <w:pPr>
            <w:jc w:val="center"/>
            <w:rPr>
              <w:color w:val="000000" w:themeColor="text1"/>
              <w:highlight w:val="none"/>
              <w14:textFill>
                <w14:solidFill>
                  <w14:schemeClr w14:val="tx1"/>
                </w14:solidFill>
              </w14:textFill>
            </w:rPr>
          </w:pPr>
          <w:r/>
          <w:bookmarkStart w:id="1" w:name="_Toc465856611"/>
          <w:r/>
          <w:r/>
        </w:p>
        <w:p>
          <w:pPr>
            <w:pStyle w:val="814"/>
            <w:tabs>
              <w:tab w:val="right" w:pos="945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"1-1"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"_Toc11704" </w:instrText>
          </w:r>
          <w:r>
            <w:rPr>
              <w:color w:val="000000" w:themeColor="text1"/>
              <w:highlight w:val="none"/>
              <w14:textFill>
                <w14:solidFill>
                  <w14:schemeClr w14:val="tx1"/>
                </w14:solidFill>
              </w14:textFill>
            </w:rPr>
            <w:fldChar w:fldCharType="separate"/>
          </w:r>
          <w:r>
            <w:rPr>
              <w:rFonts w:ascii="黑体" w:eastAsia="黑体"/>
              <w:color w:val="000000" w:themeColor="text1"/>
              <w:szCs w:val="44"/>
              <w:highlight w:val="none"/>
              <w14:textFill>
                <w14:solidFill>
                  <w14:schemeClr w14:val="tx1"/>
                </w14:solidFill>
              </w14:textFill>
            </w:rPr>
            <w:t xml:space="preserve">第一章</w:t>
          </w:r>
          <w:r>
            <w:rPr>
              <w:rFonts w:hint="eastAsia" w:ascii="黑体" w:eastAsia="黑体"/>
              <w:color w:val="000000" w:themeColor="text1"/>
              <w:szCs w:val="44"/>
              <w:highlight w:val="none"/>
              <w14:textFill>
                <w14:solidFill>
                  <w14:schemeClr w14:val="tx1"/>
                </w14:solidFill>
              </w14:textFill>
            </w:rPr>
            <w:t xml:space="preserve"> 竞争性磋商采购邀请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_Toc11704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14"/>
            <w:tabs>
              <w:tab w:val="right" w:pos="945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"_Toc19023"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Cs w:val="44"/>
              <w:highlight w:val="none"/>
              <w14:textFill>
                <w14:solidFill>
                  <w14:schemeClr w14:val="tx1"/>
                </w14:solidFill>
              </w14:textFill>
            </w:rPr>
            <w:t xml:space="preserve">第二章 磋商须知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_Toc19023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14"/>
            <w:tabs>
              <w:tab w:val="right" w:pos="945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"_Toc6841" </w:instrText>
          </w:r>
          <w:r>
            <w:rPr>
              <w:color w:val="000000" w:themeColor="text1"/>
              <w:highlight w:val="none"/>
              <w14:textFill>
                <w14:solidFill>
                  <w14:schemeClr w14:val="tx1"/>
                </w14:solidFill>
              </w14:textFill>
            </w:rPr>
            <w:fldChar w:fldCharType="separate"/>
          </w:r>
          <w:r>
            <w:rPr>
              <w:rFonts w:hint="eastAsia" w:ascii="黑体" w:hAnsi="黑体" w:eastAsia="黑体"/>
              <w:color w:val="000000" w:themeColor="text1"/>
              <w:szCs w:val="44"/>
              <w:highlight w:val="none"/>
              <w14:textFill>
                <w14:solidFill>
                  <w14:schemeClr w14:val="tx1"/>
                </w14:solidFill>
              </w14:textFill>
            </w:rPr>
            <w:t xml:space="preserve">第三章 合同条款及格式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_Toc6841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14"/>
            <w:tabs>
              <w:tab w:val="right" w:pos="945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"_Toc19740"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Cs w:val="44"/>
              <w:highlight w:val="none"/>
              <w14:textFill>
                <w14:solidFill>
                  <w14:schemeClr w14:val="tx1"/>
                </w14:solidFill>
              </w14:textFill>
            </w:rPr>
            <w:t xml:space="preserve">第四章 项目需求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_Toc19740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14"/>
            <w:tabs>
              <w:tab w:val="right" w:pos="945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"_Toc18561" </w:instrText>
          </w:r>
          <w:r>
            <w:rPr>
              <w:color w:val="000000" w:themeColor="text1"/>
              <w:highlight w:val="none"/>
              <w14:textFill>
                <w14:solidFill>
                  <w14:schemeClr w14:val="tx1"/>
                </w14:solidFill>
              </w14:textFill>
            </w:rPr>
            <w:fldChar w:fldCharType="separate"/>
          </w:r>
          <w:r>
            <w:rPr>
              <w:rFonts w:hint="eastAsia" w:ascii="黑体" w:eastAsia="黑体"/>
              <w:color w:val="000000" w:themeColor="text1"/>
              <w:szCs w:val="44"/>
              <w:highlight w:val="none"/>
              <w14:textFill>
                <w14:solidFill>
                  <w14:schemeClr w14:val="tx1"/>
                </w14:solidFill>
              </w14:textFill>
            </w:rPr>
            <w:t xml:space="preserve">第五章 评审方法和评审标准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_Toc18561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14"/>
            <w:tabs>
              <w:tab w:val="right" w:pos="9451"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"_Toc26200" </w:instrText>
          </w:r>
          <w:r>
            <w:rPr>
              <w:color w:val="000000" w:themeColor="text1"/>
              <w:highlight w:val="none"/>
              <w14:textFill>
                <w14:solidFill>
                  <w14:schemeClr w14:val="tx1"/>
                </w14:solidFill>
              </w14:textFill>
            </w:rPr>
            <w:fldChar w:fldCharType="separate"/>
          </w:r>
          <w:r>
            <w:rPr>
              <w:rFonts w:hint="eastAsia" w:ascii="黑体" w:hAnsi="黑体" w:eastAsia="黑体"/>
              <w:bCs/>
              <w:color w:val="000000" w:themeColor="text1"/>
              <w:szCs w:val="44"/>
              <w:highlight w:val="none"/>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_Toc26200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pStyle w:val="8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78"/>
        <w:jc w:val="center"/>
        <w:rPr>
          <w:rFonts w:ascii="黑体" w:eastAsia="黑体"/>
          <w:color w:val="000000" w:themeColor="text1"/>
          <w:sz w:val="44"/>
          <w:szCs w:val="44"/>
          <w:highlight w:val="none"/>
          <w14:textFill>
            <w14:solidFill>
              <w14:schemeClr w14:val="tx1"/>
            </w14:solidFill>
          </w14:textFill>
        </w:rPr>
        <w:sectPr>
          <w:headerReference w:type="default" r:id="rId9"/>
          <w:footerReference w:type="default" r:id="rId11"/>
          <w:footnotePr/>
          <w:endnotePr/>
          <w:type w:val="nextPage"/>
          <w:pgSz w:w="11906" w:h="16838" w:orient="portrait"/>
          <w:pgMar w:top="1015" w:right="1196" w:bottom="868" w:left="1259" w:header="851" w:footer="907" w:gutter="0"/>
          <w:cols w:num="1" w:sep="0" w:space="1701" w:equalWidth="1"/>
          <w:docGrid w:linePitch="360"/>
          <w:titlePg/>
        </w:sectPr>
      </w:pPr>
      <w:r/>
      <w:bookmarkStart w:id="2" w:name="_Toc35393797"/>
      <w:r/>
      <w:bookmarkStart w:id="3" w:name="_Toc28359011"/>
      <w:r/>
      <w:r/>
    </w:p>
    <w:p>
      <w:pPr>
        <w:pStyle w:val="978"/>
        <w:jc w:val="center"/>
        <w:rPr>
          <w:rFonts w:hint="eastAsia" w:ascii="黑体" w:hAnsi="黑体" w:eastAsia="黑体"/>
          <w:b/>
          <w:bCs/>
          <w:color w:val="000000" w:themeColor="text1"/>
          <w:sz w:val="44"/>
          <w:szCs w:val="44"/>
          <w:highlight w:val="none"/>
          <w14:textFill>
            <w14:solidFill>
              <w14:schemeClr w14:val="tx1"/>
            </w14:solidFill>
          </w14:textFill>
        </w:rPr>
      </w:pPr>
      <w:r/>
      <w:bookmarkStart w:id="4" w:name="_Toc11704"/>
      <w:r>
        <w:rPr>
          <w:rFonts w:ascii="黑体" w:eastAsia="黑体"/>
          <w:color w:val="000000" w:themeColor="text1"/>
          <w:sz w:val="44"/>
          <w:szCs w:val="44"/>
          <w:highlight w:val="none"/>
          <w14:textFill>
            <w14:solidFill>
              <w14:schemeClr w14:val="tx1"/>
            </w14:solidFill>
          </w14:textFill>
        </w:rPr>
        <w:t xml:space="preserve">第一章</w:t>
      </w:r>
      <w:r>
        <w:rPr>
          <w:rFonts w:hint="eastAsia" w:ascii="黑体" w:eastAsia="黑体"/>
          <w:color w:val="000000" w:themeColor="text1"/>
          <w:sz w:val="44"/>
          <w:szCs w:val="44"/>
          <w:highlight w:val="none"/>
          <w14:textFill>
            <w14:solidFill>
              <w14:schemeClr w14:val="tx1"/>
            </w14:solidFill>
          </w14:textFill>
        </w:rPr>
        <w:t xml:space="preserve"> 竞争性磋商</w:t>
      </w:r>
      <w:bookmarkEnd w:id="2"/>
      <w:r/>
      <w:bookmarkEnd w:id="3"/>
      <w:r>
        <w:rPr>
          <w:rFonts w:hint="eastAsia" w:ascii="黑体" w:eastAsia="黑体"/>
          <w:color w:val="000000" w:themeColor="text1"/>
          <w:sz w:val="44"/>
          <w:szCs w:val="44"/>
          <w:highlight w:val="none"/>
          <w14:textFill>
            <w14:solidFill>
              <w14:schemeClr w14:val="tx1"/>
            </w14:solidFill>
          </w14:textFill>
        </w:rPr>
        <w:t xml:space="preserve">采购邀请</w:t>
      </w:r>
      <w:bookmarkEnd w:id="4"/>
      <w:r/>
      <w:r/>
    </w:p>
    <w:p>
      <w:pPr>
        <w:ind w:firstLine="480"/>
        <w:spacing w:line="560" w:lineRule="exact"/>
        <w:rPr>
          <w:rFonts w:hint="eastAsia" w:ascii="宋体" w:hAnsi="宋体"/>
          <w:color w:val="000000" w:themeColor="text1"/>
          <w:sz w:val="24"/>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14:textFill>
            <w14:solidFill>
              <w14:schemeClr w14:val="tx1"/>
            </w14:solidFill>
          </w14:textFill>
        </w:rPr>
        <w:t xml:space="preserve">项目概况</w:t>
      </w:r>
      <w:r/>
    </w:p>
    <w:p>
      <w:pPr>
        <w:ind w:firstLine="480"/>
        <w:spacing w:line="560" w:lineRule="exact"/>
        <w:rPr>
          <w:rFonts w:hint="eastAsia" w:ascii="宋体" w:hAnsi="宋体"/>
          <w:color w:val="000000" w:themeColor="text1"/>
          <w:sz w:val="24"/>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u w:val="single"/>
          <w14:textFill>
            <w14:solidFill>
              <w14:schemeClr w14:val="tx1"/>
            </w14:solidFill>
          </w14:textFill>
        </w:rPr>
        <w:t xml:space="preserve">东海县重点水库蓝藻控制项目</w:t>
      </w:r>
      <w:r>
        <w:rPr>
          <w:rFonts w:hint="eastAsia" w:ascii="宋体" w:hAnsi="宋体"/>
          <w:color w:val="000000" w:themeColor="text1"/>
          <w:sz w:val="24"/>
          <w:szCs w:val="28"/>
          <w:highlight w:val="none"/>
          <w14:textFill>
            <w14:solidFill>
              <w14:schemeClr w14:val="tx1"/>
            </w14:solidFill>
          </w14:textFill>
        </w:rPr>
        <w:t xml:space="preserve">的潜在供应商应在</w:t>
      </w:r>
      <w:r>
        <w:rPr>
          <w:rFonts w:hint="eastAsia" w:ascii="宋体" w:hAnsi="宋体" w:cs="宋体"/>
          <w:color w:val="000000" w:themeColor="text1"/>
          <w:sz w:val="24"/>
          <w:highlight w:val="none"/>
          <w:u w:val="single"/>
          <w14:textFill>
            <w14:solidFill>
              <w14:schemeClr w14:val="tx1"/>
            </w14:solidFill>
          </w14:textFill>
        </w:rPr>
        <w:t xml:space="preserve">江苏政府采购网“苏采云”（网址：</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"http://czj.xz.gov.cn/Home/HomeInde</w:instrText>
      </w:r>
      <w:r>
        <w:rPr>
          <w:color w:val="000000" w:themeColor="text1"/>
          <w:highlight w:val="none"/>
          <w14:textFill>
            <w14:solidFill>
              <w14:schemeClr w14:val="tx1"/>
            </w14:solidFill>
          </w14:textFill>
        </w:rPr>
        <w:instrText xml:space="preserve">x%EF%BC%89%E2%80%9D%EF%BC%88%E5%85%B7%E4%BD%93%E5%9C%A8%E6%9C%AC%E9%A1%B9%E7%9B%AE%E6%8B%9B%E6%A0%87%E5%85%AC%E5%91%8A%E7%9A%84%E9%99%84%E4%BB%B6%EF%BC%89%E8%8E%B7%E5%8F%96%E6%8B%9B%E6%A0%87%E6%96%87%E4%BB%B6%EF%BC%8C%E5%B9%B6%E4%BA%8E" \o "http://czj.xz.g</w:instrText>
      </w:r>
      <w:r>
        <w:rPr>
          <w:color w:val="000000" w:themeColor="text1"/>
          <w:highlight w:val="none"/>
          <w14:textFill>
            <w14:solidFill>
              <w14:schemeClr w14:val="tx1"/>
            </w14:solidFill>
          </w14:textFill>
        </w:rPr>
        <w:instrText xml:space="preserve">ov.cn/Home/HomeIndex%EF%BC%89%E2%80%9D%EF%BC%88%E5%85%B7%E4%BD%93%E5%9C%A8%E6%9C%AC%E9%A1%B9%E7%9B%AE%E6%8B%9B%E6%A0%87%E5%85%AC%E5%91%8A%E7%9A%84%E9%99%84%E4%BB%B6%EF%BC%89%E8%8E%B7%E5%8F%96%E6%8B%9B%E6%A0%87%E6%96%87%E4%BB%B6%EF%BC%8C%E5%B9%B6%E4%BA%8E" </w:instrText>
      </w:r>
      <w:r>
        <w:rPr>
          <w:rFonts w:hint="eastAsia"/>
          <w:color w:val="000000" w:themeColor="text1"/>
          <w:highlight w:val="none"/>
          <w14:textFill>
            <w14:solidFill>
              <w14:schemeClr w14:val="tx1"/>
            </w14:solidFill>
          </w14:textFill>
        </w:rPr>
        <w:fldChar w:fldCharType="separate"/>
      </w:r>
      <w:r>
        <w:rPr>
          <w:rFonts w:hint="eastAsia" w:ascii="宋体" w:hAnsi="宋体" w:cs="宋体"/>
          <w:color w:val="000000" w:themeColor="text1"/>
          <w:sz w:val="22"/>
          <w:highlight w:val="none"/>
          <w:u w:val="single"/>
          <w14:textFill>
            <w14:solidFill>
              <w14:schemeClr w14:val="tx1"/>
            </w14:solidFill>
          </w14:textFill>
        </w:rPr>
        <w:t xml:space="preserve">http://jszfcg.jsczt.cn/）</w:t>
      </w:r>
      <w:r>
        <w:rPr>
          <w:rFonts w:hint="eastAsia" w:ascii="宋体" w:hAnsi="宋体" w:cs="宋体"/>
          <w:color w:val="000000" w:themeColor="text1"/>
          <w:sz w:val="22"/>
          <w:highlight w:val="none"/>
          <w:u w:val="single"/>
          <w14:textFill>
            <w14:solidFill>
              <w14:schemeClr w14:val="tx1"/>
            </w14:solidFill>
          </w14:textFill>
        </w:rPr>
        <w:fldChar w:fldCharType="end"/>
      </w:r>
      <w:r>
        <w:rPr>
          <w:rFonts w:hint="eastAsia" w:ascii="宋体" w:hAnsi="宋体"/>
          <w:color w:val="000000" w:themeColor="text1"/>
          <w:sz w:val="24"/>
          <w:szCs w:val="28"/>
          <w:highlight w:val="none"/>
          <w14:textFill>
            <w14:solidFill>
              <w14:schemeClr w14:val="tx1"/>
            </w14:solidFill>
          </w14:textFill>
        </w:rPr>
        <w:t xml:space="preserve">获取采购文件，并于</w:t>
      </w:r>
      <w:r>
        <w:rPr>
          <w:rFonts w:hint="eastAsia" w:ascii="宋体" w:hAnsi="宋体"/>
          <w:b/>
          <w:bCs/>
          <w:color w:val="000000" w:themeColor="text1"/>
          <w:sz w:val="24"/>
          <w:szCs w:val="28"/>
          <w:highlight w:val="none"/>
          <w:u w:val="single"/>
          <w14:textFill>
            <w14:solidFill>
              <w14:schemeClr w14:val="tx1"/>
            </w14:solidFill>
          </w14:textFill>
        </w:rPr>
        <w:t xml:space="preserve">2026年</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05</w:t>
      </w:r>
      <w:r>
        <w:rPr>
          <w:rFonts w:hint="eastAsia" w:ascii="宋体" w:hAnsi="宋体"/>
          <w:b/>
          <w:bCs/>
          <w:color w:val="000000" w:themeColor="text1"/>
          <w:sz w:val="24"/>
          <w:szCs w:val="28"/>
          <w:highlight w:val="none"/>
          <w:u w:val="single"/>
          <w14:textFill>
            <w14:solidFill>
              <w14:schemeClr w14:val="tx1"/>
            </w14:solidFill>
          </w14:textFill>
        </w:rPr>
        <w:t xml:space="preserve">月</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18</w:t>
      </w:r>
      <w:r>
        <w:rPr>
          <w:rFonts w:hint="eastAsia" w:ascii="宋体" w:hAnsi="宋体"/>
          <w:b/>
          <w:bCs/>
          <w:color w:val="000000" w:themeColor="text1"/>
          <w:sz w:val="24"/>
          <w:szCs w:val="28"/>
          <w:highlight w:val="none"/>
          <w:u w:val="single"/>
          <w14:textFill>
            <w14:solidFill>
              <w14:schemeClr w14:val="tx1"/>
            </w14:solidFill>
          </w14:textFill>
        </w:rPr>
        <w:t xml:space="preserve">日</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09</w:t>
      </w:r>
      <w:r>
        <w:rPr>
          <w:rFonts w:hint="eastAsia" w:ascii="宋体" w:hAnsi="宋体"/>
          <w:b/>
          <w:bCs/>
          <w:color w:val="000000" w:themeColor="text1"/>
          <w:sz w:val="24"/>
          <w:szCs w:val="28"/>
          <w:highlight w:val="none"/>
          <w:u w:val="single"/>
          <w14:textFill>
            <w14:solidFill>
              <w14:schemeClr w14:val="tx1"/>
            </w14:solidFill>
          </w14:textFill>
        </w:rPr>
        <w:t xml:space="preserve">点00分</w:t>
      </w:r>
      <w:r>
        <w:rPr>
          <w:rFonts w:hint="eastAsia" w:ascii="宋体" w:hAnsi="宋体"/>
          <w:bCs/>
          <w:color w:val="000000" w:themeColor="text1"/>
          <w:sz w:val="24"/>
          <w:szCs w:val="28"/>
          <w:highlight w:val="none"/>
          <w14:textFill>
            <w14:solidFill>
              <w14:schemeClr w14:val="tx1"/>
            </w14:solidFill>
          </w14:textFill>
        </w:rPr>
        <w:t xml:space="preserve">（北京时间）前上传电子响应</w:t>
      </w:r>
      <w:r>
        <w:rPr>
          <w:rFonts w:ascii="宋体" w:hAnsi="宋体"/>
          <w:bCs/>
          <w:color w:val="000000" w:themeColor="text1"/>
          <w:sz w:val="24"/>
          <w:szCs w:val="28"/>
          <w:highlight w:val="none"/>
          <w14:textFill>
            <w14:solidFill>
              <w14:schemeClr w14:val="tx1"/>
            </w14:solidFill>
          </w14:textFill>
        </w:rPr>
        <w:t xml:space="preserve">文件</w:t>
      </w:r>
      <w:r>
        <w:rPr>
          <w:rFonts w:hint="eastAsia" w:ascii="宋体" w:hAnsi="宋体"/>
          <w:bCs/>
          <w:color w:val="000000" w:themeColor="text1"/>
          <w:sz w:val="24"/>
          <w:szCs w:val="28"/>
          <w:highlight w:val="none"/>
          <w14:textFill>
            <w14:solidFill>
              <w14:schemeClr w14:val="tx1"/>
            </w14:solidFill>
          </w14:textFill>
        </w:rPr>
        <w:t xml:space="preserve">和签到</w:t>
      </w:r>
      <w:r>
        <w:rPr>
          <w:rFonts w:hint="eastAsia" w:ascii="宋体" w:hAnsi="宋体"/>
          <w:color w:val="000000" w:themeColor="text1"/>
          <w:sz w:val="24"/>
          <w:szCs w:val="28"/>
          <w:highlight w:val="none"/>
          <w14:textFill>
            <w14:solidFill>
              <w14:schemeClr w14:val="tx1"/>
            </w14:solidFill>
          </w14:textFill>
        </w:rPr>
        <w:t xml:space="preserve">。</w:t>
      </w:r>
      <w:r/>
    </w:p>
    <w:p>
      <w:pPr>
        <w:spacing w:line="480" w:lineRule="exact"/>
        <w:rPr>
          <w:rFonts w:hint="eastAsia" w:ascii="宋体" w:hAnsi="宋体"/>
          <w:b/>
          <w:bCs/>
          <w:color w:val="000000" w:themeColor="text1"/>
          <w:sz w:val="24"/>
          <w:szCs w:val="28"/>
          <w:highlight w:val="none"/>
          <w14:textFill>
            <w14:solidFill>
              <w14:schemeClr w14:val="tx1"/>
            </w14:solidFill>
          </w14:textFill>
        </w:rPr>
      </w:pPr>
      <w:r/>
      <w:bookmarkStart w:id="5" w:name="_Toc35393629"/>
      <w:r/>
      <w:bookmarkStart w:id="6" w:name="_Toc35393798"/>
      <w:r/>
      <w:bookmarkStart w:id="7" w:name="_Toc28359012"/>
      <w:r/>
      <w:bookmarkStart w:id="8" w:name="_Toc28359089"/>
      <w:r>
        <w:rPr>
          <w:rFonts w:hint="eastAsia" w:ascii="宋体" w:hAnsi="宋体"/>
          <w:b/>
          <w:bCs/>
          <w:color w:val="000000" w:themeColor="text1"/>
          <w:sz w:val="24"/>
          <w:szCs w:val="28"/>
          <w:highlight w:val="none"/>
          <w14:textFill>
            <w14:solidFill>
              <w14:schemeClr w14:val="tx1"/>
            </w14:solidFill>
          </w14:textFill>
        </w:rPr>
        <w:t xml:space="preserve">一、项目基本情况</w:t>
      </w:r>
      <w:bookmarkEnd w:id="5"/>
      <w:r/>
      <w:bookmarkEnd w:id="6"/>
      <w:r/>
      <w:bookmarkEnd w:id="7"/>
      <w:r/>
      <w:bookmarkEnd w:id="8"/>
      <w:r/>
      <w:r/>
    </w:p>
    <w:p>
      <w:pPr>
        <w:ind w:firstLine="480"/>
        <w:jc w:val="left"/>
        <w:spacing w:line="48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项目编号：JSZC-320722-ZXGL-C2026-0002</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项目名称：东海县重点水库蓝藻控制项目；</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预算金额：128万元；</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最高限价：128万元；投标报价高于最高限价的作无效响应处理；</w:t>
      </w:r>
      <w:r/>
    </w:p>
    <w:p>
      <w:pPr>
        <w:ind w:firstLine="480"/>
        <w:spacing w:line="480" w:lineRule="exact"/>
        <w:rPr>
          <w:rFonts w:hint="default" w:ascii="宋体" w:hAnsi="宋体" w:eastAsia="宋体"/>
          <w:b/>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采购需求：</w:t>
      </w:r>
      <w:r>
        <w:rPr>
          <w:rFonts w:hint="eastAsia" w:ascii="宋体" w:hAnsi="宋体"/>
          <w:bCs/>
          <w:color w:val="000000" w:themeColor="text1"/>
          <w:sz w:val="24"/>
          <w:szCs w:val="28"/>
          <w:highlight w:val="none"/>
          <w14:textFill>
            <w14:solidFill>
              <w14:schemeClr w14:val="tx1"/>
            </w14:solidFill>
          </w14:textFill>
        </w:rPr>
        <w:t xml:space="preserve">购置自动化电动打捞船用于控制湖库型备用水源及各水库的蓝藻水华（可转场于各水库之间），改善水库水质，保障水生态环境健康；</w:t>
      </w:r>
      <w:r>
        <w:rPr>
          <w:rFonts w:hint="eastAsia" w:ascii="宋体" w:hAnsi="宋体"/>
          <w:bCs/>
          <w:color w:val="000000" w:themeColor="text1"/>
          <w:sz w:val="24"/>
          <w:szCs w:val="28"/>
          <w:highlight w:val="none"/>
          <w:lang w:val="en-US" w:eastAsia="zh-CN"/>
          <w14:textFill>
            <w14:solidFill>
              <w14:schemeClr w14:val="tx1"/>
            </w14:solidFill>
          </w14:textFill>
        </w:rPr>
        <w:t xml:space="preserve">详见第四章项目需求；</w:t>
      </w:r>
      <w:r/>
    </w:p>
    <w:p>
      <w:pPr>
        <w:ind w:firstLine="482"/>
        <w:spacing w:line="480" w:lineRule="exact"/>
        <w:rPr>
          <w:rFonts w:hint="eastAsia" w:ascii="宋体" w:hAnsi="宋体"/>
          <w:color w:val="000000" w:themeColor="text1"/>
          <w:sz w:val="24"/>
          <w:szCs w:val="28"/>
          <w:highlight w:val="none"/>
          <w:u w:val="single"/>
          <w14:textFill>
            <w14:solidFill>
              <w14:schemeClr w14:val="tx1"/>
            </w14:solidFill>
          </w14:textFill>
        </w:rPr>
      </w:pPr>
      <w:r>
        <w:rPr>
          <w:rFonts w:hint="eastAsia" w:ascii="宋体" w:hAnsi="宋体"/>
          <w:b/>
          <w:color w:val="000000" w:themeColor="text1"/>
          <w:sz w:val="24"/>
          <w:szCs w:val="28"/>
          <w:highlight w:val="none"/>
          <w14:textFill>
            <w14:solidFill>
              <w14:schemeClr w14:val="tx1"/>
            </w14:solidFill>
          </w14:textFill>
        </w:rPr>
        <w:t xml:space="preserve">对项目需求部分的询问、质疑请与采购人联系，由采购人负责答复。</w:t>
      </w:r>
      <w:r/>
    </w:p>
    <w:p>
      <w:pPr>
        <w:pStyle w:val="1086"/>
        <w:ind w:firstLine="480"/>
        <w:jc w:val="both"/>
        <w:spacing w:line="480" w:lineRule="exact"/>
        <w:rPr>
          <w:rFonts w:hint="eastAsia"/>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合同履行期限：合同签订后90天内完成电动蓝藻物理打捞船及配套设施供应。 </w:t>
      </w:r>
      <w:r/>
    </w:p>
    <w:p>
      <w:pPr>
        <w:pStyle w:val="1086"/>
        <w:ind w:firstLine="480"/>
        <w:jc w:val="both"/>
        <w:spacing w:line="480" w:lineRule="exact"/>
        <w:rPr>
          <w:rFonts w:hint="eastAsia"/>
          <w:b/>
          <w:color w:val="000000" w:themeColor="text1"/>
          <w:sz w:val="24"/>
          <w:szCs w:val="28"/>
          <w:highlight w:val="none"/>
          <w14:textFill>
            <w14:solidFill>
              <w14:schemeClr w14:val="tx1"/>
            </w14:solidFill>
          </w14:textFill>
        </w:rPr>
      </w:pPr>
      <w:r>
        <w:rPr>
          <w:color w:val="000000" w:themeColor="text1"/>
          <w:sz w:val="24"/>
          <w:szCs w:val="24"/>
          <w:highlight w:val="none"/>
          <w:lang w:eastAsia="zh-CN"/>
          <w14:textFill>
            <w14:solidFill>
              <w14:schemeClr w14:val="tx1"/>
            </w14:solidFill>
          </w14:textFill>
        </w:rPr>
        <w:t xml:space="preserve">本项目（是/否）接受联合体</w:t>
      </w:r>
      <w:r>
        <w:rPr>
          <w:rFonts w:hint="eastAsia"/>
          <w:color w:val="000000" w:themeColor="text1"/>
          <w:sz w:val="24"/>
          <w:szCs w:val="24"/>
          <w:highlight w:val="none"/>
          <w:lang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否</w:t>
      </w:r>
      <w:r>
        <w:rPr>
          <w:color w:val="000000" w:themeColor="text1"/>
          <w:sz w:val="24"/>
          <w:szCs w:val="24"/>
          <w:highlight w:val="none"/>
          <w:lang w:eastAsia="zh-CN"/>
          <w14:textFill>
            <w14:solidFill>
              <w14:schemeClr w14:val="tx1"/>
            </w14:solidFill>
          </w14:textFill>
        </w:rPr>
        <w:t xml:space="preserve">。</w:t>
      </w:r>
      <w:r/>
    </w:p>
    <w:p>
      <w:pPr>
        <w:spacing w:line="480" w:lineRule="exact"/>
        <w:rPr>
          <w:rFonts w:hint="eastAsia" w:ascii="宋体" w:hAnsi="宋体"/>
          <w:b/>
          <w:bCs/>
          <w:color w:val="000000" w:themeColor="text1"/>
          <w:sz w:val="24"/>
          <w:szCs w:val="28"/>
          <w:highlight w:val="none"/>
          <w14:textFill>
            <w14:solidFill>
              <w14:schemeClr w14:val="tx1"/>
            </w14:solidFill>
          </w14:textFill>
        </w:rPr>
      </w:pPr>
      <w:r/>
      <w:bookmarkStart w:id="9" w:name="_Toc35393799"/>
      <w:r/>
      <w:bookmarkStart w:id="10" w:name="_Toc28359090"/>
      <w:r/>
      <w:bookmarkStart w:id="11" w:name="_Toc35393630"/>
      <w:r/>
      <w:bookmarkStart w:id="12" w:name="_Toc28359013"/>
      <w:r>
        <w:rPr>
          <w:rFonts w:hint="eastAsia" w:ascii="宋体" w:hAnsi="宋体"/>
          <w:b/>
          <w:bCs/>
          <w:color w:val="000000" w:themeColor="text1"/>
          <w:sz w:val="24"/>
          <w:szCs w:val="28"/>
          <w:highlight w:val="none"/>
          <w14:textFill>
            <w14:solidFill>
              <w14:schemeClr w14:val="tx1"/>
            </w14:solidFill>
          </w14:textFill>
        </w:rPr>
        <w:t xml:space="preserve">二、申请人的资格要求</w:t>
      </w:r>
      <w:bookmarkEnd w:id="9"/>
      <w:r/>
      <w:bookmarkEnd w:id="10"/>
      <w:r/>
      <w:bookmarkEnd w:id="11"/>
      <w:r/>
      <w:bookmarkEnd w:id="12"/>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1.满足《中华人民共和国政府采购法》第二十二条规定，提供下列材料：</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（1）法人或者其他组织的营业执照等证明文件，自然人的身份证明；</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（2）上一年度的财务状况报告；(成立不满一年无需提供)；</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（4）具备履行合同所必需的设备和专业技术能力的声明；</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（5）参加政府采购活动前三年内在经营活动中没有重大违法记录的书面声明。</w:t>
      </w:r>
      <w:r/>
    </w:p>
    <w:p>
      <w:pPr>
        <w:ind w:firstLine="482"/>
        <w:spacing w:line="480" w:lineRule="exact"/>
        <w:rPr>
          <w:rFonts w:hint="eastAsia" w:ascii="宋体" w:hAnsi="宋体"/>
          <w:b/>
          <w:bCs/>
          <w:color w:val="000000" w:themeColor="text1"/>
          <w:sz w:val="24"/>
          <w:szCs w:val="28"/>
          <w:highlight w:val="none"/>
          <w14:textFill>
            <w14:solidFill>
              <w14:schemeClr w14:val="tx1"/>
            </w14:solidFill>
          </w14:textFill>
        </w:rPr>
      </w:pPr>
      <w:r/>
      <w:bookmarkStart w:id="13" w:name="_Toc28359091"/>
      <w:r/>
      <w:bookmarkStart w:id="14" w:name="_Toc28359014"/>
      <w:r>
        <w:rPr>
          <w:rFonts w:ascii="宋体" w:hAnsi="宋体"/>
          <w:b/>
          <w:bCs/>
          <w:color w:val="000000" w:themeColor="text1"/>
          <w:sz w:val="24"/>
          <w:szCs w:val="28"/>
          <w:highlight w:val="none"/>
          <w14:textFill>
            <w14:solidFill>
              <w14:schemeClr w14:val="tx1"/>
            </w14:solidFill>
          </w14:textFill>
        </w:rPr>
        <w:t xml:space="preserve">注：根据连财购〔2023〕4号文件精神，第(2)、(3）项可以提供《财务状况报告及税收、社会保障资金缴纳情况承诺函》，详见采购文件</w:t>
      </w:r>
      <w:r>
        <w:rPr>
          <w:rFonts w:hint="eastAsia" w:ascii="宋体" w:hAnsi="宋体"/>
          <w:b/>
          <w:bCs/>
          <w:color w:val="000000" w:themeColor="text1"/>
          <w:sz w:val="24"/>
          <w:szCs w:val="28"/>
          <w:highlight w:val="none"/>
          <w14:textFill>
            <w14:solidFill>
              <w14:schemeClr w14:val="tx1"/>
            </w14:solidFill>
          </w14:textFill>
        </w:rPr>
        <w:t xml:space="preserve">第六章 竞争性磋商响应文件格式</w:t>
      </w:r>
      <w:r>
        <w:rPr>
          <w:rFonts w:ascii="宋体" w:hAnsi="宋体"/>
          <w:b/>
          <w:bCs/>
          <w:color w:val="000000" w:themeColor="text1"/>
          <w:sz w:val="24"/>
          <w:szCs w:val="28"/>
          <w:highlight w:val="none"/>
          <w14:textFill>
            <w14:solidFill>
              <w14:schemeClr w14:val="tx1"/>
            </w14:solidFill>
          </w14:textFill>
        </w:rPr>
        <w:t xml:space="preserve">。</w:t>
      </w:r>
      <w:r/>
    </w:p>
    <w:p>
      <w:pPr>
        <w:ind w:firstLine="480"/>
        <w:spacing w:line="480" w:lineRule="exact"/>
        <w:rPr>
          <w:rFonts w:hint="eastAsia" w:ascii="宋体" w:hAnsi="宋体"/>
          <w:b/>
          <w:bCs/>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响应文件递交截止前，被信用中国、中国政府采购网列入失信被执行人、重大税收违法失信主体、政府采购严重违法失信行为记录名单的供应商，拒绝其参与政府采购活动；备注:采购人或采购代理机构通过信用中国网站(www.creditchina.gov.cn)、中国政府采购网(www.ccgp.gov.cn)，对供应商信用记录情况进行查询，查询结果页面打印留存；</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ascii="宋体" w:hAnsi="宋体"/>
          <w:color w:val="000000" w:themeColor="text1"/>
          <w:sz w:val="24"/>
          <w:szCs w:val="28"/>
          <w:highlight w:val="none"/>
          <w14:textFill>
            <w14:solidFill>
              <w14:schemeClr w14:val="tx1"/>
            </w14:solidFill>
          </w14:textFill>
        </w:rPr>
        <w:t xml:space="preserve">2.</w:t>
      </w:r>
      <w:r>
        <w:rPr>
          <w:rFonts w:hint="eastAsia" w:ascii="宋体" w:hAnsi="宋体"/>
          <w:color w:val="000000" w:themeColor="text1"/>
          <w:sz w:val="24"/>
          <w:szCs w:val="28"/>
          <w:highlight w:val="none"/>
          <w14:textFill>
            <w14:solidFill>
              <w14:schemeClr w14:val="tx1"/>
            </w14:solidFill>
          </w14:textFill>
        </w:rPr>
        <w:t xml:space="preserve">落实政府采购政策需满足的资格要求：</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专门面向中型企业、小型企业、微型企业、残疾人福利性单位、监狱企业采购,符合要求的供应商须提供&lt;&lt;中小企业声明函&gt;&gt;(详见第六章响应文件格式)或&lt;&lt;残疾人福利性单位声明函&gt;&gt;(详见第六章</w:t>
      </w:r>
      <w:r>
        <w:rPr>
          <w:rFonts w:hint="eastAsia" w:ascii="宋体" w:hAnsi="宋体"/>
          <w:color w:val="000000" w:themeColor="text1"/>
          <w:sz w:val="24"/>
          <w:szCs w:val="28"/>
          <w:highlight w:val="none"/>
          <w:lang w:val="en-US" w:eastAsia="zh-CN"/>
          <w14:textFill>
            <w14:solidFill>
              <w14:schemeClr w14:val="tx1"/>
            </w14:solidFill>
          </w14:textFill>
        </w:rPr>
        <w:t xml:space="preserve">响应</w:t>
      </w:r>
      <w:r>
        <w:rPr>
          <w:rFonts w:hint="eastAsia" w:ascii="宋体" w:hAnsi="宋体"/>
          <w:color w:val="000000" w:themeColor="text1"/>
          <w:sz w:val="24"/>
          <w:szCs w:val="28"/>
          <w:highlight w:val="none"/>
          <w14:textFill>
            <w14:solidFill>
              <w14:schemeClr w14:val="tx1"/>
            </w14:solidFill>
          </w14:textFill>
        </w:rPr>
        <w:t xml:space="preserve">文件格式)或属于监狱企业的证明文件，否则按无效响应处理。</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3.本项目的特定资格要求：无</w:t>
      </w:r>
      <w:r/>
    </w:p>
    <w:p>
      <w:pPr>
        <w:ind w:firstLine="480"/>
        <w:spacing w:line="480" w:lineRule="exact"/>
        <w:rPr>
          <w:rFonts w:hint="eastAsia" w:ascii="宋体" w:hAnsi="宋体" w:cs="宋体"/>
          <w:color w:val="000000" w:themeColor="text1"/>
          <w:sz w:val="24"/>
          <w:szCs w:val="22"/>
          <w:highlight w:val="none"/>
          <w14:textFill>
            <w14:solidFill>
              <w14:schemeClr w14:val="tx1"/>
            </w14:solidFill>
          </w14:textFill>
        </w:rPr>
      </w:pPr>
      <w:r/>
      <w:bookmarkStart w:id="15" w:name="_Toc35393631"/>
      <w:r/>
      <w:bookmarkStart w:id="16" w:name="_Toc35393800"/>
      <w:r>
        <w:rPr>
          <w:rFonts w:hint="eastAsia" w:ascii="宋体" w:hAnsi="宋体"/>
          <w:color w:val="000000" w:themeColor="text1"/>
          <w:sz w:val="24"/>
          <w:szCs w:val="28"/>
          <w:highlight w:val="none"/>
          <w14:textFill>
            <w14:solidFill>
              <w14:schemeClr w14:val="tx1"/>
            </w14:solidFill>
          </w14:textFill>
        </w:rPr>
        <w:t xml:space="preserve">4.法律法规规定的其他条件</w:t>
      </w:r>
      <w:r>
        <w:rPr>
          <w:rFonts w:hint="eastAsia" w:ascii="宋体" w:hAnsi="宋体" w:cs="宋体"/>
          <w:color w:val="000000" w:themeColor="text1"/>
          <w:sz w:val="24"/>
          <w:szCs w:val="22"/>
          <w:highlight w:val="none"/>
          <w14:textFill>
            <w14:solidFill>
              <w14:schemeClr w14:val="tx1"/>
            </w14:solidFill>
          </w14:textFill>
        </w:rPr>
        <w:t xml:space="preserve">。</w:t>
      </w:r>
      <w:r/>
    </w:p>
    <w:p>
      <w:pPr>
        <w:spacing w:line="480" w:lineRule="exact"/>
        <w:rPr>
          <w:rFonts w:hint="eastAsia" w:ascii="宋体" w:hAnsi="宋体"/>
          <w:b/>
          <w:bCs/>
          <w:color w:val="000000" w:themeColor="text1"/>
          <w:sz w:val="24"/>
          <w:szCs w:val="28"/>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三、获取采购文件</w:t>
      </w:r>
      <w:bookmarkEnd w:id="13"/>
      <w:r/>
      <w:bookmarkEnd w:id="14"/>
      <w:r/>
      <w:bookmarkEnd w:id="15"/>
      <w:r/>
      <w:bookmarkEnd w:id="16"/>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bookmarkStart w:id="17" w:name="_Toc28359092"/>
      <w:r/>
      <w:bookmarkStart w:id="18" w:name="_Toc28359015"/>
      <w:r/>
      <w:bookmarkStart w:id="19" w:name="_Toc35393632"/>
      <w:r/>
      <w:bookmarkStart w:id="20" w:name="_Toc35393801"/>
      <w:r>
        <w:rPr>
          <w:rFonts w:hint="eastAsia" w:ascii="宋体" w:hAnsi="宋体"/>
          <w:color w:val="000000" w:themeColor="text1"/>
          <w:sz w:val="24"/>
          <w:szCs w:val="28"/>
          <w:highlight w:val="none"/>
          <w14:textFill>
            <w14:solidFill>
              <w14:schemeClr w14:val="tx1"/>
            </w14:solidFill>
          </w14:textFill>
        </w:rPr>
        <w:t xml:space="preserve">时间:自磋商文件公告发布之日起5个工作日</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地点:在"江苏政府采购网"("苏采云"系统自行免费下载采购文件。)</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方式:供应商办理江苏省政府采购交易系统CA数字证书，登录"苏采云"政府采购交易系统，自行下载。</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售价:0.00元</w:t>
      </w:r>
      <w:r/>
    </w:p>
    <w:p>
      <w:pPr>
        <w:spacing w:line="480" w:lineRule="exact"/>
        <w:rPr>
          <w:rFonts w:hint="eastAsia" w:ascii="宋体" w:hAnsi="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8"/>
          <w:highlight w:val="none"/>
          <w14:textFill>
            <w14:solidFill>
              <w14:schemeClr w14:val="tx1"/>
            </w14:solidFill>
          </w14:textFill>
        </w:rPr>
        <w:t xml:space="preserve">四、响应文件提交</w:t>
      </w:r>
      <w:bookmarkEnd w:id="17"/>
      <w:r/>
      <w:bookmarkEnd w:id="18"/>
      <w:r/>
      <w:bookmarkEnd w:id="19"/>
      <w:r/>
      <w:bookmarkEnd w:id="20"/>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bookmarkStart w:id="21" w:name="_Toc35393633"/>
      <w:r/>
      <w:bookmarkStart w:id="22" w:name="_Toc28359016"/>
      <w:r/>
      <w:bookmarkStart w:id="23" w:name="_Toc35393802"/>
      <w:r/>
      <w:bookmarkStart w:id="24" w:name="_Toc28359093"/>
      <w:r>
        <w:rPr>
          <w:rFonts w:hint="eastAsia" w:ascii="宋体" w:hAnsi="宋体"/>
          <w:color w:val="000000" w:themeColor="text1"/>
          <w:sz w:val="24"/>
          <w:szCs w:val="28"/>
          <w:highlight w:val="none"/>
          <w14:textFill>
            <w14:solidFill>
              <w14:schemeClr w14:val="tx1"/>
            </w14:solidFill>
          </w14:textFill>
        </w:rPr>
        <w:t xml:space="preserve">截止时间:2026-</w:t>
      </w:r>
      <w:r>
        <w:rPr>
          <w:rFonts w:hint="eastAsia" w:ascii="宋体" w:hAnsi="宋体"/>
          <w:color w:val="000000" w:themeColor="text1"/>
          <w:sz w:val="24"/>
          <w:szCs w:val="28"/>
          <w:highlight w:val="none"/>
          <w:lang w:val="en-US" w:eastAsia="zh-CN"/>
          <w14:textFill>
            <w14:solidFill>
              <w14:schemeClr w14:val="tx1"/>
            </w14:solidFill>
          </w14:textFill>
        </w:rPr>
        <w:t xml:space="preserve">05</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18</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val="en-US" w:eastAsia="zh-CN"/>
          <w14:textFill>
            <w14:solidFill>
              <w14:schemeClr w14:val="tx1"/>
            </w14:solidFill>
          </w14:textFill>
        </w:rPr>
        <w:t xml:space="preserve">09</w:t>
      </w:r>
      <w:r>
        <w:rPr>
          <w:rFonts w:hint="eastAsia" w:ascii="宋体" w:hAnsi="宋体"/>
          <w:color w:val="000000" w:themeColor="text1"/>
          <w:sz w:val="24"/>
          <w:szCs w:val="28"/>
          <w:highlight w:val="none"/>
          <w14:textFill>
            <w14:solidFill>
              <w14:schemeClr w14:val="tx1"/>
            </w14:solidFill>
          </w14:textFill>
        </w:rPr>
        <w:t xml:space="preserve">:00(北京时间)</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w:t>
      </w:r>
      <w:r>
        <w:rPr>
          <w:rFonts w:ascii="SimSun" w:hAnsi="SimSun" w:eastAsia="SimSun" w:cs="SimSun"/>
          <w:color w:val="000000"/>
          <w:sz w:val="24"/>
        </w:rPr>
        <w:t xml:space="preserve">苏采云政府采购交易系统</w:t>
      </w:r>
      <w:r>
        <w:rPr>
          <w:rFonts w:hint="eastAsia" w:ascii="宋体" w:hAnsi="宋体"/>
          <w:color w:val="000000" w:themeColor="text1"/>
          <w:sz w:val="24"/>
          <w:szCs w:val="28"/>
          <w:highlight w:val="none"/>
          <w14:textFill>
            <w14:solidFill>
              <w14:schemeClr w14:val="tx1"/>
            </w14:solidFill>
          </w14:textFill>
        </w:rPr>
      </w:r>
      <w:r/>
    </w:p>
    <w:p>
      <w:pPr>
        <w:spacing w:line="480" w:lineRule="exact"/>
        <w:rPr>
          <w:rFonts w:hint="eastAsia" w:ascii="宋体" w:hAnsi="宋体"/>
          <w:b/>
          <w:bCs/>
          <w:color w:val="000000" w:themeColor="text1"/>
          <w:sz w:val="24"/>
          <w:szCs w:val="28"/>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五、开启</w:t>
      </w:r>
      <w:bookmarkEnd w:id="21"/>
      <w:r/>
      <w:bookmarkEnd w:id="22"/>
      <w:r/>
      <w:bookmarkEnd w:id="23"/>
      <w:r/>
      <w:bookmarkEnd w:id="24"/>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bookmarkStart w:id="25" w:name="_Toc28359017"/>
      <w:r/>
      <w:bookmarkStart w:id="26" w:name="_Toc35393634"/>
      <w:r/>
      <w:bookmarkStart w:id="27" w:name="_Toc35393803"/>
      <w:r/>
      <w:bookmarkStart w:id="28" w:name="_Toc28359094"/>
      <w:r>
        <w:rPr>
          <w:rFonts w:hint="eastAsia" w:ascii="宋体" w:hAnsi="宋体"/>
          <w:color w:val="000000" w:themeColor="text1"/>
          <w:sz w:val="24"/>
          <w:szCs w:val="28"/>
          <w:highlight w:val="none"/>
          <w14:textFill>
            <w14:solidFill>
              <w14:schemeClr w14:val="tx1"/>
            </w14:solidFill>
          </w14:textFill>
        </w:rPr>
        <w:t xml:space="preserve">时间:2026-</w:t>
      </w:r>
      <w:r>
        <w:rPr>
          <w:rFonts w:hint="eastAsia" w:ascii="宋体" w:hAnsi="宋体"/>
          <w:color w:val="000000" w:themeColor="text1"/>
          <w:sz w:val="24"/>
          <w:szCs w:val="28"/>
          <w:highlight w:val="none"/>
          <w:lang w:val="en-US" w:eastAsia="zh-CN"/>
          <w14:textFill>
            <w14:solidFill>
              <w14:schemeClr w14:val="tx1"/>
            </w14:solidFill>
          </w14:textFill>
        </w:rPr>
        <w:t xml:space="preserve">05</w:t>
      </w:r>
      <w:r>
        <w:rPr>
          <w:rFonts w:hint="eastAsia" w:ascii="宋体" w:hAnsi="宋体"/>
          <w:color w:val="000000" w:themeColor="text1"/>
          <w:sz w:val="24"/>
          <w:szCs w:val="28"/>
          <w:highlight w:val="none"/>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18</w:t>
      </w:r>
      <w:r>
        <w:rPr>
          <w:rFonts w:hint="eastAsia" w:ascii="宋体" w:hAnsi="宋体"/>
          <w:color w:val="000000" w:themeColor="text1"/>
          <w:sz w:val="24"/>
          <w:szCs w:val="28"/>
          <w:highlight w:val="none"/>
          <w14:textFill>
            <w14:solidFill>
              <w14:schemeClr w14:val="tx1"/>
            </w14:solidFill>
          </w14:textFill>
        </w:rPr>
        <w:t xml:space="preserve">  </w:t>
      </w:r>
      <w:r>
        <w:rPr>
          <w:rFonts w:hint="eastAsia" w:ascii="宋体" w:hAnsi="宋体"/>
          <w:color w:val="000000" w:themeColor="text1"/>
          <w:sz w:val="24"/>
          <w:szCs w:val="28"/>
          <w:highlight w:val="none"/>
          <w:lang w:val="en-US" w:eastAsia="zh-CN"/>
          <w14:textFill>
            <w14:solidFill>
              <w14:schemeClr w14:val="tx1"/>
            </w14:solidFill>
          </w14:textFill>
        </w:rPr>
        <w:t xml:space="preserve">09</w:t>
      </w:r>
      <w:r>
        <w:rPr>
          <w:rFonts w:hint="eastAsia" w:ascii="宋体" w:hAnsi="宋体"/>
          <w:color w:val="000000" w:themeColor="text1"/>
          <w:sz w:val="24"/>
          <w:szCs w:val="28"/>
          <w:highlight w:val="none"/>
          <w14:textFill>
            <w14:solidFill>
              <w14:schemeClr w14:val="tx1"/>
            </w14:solidFill>
          </w14:textFill>
        </w:rPr>
        <w:t xml:space="preserve">:00(北京时间)</w:t>
      </w:r>
      <w:r/>
    </w:p>
    <w:p>
      <w:pPr>
        <w:ind w:firstLine="480"/>
        <w:spacing w:line="48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地点：</w:t>
      </w:r>
      <w:r>
        <w:rPr>
          <w:rFonts w:ascii="SimSun" w:hAnsi="SimSun" w:eastAsia="SimSun" w:cs="SimSun"/>
          <w:color w:val="000000"/>
          <w:sz w:val="24"/>
        </w:rPr>
        <w:t xml:space="preserve">东海县公共资源交易中心东海开标一室 </w:t>
      </w:r>
      <w:r>
        <w:rPr>
          <w:rFonts w:hint="eastAsia" w:ascii="宋体" w:hAnsi="宋体"/>
          <w:color w:val="000000" w:themeColor="text1"/>
          <w:sz w:val="24"/>
          <w:szCs w:val="28"/>
          <w:highlight w:val="none"/>
          <w14:textFill>
            <w14:solidFill>
              <w14:schemeClr w14:val="tx1"/>
            </w14:solidFill>
          </w14:textFill>
        </w:rPr>
      </w:r>
      <w:r/>
    </w:p>
    <w:p>
      <w:pPr>
        <w:spacing w:line="480" w:lineRule="exact"/>
        <w:rPr>
          <w:rFonts w:hint="eastAsia" w:ascii="宋体" w:hAnsi="宋体"/>
          <w:b/>
          <w:bCs/>
          <w:color w:val="000000" w:themeColor="text1"/>
          <w:sz w:val="24"/>
          <w:szCs w:val="28"/>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六、公告期限</w:t>
      </w:r>
      <w:bookmarkEnd w:id="25"/>
      <w:r/>
      <w:bookmarkEnd w:id="26"/>
      <w:r/>
      <w:bookmarkEnd w:id="27"/>
      <w:r/>
      <w:bookmarkEnd w:id="28"/>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自本公告发布之日起3个工作日。</w:t>
      </w:r>
      <w:r/>
    </w:p>
    <w:p>
      <w:pPr>
        <w:spacing w:line="480" w:lineRule="exact"/>
        <w:rPr>
          <w:rFonts w:hint="eastAsia" w:ascii="宋体" w:hAnsi="宋体"/>
          <w:b/>
          <w:bCs/>
          <w:color w:val="000000" w:themeColor="text1"/>
          <w:sz w:val="24"/>
          <w:szCs w:val="28"/>
          <w:highlight w:val="none"/>
          <w14:textFill>
            <w14:solidFill>
              <w14:schemeClr w14:val="tx1"/>
            </w14:solidFill>
          </w14:textFill>
        </w:rPr>
      </w:pPr>
      <w:r/>
      <w:bookmarkStart w:id="29" w:name="_Toc35393635"/>
      <w:r/>
      <w:bookmarkStart w:id="30" w:name="_Toc35393804"/>
      <w:r>
        <w:rPr>
          <w:rFonts w:hint="eastAsia" w:ascii="宋体" w:hAnsi="宋体"/>
          <w:b/>
          <w:bCs/>
          <w:color w:val="000000" w:themeColor="text1"/>
          <w:sz w:val="24"/>
          <w:szCs w:val="28"/>
          <w:highlight w:val="none"/>
          <w14:textFill>
            <w14:solidFill>
              <w14:schemeClr w14:val="tx1"/>
            </w14:solidFill>
          </w14:textFill>
        </w:rPr>
        <w:t xml:space="preserve">七、其他补充事宜</w:t>
      </w:r>
      <w:bookmarkEnd w:id="29"/>
      <w:r/>
      <w:bookmarkEnd w:id="30"/>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1.本次磋商采购不收取保证金。</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2.本磋商文件中标注★的款项为实质性响应要求和条件，如不满足将按无效响应文件处理。</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无论出于何种原因，采购人在采购活动开始前可对采购文件进行修改、补充或变更，其内容作为采购文件的重要组成部分，请各供应商关注江苏政府采购网网站。若因供应商自身原因未及时关注本项目有关修改、补充或变更信息，导致响应文件编制或提交失误，由此造成的一切损失由供应商自行承担。</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bookmarkStart w:id="31" w:name="_Toc35393636"/>
      <w:r/>
      <w:bookmarkStart w:id="32" w:name="_Toc35393805"/>
      <w:r/>
      <w:bookmarkStart w:id="33" w:name="_Toc28359018"/>
      <w:r/>
      <w:bookmarkStart w:id="34" w:name="_Toc28359095"/>
      <w:r>
        <w:rPr>
          <w:rFonts w:hint="eastAsia" w:ascii="宋体" w:hAnsi="宋体" w:cs="宋体"/>
          <w:color w:val="000000" w:themeColor="text1"/>
          <w:sz w:val="24"/>
          <w:szCs w:val="28"/>
          <w:highlight w:val="none"/>
          <w14:textFill>
            <w14:solidFill>
              <w14:schemeClr w14:val="tx1"/>
            </w14:solidFill>
          </w14:textFill>
        </w:rPr>
        <w:t xml:space="preserve">4.根据江苏省财政厅&lt;&lt;关于更换全省政府采购交易系统CA数字证书和电子签章的通知&gt;&gt;(苏财购(2023)101号)要求，"苏采云"政府采购交易系统的CA数字证书、电子签章已更换为江苏省电子政务证书认证中心CA和方正国际软件(北京)有限公</w:t>
      </w:r>
      <w:r>
        <w:rPr>
          <w:rFonts w:hint="eastAsia" w:ascii="宋体" w:hAnsi="宋体" w:cs="宋体"/>
          <w:color w:val="000000" w:themeColor="text1"/>
          <w:sz w:val="24"/>
          <w:szCs w:val="28"/>
          <w:highlight w:val="none"/>
          <w14:textFill>
            <w14:solidFill>
              <w14:schemeClr w14:val="tx1"/>
            </w14:solidFill>
          </w14:textFill>
        </w:rPr>
        <w:t xml:space="preserve">司电子签章。供应商通过"苏采云"系统参与政府采购项目，需要办理(更换)CA数字证书和电子签章。具体办理指南和操作手册见链接:http: //www.ccgp-jiangsu. gov.cn/jiangsu/zlxz/ee/ee3a4bc5a3454aa2b0d9312230633ce9. html请供应商按照&lt;&lt;操作手册&gt;&gt;要求获取采购文件，制作、提交(上传)电子响应文件，参加开启，澄清、说明或者补正，参加磋商和提交最后报价。因供应商未按要求操作原因导致电子响应文件被拒绝、造成无效响应的，自行承担一切损失。</w:t>
      </w:r>
      <w:r/>
    </w:p>
    <w:p>
      <w:pPr>
        <w:spacing w:line="480" w:lineRule="exact"/>
        <w:rPr>
          <w:rFonts w:hint="eastAsia" w:ascii="宋体" w:hAnsi="宋体"/>
          <w:b/>
          <w:bCs/>
          <w:color w:val="000000" w:themeColor="text1"/>
          <w:sz w:val="24"/>
          <w:szCs w:val="28"/>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八、凡对本次采购提出询问，请按以下方式联系</w:t>
      </w:r>
      <w:bookmarkEnd w:id="31"/>
      <w:r/>
      <w:bookmarkEnd w:id="32"/>
      <w:r/>
      <w:bookmarkEnd w:id="33"/>
      <w:r/>
      <w:bookmarkEnd w:id="34"/>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bookmarkStart w:id="35" w:name="_Toc35393806"/>
      <w:r/>
      <w:bookmarkStart w:id="36" w:name="_Toc28359096"/>
      <w:r/>
      <w:bookmarkStart w:id="37" w:name="_Toc28359019"/>
      <w:r/>
      <w:bookmarkStart w:id="38" w:name="_Toc35393637"/>
      <w:r>
        <w:rPr>
          <w:rFonts w:hint="eastAsia" w:ascii="宋体" w:hAnsi="宋体" w:cs="宋体"/>
          <w:color w:val="000000" w:themeColor="text1"/>
          <w:sz w:val="24"/>
          <w:szCs w:val="28"/>
          <w:highlight w:val="none"/>
          <w14:textFill>
            <w14:solidFill>
              <w14:schemeClr w14:val="tx1"/>
            </w14:solidFill>
          </w14:textFill>
        </w:rPr>
        <w:t xml:space="preserve">1.采购人信息</w:t>
      </w:r>
      <w:bookmarkEnd w:id="35"/>
      <w:r/>
      <w:bookmarkEnd w:id="36"/>
      <w:r/>
      <w:bookmarkEnd w:id="37"/>
      <w:r/>
      <w:bookmarkEnd w:id="38"/>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名    称：连云港市东海生态环境局</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地    址：江苏省连云港市东海县牛山街道晶都大道北侧</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联 系 人：王正扬</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联系方式</w:t>
      </w:r>
      <w:bookmarkStart w:id="39" w:name="_Toc28359020"/>
      <w:r/>
      <w:bookmarkStart w:id="40" w:name="_Toc35393807"/>
      <w:r/>
      <w:bookmarkStart w:id="41" w:name="_Toc35393638"/>
      <w:r/>
      <w:bookmarkStart w:id="42" w:name="_Toc28359097"/>
      <w:r>
        <w:rPr>
          <w:rFonts w:hint="eastAsia" w:ascii="宋体" w:hAnsi="宋体" w:cs="宋体"/>
          <w:color w:val="000000" w:themeColor="text1"/>
          <w:sz w:val="24"/>
          <w:szCs w:val="28"/>
          <w:highlight w:val="none"/>
          <w14:textFill>
            <w14:solidFill>
              <w14:schemeClr w14:val="tx1"/>
            </w14:solidFill>
          </w14:textFill>
        </w:rPr>
        <w:t xml:space="preserve">：13815601685</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2.采购代理机构信息</w:t>
      </w:r>
      <w:bookmarkEnd w:id="39"/>
      <w:r/>
      <w:bookmarkEnd w:id="40"/>
      <w:r/>
      <w:bookmarkEnd w:id="41"/>
      <w:r/>
      <w:bookmarkEnd w:id="42"/>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名    称：江苏振兴工程项目管理有限公司</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地　　址：连云港市海州区凤祥铭居小区商业S1二层商铺</w:t>
      </w:r>
      <w:r/>
    </w:p>
    <w:p>
      <w:pPr>
        <w:ind w:firstLine="480"/>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联 系 人：刘工</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联系方式：</w:t>
      </w:r>
      <w:bookmarkStart w:id="43" w:name="_Toc28359098"/>
      <w:r/>
      <w:bookmarkStart w:id="44" w:name="_Toc35393808"/>
      <w:r/>
      <w:bookmarkStart w:id="45" w:name="_Toc28359021"/>
      <w:r/>
      <w:bookmarkStart w:id="46" w:name="_Toc35393639"/>
      <w:r>
        <w:rPr>
          <w:rFonts w:hint="eastAsia" w:ascii="宋体" w:hAnsi="宋体" w:cs="宋体"/>
          <w:color w:val="000000" w:themeColor="text1"/>
          <w:sz w:val="24"/>
          <w:szCs w:val="28"/>
          <w:highlight w:val="none"/>
          <w14:textFill>
            <w14:solidFill>
              <w14:schemeClr w14:val="tx1"/>
            </w14:solidFill>
          </w14:textFill>
        </w:rPr>
        <w:t xml:space="preserve">15261315330</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3.项目联系</w:t>
      </w:r>
      <w:r>
        <w:rPr>
          <w:rFonts w:ascii="宋体" w:hAnsi="宋体" w:cs="宋体"/>
          <w:color w:val="000000" w:themeColor="text1"/>
          <w:sz w:val="24"/>
          <w:szCs w:val="28"/>
          <w:highlight w:val="none"/>
          <w14:textFill>
            <w14:solidFill>
              <w14:schemeClr w14:val="tx1"/>
            </w14:solidFill>
          </w14:textFill>
        </w:rPr>
        <w:t xml:space="preserve">方式</w:t>
      </w:r>
      <w:bookmarkEnd w:id="43"/>
      <w:r/>
      <w:bookmarkEnd w:id="44"/>
      <w:r/>
      <w:bookmarkEnd w:id="45"/>
      <w:r/>
      <w:bookmarkEnd w:id="46"/>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项目联系人：刘工</w:t>
      </w:r>
      <w:r/>
    </w:p>
    <w:p>
      <w:pPr>
        <w:ind w:firstLine="480"/>
        <w:spacing w:line="48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电　    话：15261315330</w:t>
      </w:r>
      <w:r/>
    </w:p>
    <w:p>
      <w:pPr>
        <w:pStyle w:val="978"/>
        <w:jc w:val="center"/>
        <w:rPr>
          <w:rFonts w:ascii="黑体" w:eastAsia="黑体"/>
          <w:color w:val="000000" w:themeColor="text1"/>
          <w:sz w:val="44"/>
          <w:szCs w:val="4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1"/>
      <w:r/>
      <w:bookmarkStart w:id="47" w:name="_Toc19023"/>
      <w:r/>
      <w:bookmarkStart w:id="48" w:name="_Toc465856612"/>
      <w:r/>
      <w:bookmarkStart w:id="49" w:name="_Toc61149549"/>
      <w:r/>
      <w:bookmarkStart w:id="50" w:name="_Toc14577347"/>
      <w:r/>
      <w:bookmarkStart w:id="51" w:name="_Toc513029209"/>
      <w:r>
        <w:rPr>
          <w:rFonts w:hint="eastAsia" w:ascii="黑体" w:eastAsia="黑体"/>
          <w:color w:val="000000" w:themeColor="text1"/>
          <w:sz w:val="44"/>
          <w:szCs w:val="44"/>
          <w:highlight w:val="none"/>
          <w14:textFill>
            <w14:solidFill>
              <w14:schemeClr w14:val="tx1"/>
            </w14:solidFill>
          </w14:textFill>
        </w:rPr>
        <w:t xml:space="preserve">第二章 磋商须知</w:t>
      </w:r>
      <w:bookmarkEnd w:id="47"/>
      <w:r/>
      <w:bookmarkEnd w:id="48"/>
      <w:r/>
      <w:bookmarkEnd w:id="49"/>
      <w:bookmarkEnd w:id="50"/>
      <w:bookmarkEnd w:id="51"/>
      <w:r/>
    </w:p>
    <w:p>
      <w:pPr>
        <w:ind w:firstLine="2040"/>
        <w:spacing w:after="143" w:line="360" w:lineRule="auto"/>
        <w:rPr>
          <w:rFonts w:hint="eastAsia" w:ascii="宋体" w:hAnsi="宋体"/>
          <w:b/>
          <w:bCs/>
          <w:color w:val="000000" w:themeColor="text1"/>
          <w:sz w:val="24"/>
          <w:highlight w:val="none"/>
          <w14:textFill>
            <w14:solidFill>
              <w14:schemeClr w14:val="tx1"/>
            </w14:solidFill>
          </w14:textFill>
        </w:rPr>
      </w:pPr>
      <w:r/>
      <w:bookmarkStart w:id="52" w:name="_Toc465856613"/>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一、总则</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1、适用范围</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本竞争性磋商文件（以下简称磋商文件）仅适用此项目。</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本项目采购采用电子化方式，采购文件、响应文件、开启、评审和成交结果发布全程电子化。</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2、项目采购方式</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本次采购采取竞争性磋商的方式。</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3、合格的磋商供应商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满足本磋商文件“竞争性磋商采购邀请”中“申请人的资格要求”的规定。</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满足本磋商文件实质性要求和条件的规定。</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4、参加磋商费用</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供应商应自行承担所有与参与磋商采购活动有关的费用，无论磋商采购过程中的做法和结果如何，采购人和江苏振兴工程项目管理有限公司（以下代理机构）在任何情况下均无义务和责任承担这些费用。</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本次磋商采购，采购代理费按</w:t>
      </w:r>
      <w:r>
        <w:rPr>
          <w:rFonts w:hint="eastAsia" w:ascii="宋体" w:hAnsi="宋体"/>
          <w:color w:val="000000" w:themeColor="text1"/>
          <w:sz w:val="24"/>
          <w:highlight w:val="none"/>
          <w:lang w:val="en-US" w:eastAsia="zh-CN"/>
          <w14:textFill>
            <w14:solidFill>
              <w14:schemeClr w14:val="tx1"/>
            </w14:solidFill>
          </w14:textFill>
        </w:rPr>
        <w:t xml:space="preserve">9500元</w:t>
      </w:r>
      <w:r>
        <w:rPr>
          <w:rFonts w:hint="eastAsia" w:ascii="宋体" w:hAnsi="宋体"/>
          <w:color w:val="000000" w:themeColor="text1"/>
          <w:sz w:val="24"/>
          <w:highlight w:val="none"/>
          <w14:textFill>
            <w14:solidFill>
              <w14:schemeClr w14:val="tx1"/>
            </w14:solidFill>
          </w14:textFill>
        </w:rPr>
        <w:t xml:space="preserve">计取，由成交供应商支付，供应商在报价时应综合考虑以上相关费用，但不得单列。相关费用必须在成交结果公示后成交通知书发出前由成交供应商一次性付清。</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供应商一旦依法获取了本磋商文件并决定参加磋商，即被认为接受了本磋商文件的规定和约束，并且视为已经知道或应当知道自身权益是否受到了损害。</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bookmarkStart w:id="53" w:name="_Toc20823283"/>
      <w:r/>
      <w:bookmarkStart w:id="54" w:name="_Toc513029211"/>
      <w:r/>
      <w:bookmarkStart w:id="55" w:name="_Toc462564070"/>
      <w:r/>
      <w:bookmarkStart w:id="56" w:name="_Toc16938527"/>
      <w:r>
        <w:rPr>
          <w:rFonts w:hint="eastAsia" w:ascii="宋体" w:hAnsi="宋体"/>
          <w:color w:val="000000" w:themeColor="text1"/>
          <w:sz w:val="24"/>
          <w:highlight w:val="none"/>
          <w14:textFill>
            <w14:solidFill>
              <w14:schemeClr w14:val="tx1"/>
            </w14:solidFill>
          </w14:textFill>
        </w:rPr>
        <w:t xml:space="preserve">磋商文件的</w:t>
      </w:r>
      <w:bookmarkEnd w:id="53"/>
      <w:r/>
      <w:bookmarkEnd w:id="54"/>
      <w:r/>
      <w:bookmarkEnd w:id="55"/>
      <w:r/>
      <w:bookmarkEnd w:id="56"/>
      <w:r>
        <w:rPr>
          <w:rFonts w:hint="eastAsia" w:ascii="宋体" w:hAnsi="宋体"/>
          <w:color w:val="000000" w:themeColor="text1"/>
          <w:sz w:val="24"/>
          <w:highlight w:val="none"/>
          <w14:textFill>
            <w14:solidFill>
              <w14:schemeClr w14:val="tx1"/>
            </w14:solidFill>
          </w14:textFill>
        </w:rPr>
        <w:t xml:space="preserve">询问及修改</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任何要求对磋商文件进行询问的供应商，均应在提交首次响应文件截止时间五日前按“竞争性磋商采购邀请”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形式通知所有获取磋商文件的供应商。不足五日的，代理机构应当顺延提交首次响应文件截止时间。</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本代理机构或采购人可以视采购项目的具体情况，组织供应商进行现场考察或召开磋商前答疑会，但不单独或分别组织只有一个供应商参加的现场考察或答疑会。</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7、磋商文件的解释</w:t>
      </w:r>
      <w:r/>
    </w:p>
    <w:p>
      <w:pPr>
        <w:ind w:firstLine="480"/>
        <w:jc w:val="left"/>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 本磋商文件由代理机构负责解释。</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bookmarkStart w:id="57" w:name="_Hlt26954828"/>
      <w:r/>
      <w:bookmarkEnd w:id="57"/>
      <w:r/>
      <w:bookmarkStart w:id="58" w:name="_Hlt26954830"/>
      <w:r/>
      <w:bookmarkEnd w:id="58"/>
      <w:r/>
      <w:bookmarkStart w:id="59" w:name="_Hlt26670345"/>
      <w:r/>
      <w:bookmarkEnd w:id="59"/>
      <w:r/>
      <w:bookmarkStart w:id="60" w:name="_Hlt26670354"/>
      <w:r/>
      <w:bookmarkEnd w:id="60"/>
      <w:r/>
      <w:bookmarkStart w:id="61" w:name="_Hlt26954832"/>
      <w:r/>
      <w:bookmarkEnd w:id="61"/>
      <w:r/>
      <w:bookmarkStart w:id="62" w:name="_Hlt26670348"/>
      <w:r/>
      <w:bookmarkEnd w:id="62"/>
      <w:r/>
      <w:bookmarkStart w:id="63" w:name="_Hlt26668969"/>
      <w:r/>
      <w:bookmarkEnd w:id="63"/>
      <w:r/>
      <w:bookmarkStart w:id="64" w:name="_Toc513029213"/>
      <w:r/>
      <w:bookmarkStart w:id="65" w:name="_Toc462564072"/>
      <w:r/>
      <w:bookmarkStart w:id="66" w:name="_Toc14577351"/>
      <w:r/>
      <w:bookmarkStart w:id="67" w:name="_Toc61149553"/>
      <w:r>
        <w:rPr>
          <w:rFonts w:hint="eastAsia" w:ascii="宋体" w:hAnsi="宋体" w:cs="宋体"/>
          <w:b/>
          <w:bCs/>
          <w:color w:val="000000" w:themeColor="text1"/>
          <w:sz w:val="28"/>
          <w:szCs w:val="28"/>
          <w:highlight w:val="none"/>
          <w14:textFill>
            <w14:solidFill>
              <w14:schemeClr w14:val="tx1"/>
            </w14:solidFill>
          </w14:textFill>
        </w:rPr>
        <w:t xml:space="preserve">二、磋商响应文件的编制</w:t>
      </w:r>
      <w:bookmarkEnd w:id="64"/>
      <w:r/>
      <w:bookmarkEnd w:id="65"/>
      <w:r/>
      <w:bookmarkEnd w:id="66"/>
      <w:r/>
      <w:bookmarkEnd w:id="67"/>
      <w:r>
        <w:rPr>
          <w:rFonts w:hint="eastAsia" w:ascii="宋体" w:hAnsi="宋体" w:cs="宋体"/>
          <w:b/>
          <w:bCs/>
          <w:color w:val="000000" w:themeColor="text1"/>
          <w:sz w:val="28"/>
          <w:szCs w:val="28"/>
          <w:highlight w:val="none"/>
          <w14:textFill>
            <w14:solidFill>
              <w14:schemeClr w14:val="tx1"/>
            </w14:solidFill>
          </w14:textFill>
        </w:rPr>
        <w:t xml:space="preserve">及保证金收取</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68" w:name="_Hlt26954834"/>
      <w:r/>
      <w:bookmarkEnd w:id="68"/>
      <w:r/>
      <w:bookmarkStart w:id="69" w:name="_Toc462564074"/>
      <w:r/>
      <w:bookmarkStart w:id="70" w:name="_Toc61149555"/>
      <w:r/>
      <w:bookmarkStart w:id="71" w:name="_Toc14577353"/>
      <w:r/>
      <w:bookmarkStart w:id="72" w:name="_Toc513029215"/>
      <w:r/>
      <w:bookmarkStart w:id="73" w:name="_Toc513029214"/>
      <w:r/>
      <w:bookmarkStart w:id="74" w:name="_Toc462564073"/>
      <w:r/>
      <w:bookmarkStart w:id="75" w:name="_Toc14577352"/>
      <w:r/>
      <w:bookmarkStart w:id="76" w:name="_Toc61149554"/>
      <w:r>
        <w:rPr>
          <w:rFonts w:hint="eastAsia" w:ascii="宋体" w:hAnsi="宋体"/>
          <w:color w:val="000000" w:themeColor="text1"/>
          <w:sz w:val="24"/>
          <w:highlight w:val="none"/>
          <w14:textFill>
            <w14:solidFill>
              <w14:schemeClr w14:val="tx1"/>
            </w14:solidFill>
          </w14:textFill>
        </w:rPr>
        <w:t xml:space="preserve">1、响应文件</w:t>
      </w:r>
      <w:bookmarkEnd w:id="69"/>
      <w:r/>
      <w:bookmarkEnd w:id="70"/>
      <w:r/>
      <w:bookmarkEnd w:id="71"/>
      <w:r/>
      <w:bookmarkEnd w:id="72"/>
      <w:r>
        <w:rPr>
          <w:rFonts w:hint="eastAsia" w:ascii="宋体" w:hAnsi="宋体"/>
          <w:color w:val="000000" w:themeColor="text1"/>
          <w:sz w:val="24"/>
          <w:highlight w:val="none"/>
          <w14:textFill>
            <w14:solidFill>
              <w14:schemeClr w14:val="tx1"/>
            </w14:solidFill>
          </w14:textFill>
        </w:rPr>
        <w:t xml:space="preserve">编制要求</w:t>
      </w:r>
      <w:bookmarkEnd w:id="73"/>
      <w:r/>
      <w:bookmarkEnd w:id="74"/>
      <w:r/>
      <w:bookmarkEnd w:id="75"/>
      <w:r/>
      <w:bookmarkEnd w:id="76"/>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磋商供应商提交的响应文件以及磋商供应商与代理机构及采购人就有关磋商的所有来往函电均应使用简体中文。磋商文件中既有中文也有外文的，以中文意义为准。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除技术性能另有规定外，响应文件所使用的度量衡单位，均须采用国家法定计量单位。</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77" w:name="_Hlt26954836"/>
      <w:r/>
      <w:bookmarkEnd w:id="77"/>
      <w:r/>
      <w:bookmarkStart w:id="78" w:name="_Hlt26670357"/>
      <w:r/>
      <w:bookmarkEnd w:id="78"/>
      <w:r/>
      <w:bookmarkStart w:id="79" w:name="_Toc513029219"/>
      <w:r/>
      <w:bookmarkStart w:id="80" w:name="_Toc61149558"/>
      <w:r/>
      <w:bookmarkStart w:id="81" w:name="_Toc14577357"/>
      <w:r/>
      <w:bookmarkStart w:id="82" w:name="_Toc513029217"/>
      <w:r/>
      <w:bookmarkStart w:id="83" w:name="_Toc14577355"/>
      <w:r/>
      <w:bookmarkStart w:id="84" w:name="_Toc61149557"/>
      <w:r>
        <w:rPr>
          <w:rFonts w:hint="eastAsia" w:ascii="宋体" w:hAnsi="宋体"/>
          <w:color w:val="000000" w:themeColor="text1"/>
          <w:sz w:val="24"/>
          <w:highlight w:val="none"/>
          <w14:textFill>
            <w14:solidFill>
              <w14:schemeClr w14:val="tx1"/>
            </w14:solidFill>
          </w14:textFill>
        </w:rPr>
        <w:t xml:space="preserve">2、参加磋商供应商资格的文件</w:t>
      </w:r>
      <w:bookmarkEnd w:id="79"/>
      <w:r/>
      <w:bookmarkEnd w:id="80"/>
      <w:r/>
      <w:bookmarkEnd w:id="81"/>
      <w:r>
        <w:rPr>
          <w:rFonts w:hint="eastAsia" w:ascii="宋体" w:hAnsi="宋体"/>
          <w:color w:val="000000" w:themeColor="text1"/>
          <w:sz w:val="24"/>
          <w:highlight w:val="none"/>
          <w14:textFill>
            <w14:solidFill>
              <w14:schemeClr w14:val="tx1"/>
            </w14:solidFill>
          </w14:textFill>
        </w:rPr>
        <w:t xml:space="preserve">证明</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85" w:name="_Hlt26668999"/>
      <w:r/>
      <w:bookmarkEnd w:id="85"/>
      <w:r>
        <w:rPr>
          <w:rFonts w:hint="eastAsia" w:ascii="宋体" w:hAnsi="宋体"/>
          <w:color w:val="000000" w:themeColor="text1"/>
          <w:sz w:val="24"/>
          <w:highlight w:val="none"/>
          <w14:textFill>
            <w14:solidFill>
              <w14:schemeClr w14:val="tx1"/>
            </w14:solidFill>
          </w14:textFill>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3、首次磋商报价</w:t>
      </w:r>
      <w:bookmarkEnd w:id="82"/>
      <w:r/>
      <w:bookmarkEnd w:id="83"/>
      <w:r/>
      <w:bookmarkStart w:id="86" w:name="_Hlt26670373"/>
      <w:r/>
      <w:bookmarkEnd w:id="86"/>
      <w:r>
        <w:rPr>
          <w:rFonts w:hint="eastAsia" w:ascii="宋体" w:hAnsi="宋体"/>
          <w:color w:val="000000" w:themeColor="text1"/>
          <w:sz w:val="24"/>
          <w:highlight w:val="none"/>
          <w14:textFill>
            <w14:solidFill>
              <w14:schemeClr w14:val="tx1"/>
            </w14:solidFill>
          </w14:textFill>
        </w:rPr>
        <w:t xml:space="preserve">表</w:t>
      </w:r>
      <w:bookmarkEnd w:id="84"/>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磋商供应商应按照磋商文件规定格式填报“首次磋商报价表”（开标一览表）。每项产品或服务只允许有一个报价，任何有选择的报价将不予接受，磋商文件中另有规定的按规定执行。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标的物</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详见第四章“项目需求”。</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 有关费用处理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 其它费用处理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磋商文件未列明，而磋商供应商认为必须的费用也须列入报价。</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 报价采用的货币</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87" w:name="_Hlt26670425"/>
      <w:r/>
      <w:bookmarkEnd w:id="87"/>
      <w:r/>
      <w:bookmarkStart w:id="88" w:name="_Hlt26954842"/>
      <w:r/>
      <w:bookmarkEnd w:id="88"/>
      <w:r/>
      <w:bookmarkStart w:id="89" w:name="_Hlt26954846"/>
      <w:r/>
      <w:bookmarkEnd w:id="89"/>
      <w:r/>
      <w:bookmarkStart w:id="90" w:name="_Hlt26668983"/>
      <w:r/>
      <w:bookmarkEnd w:id="90"/>
      <w:r/>
      <w:bookmarkStart w:id="91" w:name="_Hlt26670486"/>
      <w:r/>
      <w:bookmarkEnd w:id="91"/>
      <w:r/>
      <w:bookmarkStart w:id="92" w:name="_Hlt26954844"/>
      <w:r/>
      <w:bookmarkEnd w:id="92"/>
      <w:r/>
      <w:bookmarkStart w:id="93" w:name="_Hlt26670482"/>
      <w:r/>
      <w:bookmarkEnd w:id="93"/>
      <w:r/>
      <w:bookmarkStart w:id="94" w:name="_Hlt26954848"/>
      <w:r/>
      <w:bookmarkEnd w:id="94"/>
      <w:r/>
      <w:bookmarkStart w:id="95" w:name="_Hlt26954731"/>
      <w:r/>
      <w:bookmarkEnd w:id="95"/>
      <w:r/>
      <w:bookmarkStart w:id="96" w:name="_Hlt26670403"/>
      <w:r/>
      <w:bookmarkEnd w:id="96"/>
      <w:r/>
      <w:bookmarkStart w:id="97" w:name="_Toc513029221"/>
      <w:r/>
      <w:bookmarkStart w:id="98" w:name="_Toc14577359"/>
      <w:r/>
      <w:bookmarkStart w:id="99" w:name="_Toc61149559"/>
      <w:r>
        <w:rPr>
          <w:rFonts w:hint="eastAsia" w:ascii="宋体" w:hAnsi="宋体"/>
          <w:color w:val="000000" w:themeColor="text1"/>
          <w:sz w:val="24"/>
          <w:highlight w:val="none"/>
          <w14:textFill>
            <w14:solidFill>
              <w14:schemeClr w14:val="tx1"/>
            </w14:solidFill>
          </w14:textFill>
        </w:rPr>
        <w:t xml:space="preserve">4、项目需求响应方案</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提供为完成本项目的总体实施方案。</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对磋商文件中项目需求的技术与商务条款要求逐项作出应答，并提供依据或说明。</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磋商供应商认为需要的其他技术文件或说明。</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5、磋商保证金</w:t>
      </w:r>
      <w:bookmarkEnd w:id="97"/>
      <w:r/>
      <w:bookmarkEnd w:id="98"/>
      <w:r/>
      <w:bookmarkEnd w:id="99"/>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本项目不收取磋商保证金</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6、响应文件制作工具</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 磋商供应商必须使用苏采云系统制作工具编制响应文件，系统操作流程详见《操作手册》。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w:t>
      </w:r>
      <w:r>
        <w:rPr>
          <w:rFonts w:hint="eastAsia" w:ascii="宋体" w:hAnsi="宋体"/>
          <w:b/>
          <w:bCs/>
          <w:color w:val="000000" w:themeColor="text1"/>
          <w:sz w:val="24"/>
          <w:highlight w:val="none"/>
          <w14:textFill>
            <w14:solidFill>
              <w14:schemeClr w14:val="tx1"/>
            </w14:solidFill>
          </w14:textFill>
        </w:rPr>
        <w:t xml:space="preserve">如投标（响应）文件制作工具所附模板与招标（采购）文件不完全一致的，以招标（采购）文件为准。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7、响应文件构成</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磋商供应商编制的响应文件应包括资格证明文件、符合性证明文件、投标分项报价表、技术要求响应及偏离表、商务要求响应及偏离表、其他证明文件、投标函、开标一览表等部分。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响应文件格式：</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填写供应商名称、供应商地址、法定代表人、委托代理人、日期等内容。</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 商务文件：（政府采购政策有关材料可选提交；委托代理时必须提交法定代表人授权委托书，其他文件必须提交，否则按无效响应处理）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（1）响应函：请按给定格式及要求填写。</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（2）开标一览表（首次磋商报价表）：请按给定格式及要求填写。</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（3）投标分项报价表：磋商</w:t>
      </w:r>
      <w:r>
        <w:rPr>
          <w:rFonts w:hint="eastAsia" w:ascii="宋体" w:hAnsi="宋体" w:cs="宋体"/>
          <w:color w:val="000000" w:themeColor="text1"/>
          <w:sz w:val="24"/>
          <w:highlight w:val="none"/>
          <w14:textFill>
            <w14:solidFill>
              <w14:schemeClr w14:val="tx1"/>
            </w14:solidFill>
          </w14:textFill>
        </w:rPr>
        <w:t xml:space="preserve">报价指货物（标的）的报价和标准附件、备品备件、专用工具、运输、装卸、验收合格所需的各种费用及必要的保险费用和各项税金等所有费用的总和。磋商报价为现场交货价，磋商报价必须含以下部分：</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微软雅黑" w:hAnsi="微软雅黑" w:eastAsia="微软雅黑" w:cs="微软雅黑"/>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响应的货物总价；</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微软雅黑" w:hAnsi="微软雅黑" w:eastAsia="微软雅黑" w:cs="微软雅黑"/>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货物的标准附件、备品备件、专用工具、运输、装卸等各种费用；</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微软雅黑" w:hAnsi="微软雅黑" w:eastAsia="微软雅黑" w:cs="微软雅黑"/>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highlight w:val="none"/>
          <w14:textFill>
            <w14:solidFill>
              <w14:schemeClr w14:val="tx1"/>
            </w14:solidFill>
          </w14:textFill>
        </w:rPr>
        <w:t xml:space="preserve">必要的保险费用和各项税金；</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微软雅黑" w:hAnsi="微软雅黑" w:eastAsia="微软雅黑" w:cs="微软雅黑"/>
          <w:color w:val="000000" w:themeColor="text1"/>
          <w:sz w:val="24"/>
          <w:highlight w:val="none"/>
          <w14:textFill>
            <w14:solidFill>
              <w14:schemeClr w14:val="tx1"/>
            </w14:solidFill>
          </w14:textFill>
        </w:rPr>
        <w:t xml:space="preserve">④</w:t>
      </w:r>
      <w:r>
        <w:rPr>
          <w:rFonts w:hint="eastAsia" w:ascii="宋体" w:hAnsi="宋体" w:cs="宋体"/>
          <w:color w:val="000000" w:themeColor="text1"/>
          <w:sz w:val="24"/>
          <w:highlight w:val="none"/>
          <w14:textFill>
            <w14:solidFill>
              <w14:schemeClr w14:val="tx1"/>
            </w14:solidFill>
          </w14:textFill>
        </w:rPr>
        <w:t xml:space="preserve">响应总价要求包含安装维保费用。</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微软雅黑" w:hAnsi="微软雅黑" w:eastAsia="微软雅黑" w:cs="微软雅黑"/>
          <w:color w:val="000000" w:themeColor="text1"/>
          <w:sz w:val="24"/>
          <w:highlight w:val="none"/>
          <w14:textFill>
            <w14:solidFill>
              <w14:schemeClr w14:val="tx1"/>
            </w14:solidFill>
          </w14:textFill>
        </w:rPr>
        <w:t xml:space="preserve">⑤</w:t>
      </w:r>
      <w:r>
        <w:rPr>
          <w:rFonts w:hint="eastAsia" w:ascii="宋体" w:hAnsi="宋体" w:cs="宋体"/>
          <w:color w:val="000000" w:themeColor="text1"/>
          <w:sz w:val="24"/>
          <w:highlight w:val="none"/>
          <w14:textFill>
            <w14:solidFill>
              <w14:schemeClr w14:val="tx1"/>
            </w14:solidFill>
          </w14:textFill>
        </w:rPr>
        <w:t xml:space="preserve">供应商应根据磋商报价要求在分项报价表中列明各项响应单价、总价等，未全部列示的作无效响应处理。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微软雅黑" w:hAnsi="微软雅黑" w:eastAsia="微软雅黑" w:cs="微软雅黑"/>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（4）资格审查材料：</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（5）法定代表人授权委托书：请按给定格式及要求填写。</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（6）技术要求响应及偏离表、商务要求响应及偏离表</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 供应商可在响应文件中提供认为需要的其他技术文件或说明。</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 技术文件：（以下文件必须提交，否则按无效响应处理）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（1）技术标：可以但不限于技术方案、磋商文件规定的其他文件等，格式自定。</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（2）项目需求响应：格式自定。</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 评审因素所需材料：</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如有，请按磋商文件要求提供。</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7.5 其他材料：</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如有，请按磋商文件要求提供。</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8、生成响应文件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 电子响应文件不得涂改、行间插字或删除，如出现上述情况应重新编制。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8.3 </w:t>
      </w:r>
      <w:r>
        <w:rPr>
          <w:rFonts w:hint="eastAsia" w:ascii="宋体" w:hAnsi="宋体"/>
          <w:b/>
          <w:color w:val="000000" w:themeColor="text1"/>
          <w:sz w:val="24"/>
          <w:highlight w:val="none"/>
          <w14:textFill>
            <w14:solidFill>
              <w14:schemeClr w14:val="tx1"/>
            </w14:solidFill>
          </w14:textFill>
        </w:rPr>
        <w:t xml:space="preserve">响应文件制作工具生成内容相同、加密与未加密两个版本电子响应文件，加密版本用于提交上传，未加密版本用于特殊情况处理</w:t>
      </w:r>
      <w:r>
        <w:rPr>
          <w:rFonts w:hint="eastAsia" w:ascii="宋体" w:hAnsi="宋体"/>
          <w:color w:val="000000" w:themeColor="text1"/>
          <w:sz w:val="24"/>
          <w:highlight w:val="none"/>
          <w14:textFill>
            <w14:solidFill>
              <w14:schemeClr w14:val="tx1"/>
            </w14:solidFill>
          </w14:textFill>
        </w:rPr>
        <w:t xml:space="preserve">。</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bookmarkStart w:id="100" w:name="_Hlt26954734"/>
      <w:r/>
      <w:bookmarkEnd w:id="100"/>
      <w:r/>
      <w:bookmarkStart w:id="101" w:name="_Hlt26954739"/>
      <w:r/>
      <w:bookmarkEnd w:id="101"/>
      <w:r/>
      <w:bookmarkStart w:id="102" w:name="_Hlt26954850"/>
      <w:r/>
      <w:bookmarkEnd w:id="102"/>
      <w:r/>
      <w:bookmarkStart w:id="103" w:name="_Hlt26670493"/>
      <w:r/>
      <w:bookmarkEnd w:id="103"/>
      <w:r/>
      <w:bookmarkStart w:id="104" w:name="_Hlt26954749"/>
      <w:r/>
      <w:bookmarkEnd w:id="104"/>
      <w:r/>
      <w:bookmarkStart w:id="105" w:name="_Hlt26954854"/>
      <w:r/>
      <w:bookmarkEnd w:id="105"/>
      <w:r/>
      <w:bookmarkStart w:id="106" w:name="_Hlt26670489"/>
      <w:r/>
      <w:bookmarkEnd w:id="106"/>
      <w:r/>
      <w:bookmarkStart w:id="107" w:name="_Hlt26954852"/>
      <w:r/>
      <w:bookmarkEnd w:id="107"/>
      <w:r/>
      <w:bookmarkStart w:id="108" w:name="_Toc61149562"/>
      <w:r/>
      <w:bookmarkStart w:id="109" w:name="_Toc14577362"/>
      <w:r/>
      <w:bookmarkStart w:id="110" w:name="_Toc513029224"/>
      <w:r>
        <w:rPr>
          <w:rFonts w:hint="eastAsia" w:ascii="宋体" w:hAnsi="宋体" w:cs="宋体"/>
          <w:b/>
          <w:bCs/>
          <w:color w:val="000000" w:themeColor="text1"/>
          <w:sz w:val="28"/>
          <w:szCs w:val="28"/>
          <w:highlight w:val="none"/>
          <w14:textFill>
            <w14:solidFill>
              <w14:schemeClr w14:val="tx1"/>
            </w14:solidFill>
          </w14:textFill>
        </w:rPr>
        <w:t xml:space="preserve">三、响应文件及样品的递交</w:t>
      </w:r>
      <w:bookmarkEnd w:id="108"/>
      <w:r/>
      <w:bookmarkEnd w:id="109"/>
      <w:r/>
      <w:bookmarkEnd w:id="110"/>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11" w:name="_Hlt26954856"/>
      <w:r/>
      <w:bookmarkEnd w:id="111"/>
      <w:r>
        <w:rPr>
          <w:rFonts w:hint="eastAsia" w:ascii="宋体" w:hAnsi="宋体"/>
          <w:color w:val="000000" w:themeColor="text1"/>
          <w:sz w:val="24"/>
          <w:highlight w:val="none"/>
          <w14:textFill>
            <w14:solidFill>
              <w14:schemeClr w14:val="tx1"/>
            </w14:solidFill>
          </w14:textFill>
        </w:rPr>
        <w:t xml:space="preserve">1、响应文件的上传、修改和撤回</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磋商供应商应当使用响应文件制作工具，生成加密电子响应文件一份，在规定的截止时间前上传，迟于截止时间的不予接收。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 磋商供应商不得在截止时间后修改响应文件，也不得在截止时间起至磋商有效期满前撤回响应文件。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2、磋商响应有效期</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磋商响应有效期为代理机构规定的响应文件接收截止时间后六十（60）天。磋商响应有效期比规定短的将被视为非实质性响应而予以拒绝。</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3、提交样品截止时间和地点</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采购项目需要提交样品的，供应商应当于磋商文件规定的样品接收截止时间前将样品送达指定地点并登记完毕，否则不予接收。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成交供应商提供的样品由采购人封存、保管，作为履约验收的参考。未成交供应商提供的样品，应在成交结果公布后两个工作日内领回，否则按无主物品处理。</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bookmarkStart w:id="112" w:name="_Hlt26670523"/>
      <w:r/>
      <w:bookmarkEnd w:id="112"/>
      <w:r/>
      <w:bookmarkStart w:id="113" w:name="_Hlt26954864"/>
      <w:r/>
      <w:bookmarkEnd w:id="113"/>
      <w:r>
        <w:rPr>
          <w:rFonts w:hint="eastAsia" w:ascii="宋体" w:hAnsi="宋体" w:cs="宋体"/>
          <w:b/>
          <w:bCs/>
          <w:color w:val="000000" w:themeColor="text1"/>
          <w:sz w:val="28"/>
          <w:szCs w:val="28"/>
          <w:highlight w:val="none"/>
          <w14:textFill>
            <w14:solidFill>
              <w14:schemeClr w14:val="tx1"/>
            </w14:solidFill>
          </w14:textFill>
        </w:rPr>
        <w:t xml:space="preserve">四、磋商与评审</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14" w:name="_Toc20823302"/>
      <w:r/>
      <w:bookmarkStart w:id="115" w:name="_Toc16938546"/>
      <w:r/>
      <w:bookmarkStart w:id="116" w:name="_Toc513029230"/>
      <w:r>
        <w:rPr>
          <w:rFonts w:hint="eastAsia" w:ascii="宋体" w:hAnsi="宋体"/>
          <w:color w:val="000000" w:themeColor="text1"/>
          <w:sz w:val="24"/>
          <w:highlight w:val="none"/>
          <w14:textFill>
            <w14:solidFill>
              <w14:schemeClr w14:val="tx1"/>
            </w14:solidFill>
          </w14:textFill>
        </w:rPr>
        <w:t xml:space="preserve">1、</w:t>
      </w:r>
      <w:bookmarkEnd w:id="114"/>
      <w:r/>
      <w:bookmarkEnd w:id="115"/>
      <w:r/>
      <w:bookmarkEnd w:id="116"/>
      <w:r>
        <w:rPr>
          <w:rFonts w:hint="eastAsia" w:ascii="宋体" w:hAnsi="宋体"/>
          <w:color w:val="000000" w:themeColor="text1"/>
          <w:sz w:val="24"/>
          <w:highlight w:val="none"/>
          <w14:textFill>
            <w14:solidFill>
              <w14:schemeClr w14:val="tx1"/>
            </w14:solidFill>
          </w14:textFill>
        </w:rPr>
        <w:t xml:space="preserve">磋商开始仪式</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代理机构将在本磋商文件第一章“竞争性磋商采购邀请”规定的时间和地点组织磋商开始仪式，仪式由代理机构主持，磋商供应商应委派人员准备</w:t>
      </w:r>
      <w:r>
        <w:rPr>
          <w:rFonts w:hint="eastAsia" w:ascii="宋体" w:hAnsi="宋体"/>
          <w:b/>
          <w:color w:val="000000" w:themeColor="text1"/>
          <w:sz w:val="24"/>
          <w:highlight w:val="none"/>
          <w14:textFill>
            <w14:solidFill>
              <w14:schemeClr w14:val="tx1"/>
            </w14:solidFill>
          </w14:textFill>
        </w:rPr>
        <w:t xml:space="preserve">身份证件</w:t>
      </w:r>
      <w:r>
        <w:rPr>
          <w:rFonts w:hint="eastAsia" w:ascii="宋体" w:hAnsi="宋体"/>
          <w:color w:val="000000" w:themeColor="text1"/>
          <w:sz w:val="24"/>
          <w:highlight w:val="none"/>
          <w14:textFill>
            <w14:solidFill>
              <w14:schemeClr w14:val="tx1"/>
            </w14:solidFill>
          </w14:textFill>
        </w:rPr>
        <w:t xml:space="preserve">和</w:t>
      </w:r>
      <w:r>
        <w:rPr>
          <w:rFonts w:hint="eastAsia" w:ascii="宋体" w:hAnsi="宋体"/>
          <w:b/>
          <w:color w:val="000000" w:themeColor="text1"/>
          <w:sz w:val="24"/>
          <w:highlight w:val="none"/>
          <w14:textFill>
            <w14:solidFill>
              <w14:schemeClr w14:val="tx1"/>
            </w14:solidFill>
          </w14:textFill>
        </w:rPr>
        <w:t xml:space="preserve">用于生成、加密和上传电子响应文件的CA数字证书</w:t>
      </w:r>
      <w:r>
        <w:rPr>
          <w:rFonts w:hint="eastAsia" w:ascii="宋体" w:hAnsi="宋体"/>
          <w:color w:val="000000" w:themeColor="text1"/>
          <w:sz w:val="24"/>
          <w:highlight w:val="none"/>
          <w14:textFill>
            <w14:solidFill>
              <w14:schemeClr w14:val="tx1"/>
            </w14:solidFill>
          </w14:textFill>
        </w:rPr>
        <w:t xml:space="preserve">参加。</w:t>
      </w:r>
      <w:r/>
    </w:p>
    <w:p>
      <w:pPr>
        <w:ind w:firstLine="480"/>
        <w:jc w:val="left"/>
        <w:spacing w:line="560" w:lineRule="exact"/>
        <w:tabs>
          <w:tab w:val="left" w:pos="900" w:leader="none"/>
        </w:tabs>
        <w:rPr>
          <w:rFonts w:hint="eastAsia" w:ascii="宋体" w:hAnsi="宋体"/>
          <w:b/>
          <w:color w:val="000000" w:themeColor="text1"/>
          <w:sz w:val="24"/>
          <w:highlight w:val="none"/>
          <w14:textFill>
            <w14:solidFill>
              <w14:schemeClr w14:val="tx1"/>
            </w14:solidFill>
          </w14:textFill>
        </w:rPr>
      </w:pPr>
      <w:r/>
      <w:bookmarkStart w:id="117" w:name="_Toc16938547"/>
      <w:r/>
      <w:bookmarkStart w:id="118" w:name="_Toc20823303"/>
      <w:r/>
      <w:bookmarkStart w:id="119" w:name="_Toc513029231"/>
      <w:r>
        <w:rPr>
          <w:rFonts w:hint="eastAsia" w:ascii="宋体" w:hAnsi="宋体"/>
          <w:color w:val="000000" w:themeColor="text1"/>
          <w:sz w:val="24"/>
          <w:highlight w:val="none"/>
          <w14:textFill>
            <w14:solidFill>
              <w14:schemeClr w14:val="tx1"/>
            </w14:solidFill>
          </w14:textFill>
        </w:rPr>
        <w:t xml:space="preserve">不见面交易的，供应商必须提前登录不见面开标大厅并在响应文件递交截止时间之前完成签到，</w:t>
      </w:r>
      <w:r>
        <w:rPr>
          <w:rFonts w:hint="eastAsia" w:ascii="宋体" w:hAnsi="宋体"/>
          <w:b/>
          <w:color w:val="000000" w:themeColor="text1"/>
          <w:sz w:val="24"/>
          <w:highlight w:val="none"/>
          <w14:textFill>
            <w14:solidFill>
              <w14:schemeClr w14:val="tx1"/>
            </w14:solidFill>
          </w14:textFill>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供应商未参加的，视同认可磋商结果。</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供应商解密响应文件后，代理机构将当众宣读每份电子响应文件中“开标一览表”（首次磋商报价表）的各项内容以及代理机构认为有必要宣读的其他内容，宣读顺序按开标系统供应商先后顺序进行。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2、磋商小组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磋商开始仪式结束后，代理机构将立即组织磋商小组进行评审、磋商。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磋商小组由评审专家和采购人代表组成，且人员构成符合政府采购相关规定。</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3、磋商评审过程的保密</w:t>
      </w:r>
      <w:bookmarkEnd w:id="117"/>
      <w:r/>
      <w:bookmarkEnd w:id="118"/>
      <w:r/>
      <w:bookmarkEnd w:id="119"/>
      <w:r>
        <w:rPr>
          <w:rFonts w:hint="eastAsia" w:ascii="宋体" w:hAnsi="宋体"/>
          <w:color w:val="000000" w:themeColor="text1"/>
          <w:sz w:val="24"/>
          <w:highlight w:val="none"/>
          <w14:textFill>
            <w14:solidFill>
              <w14:schemeClr w14:val="tx1"/>
            </w14:solidFill>
          </w14:textFill>
        </w:rPr>
        <w:t xml:space="preserve">与公正</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磋商小组应当遵守评审工作纪律，不得泄露评审情况和评审中获悉的商业秘密。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20" w:name="_Toc20823304"/>
      <w:r/>
      <w:bookmarkStart w:id="121" w:name="_Toc16938548"/>
      <w:r/>
      <w:bookmarkStart w:id="122" w:name="_Toc513029232"/>
      <w:r>
        <w:rPr>
          <w:rFonts w:hint="eastAsia" w:ascii="宋体" w:hAnsi="宋体"/>
          <w:color w:val="000000" w:themeColor="text1"/>
          <w:sz w:val="24"/>
          <w:highlight w:val="none"/>
          <w14:textFill>
            <w14:solidFill>
              <w14:schemeClr w14:val="tx1"/>
            </w14:solidFill>
          </w14:textFill>
        </w:rPr>
        <w:t xml:space="preserve">4、评审过程的澄清</w:t>
      </w:r>
      <w:bookmarkEnd w:id="120"/>
      <w:r/>
      <w:bookmarkEnd w:id="121"/>
      <w:r/>
      <w:bookmarkEnd w:id="122"/>
      <w:r>
        <w:rPr>
          <w:rFonts w:hint="eastAsia" w:ascii="宋体" w:hAnsi="宋体"/>
          <w:color w:val="000000" w:themeColor="text1"/>
          <w:sz w:val="24"/>
          <w:highlight w:val="none"/>
          <w14:textFill>
            <w14:solidFill>
              <w14:schemeClr w14:val="tx1"/>
            </w14:solidFill>
          </w14:textFill>
        </w:rPr>
        <w:t xml:space="preserve">、说明和更正</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560" w:lineRule="exact"/>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 磋商小组要求磋商供应商澄清、说明或更正响应文件应当以书面形式作出（从评标系统发起）。</w:t>
      </w:r>
      <w:r>
        <w:rPr>
          <w:rFonts w:hint="eastAsia" w:ascii="宋体" w:hAnsi="宋体"/>
          <w:bCs/>
          <w:color w:val="000000" w:themeColor="text1"/>
          <w:sz w:val="24"/>
          <w:highlight w:val="none"/>
          <w14:textFill>
            <w14:solidFill>
              <w14:schemeClr w14:val="tx1"/>
            </w14:solidFill>
          </w14:textFill>
        </w:rPr>
        <w:t xml:space="preserve">磋商供应商的澄清、说明或者更正采用书面形式，通过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23" w:name="_Toc513029233"/>
      <w:r/>
      <w:bookmarkStart w:id="124" w:name="_Toc16938549"/>
      <w:r/>
      <w:bookmarkStart w:id="125" w:name="_Toc20823305"/>
      <w:r>
        <w:rPr>
          <w:rFonts w:hint="eastAsia" w:ascii="宋体" w:hAnsi="宋体"/>
          <w:color w:val="000000" w:themeColor="text1"/>
          <w:sz w:val="24"/>
          <w:highlight w:val="none"/>
          <w14:textFill>
            <w14:solidFill>
              <w14:schemeClr w14:val="tx1"/>
            </w14:solidFill>
          </w14:textFill>
        </w:rPr>
        <w:t xml:space="preserve">4.4采用最低评标价法的采购项目，提供相同品牌产品的不同供应商参加同一合同项下投标的，以其中通过资格审查、符合性审查且报价最低的参加评标；报价相同的，由评委会按照磋商文件规定的方式确定一个参加评标的供应商，磋商文件未规定的采取随机抽取方式确定，其他投标无效。</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用综合评分法的采购项目，提供相同品牌产品且通过资格审查、符合性审查的不同供应商参加同一合同项下投标的，按一家供应商计算，评审后得分最高的同品牌供应商获得成交供应商推荐资格；评审得分相同的，由评委会按照磋商文件规定的方式确定一个供应商获得成交供应商推荐资格，磋商文件未规定的采取随机抽取方式确定，其他同品牌供应商不作为中标候选人。</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非单一产品采购项目，磋商文件中将载明核心产品。多家供应商提供的核心产品品牌相同的，按前两款规定处理。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5、对响应文件的初审</w:t>
      </w:r>
      <w:bookmarkEnd w:id="123"/>
      <w:r/>
      <w:bookmarkEnd w:id="124"/>
      <w:r/>
      <w:bookmarkEnd w:id="125"/>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响应文件初审分为资格性审查和符合性审查。</w:t>
      </w:r>
      <w:r/>
    </w:p>
    <w:p>
      <w:pPr>
        <w:ind w:firstLine="482"/>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资格性审查：</w:t>
      </w:r>
      <w:r>
        <w:rPr>
          <w:rFonts w:hint="eastAsia" w:ascii="宋体" w:hAnsi="宋体"/>
          <w:color w:val="000000" w:themeColor="text1"/>
          <w:sz w:val="24"/>
          <w:highlight w:val="none"/>
          <w14:textFill>
            <w14:solidFill>
              <w14:schemeClr w14:val="tx1"/>
            </w14:solidFill>
          </w14:textFill>
        </w:rPr>
        <w:t xml:space="preserve">依据法律法规和磋商文件的规定，对响应文件中的资格证明文件、磋商保证金等进行审查，以确定供应商是否具备参加磋商的资格。</w:t>
      </w:r>
      <w:r/>
    </w:p>
    <w:p>
      <w:pPr>
        <w:ind w:firstLine="482"/>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符合性审查：</w:t>
      </w:r>
      <w:r>
        <w:rPr>
          <w:rFonts w:hint="eastAsia" w:ascii="宋体" w:hAnsi="宋体"/>
          <w:color w:val="000000" w:themeColor="text1"/>
          <w:sz w:val="24"/>
          <w:highlight w:val="none"/>
          <w14:textFill>
            <w14:solidFill>
              <w14:schemeClr w14:val="tx1"/>
            </w14:solidFill>
          </w14:textFill>
        </w:rPr>
        <w:t xml:space="preserve">依据磋商文件的规定，从响应文件的有效性、完整性和对磋商文件的响应程度进行审查，以确定是否对磋商文件的实质性要求作出响应。</w:t>
      </w:r>
      <w:r/>
    </w:p>
    <w:p>
      <w:pPr>
        <w:ind w:firstLine="482"/>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 在磋商之前，磋商小组将首先审查每份响应文件是否实质性响应了磋商文件的要求。实质性响应的响应文件是与磋商文件要求的全部实质性条款、条件和规格相符</w:t>
      </w:r>
      <w:r>
        <w:rPr>
          <w:rFonts w:ascii="宋体" w:hAnsi="宋体"/>
          <w:color w:val="000000" w:themeColor="text1"/>
          <w:sz w:val="24"/>
          <w:highlight w:val="none"/>
          <w14:textFill>
            <w14:solidFill>
              <w14:schemeClr w14:val="tx1"/>
            </w14:solidFill>
          </w14:textFill>
        </w:rPr>
        <w:t xml:space="preserve">且其余非实质性技术及商务条款</w:t>
      </w:r>
      <w:r>
        <w:rPr>
          <w:rFonts w:hint="eastAsia" w:ascii="宋体" w:hAnsi="宋体"/>
          <w:color w:val="000000" w:themeColor="text1"/>
          <w:sz w:val="24"/>
          <w:highlight w:val="none"/>
          <w14:textFill>
            <w14:solidFill>
              <w14:schemeClr w14:val="tx1"/>
            </w14:solidFill>
          </w14:textFill>
        </w:rPr>
        <w:t xml:space="preserve">没有重大偏离或保留。</w:t>
      </w:r>
      <w:r/>
    </w:p>
    <w:p>
      <w:pPr>
        <w:ind w:firstLine="482"/>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政府采购异常低价审查：</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（一）政府采购评审中出现下列情形之一的，评审委员会应当启动异常低价投标审查程序：</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1.投标报价低于全部通过符合性审查供应商报价平均值65%的，即投标报价&lt;全部通过符合性审查供应商投标报价平均值×65%；</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2.投标报价低于通过符合性审查的次低报价供应商投标报价65%的，即投标报价&lt;通过符合性审查的次低报价供应商投标报价×65%；</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3.投标报价低于采购项目最高限价65%的，即投标报价&lt;采购项目最高限价×65%；</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响应文件一并提交相关书面说明及必要的证明材料的，在评审现场可不再重复提交。</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315" w:firstLine="482"/>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2"/>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所谓重大偏离或保留，</w:t>
      </w:r>
      <w:r>
        <w:rPr>
          <w:rFonts w:ascii="宋体" w:hAnsi="宋体"/>
          <w:color w:val="000000" w:themeColor="text1"/>
          <w:sz w:val="24"/>
          <w:highlight w:val="none"/>
          <w14:textFill>
            <w14:solidFill>
              <w14:schemeClr w14:val="tx1"/>
            </w14:solidFill>
          </w14:textFill>
        </w:rPr>
        <w:t xml:space="preserve">是指与</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文件规定的主要技术指标或重要的商务条款或除上述以外的多项指标要求存在负偏离，或者在实质上与</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文件不一致，而且限制了</w:t>
      </w:r>
      <w:r>
        <w:rPr>
          <w:rFonts w:hint="eastAsia" w:ascii="宋体" w:hAnsi="宋体"/>
          <w:color w:val="000000" w:themeColor="text1"/>
          <w:sz w:val="24"/>
          <w:highlight w:val="none"/>
          <w14:textFill>
            <w14:solidFill>
              <w14:schemeClr w14:val="tx1"/>
            </w14:solidFill>
          </w14:textFill>
        </w:rPr>
        <w:t xml:space="preserve">合同中采购人和见证方的权利或供应商的义务</w:t>
      </w:r>
      <w:r>
        <w:rPr>
          <w:rFonts w:ascii="宋体" w:hAnsi="宋体"/>
          <w:color w:val="000000" w:themeColor="text1"/>
          <w:sz w:val="24"/>
          <w:highlight w:val="none"/>
          <w14:textFill>
            <w14:solidFill>
              <w14:schemeClr w14:val="tx1"/>
            </w14:solidFill>
          </w14:textFill>
        </w:rPr>
        <w:t xml:space="preserve">，保留或给予纠正这些偏离的机会将会对其他实质性响应要求的</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的竞争地位产生不公正的影响。重大偏离的认定需经过</w:t>
      </w:r>
      <w:r>
        <w:rPr>
          <w:rFonts w:hint="eastAsia" w:ascii="宋体" w:hAnsi="宋体"/>
          <w:color w:val="000000" w:themeColor="text1"/>
          <w:sz w:val="24"/>
          <w:highlight w:val="none"/>
          <w14:textFill>
            <w14:solidFill>
              <w14:schemeClr w14:val="tx1"/>
            </w14:solidFill>
          </w14:textFill>
        </w:rPr>
        <w:t xml:space="preserve">磋商小组</w:t>
      </w:r>
      <w:r>
        <w:rPr>
          <w:rFonts w:ascii="宋体" w:hAnsi="宋体"/>
          <w:color w:val="000000" w:themeColor="text1"/>
          <w:sz w:val="24"/>
          <w:highlight w:val="none"/>
          <w14:textFill>
            <w14:solidFill>
              <w14:schemeClr w14:val="tx1"/>
            </w14:solidFill>
          </w14:textFill>
        </w:rPr>
        <w:t xml:space="preserve">2/3及以上成员的认定。</w:t>
      </w:r>
      <w:r>
        <w:rPr>
          <w:rFonts w:hint="eastAsia" w:ascii="宋体" w:hAnsi="宋体"/>
          <w:color w:val="000000" w:themeColor="text1"/>
          <w:sz w:val="24"/>
          <w:highlight w:val="none"/>
          <w14:textFill>
            <w14:solidFill>
              <w14:schemeClr w14:val="tx1"/>
            </w14:solidFill>
          </w14:textFill>
        </w:rPr>
        <w:t xml:space="preserve">磋商小组</w:t>
      </w:r>
      <w:r>
        <w:rPr>
          <w:rFonts w:ascii="宋体" w:hAnsi="宋体"/>
          <w:color w:val="000000" w:themeColor="text1"/>
          <w:sz w:val="24"/>
          <w:highlight w:val="none"/>
          <w14:textFill>
            <w14:solidFill>
              <w14:schemeClr w14:val="tx1"/>
            </w14:solidFill>
          </w14:textFill>
        </w:rPr>
        <w:t xml:space="preserve">决定</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文件的响应性只根据</w:t>
      </w: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文件本身的内容，而不寻求外部的证据。</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 被认定为未实质性响应磋商文件的响应文件的情形：</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（1）未按要求交纳磋商保证金的；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（2）未按照磋商文件规定要求签署、盖章的；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（3）供应商在报价时采用选择性报价的；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（4）供应商不具备磋商文件中规定资格要求的；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（5）不符合法律、法规和磋商文件中规定的其他实质性要求和条件的（本磋商文件中标注★的款项为实质性要求和条件）；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（6）未按磋商文件要求提供电子响应文件或者电子响应文件未能解密（指磋商供应商自身原因）且按照磋商文件明确的响应文件解密失败后补救方案（仅响应文件现场开启适用）补救不成功的；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（7）磋商供应商提交的电子响应文件、响应文件备份U盘（仅响应文件现场开启适用）均因其自身原因出现问题导致无法电子评审的；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（8）其他法律、法规及本磋商文件规定的属于未实质性响应的情形。</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 </w:t>
      </w:r>
      <w:r>
        <w:rPr>
          <w:rFonts w:hint="eastAsia" w:ascii="宋体" w:hAnsi="宋体"/>
          <w:b/>
          <w:color w:val="000000" w:themeColor="text1"/>
          <w:sz w:val="24"/>
          <w:highlight w:val="none"/>
          <w14:textFill>
            <w14:solidFill>
              <w14:schemeClr w14:val="tx1"/>
            </w14:solidFill>
          </w14:textFill>
        </w:rPr>
        <w:t xml:space="preserve">未实质性响应磋商文件的响应文件按无效响应处理</w:t>
      </w:r>
      <w:r>
        <w:rPr>
          <w:rFonts w:hint="eastAsia" w:ascii="宋体" w:hAnsi="宋体"/>
          <w:color w:val="000000" w:themeColor="text1"/>
          <w:sz w:val="24"/>
          <w:highlight w:val="none"/>
          <w14:textFill>
            <w14:solidFill>
              <w14:schemeClr w14:val="tx1"/>
            </w14:solidFill>
          </w14:textFill>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26" w:name="_Toc20823306"/>
      <w:r/>
      <w:bookmarkStart w:id="127" w:name="_Toc16938550"/>
      <w:r/>
      <w:bookmarkStart w:id="128" w:name="_Toc513029234"/>
      <w:r>
        <w:rPr>
          <w:rFonts w:hint="eastAsia" w:ascii="宋体" w:hAnsi="宋体"/>
          <w:color w:val="000000" w:themeColor="text1"/>
          <w:sz w:val="24"/>
          <w:highlight w:val="none"/>
          <w14:textFill>
            <w14:solidFill>
              <w14:schemeClr w14:val="tx1"/>
            </w14:solidFill>
          </w14:textFill>
        </w:rPr>
        <w:t xml:space="preserve">6、</w:t>
      </w:r>
      <w:bookmarkEnd w:id="126"/>
      <w:r/>
      <w:bookmarkEnd w:id="127"/>
      <w:r/>
      <w:bookmarkEnd w:id="128"/>
      <w:r>
        <w:rPr>
          <w:rFonts w:hint="eastAsia" w:ascii="宋体" w:hAnsi="宋体"/>
          <w:color w:val="000000" w:themeColor="text1"/>
          <w:sz w:val="24"/>
          <w:highlight w:val="none"/>
          <w14:textFill>
            <w14:solidFill>
              <w14:schemeClr w14:val="tx1"/>
            </w14:solidFill>
          </w14:textFill>
        </w:rPr>
        <w:t xml:space="preserve">磋商程序及评审方法和标准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29" w:name="_Toc16938551"/>
      <w:r/>
      <w:bookmarkStart w:id="130" w:name="_Toc20823307"/>
      <w:r/>
      <w:bookmarkStart w:id="131" w:name="_Toc513029235"/>
      <w:r>
        <w:rPr>
          <w:rFonts w:hint="eastAsia" w:ascii="宋体" w:hAnsi="宋体"/>
          <w:color w:val="000000" w:themeColor="text1"/>
          <w:sz w:val="24"/>
          <w:highlight w:val="none"/>
          <w14:textFill>
            <w14:solidFill>
              <w14:schemeClr w14:val="tx1"/>
            </w14:solidFill>
          </w14:textFill>
        </w:rPr>
        <w:t xml:space="preserve">6.1 磋商程序</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6.1.1 对于通过资格性和符合性审查的供应商，磋商小组所有成员将集中与单一磋商供应商分别进行磋商。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在磋商过程中，磋商小组可能根据磋商文件和磋商情况实质性变动采购需求中的技术、服务要求以及合同草案条款，但不得变动磋商文件中的其他内容。</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对磋商文件作出的实质性变动是磋商文件的有效组成部分，磋商小组应当及时以书面形式（从评标系统发起）同时通知所有参加磋商的供应商。</w:t>
      </w:r>
      <w:r>
        <w:rPr>
          <w:rFonts w:hint="eastAsia" w:ascii="宋体" w:hAnsi="宋体"/>
          <w:b/>
          <w:color w:val="000000" w:themeColor="text1"/>
          <w:sz w:val="24"/>
          <w:highlight w:val="none"/>
          <w14:textFill>
            <w14:solidFill>
              <w14:schemeClr w14:val="tx1"/>
            </w14:solidFill>
          </w14:textFill>
        </w:rPr>
        <w:t xml:space="preserve">磋商供应商应当按照磋商文件的变动情况和磋商小组的要求，通过苏采云系统重新提交响应文件，并使用CA数字证书签章后提交。</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6.1.2 </w:t>
      </w:r>
      <w:r>
        <w:rPr>
          <w:rFonts w:ascii="宋体" w:hAnsi="宋体"/>
          <w:color w:val="000000" w:themeColor="text1"/>
          <w:sz w:val="24"/>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highlight w:val="none"/>
          <w14:textFill>
            <w14:solidFill>
              <w14:schemeClr w14:val="tx1"/>
            </w14:solidFill>
          </w14:textFill>
        </w:rPr>
        <w:t xml:space="preserve">将</w:t>
      </w:r>
      <w:r>
        <w:rPr>
          <w:rFonts w:ascii="宋体" w:hAnsi="宋体"/>
          <w:color w:val="000000" w:themeColor="text1"/>
          <w:sz w:val="24"/>
          <w:highlight w:val="none"/>
          <w14:textFill>
            <w14:solidFill>
              <w14:schemeClr w14:val="tx1"/>
            </w14:solidFill>
          </w14:textFill>
        </w:rPr>
        <w:t xml:space="preserve">要求所有实质性响应的供应商在规定时间内提交最后报价。</w:t>
      </w:r>
      <w:r/>
    </w:p>
    <w:p>
      <w:pPr>
        <w:ind w:firstLine="480"/>
        <w:jc w:val="left"/>
        <w:spacing w:line="560" w:lineRule="exact"/>
        <w:tabs>
          <w:tab w:val="left" w:pos="90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6.1.3 磋商供应商未在磋商小组规定的时间内完成最后报价的视为放弃磋商，其磋商响应按无效响应处理。</w:t>
      </w:r>
      <w:r>
        <w:rPr>
          <w:rFonts w:hint="eastAsia" w:ascii="宋体" w:hAnsi="宋体"/>
          <w:b/>
          <w:color w:val="000000" w:themeColor="text1"/>
          <w:sz w:val="24"/>
          <w:highlight w:val="none"/>
          <w14:textFill>
            <w14:solidFill>
              <w14:schemeClr w14:val="tx1"/>
            </w14:solidFill>
          </w14:textFill>
        </w:rPr>
        <w:t xml:space="preserve">最后报价须通过苏采云系统作出，并使用CA数字证书签章后提交。</w:t>
      </w:r>
      <w:r>
        <w:rPr>
          <w:rFonts w:ascii="宋体" w:hAnsi="宋体"/>
          <w:color w:val="000000" w:themeColor="text1"/>
          <w:sz w:val="24"/>
          <w:highlight w:val="none"/>
          <w14:textFill>
            <w14:solidFill>
              <w14:schemeClr w14:val="tx1"/>
            </w14:solidFill>
          </w14:textFill>
        </w:rPr>
        <w:t xml:space="preserve">已提交响应文件的供应商，在提交最后报价之前，可以根据磋商情况退出磋商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6.1.4 本项目各分项最终结算价按照磋商首次报价与最后报价同比例变动。</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评审方法和标准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6.2.1 评审方法。</w:t>
      </w:r>
      <w:r>
        <w:rPr>
          <w:rFonts w:hint="eastAsia" w:ascii="宋体" w:hAnsi="宋体"/>
          <w:b/>
          <w:color w:val="000000" w:themeColor="text1"/>
          <w:sz w:val="24"/>
          <w:highlight w:val="none"/>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6.2.2 评审标准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见本磋商文件第五章“评审方法和评审标准”。</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6.2.3 评审报告</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 采购活动终止的情况</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（2）出现影响采购公正的违法、违规行为的；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对于不同载体的响应文件，开启、评审及认定顺序为电子响应文件、备份U盘，前项不能读取的可按后项评审。</w:t>
      </w:r>
      <w:bookmarkEnd w:id="129"/>
      <w:r/>
      <w:bookmarkEnd w:id="130"/>
      <w:r/>
      <w:bookmarkEnd w:id="131"/>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五、成交</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bookmarkStart w:id="132" w:name="_Toc513029238"/>
      <w:r/>
      <w:bookmarkStart w:id="133" w:name="_Toc16938554"/>
      <w:r/>
      <w:bookmarkStart w:id="134" w:name="_Toc20823310"/>
      <w:r>
        <w:rPr>
          <w:rFonts w:hint="eastAsia" w:ascii="宋体" w:hAnsi="宋体"/>
          <w:color w:val="000000" w:themeColor="text1"/>
          <w:sz w:val="24"/>
          <w:highlight w:val="none"/>
          <w14:textFill>
            <w14:solidFill>
              <w14:schemeClr w14:val="tx1"/>
            </w14:solidFill>
          </w14:textFill>
        </w:rPr>
        <w:t xml:space="preserve">1、</w:t>
      </w:r>
      <w:bookmarkEnd w:id="132"/>
      <w:r>
        <w:rPr>
          <w:rFonts w:hint="eastAsia" w:ascii="宋体" w:hAnsi="宋体"/>
          <w:color w:val="000000" w:themeColor="text1"/>
          <w:sz w:val="24"/>
          <w:highlight w:val="none"/>
          <w14:textFill>
            <w14:solidFill>
              <w14:schemeClr w14:val="tx1"/>
            </w14:solidFill>
          </w14:textFill>
        </w:rPr>
        <w:t xml:space="preserve">确定</w:t>
      </w:r>
      <w:bookmarkEnd w:id="133"/>
      <w:r/>
      <w:bookmarkEnd w:id="134"/>
      <w:r>
        <w:rPr>
          <w:rFonts w:hint="eastAsia" w:ascii="宋体" w:hAnsi="宋体"/>
          <w:color w:val="000000" w:themeColor="text1"/>
          <w:sz w:val="24"/>
          <w:highlight w:val="none"/>
          <w14:textFill>
            <w14:solidFill>
              <w14:schemeClr w14:val="tx1"/>
            </w14:solidFill>
          </w14:textFill>
        </w:rPr>
        <w:t xml:space="preserve">成交单位</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根据采购人的授权，磋商小组直接确定排名第一的成交候选供应商为成交供应商，代理机构将在江苏政府采购网公告成交结果，成交公告期限为1个工作日，同时向成交供应商发出成交通知书。</w:t>
      </w:r>
      <w:r>
        <w:rPr>
          <w:rFonts w:hint="eastAsia" w:ascii="宋体" w:hAnsi="宋体"/>
          <w:b/>
          <w:color w:val="000000" w:themeColor="text1"/>
          <w:sz w:val="24"/>
          <w:highlight w:val="none"/>
          <w14:textFill>
            <w14:solidFill>
              <w14:schemeClr w14:val="tx1"/>
            </w14:solidFill>
          </w14:textFill>
        </w:rPr>
        <w:t xml:space="preserve">成交供应商在领取成交通知书时，需提供四份（一正三副）与电子响应文件一致的纸质打印文件。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2、成交供应商有下列情形之一的，将取消其成交资格：</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（1）提供虚假材料谋取成交的；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（2）与评审专家、采购人、其他供应商或者代理机构工作人员恶意串通的；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（3）向评审专家、采购人或代理机构工作人员行贿或者提供其他不正当利益的；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（4）不满足本磋商文件规定的实质性要求，但在评审过程中又未被磋商小组发现的；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（6）将政府采购合同转包的；</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（7）法律、法规、规章规定的属于成交无效的其他情形。</w:t>
      </w:r>
      <w:bookmarkStart w:id="135" w:name="_Toc513029237"/>
      <w:r/>
      <w:bookmarkStart w:id="136" w:name="_Toc20823309"/>
      <w:r/>
      <w:bookmarkStart w:id="137" w:name="_Toc16938553"/>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六、合同签订相关事项</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1、签订合同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1.l </w:t>
      </w:r>
      <w:r>
        <w:rPr>
          <w:rFonts w:ascii="宋体" w:hAnsi="宋体"/>
          <w:color w:val="000000" w:themeColor="text1"/>
          <w:sz w:val="24"/>
          <w:highlight w:val="none"/>
          <w14:textFill>
            <w14:solidFill>
              <w14:schemeClr w14:val="tx1"/>
            </w14:solidFill>
          </w14:textFill>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 </w:t>
      </w:r>
      <w:r>
        <w:rPr>
          <w:rFonts w:hint="eastAsia" w:ascii="宋体" w:hAnsi="宋体"/>
          <w:b/>
          <w:color w:val="000000" w:themeColor="text1"/>
          <w:sz w:val="24"/>
          <w:highlight w:val="none"/>
          <w14:textFill>
            <w14:solidFill>
              <w14:schemeClr w14:val="tx1"/>
            </w14:solidFill>
          </w14:textFill>
        </w:rPr>
        <w:t xml:space="preserve">签订合同后，成交供应商不得将成交产品或服务进行转包。</w:t>
      </w:r>
      <w:r>
        <w:rPr>
          <w:rFonts w:hint="eastAsia" w:ascii="宋体" w:hAnsi="宋体"/>
          <w:color w:val="000000" w:themeColor="text1"/>
          <w:sz w:val="24"/>
          <w:highlight w:val="none"/>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2、履约保证金</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履约保证金自合同生效之日起至合同约定的成交供应商主要义务履行完毕止，采购人按合同约定退还履约保证金。</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560" w:lineRule="exact"/>
        <w:tabs>
          <w:tab w:val="left" w:pos="90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本项目履约保证金要求详见第四章“项目需求”。</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七、政策功能</w:t>
      </w:r>
      <w:bookmarkEnd w:id="135"/>
      <w:r/>
      <w:bookmarkEnd w:id="136"/>
      <w:r/>
      <w:bookmarkEnd w:id="137"/>
      <w:r/>
      <w:r/>
    </w:p>
    <w:p>
      <w:pPr>
        <w:ind w:firstLine="480"/>
        <w:jc w:val="left"/>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参加本项目政府采购活动的供应商应当提供的材料： </w:t>
      </w:r>
      <w:r/>
    </w:p>
    <w:p>
      <w:pPr>
        <w:ind w:firstLine="480"/>
        <w:jc w:val="left"/>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（1）供应商提供的货物全部由中型企业、小型企业、微型企业制造的，提供《中小企业声明函》（第六章 响应文件格式）。</w:t>
      </w:r>
      <w:r/>
    </w:p>
    <w:p>
      <w:pPr>
        <w:ind w:firstLine="480"/>
        <w:jc w:val="left"/>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享受扶持政策获得政府采购合同的，小微型企业不得将合同分包给大中型企业，中型企业不得将合同分包给大型企业。</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八、采购本国产品的支持政策</w:t>
      </w:r>
      <w:r/>
    </w:p>
    <w:p>
      <w:pPr>
        <w:ind w:firstLine="480"/>
        <w:jc w:val="left"/>
        <w:spacing w:line="48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成交供应商的报价签订。 </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当采购项目或者采购包中含有多种产品，供应商为该采购项目或者采购包提供的符合本国产品标准的产品成本之和占该供应商提供的全部产品成本之和的比例达到80%以上时（供应商需在“第六章 响应文件格式十三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3.供应商需按照磋商文件的要求提供《关于符合本国产品标准的声明函》（以下简称《声明函》），如不提供将不享受本国产品价格评审优惠。</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6.政府采购中的本国产品标准及其他未尽事宜详见《国务院办公厅关于在政府采购中实施本国产品标准及相关政策的通知》（国办发〔2025〕34号）</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九、支持绿色发展</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十、政府采购需求标准</w:t>
      </w:r>
      <w:r/>
    </w:p>
    <w:p>
      <w:pPr>
        <w:ind w:firstLine="482"/>
        <w:jc w:val="left"/>
        <w:spacing w:line="48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1.本项目执行《绿色数据中心政府采购</w:t>
      </w:r>
      <w:r>
        <w:rPr>
          <w:rFonts w:hint="eastAsia" w:ascii="宋体" w:hAnsi="宋体" w:cs="宋体"/>
          <w:color w:val="000000" w:themeColor="text1"/>
          <w:sz w:val="24"/>
          <w:highlight w:val="none"/>
          <w14:textFill>
            <w14:solidFill>
              <w14:schemeClr w14:val="tx1"/>
            </w14:solidFill>
          </w14:textFill>
        </w:rPr>
        <w:t xml:space="preserve">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w:t>
      </w:r>
      <w:r/>
    </w:p>
    <w:p>
      <w:pPr>
        <w:ind w:firstLine="562"/>
        <w:jc w:val="left"/>
        <w:keepLines/>
        <w:keepNext/>
        <w:spacing w:line="480" w:lineRule="exact"/>
        <w:rPr>
          <w:rFonts w:hint="eastAsia"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十一、质疑和投诉</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质疑的提出</w:t>
      </w:r>
      <w:r/>
    </w:p>
    <w:p>
      <w:pPr>
        <w:ind w:firstLine="480"/>
        <w:jc w:val="left"/>
        <w:spacing w:line="560" w:lineRule="exact"/>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提出质疑的供应商应当是参与所质疑项目采购活动的供应商。</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质疑供应商未按照法定程序进行质疑投诉的，视为一般失信行为。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质疑供应商不配合或者采取不正当手段干扰政府采购质疑、投诉处理工作的，视为一般失信行为。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1.4质疑供应商投诉受理期间，就同一事项多头举报，干扰财政部门投诉处理的，视为一般失信行为。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1.5质疑供应商在全国范围12个月内三次以上质疑查无实据的，视为一般失信行为。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1.7质疑供应商在全国范围12个月内三次以上投诉查无实据的，视为严重失信行为。</w:t>
      </w:r>
      <w:r/>
    </w:p>
    <w:p>
      <w:pPr>
        <w:ind w:firstLine="480"/>
        <w:jc w:val="left"/>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 未尽事宜，依照有关法律、法规执行。</w:t>
      </w:r>
      <w:r/>
    </w:p>
    <w:p>
      <w:pPr>
        <w:pStyle w:val="978"/>
        <w:jc w:val="center"/>
        <w:rPr>
          <w:rFonts w:hint="eastAsia" w:ascii="黑体" w:hAnsi="黑体" w:eastAsia="黑体"/>
          <w:color w:val="000000" w:themeColor="text1"/>
          <w:sz w:val="44"/>
          <w:szCs w:val="44"/>
          <w:highlight w:val="none"/>
          <w14:textFill>
            <w14:solidFill>
              <w14:schemeClr w14:val="tx1"/>
            </w14:solidFill>
          </w14:textFill>
        </w:rPr>
      </w:pPr>
      <w:r>
        <w:rPr>
          <w:rFonts w:ascii="黑体" w:hAnsi="黑体" w:eastAsia="黑体"/>
          <w:color w:val="000000" w:themeColor="text1"/>
          <w:sz w:val="44"/>
          <w:szCs w:val="44"/>
          <w:highlight w:val="none"/>
          <w14:textFill>
            <w14:solidFill>
              <w14:schemeClr w14:val="tx1"/>
            </w14:solidFill>
          </w14:textFill>
        </w:rPr>
        <w:br w:type="page" w:clear="all"/>
      </w:r>
      <w:bookmarkStart w:id="138" w:name="_Toc6841"/>
      <w:r>
        <w:rPr>
          <w:rFonts w:hint="eastAsia" w:ascii="黑体" w:hAnsi="黑体" w:eastAsia="黑体"/>
          <w:color w:val="000000" w:themeColor="text1"/>
          <w:sz w:val="44"/>
          <w:szCs w:val="44"/>
          <w:highlight w:val="none"/>
          <w14:textFill>
            <w14:solidFill>
              <w14:schemeClr w14:val="tx1"/>
            </w14:solidFill>
          </w14:textFill>
        </w:rPr>
        <w:t xml:space="preserve">第三章 合同条款及格式</w:t>
      </w:r>
      <w:bookmarkEnd w:id="52"/>
      <w:r/>
      <w:bookmarkEnd w:id="138"/>
      <w:r/>
      <w:r/>
    </w:p>
    <w:p>
      <w:pPr>
        <w:jc w:val="center"/>
        <w:rPr>
          <w:rFonts w:hint="eastAsia" w:ascii="宋体" w:hAnsi="宋体" w:cs="宋体"/>
          <w:b/>
          <w:bCs/>
          <w:color w:val="000000" w:themeColor="text1"/>
          <w:spacing w:val="-20"/>
          <w:sz w:val="48"/>
          <w:szCs w:val="48"/>
          <w:highlight w:val="none"/>
          <w14:textFill>
            <w14:solidFill>
              <w14:schemeClr w14:val="tx1"/>
            </w14:solidFill>
          </w14:textFill>
        </w:rPr>
        <w:pBdr>
          <w:top w:val="none" w:color="auto" w:sz="0" w:space="1"/>
          <w:left w:val="none" w:color="auto" w:sz="0" w:space="4"/>
          <w:bottom w:val="none" w:color="auto" w:sz="0" w:space="1"/>
          <w:right w:val="none" w:color="auto" w:sz="0" w:space="4"/>
        </w:pBdr>
      </w:pPr>
      <w:r/>
      <w:bookmarkStart w:id="139" w:name="_Toc465856614"/>
      <w:r/>
      <w:r/>
    </w:p>
    <w:p>
      <w:pPr>
        <w:jc w:val="center"/>
        <w:rPr>
          <w:rFonts w:hint="eastAsia" w:ascii="宋体" w:hAnsi="宋体" w:cs="宋体"/>
          <w:b/>
          <w:bCs/>
          <w:color w:val="000000" w:themeColor="text1"/>
          <w:spacing w:val="-20"/>
          <w:sz w:val="48"/>
          <w:szCs w:val="48"/>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b/>
          <w:bCs/>
          <w:color w:val="000000" w:themeColor="text1"/>
          <w:spacing w:val="-20"/>
          <w:sz w:val="48"/>
          <w:szCs w:val="48"/>
          <w:highlight w:val="none"/>
          <w14:textFill>
            <w14:solidFill>
              <w14:schemeClr w14:val="tx1"/>
            </w14:solidFill>
          </w14:textFill>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b/>
          <w:bCs/>
          <w:color w:val="000000" w:themeColor="text1"/>
          <w:spacing w:val="-20"/>
          <w:sz w:val="48"/>
          <w:szCs w:val="48"/>
          <w:highlight w:val="none"/>
          <w14:textFill>
            <w14:solidFill>
              <w14:schemeClr w14:val="tx1"/>
            </w14:solidFill>
          </w14:textFill>
        </w:rPr>
      </w:r>
      <w:r/>
    </w:p>
    <w:p>
      <w:pPr>
        <w:jc w:val="center"/>
        <w:rPr>
          <w:rFonts w:hint="eastAsia" w:ascii="宋体" w:hAnsi="宋体" w:cs="宋体"/>
          <w:b/>
          <w:bCs/>
          <w:color w:val="000000" w:themeColor="text1"/>
          <w:spacing w:val="-20"/>
          <w:sz w:val="48"/>
          <w:szCs w:val="48"/>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b/>
          <w:bCs/>
          <w:color w:val="000000" w:themeColor="text1"/>
          <w:spacing w:val="-20"/>
          <w:sz w:val="48"/>
          <w:szCs w:val="48"/>
          <w:highlight w:val="none"/>
          <w14:textFill>
            <w14:solidFill>
              <w14:schemeClr w14:val="tx1"/>
            </w14:solidFill>
          </w14:textFill>
        </w:rPr>
        <w:t xml:space="preserve">连云港市政府采购货物买卖合同</w:t>
      </w:r>
      <w:r/>
    </w:p>
    <w:p>
      <w:pPr>
        <w:rPr>
          <w:rFonts w:hint="eastAsia" w:ascii="宋体" w:hAnsi="宋体" w:cs="宋体"/>
          <w:b/>
          <w:bCs/>
          <w:color w:val="000000" w:themeColor="text1"/>
          <w:spacing w:val="-20"/>
          <w:sz w:val="40"/>
          <w:szCs w:val="40"/>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b/>
          <w:bCs/>
          <w:color w:val="000000" w:themeColor="text1"/>
          <w:spacing w:val="-20"/>
          <w:sz w:val="40"/>
          <w:szCs w:val="40"/>
          <w:highlight w:val="none"/>
          <w14:textFill>
            <w14:solidFill>
              <w14:schemeClr w14:val="tx1"/>
            </w14:solidFill>
          </w14:textFill>
        </w:rPr>
      </w:r>
      <w:r/>
    </w:p>
    <w:p>
      <w:pPr>
        <w:rPr>
          <w:rFonts w:hint="eastAsia" w:ascii="宋体" w:hAnsi="宋体" w:cs="宋体"/>
          <w:b/>
          <w:bCs/>
          <w:color w:val="000000" w:themeColor="text1"/>
          <w:spacing w:val="-20"/>
          <w:sz w:val="40"/>
          <w:szCs w:val="40"/>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b/>
          <w:bCs/>
          <w:color w:val="000000" w:themeColor="text1"/>
          <w:spacing w:val="-20"/>
          <w:sz w:val="40"/>
          <w:szCs w:val="40"/>
          <w:highlight w:val="none"/>
          <w14:textFill>
            <w14:solidFill>
              <w14:schemeClr w14:val="tx1"/>
            </w14:solidFill>
          </w14:textFill>
        </w:rPr>
      </w:r>
      <w:r/>
    </w:p>
    <w:p>
      <w:pPr>
        <w:rPr>
          <w:rFonts w:hint="eastAsia" w:ascii="宋体" w:hAnsi="宋体" w:cs="宋体"/>
          <w:b/>
          <w:bCs/>
          <w:color w:val="000000" w:themeColor="text1"/>
          <w:spacing w:val="-20"/>
          <w:sz w:val="40"/>
          <w:szCs w:val="40"/>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b/>
          <w:bCs/>
          <w:color w:val="000000" w:themeColor="text1"/>
          <w:spacing w:val="-20"/>
          <w:sz w:val="40"/>
          <w:szCs w:val="40"/>
          <w:highlight w:val="none"/>
          <w14:textFill>
            <w14:solidFill>
              <w14:schemeClr w14:val="tx1"/>
            </w14:solidFill>
          </w14:textFill>
        </w:rPr>
      </w:r>
      <w:r/>
    </w:p>
    <w:p>
      <w:pPr>
        <w:ind w:left="420"/>
        <w:spacing w:line="360" w:lineRule="auto"/>
        <w:rPr>
          <w:rFonts w:ascii="Calibri" w:hAnsi="Calibri"/>
          <w:color w:val="000000" w:themeColor="text1"/>
          <w:sz w:val="32"/>
          <w:szCs w:val="32"/>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宋体" w:hAnsi="宋体" w:cs="宋体"/>
          <w:color w:val="000000" w:themeColor="text1"/>
          <w:sz w:val="32"/>
          <w:szCs w:val="32"/>
          <w:highlight w:val="none"/>
          <w14:textFill>
            <w14:solidFill>
              <w14:schemeClr w14:val="tx1"/>
            </w14:solidFill>
          </w14:textFill>
        </w:rPr>
        <w:t xml:space="preserve">项目名称：</w:t>
      </w:r>
      <w:r/>
    </w:p>
    <w:p>
      <w:pPr>
        <w:ind w:left="420"/>
        <w:spacing w:line="360" w:lineRule="auto"/>
        <w:rPr>
          <w:rFonts w:ascii="Calibri" w:hAnsi="Calibri"/>
          <w:color w:val="000000" w:themeColor="text1"/>
          <w:sz w:val="32"/>
          <w:szCs w:val="32"/>
          <w:highlight w:val="none"/>
          <w:u w:val="singl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color w:val="000000" w:themeColor="text1"/>
          <w:sz w:val="32"/>
          <w:szCs w:val="32"/>
          <w:highlight w:val="none"/>
          <w14:textFill>
            <w14:solidFill>
              <w14:schemeClr w14:val="tx1"/>
            </w14:solidFill>
          </w14:textFill>
        </w:rPr>
        <w:t xml:space="preserve">合同编号：</w:t>
      </w:r>
      <w:r/>
    </w:p>
    <w:p>
      <w:pPr>
        <w:ind w:left="420"/>
        <w:spacing w:line="360" w:lineRule="auto"/>
        <w:rPr>
          <w:rFonts w:ascii="Calibri" w:hAnsi="Calibri"/>
          <w:color w:val="000000" w:themeColor="text1"/>
          <w:sz w:val="32"/>
          <w:szCs w:val="32"/>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color w:val="000000" w:themeColor="text1"/>
          <w:sz w:val="32"/>
          <w:szCs w:val="32"/>
          <w:highlight w:val="none"/>
          <w14:textFill>
            <w14:solidFill>
              <w14:schemeClr w14:val="tx1"/>
            </w14:solidFill>
          </w14:textFill>
        </w:rPr>
        <w:t xml:space="preserve">甲    方：</w:t>
      </w:r>
      <w:r/>
    </w:p>
    <w:p>
      <w:pPr>
        <w:ind w:left="420"/>
        <w:spacing w:line="360" w:lineRule="auto"/>
        <w:rPr>
          <w:rFonts w:ascii="Calibri" w:hAnsi="Calibri"/>
          <w:color w:val="000000" w:themeColor="text1"/>
          <w:sz w:val="32"/>
          <w:szCs w:val="32"/>
          <w:highlight w:val="none"/>
          <w:u w:val="singl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color w:val="000000" w:themeColor="text1"/>
          <w:sz w:val="32"/>
          <w:szCs w:val="32"/>
          <w:highlight w:val="none"/>
          <w14:textFill>
            <w14:solidFill>
              <w14:schemeClr w14:val="tx1"/>
            </w14:solidFill>
          </w14:textFill>
        </w:rPr>
        <w:t xml:space="preserve">乙    方：</w:t>
      </w:r>
      <w:r/>
    </w:p>
    <w:p>
      <w:pPr>
        <w:ind w:left="420"/>
        <w:spacing w:line="360" w:lineRule="auto"/>
        <w:rPr>
          <w:rFonts w:ascii="Calibri" w:hAnsi="Calibri"/>
          <w:color w:val="000000" w:themeColor="text1"/>
          <w:sz w:val="32"/>
          <w:szCs w:val="32"/>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Calibri" w:hAnsi="Calibri"/>
          <w:color w:val="000000" w:themeColor="text1"/>
          <w:sz w:val="32"/>
          <w:szCs w:val="32"/>
          <w:highlight w:val="none"/>
          <w14:textFill>
            <w14:solidFill>
              <w14:schemeClr w14:val="tx1"/>
            </w14:solidFill>
          </w14:textFill>
        </w:rPr>
        <w:t xml:space="preserve">签订时间：</w:t>
      </w:r>
      <w:r/>
    </w:p>
    <w:p>
      <w:pPr>
        <w:jc w:val="left"/>
        <w:widowControl/>
        <w:rPr>
          <w:rFonts w:ascii="Calibri" w:hAnsi="Calibri" w:eastAsia="黑体"/>
          <w:color w:val="000000" w:themeColor="text1"/>
          <w:sz w:val="44"/>
          <w:szCs w:val="4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ascii="Calibri" w:hAnsi="Calibri" w:eastAsia="黑体"/>
          <w:color w:val="000000" w:themeColor="text1"/>
          <w:sz w:val="44"/>
          <w:szCs w:val="44"/>
          <w:highlight w:val="none"/>
          <w14:textFill>
            <w14:solidFill>
              <w14:schemeClr w14:val="tx1"/>
            </w14:solidFill>
          </w14:textFill>
        </w:rPr>
        <w:br w:type="page" w:clear="all"/>
      </w:r>
      <w:r/>
    </w:p>
    <w:p>
      <w:pPr>
        <w:jc w:val="center"/>
        <w:rPr>
          <w:rFonts w:hint="eastAsia" w:ascii="黑体" w:hAnsi="黑体" w:eastAsia="黑体"/>
          <w:color w:val="000000" w:themeColor="text1"/>
          <w:sz w:val="44"/>
          <w:szCs w:val="44"/>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黑体" w:hAnsi="黑体" w:eastAsia="黑体"/>
          <w:color w:val="000000" w:themeColor="text1"/>
          <w:sz w:val="44"/>
          <w:szCs w:val="44"/>
          <w:highlight w:val="none"/>
          <w14:textFill>
            <w14:solidFill>
              <w14:schemeClr w14:val="tx1"/>
            </w14:solidFill>
          </w14:textFill>
        </w:rPr>
        <w:t xml:space="preserve">使用说明</w:t>
      </w:r>
      <w:r/>
    </w:p>
    <w:p>
      <w:pPr>
        <w:ind w:firstLine="640"/>
        <w:rPr>
          <w:rFonts w:hint="eastAsia" w:ascii="仿宋" w:hAnsi="仿宋" w:eastAsia="仿宋" w:cs="仿宋_GB2312"/>
          <w:color w:val="000000" w:themeColor="text1"/>
          <w:sz w:val="32"/>
          <w:szCs w:val="32"/>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仿宋" w:hAnsi="仿宋" w:eastAsia="仿宋"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ind w:firstLine="640"/>
        <w:rPr>
          <w:rFonts w:hint="eastAsia" w:ascii="仿宋" w:hAnsi="仿宋" w:eastAsia="仿宋" w:cs="仿宋_GB2312"/>
          <w:color w:val="000000" w:themeColor="text1"/>
          <w:sz w:val="32"/>
          <w:szCs w:val="32"/>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仿宋" w:hAnsi="仿宋" w:eastAsia="仿宋"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hint="eastAsia" w:ascii="仿宋" w:hAnsi="仿宋" w:eastAsia="仿宋" w:cs="仿宋_GB2312"/>
          <w:color w:val="000000" w:themeColor="text1"/>
          <w:sz w:val="32"/>
          <w:szCs w:val="32"/>
          <w:highlight w:val="none"/>
          <w14:textFill>
            <w14:solidFill>
              <w14:schemeClr w14:val="tx1"/>
            </w14:solidFill>
          </w14:textFill>
        </w:rPr>
        <w:pBdr>
          <w:top w:val="none" w:color="auto" w:sz="0" w:space="1"/>
          <w:left w:val="none" w:color="auto" w:sz="0" w:space="4"/>
          <w:bottom w:val="none" w:color="auto" w:sz="0" w:space="1"/>
          <w:right w:val="none" w:color="auto" w:sz="0" w:space="4"/>
        </w:pBdr>
      </w:pPr>
      <w:r>
        <w:rPr>
          <w:rFonts w:hint="eastAsia" w:ascii="仿宋" w:hAnsi="仿宋" w:eastAsia="仿宋"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jc w:val="left"/>
        <w:widowControl/>
        <w:rPr>
          <w:rFonts w:hint="eastAsia" w:ascii="黑体" w:hAnsi="黑体" w:eastAsia="黑体"/>
          <w:color w:val="000000" w:themeColor="text1"/>
          <w:sz w:val="28"/>
          <w:szCs w:val="28"/>
          <w:highlight w:val="none"/>
          <w14:textFill>
            <w14:solidFill>
              <w14:schemeClr w14:val="tx1"/>
            </w14:solidFill>
          </w14:textFill>
        </w:rPr>
        <w:pBdr>
          <w:top w:val="none" w:color="auto" w:sz="0" w:space="1"/>
          <w:left w:val="none" w:color="auto" w:sz="0" w:space="4"/>
          <w:bottom w:val="none" w:color="auto" w:sz="0" w:space="1"/>
          <w:right w:val="none" w:color="auto" w:sz="0" w:space="4"/>
        </w:pBdr>
      </w:pPr>
      <w:r/>
      <w:bookmarkStart w:id="140" w:name="_Toc22209"/>
      <w:r>
        <w:rPr>
          <w:rFonts w:ascii="黑体" w:hAnsi="黑体" w:eastAsia="黑体"/>
          <w:b/>
          <w:bCs/>
          <w:color w:val="000000" w:themeColor="text1"/>
          <w:sz w:val="28"/>
          <w:szCs w:val="28"/>
          <w:highlight w:val="none"/>
          <w14:textFill>
            <w14:solidFill>
              <w14:schemeClr w14:val="tx1"/>
            </w14:solidFill>
          </w14:textFill>
        </w:rPr>
        <w:br w:type="page" w:clear="all"/>
      </w:r>
      <w:bookmarkEnd w:id="140"/>
      <w:r/>
    </w:p>
    <w:p>
      <w:pPr>
        <w:jc w:val="center"/>
        <w:keepLines/>
        <w:keepNext/>
        <w:spacing w:line="400" w:lineRule="exact"/>
        <w:rPr>
          <w:rFonts w:hint="eastAsia" w:ascii="宋体" w:hAnsi="宋体" w:cs="宋体"/>
          <w:color w:val="000000" w:themeColor="text1"/>
          <w:sz w:val="24"/>
          <w:highlight w:val="none"/>
          <w14:textFill>
            <w14:solidFill>
              <w14:schemeClr w14:val="tx1"/>
            </w14:solidFill>
          </w14:textFill>
        </w:rPr>
        <w:outlineLvl w:val="1"/>
      </w:pPr>
      <w:r/>
      <w:bookmarkStart w:id="141" w:name="_Toc19740"/>
      <w:r>
        <w:rPr>
          <w:rFonts w:hint="eastAsia" w:ascii="宋体" w:hAnsi="宋体" w:cs="宋体"/>
          <w:color w:val="000000" w:themeColor="text1"/>
          <w:sz w:val="24"/>
          <w:highlight w:val="none"/>
          <w14:textFill>
            <w14:solidFill>
              <w14:schemeClr w14:val="tx1"/>
            </w14:solidFill>
          </w14:textFill>
        </w:rPr>
        <w:t xml:space="preserve">第一节 政府采购合同协议书</w:t>
      </w:r>
      <w:r/>
    </w:p>
    <w:p>
      <w:pPr>
        <w:jc w:val="center"/>
        <w:keepLines/>
        <w:keepNext/>
        <w:spacing w:line="400" w:lineRule="exact"/>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甲方（全称）：</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乙方（全称）：</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依据《中华人民共和国民法典》、《中华人民共和国政府采购法》等有关的法律法规，以及本采购项目的磋商文件、乙方的《响应文件》及《中标通知书》，甲乙双方同意签订本合同。具体情况及要求如下：     </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1.项目信息</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numPr>
          <w:ilvl w:val="255"/>
          <w:numId w:val="0"/>
        </w:numPr>
        <w:ind w:firstLine="480"/>
        <w:spacing w:line="360" w:lineRule="auto"/>
        <w:tabs>
          <w:tab w:val="left" w:pos="999"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采购项目编号：</w:t>
      </w:r>
      <w:r>
        <w:rPr>
          <w:rFonts w:hint="eastAsia" w:ascii="宋体" w:hAnsi="宋体" w:cs="宋体"/>
          <w:color w:val="000000" w:themeColor="text1"/>
          <w:sz w:val="24"/>
          <w:highlight w:val="none"/>
          <w:u w:val="single"/>
          <w14:textFill>
            <w14:solidFill>
              <w14:schemeClr w14:val="tx1"/>
            </w14:solidFill>
          </w14:textFill>
        </w:rPr>
        <w:t xml:space="preserve">                           </w:t>
      </w:r>
      <w:r/>
    </w:p>
    <w:p>
      <w:pPr>
        <w:numPr>
          <w:ilvl w:val="255"/>
          <w:numId w:val="0"/>
        </w:numPr>
        <w:ind w:firstLine="480"/>
        <w:spacing w:line="360" w:lineRule="auto"/>
        <w:tabs>
          <w:tab w:val="left" w:pos="999"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（2）采购计划编号：</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（3）项目内容：</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采购标的及数量（台/套</w:t>
      </w:r>
      <w:r>
        <w:rPr>
          <w:rFonts w:hint="eastAsia" w:ascii="宋体" w:hAnsi="宋体" w:cs="宋体"/>
          <w:color w:val="000000" w:themeColor="text1"/>
          <w:sz w:val="24"/>
          <w:highlight w:val="none"/>
          <w:lang w:val="en"/>
          <w14:textFill>
            <w14:solidFill>
              <w14:schemeClr w14:val="tx1"/>
            </w14:solidFill>
          </w14:textFill>
        </w:rPr>
        <w:t xml:space="preserve">/个/架/组等</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u w:val="single"/>
          <w:lang w:val="e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规格型号：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采购标的的技术要求、商务要求具体见附件。</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①涉及信息类产品，请填写该产品关键部件的品牌、型号：</w:t>
      </w:r>
      <w:r/>
    </w:p>
    <w:p>
      <w:pPr>
        <w:numPr>
          <w:ilvl w:val="255"/>
          <w:numId w:val="0"/>
        </w:num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标的名称：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关键部件：</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型号：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关键部件：</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型号：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关键部件：</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型号：</w:t>
      </w:r>
      <w:r>
        <w:rPr>
          <w:rFonts w:hint="eastAsia" w:ascii="宋体" w:hAnsi="宋体" w:cs="宋体"/>
          <w:color w:val="000000" w:themeColor="text1"/>
          <w:sz w:val="24"/>
          <w:highlight w:val="none"/>
          <w:u w:val="single"/>
          <w14:textFill>
            <w14:solidFill>
              <w14:schemeClr w14:val="tx1"/>
            </w14:solidFill>
          </w14:textFill>
        </w:rPr>
        <w:t xml:space="preserve">       </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②涉及车辆采购，请填写是否属于新能源汽车：</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是，《政府采购品目分类目录》底级品目名称：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数量：</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金额：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）政府采购组织形式：</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政府集中采购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部门集中采购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分散采购</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）政府采购方式：</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公开招标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邀请招标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竞争性谈判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竞争性磋商</w:t>
      </w:r>
      <w:r/>
    </w:p>
    <w:p>
      <w:pPr>
        <w:numPr>
          <w:ilvl w:val="255"/>
          <w:numId w:val="0"/>
        </w:num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询价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单一来源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框架协议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w:t>
      </w:r>
      <w:r>
        <w:rPr>
          <w:rFonts w:hint="eastAsia" w:ascii="宋体" w:hAnsi="宋体" w:cs="宋体"/>
          <w:color w:val="000000" w:themeColor="text1"/>
          <w:sz w:val="24"/>
          <w:highlight w:val="none"/>
          <w:u w:val="single"/>
          <w14:textFill>
            <w14:solidFill>
              <w14:schemeClr w14:val="tx1"/>
            </w14:solidFill>
          </w14:textFill>
        </w:rPr>
        <w:t xml:space="preserve">          </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）合同是否分包：</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分包主要内容：</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分包供应商/制造商名称（如供应商和制造商不同，请分别填写）：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分包供应商/制造商类型（如果供应商和制造商不同，只填写制造商类型）：</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大型企业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中型企业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小微型企业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残疾人福利性单位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监狱企业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其他</w:t>
      </w:r>
      <w:r/>
    </w:p>
    <w:p>
      <w:pPr>
        <w:numPr>
          <w:ilvl w:val="0"/>
          <w:numId w:val="1"/>
        </w:numPr>
        <w:ind w:left="0" w:firstLine="480"/>
        <w:spacing w:line="360" w:lineRule="auto"/>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是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外商投资企业类型：</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部分由外国投资者投资</w:t>
      </w:r>
      <w:r/>
    </w:p>
    <w:p>
      <w:pPr>
        <w:numPr>
          <w:ilvl w:val="0"/>
          <w:numId w:val="1"/>
        </w:numPr>
        <w:ind w:left="0" w:firstLine="480"/>
        <w:spacing w:line="360" w:lineRule="auto"/>
        <w:tabs>
          <w:tab w:val="left" w:pos="13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是否涉及进口产品：</w:t>
      </w:r>
      <w:r/>
    </w:p>
    <w:p>
      <w:pPr>
        <w:ind w:firstLine="720"/>
        <w:spacing w:line="360" w:lineRule="auto"/>
        <w:tabs>
          <w:tab w:val="left" w:pos="1340" w:leader="none"/>
        </w:tabs>
        <w:rPr>
          <w:rFonts w:hint="eastAsia"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是，《政府采购品目分类目录》底级品目名称：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金额：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国别：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规格型号：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720"/>
        <w:spacing w:line="360" w:lineRule="auto"/>
        <w:rPr>
          <w:rFonts w:hint="eastAsia"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tabs>
          <w:tab w:val="left" w:pos="7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（1</w:t>
      </w:r>
      <w:r>
        <w:rPr>
          <w:rFonts w:hint="eastAsia" w:ascii="宋体" w:hAnsi="宋体" w:cs="宋体"/>
          <w:color w:val="000000" w:themeColor="text1"/>
          <w:sz w:val="24"/>
          <w:highlight w:val="none"/>
          <w:lang w:val="e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）是否涉及节能产品：</w:t>
      </w:r>
      <w:r/>
    </w:p>
    <w:p>
      <w:pPr>
        <w:numPr>
          <w:ilvl w:val="255"/>
          <w:numId w:val="0"/>
        </w:numPr>
        <w:ind w:firstLine="480"/>
        <w:spacing w:line="360" w:lineRule="auto"/>
        <w:tabs>
          <w:tab w:val="left" w:pos="740"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是，《节能产品政府采购品目清单》的底级品目名称：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     </w:t>
      </w:r>
      <w:r/>
    </w:p>
    <w:p>
      <w:pPr>
        <w:numPr>
          <w:ilvl w:val="255"/>
          <w:numId w:val="0"/>
        </w:numPr>
        <w:ind w:firstLine="480"/>
        <w:spacing w:line="360" w:lineRule="auto"/>
        <w:tabs>
          <w:tab w:val="left" w:pos="740"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强制采购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tabs>
          <w:tab w:val="left" w:pos="7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是否涉及环境标志产品：</w:t>
      </w:r>
      <w:r/>
    </w:p>
    <w:p>
      <w:pPr>
        <w:numPr>
          <w:ilvl w:val="255"/>
          <w:numId w:val="0"/>
        </w:numPr>
        <w:ind w:firstLine="480"/>
        <w:spacing w:line="360" w:lineRule="auto"/>
        <w:tabs>
          <w:tab w:val="left" w:pos="7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是，《环境标志产品政府采购品目清单》的底级品目名称：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 </w:t>
      </w:r>
      <w:r/>
    </w:p>
    <w:p>
      <w:pPr>
        <w:numPr>
          <w:ilvl w:val="255"/>
          <w:numId w:val="0"/>
        </w:numPr>
        <w:ind w:firstLine="480"/>
        <w:spacing w:line="360" w:lineRule="auto"/>
        <w:tabs>
          <w:tab w:val="left" w:pos="740"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强制采购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优先采购    </w:t>
      </w:r>
      <w:r/>
    </w:p>
    <w:p>
      <w:pPr>
        <w:numPr>
          <w:ilvl w:val="255"/>
          <w:numId w:val="0"/>
        </w:numPr>
        <w:ind w:firstLine="480"/>
        <w:spacing w:line="360" w:lineRule="auto"/>
        <w:tabs>
          <w:tab w:val="left" w:pos="7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是否涉及绿色产品： </w:t>
      </w:r>
      <w:r/>
    </w:p>
    <w:p>
      <w:pPr>
        <w:ind w:firstLine="720"/>
        <w:spacing w:line="360" w:lineRule="auto"/>
        <w:rPr>
          <w:rFonts w:hint="eastAsia" w:ascii="宋体" w:hAnsi="宋体" w:cs="宋体"/>
          <w:color w:val="000000" w:themeColor="text1"/>
          <w:sz w:val="24"/>
          <w:highlight w:val="none"/>
          <w:u w:val="singl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是，绿色产品政府采购相关政策确定的底级品目名称：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numPr>
          <w:ilvl w:val="255"/>
          <w:numId w:val="0"/>
        </w:numPr>
        <w:ind w:firstLine="480"/>
        <w:spacing w:line="360" w:lineRule="auto"/>
        <w:tabs>
          <w:tab w:val="left" w:pos="740"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强制采购       </w:t>
      </w:r>
      <w:r>
        <w:rPr>
          <w:rFonts w:ascii="Wingdings" w:hAnsi="Wingdings" w:eastAsia="Wingdings" w:cs="Wingdings"/>
          <w:iCs/>
          <w:color w:val="000000" w:themeColor="text1"/>
          <w:sz w:val="24"/>
          <w:highlight w:val="non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优先采购    </w:t>
      </w:r>
      <w:r/>
    </w:p>
    <w:p>
      <w:pPr>
        <w:ind w:firstLine="720"/>
        <w:spacing w:line="360" w:lineRule="auto"/>
        <w:rPr>
          <w:rFonts w:hint="eastAsia"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否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不涉及</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2.合同金额</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（1）合同金额小写：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大写：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（2）合同定价方式：</w:t>
      </w:r>
      <w:r>
        <w:rPr>
          <w:rFonts w:ascii="Wingdings 2" w:hAnsi="Wingdings 2" w:eastAsia="Wingdings 2" w:cs="Wingdings 2"/>
          <w:b/>
          <w:bCs/>
          <w:iCs/>
          <w:color w:val="000000" w:themeColor="text1"/>
          <w:sz w:val="24"/>
          <w:highlight w:val="none"/>
          <w:u w:val="single"/>
          <w14:textFill>
            <w14:solidFill>
              <w14:schemeClr w14:val="tx1"/>
            </w14:solidFill>
          </w14:textFill>
        </w:rPr>
        <w:t xml:space="preserve">£</w:t>
      </w:r>
      <w:r>
        <w:rPr>
          <w:rFonts w:hint="eastAsia" w:ascii="宋体" w:hAnsi="宋体" w:cs="宋体"/>
          <w:b/>
          <w:bCs/>
          <w:iCs/>
          <w:color w:val="000000" w:themeColor="text1"/>
          <w:sz w:val="24"/>
          <w:highlight w:val="none"/>
          <w:u w:val="single"/>
          <w14:textFill>
            <w14:solidFill>
              <w14:schemeClr w14:val="tx1"/>
            </w14:solidFill>
          </w14:textFill>
        </w:rPr>
        <w:t xml:space="preserve">固定总价  </w:t>
      </w:r>
      <w:r>
        <w:rPr>
          <w:rFonts w:ascii="Wingdings 2" w:hAnsi="Wingdings 2" w:eastAsia="Wingdings 2" w:cs="Wingdings 2"/>
          <w:b/>
          <w:bCs/>
          <w:iCs/>
          <w:color w:val="000000" w:themeColor="text1"/>
          <w:sz w:val="24"/>
          <w:highlight w:val="none"/>
          <w:u w:val="single"/>
          <w14:textFill>
            <w14:solidFill>
              <w14:schemeClr w14:val="tx1"/>
            </w14:solidFill>
          </w14:textFill>
        </w:rPr>
        <w:t xml:space="preserve">R</w:t>
      </w:r>
      <w:r>
        <w:rPr>
          <w:rFonts w:hint="eastAsia" w:ascii="宋体" w:hAnsi="宋体" w:cs="宋体"/>
          <w:b/>
          <w:bCs/>
          <w:iCs/>
          <w:color w:val="000000" w:themeColor="text1"/>
          <w:sz w:val="24"/>
          <w:highlight w:val="none"/>
          <w:u w:val="single"/>
          <w14:textFill>
            <w14:solidFill>
              <w14:schemeClr w14:val="tx1"/>
            </w14:solidFill>
          </w14:textFill>
        </w:rPr>
        <w:t xml:space="preserve">固定单价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（3）付款方式：</w:t>
      </w:r>
      <w:r/>
    </w:p>
    <w:p>
      <w:pPr>
        <w:ind w:firstLine="482"/>
        <w:spacing w:line="360" w:lineRule="auto"/>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全部设备货物安装调试完毕且验收合格，并对相关操作人员完成全部培训后，在提供对应发票后10个工作日内一次性付清余款。</w:t>
      </w:r>
      <w:r/>
    </w:p>
    <w:p>
      <w:pPr>
        <w:ind w:firstLine="482"/>
        <w:spacing w:line="360" w:lineRule="auto"/>
        <w:rPr>
          <w:rFonts w:hint="eastAsia" w:ascii="宋体" w:hAnsi="宋体" w:cs="宋体"/>
          <w:b/>
          <w:bCs/>
          <w:color w:val="000000" w:themeColor="text1"/>
          <w:sz w:val="24"/>
          <w:highlight w:val="none"/>
          <w:u w:val="single"/>
          <w14:textFill>
            <w14:solidFill>
              <w14:schemeClr w14:val="tx1"/>
            </w14:solidFill>
          </w14:textFill>
        </w:rPr>
      </w:pPr>
      <w:r>
        <w:rPr>
          <w:rFonts w:hint="eastAsia" w:ascii="宋体" w:hAnsi="宋体" w:cs="宋体"/>
          <w:b/>
          <w:bCs/>
          <w:color w:val="000000" w:themeColor="text1"/>
          <w:sz w:val="24"/>
          <w:highlight w:val="none"/>
          <w:u w:val="single"/>
          <w14:textFill>
            <w14:solidFill>
              <w14:schemeClr w14:val="tx1"/>
            </w14:solidFill>
          </w14:textFill>
        </w:rPr>
        <w:t xml:space="preserve">付款时由乙方提供增值税发票，甲方按相关财务支付规定办理支付手续。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当采购数量与实际使用数量不一致时，乙方根据实际使用量提供产品和服务，合同的最终结算金额按实际使用量乘以中标单价进行计算。</w:t>
      </w:r>
      <w:r/>
    </w:p>
    <w:p>
      <w:pPr>
        <w:ind w:firstLine="482"/>
        <w:spacing w:line="360" w:lineRule="auto"/>
        <w:rPr>
          <w:rFonts w:hint="eastAsia"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3.合同履行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（1）起始日期：</w:t>
      </w:r>
      <w:r>
        <w:rPr>
          <w:rFonts w:hint="eastAsia" w:ascii="宋体" w:hAnsi="宋体" w:cs="宋体"/>
          <w:color w:val="000000" w:themeColor="text1"/>
          <w:sz w:val="24"/>
          <w:highlight w:val="none"/>
          <w:u w:val="single"/>
          <w14:textFill>
            <w14:solidFill>
              <w14:schemeClr w14:val="tx1"/>
            </w14:solidFill>
          </w14:textFill>
        </w:rPr>
        <w:t xml:space="preserve">2026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日，完成日期：</w:t>
      </w:r>
      <w:r>
        <w:rPr>
          <w:rFonts w:hint="eastAsia" w:ascii="宋体" w:hAnsi="宋体" w:cs="宋体"/>
          <w:color w:val="000000" w:themeColor="text1"/>
          <w:sz w:val="24"/>
          <w:highlight w:val="none"/>
          <w:u w:val="single"/>
          <w14:textFill>
            <w14:solidFill>
              <w14:schemeClr w14:val="tx1"/>
            </w14:solidFill>
          </w14:textFill>
        </w:rPr>
        <w:t xml:space="preserve">2026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ind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（2）履约地点</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连云港市东海生态环境局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（3）履约担保：</w:t>
      </w:r>
      <w:r>
        <w:rPr>
          <w:rFonts w:hint="eastAsia" w:ascii="宋体" w:hAnsi="宋体" w:cs="宋体"/>
          <w:color w:val="000000" w:themeColor="text1"/>
          <w:sz w:val="24"/>
          <w:highlight w:val="none"/>
          <w14:textFill>
            <w14:solidFill>
              <w14:schemeClr w14:val="tx1"/>
            </w14:solidFill>
          </w14:textFill>
        </w:rPr>
        <w:t xml:space="preserve">是否收取履约保证金：</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收取履约保证金形式：</w:t>
      </w:r>
      <w:r>
        <w:rPr>
          <w:rFonts w:hint="eastAsia" w:ascii="宋体" w:hAnsi="宋体" w:cs="宋体"/>
          <w:bCs/>
          <w:color w:val="000000" w:themeColor="text1"/>
          <w:sz w:val="24"/>
          <w:highlight w:val="none"/>
          <w:u w:val="single"/>
          <w14:textFill>
            <w14:solidFill>
              <w14:schemeClr w14:val="tx1"/>
            </w14:solidFill>
          </w14:textFill>
        </w:rPr>
        <w:t xml:space="preserve">支票、汇票、本票或者金融机构、担保机构出具的保函等非现金形式。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收取履约保证金金额：</w:t>
      </w:r>
      <w:r>
        <w:rPr>
          <w:rFonts w:hint="eastAsia" w:ascii="宋体" w:hAnsi="宋体" w:cs="宋体"/>
          <w:bCs/>
          <w:color w:val="000000" w:themeColor="text1"/>
          <w:sz w:val="24"/>
          <w:highlight w:val="none"/>
          <w:u w:val="single"/>
          <w14:textFill>
            <w14:solidFill>
              <w14:schemeClr w14:val="tx1"/>
            </w14:solidFill>
          </w14:textFill>
        </w:rPr>
        <w:t xml:space="preserve">政府采购合同金额的10%</w:t>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履约担保的退还：</w:t>
      </w:r>
      <w:r>
        <w:rPr>
          <w:rFonts w:hint="eastAsia" w:ascii="宋体" w:hAnsi="宋体" w:cs="宋体"/>
          <w:bCs/>
          <w:color w:val="000000" w:themeColor="text1"/>
          <w:sz w:val="24"/>
          <w:highlight w:val="none"/>
          <w:u w:val="single"/>
          <w14:textFill>
            <w14:solidFill>
              <w14:schemeClr w14:val="tx1"/>
            </w14:solidFill>
          </w14:textFill>
        </w:rPr>
        <w:t xml:space="preserve">全部货物供货及附属土建施工完成并经</w:t>
      </w:r>
      <w:r>
        <w:rPr>
          <w:rFonts w:hint="eastAsia" w:ascii="宋体" w:hAnsi="宋体" w:cs="宋体"/>
          <w:color w:val="000000" w:themeColor="text1"/>
          <w:sz w:val="24"/>
          <w:highlight w:val="none"/>
          <w:u w:val="single"/>
          <w14:textFill>
            <w14:solidFill>
              <w14:schemeClr w14:val="tx1"/>
            </w14:solidFill>
          </w14:textFill>
        </w:rPr>
        <w:t xml:space="preserve">验收合格后，</w:t>
      </w:r>
      <w:r>
        <w:rPr>
          <w:rFonts w:hint="eastAsia" w:ascii="宋体" w:hAnsi="宋体" w:cs="宋体"/>
          <w:bCs/>
          <w:color w:val="000000" w:themeColor="text1"/>
          <w:sz w:val="24"/>
          <w:highlight w:val="none"/>
          <w:u w:val="single"/>
          <w14:textFill>
            <w14:solidFill>
              <w14:schemeClr w14:val="tx1"/>
            </w14:solidFill>
          </w14:textFill>
        </w:rPr>
        <w:t xml:space="preserve">15日内退还。</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4.合同验收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（1）验收组织方式：</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自行组织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委托第三方组织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验收主体：</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连云港市东海生态环境局</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是，抽查比例：</w:t>
      </w:r>
      <w:r>
        <w:rPr>
          <w:rFonts w:hint="eastAsia" w:ascii="宋体" w:hAnsi="宋体" w:cs="宋体"/>
          <w:bCs/>
          <w:color w:val="000000" w:themeColor="text1"/>
          <w:sz w:val="24"/>
          <w:highlight w:val="none"/>
          <w:u w:val="single"/>
          <w14:textFill>
            <w14:solidFill>
              <w14:schemeClr w14:val="tx1"/>
            </w14:solidFill>
          </w14:textFill>
        </w:rPr>
        <w:t xml:space="preserve">按甲方要求</w:t>
      </w:r>
      <w:r>
        <w:rPr>
          <w:rFonts w:hint="eastAsia" w:ascii="宋体" w:hAnsi="宋体" w:cs="宋体"/>
          <w:bCs/>
          <w:color w:val="000000" w:themeColor="text1"/>
          <w:sz w:val="24"/>
          <w:highlight w:val="none"/>
          <w14:textFill>
            <w14:solidFill>
              <w14:schemeClr w14:val="tx1"/>
            </w14:solidFill>
          </w14:textFill>
        </w:rPr>
        <w:t xml:space="preserve">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验收组织的其他事项：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（2）履约验收时间：</w:t>
      </w:r>
      <w:r>
        <w:rPr>
          <w:rFonts w:hint="eastAsia" w:ascii="宋体" w:hAnsi="宋体" w:cs="宋体"/>
          <w:bCs/>
          <w:color w:val="000000" w:themeColor="text1"/>
          <w:sz w:val="24"/>
          <w:highlight w:val="none"/>
          <w:u w:val="single"/>
          <w14:textFill>
            <w14:solidFill>
              <w14:schemeClr w14:val="tx1"/>
            </w14:solidFill>
          </w14:textFill>
        </w:rPr>
        <w:t xml:space="preserve">采购人依法组织验收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（3）履约验收方式：</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一次性验收        </w:t>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（4）履约验收程序：</w:t>
      </w:r>
      <w:r>
        <w:rPr>
          <w:rFonts w:hint="eastAsia" w:ascii="宋体" w:hAnsi="宋体" w:cs="宋体"/>
          <w:bCs/>
          <w:color w:val="000000" w:themeColor="text1"/>
          <w:sz w:val="24"/>
          <w:highlight w:val="none"/>
          <w:u w:val="single"/>
          <w14:textFill>
            <w14:solidFill>
              <w14:schemeClr w14:val="tx1"/>
            </w14:solidFill>
          </w14:textFill>
        </w:rPr>
        <w:t xml:space="preserve">详见磋商文件。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（5）履约验收标准：</w:t>
      </w:r>
      <w:r>
        <w:rPr>
          <w:rFonts w:hint="eastAsia" w:ascii="宋体" w:hAnsi="宋体" w:cs="宋体"/>
          <w:bCs/>
          <w:color w:val="000000" w:themeColor="text1"/>
          <w:sz w:val="24"/>
          <w:highlight w:val="none"/>
          <w:u w:val="single"/>
          <w14:textFill>
            <w14:solidFill>
              <w14:schemeClr w14:val="tx1"/>
            </w14:solidFill>
          </w14:textFill>
        </w:rPr>
        <w:t xml:space="preserve">符合磋商文件技术要求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（6）是否以采购活动中供应商提供的样品作为参考：</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宋体" w:hAnsi="宋体" w:cs="宋体"/>
          <w:bCs/>
          <w:color w:val="000000" w:themeColor="text1"/>
          <w:sz w:val="24"/>
          <w:highlight w:val="none"/>
          <w14:textFill>
            <w14:solidFill>
              <w14:schemeClr w14:val="tx1"/>
            </w14:solidFill>
          </w14:textFill>
        </w:rPr>
        <w:t xml:space="preserve">否</w:t>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（7）履约验收其他事项：</w:t>
      </w:r>
      <w:r>
        <w:rPr>
          <w:rFonts w:hint="eastAsia" w:ascii="宋体" w:hAnsi="宋体" w:cs="宋体"/>
          <w:bCs/>
          <w:color w:val="000000" w:themeColor="text1"/>
          <w:sz w:val="24"/>
          <w:highlight w:val="none"/>
          <w:u w:val="single"/>
          <w14:textFill>
            <w14:solidFill>
              <w14:schemeClr w14:val="tx1"/>
            </w14:solidFill>
          </w14:textFill>
        </w:rPr>
        <w:t xml:space="preserve">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5.组成合同的文件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（1）政府采购合同协议书及其变更、补充协议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（2）政府采购合同专用条款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（3）政府采购合同通用条款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（4）中标（成交）通知书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（5）投标（响应）文件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（6）磋商文件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（7）有关技术文件，图纸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（8）国家法律、行政法规和规章制度规定或合同约定的作为合同组成部分的其他文件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6.合同生效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本合同自</w:t>
      </w:r>
      <w:r>
        <w:rPr>
          <w:rFonts w:hint="eastAsia" w:ascii="宋体" w:hAnsi="宋体" w:cs="宋体"/>
          <w:color w:val="000000" w:themeColor="text1"/>
          <w:sz w:val="24"/>
          <w:highlight w:val="none"/>
          <w:u w:val="single"/>
          <w14:textFill>
            <w14:solidFill>
              <w14:schemeClr w14:val="tx1"/>
            </w14:solidFill>
          </w14:textFill>
        </w:rPr>
        <w:t xml:space="preserve"> 双方签字盖章后 </w:t>
      </w:r>
      <w:r>
        <w:rPr>
          <w:rFonts w:hint="eastAsia" w:ascii="宋体" w:hAnsi="宋体" w:cs="宋体"/>
          <w:color w:val="000000" w:themeColor="text1"/>
          <w:sz w:val="24"/>
          <w:highlight w:val="none"/>
          <w14:textFill>
            <w14:solidFill>
              <w14:schemeClr w14:val="tx1"/>
            </w14:solidFill>
          </w14:textFill>
        </w:rPr>
        <w:t xml:space="preserve">生效。</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7.合同份数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本合同一式</w:t>
      </w:r>
      <w:r>
        <w:rPr>
          <w:rFonts w:hint="eastAsia" w:ascii="宋体" w:hAnsi="宋体" w:cs="宋体"/>
          <w:color w:val="000000" w:themeColor="text1"/>
          <w:sz w:val="24"/>
          <w:highlight w:val="none"/>
          <w:u w:val="single"/>
          <w14:textFill>
            <w14:solidFill>
              <w14:schemeClr w14:val="tx1"/>
            </w14:solidFill>
          </w14:textFill>
        </w:rPr>
        <w:t xml:space="preserve"> 陆 </w:t>
      </w:r>
      <w:r>
        <w:rPr>
          <w:rFonts w:hint="eastAsia" w:ascii="宋体" w:hAnsi="宋体" w:cs="宋体"/>
          <w:color w:val="000000" w:themeColor="text1"/>
          <w:sz w:val="24"/>
          <w:highlight w:val="none"/>
          <w14:textFill>
            <w14:solidFill>
              <w14:schemeClr w14:val="tx1"/>
            </w14:solidFill>
          </w14:textFill>
        </w:rPr>
        <w:t xml:space="preserve">份，甲方执</w:t>
      </w:r>
      <w:r>
        <w:rPr>
          <w:rFonts w:hint="eastAsia" w:ascii="宋体" w:hAnsi="宋体" w:cs="宋体"/>
          <w:color w:val="000000" w:themeColor="text1"/>
          <w:sz w:val="24"/>
          <w:highlight w:val="none"/>
          <w:u w:val="single"/>
          <w14:textFill>
            <w14:solidFill>
              <w14:schemeClr w14:val="tx1"/>
            </w14:solidFill>
          </w14:textFill>
        </w:rPr>
        <w:t xml:space="preserve">  叁 </w:t>
      </w:r>
      <w:r>
        <w:rPr>
          <w:rFonts w:hint="eastAsia" w:ascii="宋体" w:hAnsi="宋体" w:cs="宋体"/>
          <w:color w:val="000000" w:themeColor="text1"/>
          <w:sz w:val="24"/>
          <w:highlight w:val="none"/>
          <w14:textFill>
            <w14:solidFill>
              <w14:schemeClr w14:val="tx1"/>
            </w14:solidFill>
          </w14:textFill>
        </w:rPr>
        <w:t xml:space="preserve">份，乙方执</w:t>
      </w:r>
      <w:r>
        <w:rPr>
          <w:rFonts w:hint="eastAsia" w:ascii="宋体" w:hAnsi="宋体" w:cs="宋体"/>
          <w:color w:val="000000" w:themeColor="text1"/>
          <w:sz w:val="24"/>
          <w:highlight w:val="none"/>
          <w:u w:val="single"/>
          <w14:textFill>
            <w14:solidFill>
              <w14:schemeClr w14:val="tx1"/>
            </w14:solidFill>
          </w14:textFill>
        </w:rPr>
        <w:t xml:space="preserve"> 叁 </w:t>
      </w:r>
      <w:r>
        <w:rPr>
          <w:rFonts w:hint="eastAsia" w:ascii="宋体" w:hAnsi="宋体" w:cs="宋体"/>
          <w:color w:val="000000" w:themeColor="text1"/>
          <w:sz w:val="24"/>
          <w:highlight w:val="none"/>
          <w14:textFill>
            <w14:solidFill>
              <w14:schemeClr w14:val="tx1"/>
            </w14:solidFill>
          </w14:textFill>
        </w:rPr>
        <w:t xml:space="preserve">份，均具有同等法律效力。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合同订立时间：</w:t>
      </w:r>
      <w:r>
        <w:rPr>
          <w:rFonts w:hint="eastAsia" w:ascii="宋体" w:hAnsi="宋体" w:cs="宋体"/>
          <w:color w:val="000000" w:themeColor="text1"/>
          <w:sz w:val="24"/>
          <w:highlight w:val="none"/>
          <w:u w:val="single"/>
          <w14:textFill>
            <w14:solidFill>
              <w14:schemeClr w14:val="tx1"/>
            </w14:solidFill>
          </w14:textFill>
        </w:rPr>
        <w:t xml:space="preserve"> 2026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合同订立地点：</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附件：具体标的及其技术要求和商务要求等。</w:t>
      </w:r>
      <w:r>
        <w:rPr>
          <w:rFonts w:hint="eastAsia" w:ascii="宋体" w:hAnsi="宋体" w:cs="宋体"/>
          <w:color w:val="000000" w:themeColor="text1"/>
          <w:sz w:val="24"/>
          <w:highlight w:val="none"/>
          <w14:textFill>
            <w14:solidFill>
              <w14:schemeClr w14:val="tx1"/>
            </w14:solidFill>
          </w14:textFill>
        </w:rPr>
        <w:br w:type="page" w:clear="all"/>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bl>
      <w:tblPr>
        <w:tblStyle w:val="802"/>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14"/>
        <w:gridCol w:w="2129"/>
        <w:gridCol w:w="2279"/>
      </w:tblGrid>
      <w:tr>
        <w:trPr>
          <w:jc w:val="cente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乙方（供应商）</w:t>
            </w:r>
            <w:r/>
          </w:p>
        </w:tc>
      </w:tr>
      <w:tr>
        <w:trPr>
          <w:jc w:val="center"/>
          <w:trHeight w:val="917"/>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1171"/>
        </w:trPr>
        <w:tc>
          <w:tcPr>
            <w:tcBorders>
              <w:top w:val="single" w:color="auto" w:sz="2" w:space="0"/>
              <w:right w:val="single" w:color="auto" w:sz="2" w:space="0"/>
            </w:tcBorders>
            <w:tcW w:w="1225" w:type="pct"/>
            <w:vAlign w:val="center"/>
            <w:vMerge w:val="restart"/>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115"/>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或其委托代理人（签章）</w:t>
            </w:r>
            <w:r/>
          </w:p>
        </w:tc>
        <w:tc>
          <w:tcPr>
            <w:tcBorders>
              <w:top w:val="single" w:color="auto" w:sz="2" w:space="0"/>
              <w:left w:val="single" w:color="auto" w:sz="2" w:space="0"/>
              <w:right w:val="single" w:color="auto" w:sz="2" w:space="0"/>
            </w:tcBorders>
            <w:tcW w:w="1335" w:type="pct"/>
            <w:vAlign w:val="center"/>
            <w:vMerge w:val="restart"/>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483"/>
        </w:trPr>
        <w:tc>
          <w:tcPr>
            <w:tcBorders>
              <w:bottom w:val="single" w:color="auto" w:sz="2" w:space="0"/>
              <w:right w:val="single" w:color="auto" w:sz="2" w:space="0"/>
            </w:tcBorders>
            <w:tcW w:w="1225" w:type="pct"/>
            <w:vAlign w:val="center"/>
            <w:vMerge w:val="continue"/>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22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56"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注：涉及联合体或其他合同主体的信息应按上表格式加列。</w:t>
            </w:r>
            <w:r/>
          </w:p>
        </w:tc>
      </w:tr>
    </w:tbl>
    <w:p>
      <w:pPr>
        <w:jc w:val="center"/>
        <w:keepLines/>
        <w:keepNext/>
        <w:spacing w:before="156"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u w:val="single"/>
          <w14:textFill>
            <w14:solidFill>
              <w14:schemeClr w14:val="tx1"/>
            </w14:solidFill>
          </w14:textFill>
        </w:rPr>
        <w:br w:type="page" w:clear="all"/>
      </w:r>
      <w:bookmarkStart w:id="142" w:name="_Toc27624"/>
      <w:r>
        <w:rPr>
          <w:rFonts w:hint="eastAsia" w:ascii="宋体" w:hAnsi="宋体" w:cs="宋体"/>
          <w:color w:val="000000" w:themeColor="text1"/>
          <w:sz w:val="24"/>
          <w:highlight w:val="none"/>
          <w14:textFill>
            <w14:solidFill>
              <w14:schemeClr w14:val="tx1"/>
            </w14:solidFill>
          </w14:textFill>
        </w:rPr>
        <w:t xml:space="preserve">第二节 政府采购合同通用条款</w:t>
      </w:r>
      <w:bookmarkEnd w:id="142"/>
      <w:r/>
      <w:r/>
    </w:p>
    <w:p>
      <w:pPr>
        <w:ind w:firstLine="482"/>
        <w:jc w:val="left"/>
        <w:spacing w:line="360" w:lineRule="auto"/>
        <w:tabs>
          <w:tab w:val="left" w:pos="8820" w:leader="none"/>
          <w:tab w:val="left" w:pos="9345" w:leader="none"/>
          <w:tab w:val="left" w:pos="97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1.1合同当事人</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 w:val="24"/>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570" w:leader="none"/>
          <w:tab w:val="left" w:pos="9240" w:leader="none"/>
          <w:tab w:val="left" w:pos="95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1.2本合同下列术语应解释为：</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（1）“合同”系指</w:t>
      </w:r>
      <w:r>
        <w:rPr>
          <w:rFonts w:hint="eastAsia" w:ascii="宋体" w:hAnsi="宋体" w:cs="宋体"/>
          <w:bCs/>
          <w:color w:val="000000" w:themeColor="text1"/>
          <w:sz w:val="24"/>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sz w:val="24"/>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技术资料和材料等。</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义务。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tabs>
          <w:tab w:val="left" w:pos="570" w:leader="none"/>
          <w:tab w:val="left" w:pos="9240" w:leader="none"/>
          <w:tab w:val="left" w:pos="95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（7）其他术语解释，见【</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480"/>
        <w:jc w:val="left"/>
        <w:spacing w:line="360" w:lineRule="auto"/>
        <w:rPr>
          <w:rFonts w:hint="eastAsia" w:ascii="宋体" w:hAnsi="宋体" w:cs="宋体"/>
          <w:b/>
          <w:bCs/>
          <w:i/>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任何费用。</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履行合同的时间、地点和方式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乙方应当在约定的时间、地点，按照约定方式履行合同。</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甲方的权利和义务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甲方有权要求乙方对缺陷部分予以修复，并按合同约定享有货物保修及其他合同约定的权利。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约定的期限内对乙方履约提出任何异议或者向乙方作出任何说明的，视为验收通过。</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4.6 国家法律法规规定及</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约定应由甲方承担的其他义务和责任。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 乙方的权利和义务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签署合同后，乙方应确定项目负责人（或项目联系人），负责与本合同有关的事务。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5.3乙方有权根据合同约定向甲方收取合同价款。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5.4国家法律法规规定及</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约定应由乙方承担的其他义务和责任。</w:t>
      </w:r>
      <w:r/>
    </w:p>
    <w:p>
      <w:pPr>
        <w:numPr>
          <w:ilvl w:val="0"/>
          <w:numId w:val="2"/>
        </w:num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甲乙双方应当按照</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约定顺序履行合同义务；如果没有先后顺序的，应当同时履行。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 货物包装、运输、保险和交付要求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本合同</w:t>
      </w:r>
      <w:r>
        <w:rPr>
          <w:rFonts w:hint="eastAsia" w:ascii="宋体" w:hAnsi="宋体" w:cs="宋体"/>
          <w:bCs/>
          <w:color w:val="000000" w:themeColor="text1"/>
          <w:sz w:val="24"/>
          <w:highlight w:val="none"/>
          <w14:textFill>
            <w14:solidFill>
              <w14:schemeClr w14:val="tx1"/>
            </w14:solidFill>
          </w14:textFill>
        </w:rPr>
        <w:t xml:space="preserve">涉及商品包装、快递包装的，</w:t>
      </w:r>
      <w:r>
        <w:rPr>
          <w:rFonts w:hint="eastAsia" w:ascii="宋体" w:hAnsi="宋体" w:cs="宋体"/>
          <w:color w:val="000000" w:themeColor="text1"/>
          <w:sz w:val="24"/>
          <w:highlight w:val="none"/>
          <w14:textFill>
            <w14:solidFill>
              <w14:schemeClr w14:val="tx1"/>
            </w14:solidFill>
          </w14:textFill>
        </w:rPr>
        <w:t xml:space="preserve">除</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另有约定外，</w:t>
      </w:r>
      <w:r>
        <w:rPr>
          <w:rFonts w:hint="eastAsia" w:ascii="宋体" w:hAnsi="宋体" w:cs="宋体"/>
          <w:color w:val="000000" w:themeColor="text1"/>
          <w:sz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约定的</w:t>
      </w:r>
      <w:r>
        <w:rPr>
          <w:rFonts w:hint="eastAsia" w:ascii="宋体" w:hAnsi="宋体" w:cs="宋体"/>
          <w:color w:val="000000" w:themeColor="text1"/>
          <w:sz w:val="24"/>
          <w:highlight w:val="none"/>
          <w14:textFill>
            <w14:solidFill>
              <w14:schemeClr w14:val="tx1"/>
            </w14:solidFill>
          </w14:textFill>
        </w:rPr>
        <w:t xml:space="preserve">指定现场。</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除</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另有约定外，</w:t>
      </w:r>
      <w:r>
        <w:rPr>
          <w:rFonts w:hint="eastAsia" w:ascii="宋体" w:hAnsi="宋体" w:cs="宋体"/>
          <w:color w:val="000000" w:themeColor="text1"/>
          <w:sz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货物保险要求按</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规定执行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乙方在运输到达之前应提前通知甲方，并提示货物运输装卸的注意事项，甲方配合乙方做好货物的接收工作。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 质量标准和保证</w:t>
      </w:r>
      <w:r/>
    </w:p>
    <w:p>
      <w:pPr>
        <w:ind w:firstLine="480"/>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质量标准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（2）采用中华人民共和国法定计量单位。</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（3）乙方所提供的货物应符合国家有关安全、环保、卫生的规定。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保证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规定或乙方书面承诺（两者以较长的为准）的质量保证期内，本保证保持有效。</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（2）在质量保证期内所发现的缺陷，甲方应尽快以书面形式通知乙方。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（3）乙方收到通知后，应在</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规定的响应时间内以合理的速度免费维修或更换有缺陷的货物或部件。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 权利瑕疵担保</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 乙方保证对其出售的货物享有合法的权利。</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 乙方保证在交付的货物上不存在抵押权等担保物权。</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 如甲方使用上述货物构成对第三人侵权的，则由乙方承担全部责任。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 知识产权保护</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43" w:name="_Hlk163047038"/>
      <w:r>
        <w:rPr>
          <w:rFonts w:hint="eastAsia" w:ascii="宋体" w:hAnsi="宋体" w:cs="宋体"/>
          <w:color w:val="000000" w:themeColor="text1"/>
          <w:sz w:val="24"/>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43"/>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保密义务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中约定。</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 合同价款支付</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 合同价款支付按照国库集中支付制度及财政管理相关规定执行。</w:t>
      </w:r>
      <w:r/>
    </w:p>
    <w:p>
      <w:pPr>
        <w:ind w:firstLine="480"/>
        <w:keepLines/>
        <w:keepNext/>
        <w:spacing w:line="360" w:lineRule="auto"/>
        <w:rPr>
          <w:rFonts w:hint="eastAsia"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】中约定。</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 履约保证金</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 乙方应当以支票、汇票、本票或者金融机构、担保机构出具的保函等非现金形式提交。</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 如果乙方出现</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 甲方在项目通过验收后按照</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规定支付。</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 除项目不涉及或采购活动中明确约定无须承担外，乙方还应提供下列服务：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（1）货物的现场移动、安装、调试、启动监督及技术支持；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（2）提供货物组装和维修所需的专用工具和辅助材料；</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（4）在制造商所在地或指定现场就货物的安装、启动、运营、维护、废弃处置等对甲方操作人员进行培训；</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规定由乙方提供的其他服务。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 乙方提供的售后服务的费用已包含在合同价款中，甲方不再另行支付。</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 违约责任</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15.1质量瑕疵的违约责任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要求</w:t>
      </w:r>
      <w:r>
        <w:rPr>
          <w:rFonts w:hint="eastAsia" w:ascii="宋体" w:hAnsi="宋体" w:cs="宋体"/>
          <w:color w:val="000000" w:themeColor="text1"/>
          <w:sz w:val="24"/>
          <w:highlight w:val="none"/>
          <w14:textFill>
            <w14:solidFill>
              <w14:schemeClr w14:val="tx1"/>
            </w14:solidFill>
          </w14:textFill>
        </w:rPr>
        <w:t xml:space="preserve">及时修理、重作、更换，并承担由此给甲方造成的损失。</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15.2 迟延交货的违约责任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15.3 迟延支付的违约责任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规定的逾期付款利息。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15.4其他违约责任根据项目实际需要按</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规定执行。</w:t>
      </w:r>
      <w:r/>
    </w:p>
    <w:p>
      <w:pPr>
        <w:numPr>
          <w:ilvl w:val="0"/>
          <w:numId w:val="3"/>
        </w:num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16.1合同的变更</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16.2合同的中止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（4）甲方不得以行政区划调整、政府换届、机构或者职能调整以及相关责任人更替为由中止合同。</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16.3合同的终止</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（1）合同因有效期限届满而终止；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（2）乙方未按合同约定履行，构成根本性违约的，甲方有权终止合同，并追究乙方的违约责任。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16.4 涉及国家利益、社会公共利益的情形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合同分包</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不可抗力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 不可抗力是指合同双方不能预见、不能避免且不能克服的客观情况。</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 解决争议的方法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19.2 选择仲裁的，应在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19.3 如甲乙双方有争议的事项不影响合同其他部分的履行，在争议解决期间，合同其他部分应当继续履行。</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 政府采购政策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 </w:t>
      </w:r>
      <w:r>
        <w:rPr>
          <w:rFonts w:hint="eastAsia" w:ascii="宋体" w:hAnsi="宋体" w:cs="宋体"/>
          <w:color w:val="000000" w:themeColor="text1"/>
          <w:sz w:val="24"/>
          <w:highlight w:val="none"/>
          <w:lang w:val="en-GB"/>
          <w14:textFill>
            <w14:solidFill>
              <w14:schemeClr w14:val="tx1"/>
            </w14:solidFill>
          </w14:textFill>
        </w:rPr>
        <w:t xml:space="preserve">本合同应当按照规定执行政府采购政策。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 本合同依法执行政府采购政策的方式和内容，属于合同履约验收的范围。甲乙双方</w:t>
      </w:r>
      <w:r>
        <w:rPr>
          <w:rFonts w:hint="eastAsia" w:ascii="宋体" w:hAnsi="宋体" w:cs="宋体"/>
          <w:color w:val="000000" w:themeColor="text1"/>
          <w:sz w:val="24"/>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sz w:val="24"/>
          <w:highlight w:val="none"/>
          <w14:textFill>
            <w14:solidFill>
              <w14:schemeClr w14:val="tx1"/>
            </w14:solidFill>
          </w14:textFill>
        </w:rPr>
        <w:t xml:space="preserve">，有过错的一方应当承担赔偿责任，双方都有过错的，各自承担相应的责任。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 法律适用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 本合同的订立、生效、解释、履行及与本合同有关的争议解决，均适用法律、行政法规。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 通知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22.4通知以送达之日或通知书中规定的生效之日起生效，两者中以较迟之日为准。</w:t>
      </w:r>
      <w:r/>
    </w:p>
    <w:p>
      <w:pPr>
        <w:numPr>
          <w:ilvl w:val="0"/>
          <w:numId w:val="4"/>
        </w:num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23.1合同未尽事项见</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23.2 合同附件与合同正文具有同等的法律效力。</w:t>
      </w:r>
      <w:bookmarkStart w:id="144" w:name="_Toc20313"/>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23.3 甲方保留对合同修改和完善的权利。</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keepLines/>
        <w:keepNext/>
        <w:spacing w:line="360" w:lineRule="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第三节 政府采购合同专用条款</w:t>
      </w:r>
      <w:bookmarkEnd w:id="144"/>
      <w:r/>
      <w:r/>
    </w:p>
    <w:tbl>
      <w:tblPr>
        <w:tblStyle w:val="802"/>
        <w:tblW w:w="9066"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36"/>
        <w:gridCol w:w="2520"/>
        <w:gridCol w:w="4710"/>
      </w:tblGrid>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第1.2（6）项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联合体具体要求</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不接受联合体</w:t>
            </w:r>
            <w:r/>
          </w:p>
        </w:tc>
      </w:tr>
      <w:tr>
        <w:trPr>
          <w:trHeight w:val="604"/>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第1.2（7）项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其他术语解释</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第4.4款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履约验收中甲方提出异议或作出说明的期限</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如有质量异议，乙方应在接到甲方异议的3天内做出书面答复，逾期则视为乙方同意甲方提出的异议和处理意见</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第4.6款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约定甲方承担的其他义务和责任</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（1）尊重乙方的正当合法权益，按照合同约定的条件，按时支付款项；</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（2）接收货物的义务；</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（3）根据合同约定的标准和时间，验收货物的义务；</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（4）如发生验收不通过，返厂维修、退货时，有相关退货及重新验收的义务；</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第5.4款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约定乙方承担的其他义务和责任</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1、乙方应按磋商文件规定的时间向甲方提供使用货物的有关技术资料。</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2、乙方交货前应对产品作出全面检查和对验收文件进行整理，并列出清单，作为甲方收货验收和使用的技术条件依据，检验的结果应随货物交甲方。</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应按磋商文件规定的货物性能、技术要求、质量标准向甲方提供未经使用的全新产品。乙方需在货物定制（生产）2日前将中标项目所需供货技术参数、数量等报给甲方审核确认，如未经甲方许可进行生产，甲方有权拒绝其供货，且可以要求乙方赔偿给甲方造成的损失。</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第6.1款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履行合同义务的顺序</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按照国家法律法规要求执行</w:t>
            </w:r>
            <w:r/>
          </w:p>
        </w:tc>
      </w:tr>
      <w:tr>
        <w:trPr>
          <w:trHeight w:val="667"/>
        </w:trPr>
        <w:tc>
          <w:tcPr>
            <w:tcW w:w="1836" w:type="dxa"/>
            <w:vAlign w:val="center"/>
            <w:vMerge w:val="restart"/>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第7.1款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包装特殊要求</w:t>
            </w:r>
            <w:r/>
          </w:p>
        </w:tc>
        <w:tc>
          <w:tcPr>
            <w:tcW w:w="471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绿色环保</w:t>
            </w:r>
            <w:r/>
          </w:p>
        </w:tc>
      </w:tr>
      <w:tr>
        <w:trPr>
          <w:trHeight w:val="667"/>
        </w:trPr>
        <w:tc>
          <w:tcPr>
            <w:tcW w:w="1836" w:type="dxa"/>
            <w:vAlign w:val="center"/>
            <w:vMerge w:val="continue"/>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指定现场</w:t>
            </w:r>
            <w:r/>
          </w:p>
        </w:tc>
        <w:tc>
          <w:tcPr>
            <w:tcW w:w="471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连云港市东海生态环境局</w:t>
            </w:r>
            <w:r/>
          </w:p>
        </w:tc>
      </w:tr>
      <w:tr>
        <w:trPr>
          <w:trHeight w:val="502"/>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第7.2款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运输特殊要求</w:t>
            </w:r>
            <w:r/>
          </w:p>
        </w:tc>
        <w:tc>
          <w:tcPr>
            <w:tcW w:w="471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1、使用说明书、质量检验证明书、随配附件和工具以及清单一并附于货物内。</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2、乙方在货物发运手续办理完毕后24小时内或货到甲方48小时前通知甲方，以准备接货。</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3、货物在交付甲方前发生的风险均由乙方负责。</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4、货物在规定的交付期限内由乙方送达甲方指定的地点视为交付，乙方同时需通知甲方货物已送达。</w:t>
            </w:r>
            <w:r/>
          </w:p>
        </w:tc>
      </w:tr>
      <w:tr>
        <w:trPr>
          <w:trHeight w:val="667"/>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第7.3款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保险要求</w:t>
            </w:r>
            <w:r/>
          </w:p>
        </w:tc>
        <w:tc>
          <w:tcPr>
            <w:tcW w:w="471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安装实施过程中发生的一切安全问题均由乙方自行承担；乙方必须安排具有相应资格人员参与安装实施，进场安装实施人员在本项目履约期间具有人身意外伤害险；在安装实施中要严格按行业规定进行安装实施，若出现任何安全事故，责任由乙方自行承担</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第8.2（1）项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质量保证期</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1年（以验收合格之日起计算）</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第8.2（3）项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货物质量缺陷响应时间</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在安装调试和质保期内，供应商应保证提供及时充足的技术服务。设备系统出现故障时，一般问题须1小时内电话支持；重点、难点问题须12小时内到达现场维修，24小时内解决问题。 </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第11.1款</w:t>
            </w:r>
            <w:r/>
          </w:p>
        </w:tc>
        <w:tc>
          <w:tcPr>
            <w:tcW w:w="252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其他应当保密的信息</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乙方应保证，甲方使用该货物或货物的任何一部分时，免受第三方提出的侵犯其专利权、商标权或其他知识产权的起诉。如发生此类纠纷，由乙方承担一切责任</w:t>
            </w:r>
            <w:r/>
          </w:p>
        </w:tc>
      </w:tr>
      <w:tr>
        <w:trPr>
          <w:trHeight w:val="697"/>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第12.2款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合同价款支付时间</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97"/>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第13.2款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履约保证金不予退还的情形</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不收取履约保证金</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第13.3款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履约保证金退还时间</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不收取履约保证金</w:t>
            </w:r>
            <w:r/>
          </w:p>
        </w:tc>
      </w:tr>
      <w:tr>
        <w:trPr>
          <w:trHeight w:val="604"/>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第14.1（3）项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运行监督、维修期限</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同质保期</w:t>
            </w:r>
            <w:r/>
          </w:p>
        </w:tc>
      </w:tr>
      <w:tr>
        <w:trPr>
          <w:trHeight w:val="409"/>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第14.1（5）项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货物回收的约定</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第14.1（6）项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乙方提供的其他服务</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应甲方要求，乙方应提供下列服务，所有服务费用已包含在合同总价中。</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1.安装</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1.1乙方必须向甲方提供合同货物所需的材料及技术资料以及组装/维修所需工具。</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1.2乙方已对甲方现场进行详细考察，完全了解现场的状况及环境要求，并承诺不因上述原因对甲方索赔。</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1.3在合同规定的期限内对所提供的标的物实行使用监督、维修服务的前提条件是该服务并不能免除乙方在质量保证期内所承担的义务。</w:t>
            </w:r>
            <w:r/>
          </w:p>
        </w:tc>
      </w:tr>
      <w:tr>
        <w:trPr>
          <w:trHeight w:val="481"/>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第15.1款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修理、重作、更换相关具体规定</w:t>
            </w:r>
            <w:r/>
          </w:p>
        </w:tc>
        <w:tc>
          <w:tcPr>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乙方对所供货物与技术要求不符负有责任，如经检测证实不符或缺陷存在的，包括潜在的缺陷或使用不合适的材料，甲方可根据本</w:t>
            </w:r>
            <w:r>
              <w:rPr>
                <w:rFonts w:hint="eastAsia" w:ascii="宋体" w:hAnsi="宋体" w:cs="宋体"/>
                <w:color w:val="000000" w:themeColor="text1"/>
                <w:sz w:val="24"/>
                <w:highlight w:val="none"/>
                <w14:textFill>
                  <w14:solidFill>
                    <w14:schemeClr w14:val="tx1"/>
                  </w14:solidFill>
                </w14:textFill>
              </w:rPr>
              <w:t xml:space="preserve">合同有关质量保证或检验、安装的规定，在质量保证期内及时提出索赔，乙方同意甲方选择下述一种或多种结合的方法解决索赔事宜：1、乙方同意甲方退货，乙方承担由此发生的一切损失和费用，包括利息、银行手续费、运费、保险费、检验费、仓储费、装卸费以及为保管、维护和退回被拒收货物所发生的其他必要费用。2、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bookmarkStart w:id="145" w:name="auto_fouce_16"/>
            <w:r>
              <w:rPr>
                <w:rFonts w:hint="eastAsia" w:ascii="宋体" w:hAnsi="宋体" w:cs="宋体"/>
                <w:color w:val="000000" w:themeColor="text1"/>
                <w:sz w:val="24"/>
                <w:highlight w:val="none"/>
                <w14:textFill>
                  <w14:solidFill>
                    <w14:schemeClr w14:val="tx1"/>
                  </w14:solidFill>
                </w14:textFill>
              </w:rPr>
              <w:t xml:space="preserve">如质保期内同一部件出现三次以上质量问题，乙方除免费更换外需额外支付相当于该部件价值200%的质量处罚金。</w:t>
            </w:r>
            <w:bookmarkEnd w:id="145"/>
            <w:r>
              <w:rPr>
                <w:rFonts w:hint="eastAsia" w:ascii="宋体" w:hAnsi="宋体" w:cs="宋体"/>
                <w:color w:val="000000" w:themeColor="text1"/>
                <w:sz w:val="24"/>
                <w:highlight w:val="none"/>
                <w14:textFill>
                  <w14:solidFill>
                    <w14:schemeClr w14:val="tx1"/>
                  </w14:solidFill>
                </w14:textFill>
              </w:rPr>
              <w:t xml:space="preserve">3、乙方收到索赔通知后3天内，未给甲方答复的，视为索赔已被乙方接受。乙方未能在收到索赔通知后3天内，或征得甲方同意的延长期限内，按照甲方从上列方法中选择的方案解决索赔事宜的，甲方将有权从未付货款中扣回索赔金额，同时保留进一步要求索赔的权利。甲方有权优先选择解除合同并要求乙方支付合同总金额20%的违约金，且不排除同时主张损失赔偿的权利。若质量问题涉及安全隐患，乙方需按该批次货物价值的300%承担惩罚性赔偿责任。</w:t>
            </w:r>
            <w:r/>
          </w:p>
        </w:tc>
      </w:tr>
      <w:tr>
        <w:trPr>
          <w:trHeight w:val="73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第15.2（2）项</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迟延交货赔偿费</w:t>
            </w:r>
            <w:r/>
          </w:p>
        </w:tc>
        <w:tc>
          <w:tcPr>
            <w:tcW w:w="4710" w:type="dxa"/>
            <w:vAlign w:val="center"/>
            <w:textDirection w:val="lrTb"/>
            <w:noWrap w:val="false"/>
          </w:tcPr>
          <w:p>
            <w:pPr>
              <w:jc w:val="left"/>
              <w:rPr>
                <w:rFonts w:hint="eastAsia" w:ascii="宋体" w:hAnsi="宋体" w:cs="宋体"/>
                <w:color w:val="000000" w:themeColor="text1"/>
                <w:sz w:val="24"/>
                <w:highlight w:val="none"/>
                <w:u w:val="single"/>
                <w14:textFill>
                  <w14:solidFill>
                    <w14:schemeClr w14:val="tx1"/>
                  </w14:solidFill>
                </w14:textFill>
              </w:rPr>
            </w:pPr>
            <w:r/>
            <w:bookmarkStart w:id="146" w:name="auto_fouce_17"/>
            <w:r>
              <w:rPr>
                <w:rFonts w:hint="eastAsia" w:ascii="宋体" w:hAnsi="宋体" w:cs="宋体"/>
                <w:color w:val="000000" w:themeColor="text1"/>
                <w:sz w:val="24"/>
                <w:highlight w:val="none"/>
                <w14:textFill>
                  <w14:solidFill>
                    <w14:schemeClr w14:val="tx1"/>
                  </w14:solidFill>
                </w14:textFill>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迟延货物对应合同金额的每日0.3%累加计算（不低于5000元/天），最高不超过迟延部分合同金额的30%，且误期不能超出5个工作日。一旦达此限期，甲方有权解除合同。</w:t>
            </w:r>
            <w:bookmarkEnd w:id="146"/>
            <w:r/>
            <w:r/>
          </w:p>
        </w:tc>
      </w:tr>
      <w:tr>
        <w:trPr>
          <w:trHeight w:val="556"/>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第15.3款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逾期付款利息</w:t>
            </w:r>
            <w:r/>
          </w:p>
        </w:tc>
        <w:tc>
          <w:tcPr>
            <w:tcW w:w="4710" w:type="dxa"/>
            <w:vAlign w:val="center"/>
            <w:textDirection w:val="lrTb"/>
            <w:noWrap w:val="false"/>
          </w:tcPr>
          <w:p>
            <w:pPr>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w:t>
            </w:r>
            <w:r/>
          </w:p>
        </w:tc>
      </w:tr>
      <w:tr>
        <w:trPr>
          <w:trHeight w:val="876"/>
        </w:trPr>
        <w:tc>
          <w:tcPr>
            <w:tcBorders>
              <w:bottom w:val="single" w:color="auto" w:sz="2" w:space="0"/>
              <w:right w:val="single" w:color="auto" w:sz="2" w:space="0"/>
            </w:tcBorders>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其他违约责任</w:t>
            </w:r>
            <w:r/>
          </w:p>
        </w:tc>
        <w:tc>
          <w:tcPr>
            <w:tcBorders>
              <w:left w:val="single" w:color="auto" w:sz="2" w:space="0"/>
              <w:bottom w:val="single" w:color="auto" w:sz="2" w:space="0"/>
            </w:tcBorders>
            <w:tcW w:w="471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因乙方原因造成逾期交付货物的，乙方应按逾期交货总额每日千分之三向甲方支付违约金，由甲方从待付合同款中扣除，如逾期超过约定日期3个工作日不能交货的，甲方有权扣除履约保证金并解除本合同。乙方因逾期交货或因其他违约行为导致甲方解除合同的，乙方应向甲方支付合同总值5%的违约金，如造成甲方损失超过违约金的，超出部分由乙方继续承担赔偿责任</w:t>
            </w:r>
            <w:r/>
          </w:p>
          <w:p>
            <w:pPr>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所交的货物品种、型号、规格、技术参数、质量不符合合同规定及磋商文件规定标准的，甲方有权拒收该货物，乙方愿意更换货物但逾期交货的，按乙方逾期交货处理。乙方拒绝更换货物的，甲方可单方面解除合同并承担由此给甲方造成的全部损失。</w:t>
            </w:r>
            <w:r/>
          </w:p>
        </w:tc>
      </w:tr>
      <w:tr>
        <w:trPr>
          <w:trHeight w:val="90"/>
        </w:trPr>
        <w:tc>
          <w:tcPr>
            <w:tcBorders>
              <w:top w:val="single" w:color="auto" w:sz="2" w:space="0"/>
              <w:right w:val="single" w:color="auto" w:sz="2" w:space="0"/>
            </w:tcBorders>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解决争议的方法</w:t>
            </w:r>
            <w:r/>
          </w:p>
        </w:tc>
        <w:tc>
          <w:tcPr>
            <w:tcBorders>
              <w:top w:val="single" w:color="auto" w:sz="2" w:space="0"/>
              <w:left w:val="single" w:color="auto" w:sz="2" w:space="0"/>
            </w:tcBorders>
            <w:tcW w:w="4710" w:type="dxa"/>
            <w:vAlign w:val="center"/>
            <w:textDirection w:val="lrTb"/>
            <w:noWrap w:val="false"/>
          </w:tcPr>
          <w:p>
            <w:pPr>
              <w:jc w:val="left"/>
              <w:spacing w:line="400" w:lineRule="exact"/>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因本合同及合同有关事项发生的争议，按下列第</w:t>
            </w:r>
            <w:r>
              <w:rPr>
                <w:rFonts w:hint="eastAsia" w:ascii="宋体" w:hAnsi="宋体" w:cs="宋体"/>
                <w:iCs/>
                <w:color w:val="000000" w:themeColor="text1"/>
                <w:sz w:val="24"/>
                <w:highlight w:val="none"/>
                <w:u w:val="single"/>
                <w14:textFill>
                  <w14:solidFill>
                    <w14:schemeClr w14:val="tx1"/>
                  </w14:solidFill>
                </w14:textFill>
              </w:rPr>
              <w:t xml:space="preserve"> 2 </w:t>
            </w:r>
            <w:r>
              <w:rPr>
                <w:rFonts w:hint="eastAsia" w:ascii="宋体" w:hAnsi="宋体" w:cs="宋体"/>
                <w:iCs/>
                <w:color w:val="000000" w:themeColor="text1"/>
                <w:sz w:val="24"/>
                <w:highlight w:val="none"/>
                <w14:textFill>
                  <w14:solidFill>
                    <w14:schemeClr w14:val="tx1"/>
                  </w14:solidFill>
                </w14:textFill>
              </w:rPr>
              <w:t xml:space="preserve">种方式解决：</w:t>
            </w:r>
            <w:r/>
          </w:p>
          <w:p>
            <w:pPr>
              <w:jc w:val="left"/>
              <w:spacing w:line="400" w:lineRule="exact"/>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（1）向</w:t>
            </w:r>
            <w:r>
              <w:rPr>
                <w:rFonts w:hint="eastAsia" w:ascii="宋体" w:hAnsi="宋体" w:cs="宋体"/>
                <w:iCs/>
                <w:color w:val="000000" w:themeColor="text1"/>
                <w:sz w:val="24"/>
                <w:highlight w:val="none"/>
                <w:u w:val="singl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仲裁委员会申请仲裁，仲裁地点为</w:t>
            </w:r>
            <w:r>
              <w:rPr>
                <w:rFonts w:hint="eastAsia" w:ascii="宋体" w:hAnsi="宋体" w:cs="宋体"/>
                <w:iCs/>
                <w:color w:val="000000" w:themeColor="text1"/>
                <w:sz w:val="24"/>
                <w:highlight w:val="none"/>
                <w:u w:val="single"/>
                <w14:textFill>
                  <w14:solidFill>
                    <w14:schemeClr w14:val="tx1"/>
                  </w14:solidFill>
                </w14:textFill>
              </w:rPr>
              <w:t xml:space="preserve">/</w:t>
            </w:r>
            <w:r>
              <w:rPr>
                <w:rFonts w:hint="eastAsia" w:ascii="宋体" w:hAnsi="宋体" w:cs="宋体"/>
                <w:iCs/>
                <w:color w:val="000000" w:themeColor="text1"/>
                <w:sz w:val="24"/>
                <w:highlight w:val="none"/>
                <w14:textFill>
                  <w14:solidFill>
                    <w14:schemeClr w14:val="tx1"/>
                  </w14:solidFill>
                </w14:textFill>
              </w:rPr>
              <w:t xml:space="preserve">；</w:t>
            </w:r>
            <w:r/>
          </w:p>
          <w:p>
            <w:pPr>
              <w:jc w:val="lef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（2）向</w:t>
            </w:r>
            <w:r>
              <w:rPr>
                <w:rFonts w:hint="eastAsia" w:ascii="宋体" w:hAnsi="宋体" w:cs="宋体"/>
                <w:iCs/>
                <w:color w:val="000000" w:themeColor="text1"/>
                <w:sz w:val="24"/>
                <w:highlight w:val="none"/>
                <w:u w:val="single"/>
                <w14:textFill>
                  <w14:solidFill>
                    <w14:schemeClr w14:val="tx1"/>
                  </w14:solidFill>
                </w14:textFill>
              </w:rPr>
              <w:t xml:space="preserve">连云港市东海县</w:t>
            </w:r>
            <w:r>
              <w:rPr>
                <w:rFonts w:hint="eastAsia" w:ascii="宋体" w:hAnsi="宋体" w:cs="宋体"/>
                <w:iCs/>
                <w:color w:val="000000" w:themeColor="text1"/>
                <w:sz w:val="24"/>
                <w:highlight w:val="none"/>
                <w14:textFill>
                  <w14:solidFill>
                    <w14:schemeClr w14:val="tx1"/>
                  </w14:solidFill>
                </w14:textFill>
              </w:rPr>
              <w:t xml:space="preserve">人民法院起诉。</w:t>
            </w:r>
            <w:r/>
          </w:p>
        </w:tc>
      </w:tr>
      <w:tr>
        <w:trPr>
          <w:trHeight w:val="548"/>
        </w:trPr>
        <w:tc>
          <w:tcPr>
            <w:tcW w:w="1836"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第23.1款</w:t>
            </w:r>
            <w:r/>
          </w:p>
        </w:tc>
        <w:tc>
          <w:tcPr>
            <w:tcW w:w="2520" w:type="dxa"/>
            <w:vAlign w:val="center"/>
            <w:textDirection w:val="lrTb"/>
            <w:noWrap w:val="false"/>
          </w:tcPr>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其他专用条款</w:t>
            </w:r>
            <w:r/>
          </w:p>
        </w:tc>
        <w:tc>
          <w:tcPr>
            <w:tcW w:w="4710" w:type="dxa"/>
            <w:vAlign w:val="center"/>
            <w:textDirection w:val="lrTb"/>
            <w:noWrap w:val="false"/>
          </w:tcPr>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br w:type="page" w:clear="all"/>
      </w:r>
      <w:r/>
    </w:p>
    <w:p>
      <w:pPr>
        <w:pStyle w:val="978"/>
        <w:jc w:val="center"/>
        <w:rPr>
          <w:rFonts w:hint="eastAsia" w:ascii="宋体" w:hAnsi="宋体"/>
          <w:b/>
          <w:bCs/>
          <w:color w:val="000000" w:themeColor="text1"/>
          <w:sz w:val="2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第四章 项目需求</w:t>
      </w:r>
      <w:bookmarkEnd w:id="139"/>
      <w:r/>
      <w:bookmarkEnd w:id="141"/>
      <w:r/>
      <w:bookmarkStart w:id="147" w:name="_Toc465856615"/>
      <w:r/>
      <w:bookmarkStart w:id="148" w:name="_Toc26554097"/>
      <w:r/>
      <w:bookmarkStart w:id="149" w:name="_Toc23828480"/>
      <w:r/>
      <w:bookmarkStart w:id="150" w:name="_Toc61149622"/>
      <w:r/>
      <w:r/>
    </w:p>
    <w:p>
      <w:pPr>
        <w:ind w:firstLine="482"/>
        <w:spacing w:line="48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说明：项目采购方式为</w:t>
      </w:r>
      <w:r>
        <w:rPr>
          <w:rFonts w:hint="eastAsia" w:ascii="宋体" w:hAnsi="宋体"/>
          <w:b/>
          <w:bCs/>
          <w:color w:val="000000" w:themeColor="text1"/>
          <w:sz w:val="24"/>
          <w:highlight w:val="none"/>
          <w:u w:val="single"/>
          <w14:textFill>
            <w14:solidFill>
              <w14:schemeClr w14:val="tx1"/>
            </w14:solidFill>
          </w14:textFill>
        </w:rPr>
        <w:t xml:space="preserve">竞争性磋商</w:t>
      </w:r>
      <w:r>
        <w:rPr>
          <w:rFonts w:hint="eastAsia" w:ascii="宋体" w:hAnsi="宋体"/>
          <w:b/>
          <w:bCs/>
          <w:color w:val="000000" w:themeColor="text1"/>
          <w:sz w:val="24"/>
          <w:highlight w:val="none"/>
          <w14:textFill>
            <w14:solidFill>
              <w14:schemeClr w14:val="tx1"/>
            </w14:solidFill>
          </w14:textFill>
        </w:rPr>
        <w:t xml:space="preserve">，项目属性为</w:t>
      </w:r>
      <w:r>
        <w:rPr>
          <w:rFonts w:hint="eastAsia" w:ascii="宋体" w:hAnsi="宋体"/>
          <w:b/>
          <w:bCs/>
          <w:color w:val="000000" w:themeColor="text1"/>
          <w:sz w:val="24"/>
          <w:highlight w:val="none"/>
          <w:u w:val="single"/>
          <w14:textFill>
            <w14:solidFill>
              <w14:schemeClr w14:val="tx1"/>
            </w14:solidFill>
          </w14:textFill>
        </w:rPr>
        <w:t xml:space="preserve">货物</w:t>
      </w:r>
      <w:r>
        <w:rPr>
          <w:rFonts w:hint="eastAsia" w:ascii="宋体" w:hAnsi="宋体"/>
          <w:b/>
          <w:bCs/>
          <w:color w:val="000000" w:themeColor="text1"/>
          <w:sz w:val="24"/>
          <w:highlight w:val="none"/>
          <w14:textFill>
            <w14:solidFill>
              <w14:schemeClr w14:val="tx1"/>
            </w14:solidFill>
          </w14:textFill>
        </w:rPr>
        <w:t xml:space="preserve">，采购标的对应的中小企业划分标准所属行业为工业。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1、根据《政府采购需求管理办法》等有关规定，采购人确定采购需求。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2、本项目需求中标注★号的部分为实质性要求和条件（由采购人根据实际情况设置），供应商必须作出满足或者优于原要求和条件的响应，否则响应无效。</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特别提醒：为落实政府采购中实施本国产品标准及相关政策</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1.本项目对采购本国产品给予政策支持，具体内容见磋商文件“第二章”。</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一、项目概况</w:t>
      </w:r>
      <w:r/>
    </w:p>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关于做好2025年重点湖库水华防控工作的通知》（苏环办〔2025〕34号），全省12个易发生蓝藻水华聚焦现场的水库中有2个涉及东海县，分别为石梁河水库和安峰山水库，为加强东海县重点水库蓝藻防控能力，拟购置自动化电动打捞船用于控制湖库型备用水源及各水库的蓝藻水华（可转场于各水库之间），改善水库水质，保障水生态环境健康。</w:t>
      </w:r>
      <w:r/>
    </w:p>
    <w:p>
      <w:pPr>
        <w:ind w:firstLine="482"/>
        <w:spacing w:line="480" w:lineRule="exact"/>
        <w:rPr>
          <w:rFonts w:hint="eastAsia" w:ascii="宋体" w:hAnsi="宋体"/>
          <w:b/>
          <w:bCs/>
          <w:color w:val="000000" w:themeColor="text1"/>
          <w:sz w:val="24"/>
          <w:highlight w:val="none"/>
          <w:lang w:eastAsia="en-US"/>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二、采购清单</w:t>
      </w:r>
      <w:r/>
    </w:p>
    <w:tbl>
      <w:tblPr>
        <w:tblStyle w:val="802"/>
        <w:tblW w:w="9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8"/>
        <w:gridCol w:w="2857"/>
        <w:gridCol w:w="1072"/>
        <w:gridCol w:w="1345"/>
        <w:gridCol w:w="2055"/>
        <w:gridCol w:w="670"/>
      </w:tblGrid>
      <w:tr>
        <w:trPr>
          <w:jc w:val="center"/>
          <w:trHeight w:val="310"/>
        </w:trPr>
        <w:tc>
          <w:tcPr>
            <w:tcW w:w="1058" w:type="dxa"/>
            <w:vAlign w:val="center"/>
            <w:textDirection w:val="lrTb"/>
            <w:noWrap w:val="false"/>
          </w:tcPr>
          <w:p>
            <w:pP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857"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产品名称</w:t>
            </w:r>
            <w:r/>
          </w:p>
        </w:tc>
        <w:tc>
          <w:tcPr>
            <w:tcW w:w="1072" w:type="dxa"/>
            <w:vAlign w:val="center"/>
            <w:textDirection w:val="lrTb"/>
            <w:noWrap w:val="false"/>
          </w:tcPr>
          <w:p>
            <w:pP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单位</w:t>
            </w:r>
            <w:r/>
          </w:p>
        </w:tc>
        <w:tc>
          <w:tcPr>
            <w:tcW w:w="1345" w:type="dxa"/>
            <w:vAlign w:val="center"/>
            <w:textDirection w:val="lrTb"/>
            <w:noWrap w:val="false"/>
          </w:tcPr>
          <w:p>
            <w:pP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需求数量</w:t>
            </w:r>
            <w:r/>
          </w:p>
        </w:tc>
        <w:tc>
          <w:tcPr>
            <w:tcW w:w="2055" w:type="dxa"/>
            <w:vAlign w:val="center"/>
            <w:textDirection w:val="lrTb"/>
            <w:noWrap w:val="false"/>
          </w:tcPr>
          <w:p>
            <w:pP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所属行业</w:t>
            </w:r>
            <w:r/>
          </w:p>
        </w:tc>
        <w:tc>
          <w:tcPr>
            <w:tcW w:w="670" w:type="dxa"/>
            <w:vAlign w:val="center"/>
            <w:textDirection w:val="lrTb"/>
            <w:noWrap w:val="false"/>
          </w:tcPr>
          <w:p>
            <w:pP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jc w:val="center"/>
          <w:trHeight w:val="245"/>
        </w:trPr>
        <w:tc>
          <w:tcPr>
            <w:gridSpan w:val="6"/>
            <w:tcW w:w="9057"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核心产品</w:t>
            </w:r>
            <w:r/>
          </w:p>
        </w:tc>
      </w:tr>
      <w:tr>
        <w:trPr>
          <w:jc w:val="center"/>
          <w:trHeight w:val="245"/>
        </w:trPr>
        <w:tc>
          <w:tcPr>
            <w:tcW w:w="1058"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2857" w:type="dxa"/>
            <w:vAlign w:val="center"/>
            <w:textDirection w:val="lrTb"/>
            <w:noWrap w:val="false"/>
          </w:tcPr>
          <w:p>
            <w:pPr>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电动蓝藻物理打捞船</w:t>
            </w:r>
            <w:r/>
          </w:p>
        </w:tc>
        <w:tc>
          <w:tcPr>
            <w:tcW w:w="1072"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艘</w:t>
            </w:r>
            <w:r/>
          </w:p>
        </w:tc>
        <w:tc>
          <w:tcPr>
            <w:tcW w:w="1345"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2055"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工业</w:t>
            </w:r>
            <w:r/>
          </w:p>
        </w:tc>
        <w:tc>
          <w:tcPr>
            <w:tcW w:w="670"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311"/>
        </w:trPr>
        <w:tc>
          <w:tcPr>
            <w:gridSpan w:val="6"/>
            <w:tcW w:w="9057"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配套设施</w:t>
            </w:r>
            <w:r/>
          </w:p>
        </w:tc>
      </w:tr>
      <w:tr>
        <w:trPr>
          <w:jc w:val="center"/>
          <w:trHeight w:val="290"/>
        </w:trPr>
        <w:tc>
          <w:tcPr>
            <w:tcW w:w="1058"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2857" w:type="dxa"/>
            <w:vAlign w:val="center"/>
            <w:textDirection w:val="lrTb"/>
            <w:noWrap w:val="false"/>
          </w:tcPr>
          <w:p>
            <w:pPr>
              <w:ind w:firstLine="482"/>
              <w:spacing w:line="480" w:lineRule="exact"/>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拖船架</w:t>
            </w:r>
            <w:r/>
          </w:p>
        </w:tc>
        <w:tc>
          <w:tcPr>
            <w:tcW w:w="1072"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套</w:t>
            </w:r>
            <w:r/>
          </w:p>
        </w:tc>
        <w:tc>
          <w:tcPr>
            <w:tcW w:w="1345"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2055" w:type="dxa"/>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工业</w:t>
            </w:r>
            <w:r/>
          </w:p>
        </w:tc>
        <w:tc>
          <w:tcPr>
            <w:tcW w:w="670"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307"/>
        </w:trPr>
        <w:tc>
          <w:tcPr>
            <w:tcW w:w="1058"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2857"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移动式发电机</w:t>
            </w:r>
            <w:r/>
          </w:p>
        </w:tc>
        <w:tc>
          <w:tcPr>
            <w:tcW w:w="1072"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台</w:t>
            </w:r>
            <w:r/>
          </w:p>
        </w:tc>
        <w:tc>
          <w:tcPr>
            <w:tcW w:w="1345"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2055" w:type="dxa"/>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工业</w:t>
            </w:r>
            <w:r/>
          </w:p>
        </w:tc>
        <w:tc>
          <w:tcPr>
            <w:tcW w:w="670"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307"/>
        </w:trPr>
        <w:tc>
          <w:tcPr>
            <w:tcW w:w="1058"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p>
        </w:tc>
        <w:tc>
          <w:tcPr>
            <w:tcW w:w="2857"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藻泥输送带</w:t>
            </w:r>
            <w:r/>
          </w:p>
        </w:tc>
        <w:tc>
          <w:tcPr>
            <w:tcW w:w="1072"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套</w:t>
            </w:r>
            <w:r/>
          </w:p>
        </w:tc>
        <w:tc>
          <w:tcPr>
            <w:tcW w:w="1345"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2055" w:type="dxa"/>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工业</w:t>
            </w:r>
            <w:r/>
          </w:p>
        </w:tc>
        <w:tc>
          <w:tcPr>
            <w:tcW w:w="670"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Height w:val="307"/>
        </w:trPr>
        <w:tc>
          <w:tcPr>
            <w:tcW w:w="1058" w:type="dxa"/>
            <w:vAlign w:val="center"/>
            <w:textDirection w:val="lrTb"/>
            <w:noWrap w:val="false"/>
          </w:tcPr>
          <w:p>
            <w:pPr>
              <w:ind w:firstLine="482"/>
              <w:spacing w:line="480" w:lineRule="exact"/>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p>
        </w:tc>
        <w:tc>
          <w:tcPr>
            <w:tcW w:w="2857"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蓝藻吨包</w:t>
            </w:r>
            <w:r/>
          </w:p>
        </w:tc>
        <w:tc>
          <w:tcPr>
            <w:tcW w:w="1072"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个</w:t>
            </w:r>
            <w:r/>
          </w:p>
        </w:tc>
        <w:tc>
          <w:tcPr>
            <w:tcW w:w="1345"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w:t>
            </w:r>
            <w:r/>
          </w:p>
        </w:tc>
        <w:tc>
          <w:tcPr>
            <w:tcW w:w="2055" w:type="dxa"/>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工业</w:t>
            </w:r>
            <w:r/>
          </w:p>
        </w:tc>
        <w:tc>
          <w:tcPr>
            <w:tcW w:w="670" w:type="dxa"/>
            <w:vAlign w:val="center"/>
            <w:textDirection w:val="lrTb"/>
            <w:noWrap w:val="false"/>
          </w:tcPr>
          <w:p>
            <w:pPr>
              <w:ind w:firstLine="482"/>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482"/>
        <w:jc w:val="left"/>
        <w:spacing w:line="49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根据财</w:t>
      </w:r>
      <w:r>
        <w:rPr>
          <w:rFonts w:hint="eastAsia" w:ascii="宋体" w:hAnsi="宋体" w:cs="宋体"/>
          <w:bCs/>
          <w:color w:val="000000" w:themeColor="text1"/>
          <w:sz w:val="24"/>
          <w:highlight w:val="none"/>
          <w14:textFill>
            <w14:solidFill>
              <w14:schemeClr w14:val="tx1"/>
            </w14:solidFill>
          </w14:textFill>
        </w:rPr>
        <w:t xml:space="preserve">政部令87号第31条：供应商提供相同品牌产品且通过资格审查、符合性审查的不同的供应商参加同一项下投标的，按一家供应商计算，评审后得分最高的同品牌供应商获得成交供应商推荐资格；评审得分相同的，由采购人或者采购人委托评标委员会按照磋商文件规定的方式确定一个供应商获得成交供应商推荐资格，磋商文件未规定的采取随机抽取方式确定，其他同品牌供应商不作为中标候选人。非单一产品采购项目，采购人应当根据采购项目技术构成、产品价格比重等合理确定核心产品，并在磋商文件中载明，多家供应商提供的核心产品品牌相同的，按前两款规定处理。</w:t>
      </w:r>
      <w:r/>
    </w:p>
    <w:p>
      <w:pPr>
        <w:ind w:firstLine="482"/>
        <w:spacing w:line="480" w:lineRule="exact"/>
        <w:rPr>
          <w:rFonts w:hint="eastAsia" w:ascii="宋体" w:hAnsi="宋体"/>
          <w:b/>
          <w:bCs/>
          <w:color w:val="000000" w:themeColor="text1"/>
          <w:sz w:val="24"/>
          <w:highlight w:val="none"/>
          <w:u w:val="single"/>
          <w14:textFill>
            <w14:solidFill>
              <w14:schemeClr w14:val="tx1"/>
            </w14:solidFill>
          </w14:textFill>
        </w:rPr>
      </w:pPr>
      <w:r>
        <w:rPr>
          <w:rFonts w:hint="eastAsia" w:ascii="宋体" w:hAnsi="宋体"/>
          <w:b/>
          <w:bCs/>
          <w:color w:val="000000" w:themeColor="text1"/>
          <w:sz w:val="24"/>
          <w:highlight w:val="none"/>
          <w:u w:val="single"/>
          <w14:textFill>
            <w14:solidFill>
              <w14:schemeClr w14:val="tx1"/>
            </w14:solidFill>
          </w14:textFill>
        </w:rPr>
        <w:t xml:space="preserve">本项目核心产品为：电动蓝藻物理打捞船</w:t>
      </w:r>
      <w:r/>
    </w:p>
    <w:p>
      <w:pPr>
        <w:ind w:firstLine="482"/>
        <w:spacing w:line="48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三、采购产品功能要求和技术要求：</w:t>
      </w:r>
      <w:r/>
    </w:p>
    <w:p>
      <w:pPr>
        <w:pStyle w:val="1091"/>
        <w:ind w:firstLine="562"/>
        <w:spacing w:line="59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（一）电动蓝藻物理打捞船功能</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产品能大面积、自动化、高效率收集处理各类漂浮物：浮泥、油污、泡沫、浮萍、零星水葫芦、落叶、蓝藻、生活垃圾及其它微细无序状水面漂浮物；针对蓝藻具备两种打捞模式：（1）装备石墨烯电絮凝系统，可前置打捞处于生长发育期的细小蓝藻孢子及蓝藻水华，最终形成可转移上岸的藻渣。（2）物理打捞成熟的蓝藻水华，最后浓缩成糊状；产品作业时，由两台牵引船连接拦截臂带领主船体前进，在一定范围内可调整打捞作业宽度，拦截深度</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约</w:t>
      </w:r>
      <w:r>
        <w:rPr>
          <w:rFonts w:hint="eastAsia" w:ascii="宋体" w:hAnsi="宋体" w:cs="宋体"/>
          <w:bCs/>
          <w:color w:val="000000" w:themeColor="text1"/>
          <w:sz w:val="24"/>
          <w:szCs w:val="22"/>
          <w:highlight w:val="none"/>
          <w14:textFill>
            <w14:solidFill>
              <w14:schemeClr w14:val="tx1"/>
            </w14:solidFill>
          </w14:textFill>
        </w:rPr>
        <w:t xml:space="preserve">为水下20 厘米，设计最大作业效率</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约</w:t>
      </w:r>
      <w:r>
        <w:rPr>
          <w:rFonts w:hint="eastAsia" w:ascii="宋体" w:hAnsi="宋体" w:cs="宋体"/>
          <w:bCs/>
          <w:color w:val="000000" w:themeColor="text1"/>
          <w:sz w:val="24"/>
          <w:szCs w:val="22"/>
          <w:highlight w:val="none"/>
          <w14:textFill>
            <w14:solidFill>
              <w14:schemeClr w14:val="tx1"/>
            </w14:solidFill>
          </w14:textFill>
        </w:rPr>
        <w:t xml:space="preserve">为 6.4 万平方米/小时行进过程中完成漂浮物的收集、脱水处理，并存储于收集舱；打捞作业时动力来源于电池模块，船上仅需配备 2 名工作人员，长距离转移时动力来源于汽油舷外挂机。</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1.主要系统组成及功能</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1.1牵引机器人共2只，通过中央控制台控制速度、方向、界宽，各牵引一条柔性拦截臂，带动船体前行、转向作业。</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1.2柔性拦截臂</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柔性拦截臂共2条，连接着牵引机器人和主船体，在一定界宽范围内可拦截、汇聚、引流水面漂浮物进入收集处理中心。</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1.3半潜型船体</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作业开始前船体下潜至半潜状态，作业完成后恢复至正常浮起状态。</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1.4溢流调节系统</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根据现场情况调控进水流量，引流外部水体上层漂浮物至收集处理中心。</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1.5收集处理中心</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通过分层遴选技术实现漂浮物与水体快速分离。</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1.6中央控制台</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由各系统控制开关、指示仪表、舷外机方向器及操纵档位、牵引机器人摇柄及调速器等组成。</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1.7辅助收集舱</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主要作用为辅助增加漂浮物收集容量及暂时储放大件垃圾。</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1.8可调压清洗水泵</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主要作用为冲洗收集处理中心的过滤隔网及船体甲板。</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1.9负压发生器（主机）</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打捞作业时，持续为收集处理中心提供负压；作业完成后，辅助船体上浮。</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1.10通海阀</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作业开始前，辅助船体下潜至工作吃水</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1.11辅助挂机动力系统</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包括舷外挂机装置、液压操纵装置、燃油过滤装置、启动控制装置、基座安装装置，主要作用为在作业前及作业后的快速转移。</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1.12电池模块及储存箱</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船体内部储存两组独立高容量免维护电池模块组，提供电能用于漂浮物打捞作业。</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1.13拦截臂外挂装置</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外挂装置分别设置于船尾及船体左右两侧，由船尾的牵引机器人搁架和舷侧的拦截臂挂架组成，主要用于牵引机器人和拦截臂的搁置、锁定。</w:t>
      </w:r>
      <w:r/>
    </w:p>
    <w:p>
      <w:pPr>
        <w:pStyle w:val="1091"/>
        <w:ind w:firstLine="562"/>
        <w:spacing w:line="59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（二）电动蓝藻物理打捞船主要技术要求</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w:t>
      </w:r>
      <w:r>
        <w:rPr>
          <w:rFonts w:ascii="宋体" w:hAnsi="宋体" w:cs="宋体"/>
          <w:bCs/>
          <w:color w:val="000000" w:themeColor="text1"/>
          <w:sz w:val="24"/>
          <w:szCs w:val="22"/>
          <w:highlight w:val="none"/>
          <w14:textFill>
            <w14:solidFill>
              <w14:schemeClr w14:val="tx1"/>
            </w14:solidFill>
          </w14:textFill>
        </w:rPr>
        <w:t xml:space="preserve">主体尺寸:</w:t>
      </w:r>
      <w:r>
        <w:rPr>
          <w:rFonts w:hint="default" w:ascii="宋体" w:hAnsi="宋体" w:cs="宋体"/>
          <w:bCs/>
          <w:color w:val="000000" w:themeColor="text1"/>
          <w:sz w:val="24"/>
          <w:szCs w:val="22"/>
          <w:highlight w:val="none"/>
          <w:lang w:val="en-US" w:eastAsia="zh-CN"/>
          <w14:textFill>
            <w14:solidFill>
              <w14:schemeClr w14:val="tx1"/>
            </w14:solidFill>
          </w14:textFill>
        </w:rPr>
        <w:t xml:space="preserve">11.0米≤</w:t>
      </w:r>
      <w:r>
        <w:rPr>
          <w:rFonts w:ascii="宋体" w:hAnsi="宋体" w:cs="宋体"/>
          <w:bCs/>
          <w:color w:val="000000" w:themeColor="text1"/>
          <w:sz w:val="24"/>
          <w:szCs w:val="22"/>
          <w:highlight w:val="none"/>
          <w14:textFill>
            <w14:solidFill>
              <w14:schemeClr w14:val="tx1"/>
            </w14:solidFill>
          </w14:textFill>
        </w:rPr>
        <w:t xml:space="preserve">最大船长</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3.0</w:t>
      </w:r>
      <w:r>
        <w:rPr>
          <w:rFonts w:ascii="宋体" w:hAnsi="宋体" w:cs="宋体"/>
          <w:bCs/>
          <w:color w:val="000000" w:themeColor="text1"/>
          <w:sz w:val="24"/>
          <w:szCs w:val="22"/>
          <w:highlight w:val="none"/>
          <w14:textFill>
            <w14:solidFill>
              <w14:schemeClr w14:val="tx1"/>
            </w14:solidFill>
          </w14:textFill>
        </w:rPr>
        <w:t xml:space="preserve">米</w:t>
      </w:r>
      <w:r>
        <w:rPr>
          <w:rFonts w:ascii="宋体" w:hAnsi="宋体" w:eastAsia="宋体" w:cs="宋体"/>
          <w:bCs/>
          <w:color w:val="000000" w:themeColor="text1"/>
          <w:sz w:val="24"/>
          <w:szCs w:val="22"/>
          <w:highlight w:val="none"/>
          <w14:textFill>
            <w14:solidFill>
              <w14:schemeClr w14:val="tx1"/>
            </w14:solidFill>
          </w14:textFill>
        </w:rPr>
        <w:t xml:space="preserve">(含保护支架）、</w:t>
      </w:r>
      <w:r>
        <w:rPr>
          <w:rFonts w:hint="default" w:ascii="宋体" w:hAnsi="宋体" w:eastAsia="宋体" w:cs="宋体"/>
          <w:bCs/>
          <w:color w:val="000000" w:themeColor="text1"/>
          <w:sz w:val="24"/>
          <w:szCs w:val="22"/>
          <w:highlight w:val="none"/>
          <w:lang w:val="en-US" w:eastAsia="zh-CN"/>
          <w14:textFill>
            <w14:solidFill>
              <w14:schemeClr w14:val="tx1"/>
            </w14:solidFill>
          </w14:textFill>
        </w:rPr>
        <w:t xml:space="preserve">2.6米</w:t>
      </w:r>
      <w:r>
        <w:rPr>
          <w:rFonts w:hint="default" w:ascii="宋体" w:hAnsi="宋体" w:cs="宋体"/>
          <w:bCs/>
          <w:color w:val="000000" w:themeColor="text1"/>
          <w:sz w:val="24"/>
          <w:szCs w:val="22"/>
          <w:highlight w:val="none"/>
          <w:lang w:val="en-US" w:eastAsia="zh-CN"/>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最大船宽</w:t>
      </w:r>
      <w:r>
        <w:rPr>
          <w:rFonts w:hint="default" w:ascii="宋体" w:hAnsi="宋体" w:cs="宋体"/>
          <w:bCs/>
          <w:color w:val="000000" w:themeColor="text1"/>
          <w:sz w:val="24"/>
          <w:szCs w:val="22"/>
          <w:highlight w:val="none"/>
          <w14:textFill>
            <w14:solidFill>
              <w14:schemeClr w14:val="tx1"/>
            </w14:solidFill>
          </w14:textFill>
        </w:rPr>
        <w:t xml:space="preserve">≤3</w:t>
      </w:r>
      <w:r>
        <w:rPr>
          <w:rFonts w:ascii="宋体" w:hAnsi="宋体" w:cs="宋体"/>
          <w:bCs/>
          <w:color w:val="000000" w:themeColor="text1"/>
          <w:sz w:val="24"/>
          <w:szCs w:val="22"/>
          <w:highlight w:val="none"/>
          <w14:textFill>
            <w14:solidFill>
              <w14:schemeClr w14:val="tx1"/>
            </w14:solidFill>
          </w14:textFill>
        </w:rPr>
        <w:t xml:space="preserve">.</w:t>
      </w:r>
      <w:r>
        <w:rPr>
          <w:rFonts w:hint="default" w:ascii="宋体" w:hAnsi="宋体" w:cs="宋体"/>
          <w:bCs/>
          <w:color w:val="000000" w:themeColor="text1"/>
          <w:sz w:val="24"/>
          <w:szCs w:val="22"/>
          <w:highlight w:val="none"/>
          <w14:textFill>
            <w14:solidFill>
              <w14:schemeClr w14:val="tx1"/>
            </w14:solidFill>
          </w14:textFill>
        </w:rPr>
        <w:t xml:space="preserve">0</w:t>
      </w:r>
      <w:r>
        <w:rPr>
          <w:rFonts w:ascii="宋体" w:hAnsi="宋体" w:cs="宋体"/>
          <w:bCs/>
          <w:color w:val="000000" w:themeColor="text1"/>
          <w:sz w:val="24"/>
          <w:szCs w:val="22"/>
          <w:highlight w:val="none"/>
          <w14:textFill>
            <w14:solidFill>
              <w14:schemeClr w14:val="tx1"/>
            </w14:solidFill>
          </w14:textFill>
        </w:rPr>
        <w:t xml:space="preserve">米、</w:t>
      </w:r>
      <w:r>
        <w:rPr>
          <w:rFonts w:hint="default" w:ascii="宋体" w:hAnsi="宋体" w:cs="宋体"/>
          <w:bCs/>
          <w:color w:val="000000" w:themeColor="text1"/>
          <w:sz w:val="24"/>
          <w:szCs w:val="22"/>
          <w:highlight w:val="none"/>
          <w:lang w:val="en-US" w:eastAsia="zh-CN"/>
          <w14:textFill>
            <w14:solidFill>
              <w14:schemeClr w14:val="tx1"/>
            </w14:solidFill>
          </w14:textFill>
        </w:rPr>
        <w:t xml:space="preserve">2.4米≤</w:t>
      </w:r>
      <w:r>
        <w:rPr>
          <w:rFonts w:hint="default" w:ascii="宋体" w:hAnsi="宋体" w:cs="宋体"/>
          <w:bCs/>
          <w:color w:val="000000" w:themeColor="text1"/>
          <w:sz w:val="24"/>
          <w:szCs w:val="22"/>
          <w:highlight w:val="none"/>
          <w14:textFill>
            <w14:solidFill>
              <w14:schemeClr w14:val="tx1"/>
            </w14:solidFill>
          </w14:textFill>
        </w:rPr>
        <w:t xml:space="preserve">最大</w:t>
      </w:r>
      <w:r>
        <w:rPr>
          <w:rFonts w:ascii="宋体" w:hAnsi="宋体" w:cs="宋体"/>
          <w:bCs/>
          <w:color w:val="000000" w:themeColor="text1"/>
          <w:sz w:val="24"/>
          <w:szCs w:val="22"/>
          <w:highlight w:val="none"/>
          <w14:textFill>
            <w14:solidFill>
              <w14:schemeClr w14:val="tx1"/>
            </w14:solidFill>
          </w14:textFill>
        </w:rPr>
        <w:t xml:space="preserve">船高</w:t>
      </w:r>
      <w:r>
        <w:rPr>
          <w:rFonts w:hint="default" w:ascii="宋体" w:hAnsi="宋体" w:cs="宋体"/>
          <w:bCs/>
          <w:color w:val="000000" w:themeColor="text1"/>
          <w:sz w:val="24"/>
          <w:szCs w:val="22"/>
          <w:highlight w:val="none"/>
          <w14:textFill>
            <w14:solidFill>
              <w14:schemeClr w14:val="tx1"/>
            </w14:solidFill>
          </w14:textFill>
        </w:rPr>
        <w:t xml:space="preserve">≤3</w:t>
      </w:r>
      <w:r>
        <w:rPr>
          <w:rFonts w:ascii="宋体" w:hAnsi="宋体" w:cs="宋体"/>
          <w:bCs/>
          <w:color w:val="000000" w:themeColor="text1"/>
          <w:sz w:val="24"/>
          <w:szCs w:val="22"/>
          <w:highlight w:val="none"/>
          <w14:textFill>
            <w14:solidFill>
              <w14:schemeClr w14:val="tx1"/>
            </w14:solidFill>
          </w14:textFill>
        </w:rPr>
        <w:t xml:space="preserve">.</w:t>
      </w:r>
      <w:r>
        <w:rPr>
          <w:rFonts w:hint="default" w:ascii="宋体" w:hAnsi="宋体" w:cs="宋体"/>
          <w:bCs/>
          <w:color w:val="000000" w:themeColor="text1"/>
          <w:sz w:val="24"/>
          <w:szCs w:val="22"/>
          <w:highlight w:val="none"/>
          <w14:textFill>
            <w14:solidFill>
              <w14:schemeClr w14:val="tx1"/>
            </w14:solidFill>
          </w14:textFill>
        </w:rPr>
        <w:t xml:space="preserve">0</w:t>
      </w:r>
      <w:r>
        <w:rPr>
          <w:rFonts w:ascii="宋体" w:hAnsi="宋体" w:cs="宋体"/>
          <w:bCs/>
          <w:color w:val="000000" w:themeColor="text1"/>
          <w:sz w:val="24"/>
          <w:szCs w:val="22"/>
          <w:highlight w:val="none"/>
          <w14:textFill>
            <w14:solidFill>
              <w14:schemeClr w14:val="tx1"/>
            </w14:solidFill>
          </w14:textFill>
        </w:rPr>
        <w:t xml:space="preserve">米</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2、</w:t>
      </w:r>
      <w:r>
        <w:rPr>
          <w:rFonts w:ascii="宋体" w:hAnsi="宋体" w:cs="宋体"/>
          <w:bCs/>
          <w:color w:val="000000" w:themeColor="text1"/>
          <w:sz w:val="24"/>
          <w:szCs w:val="22"/>
          <w:highlight w:val="none"/>
          <w14:textFill>
            <w14:solidFill>
              <w14:schemeClr w14:val="tx1"/>
            </w14:solidFill>
          </w14:textFill>
        </w:rPr>
        <w:t xml:space="preserve">主体材质：CCS-B-4</w:t>
      </w:r>
      <w:r>
        <w:rPr>
          <w:rFonts w:hint="eastAsia" w:ascii="宋体" w:hAnsi="宋体" w:cs="宋体"/>
          <w:bCs/>
          <w:color w:val="000000" w:themeColor="text1"/>
          <w:sz w:val="24"/>
          <w:szCs w:val="22"/>
          <w:highlight w:val="none"/>
          <w14:textFill>
            <w14:solidFill>
              <w14:schemeClr w14:val="tx1"/>
            </w14:solidFill>
          </w14:textFill>
        </w:rPr>
        <w:t xml:space="preserve">船用钢板。</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3、</w:t>
      </w:r>
      <w:r>
        <w:rPr>
          <w:rFonts w:ascii="宋体" w:hAnsi="宋体" w:cs="宋体"/>
          <w:bCs/>
          <w:color w:val="000000" w:themeColor="text1"/>
          <w:sz w:val="24"/>
          <w:szCs w:val="22"/>
          <w:highlight w:val="none"/>
          <w14:textFill>
            <w14:solidFill>
              <w14:schemeClr w14:val="tx1"/>
            </w14:solidFill>
          </w14:textFill>
        </w:rPr>
        <w:t xml:space="preserve">作业吃水深度：</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0.</w:t>
      </w:r>
      <w:r>
        <w:rPr>
          <w:rFonts w:hint="eastAsia" w:ascii="宋体" w:hAnsi="宋体" w:cs="宋体"/>
          <w:bCs/>
          <w:color w:val="000000" w:themeColor="text1"/>
          <w:sz w:val="24"/>
          <w:szCs w:val="22"/>
          <w:highlight w:val="none"/>
          <w14:textFill>
            <w14:solidFill>
              <w14:schemeClr w14:val="tx1"/>
            </w14:solidFill>
          </w14:textFill>
        </w:rPr>
        <w:t xml:space="preserve">80</w:t>
      </w:r>
      <w:r>
        <w:rPr>
          <w:rFonts w:ascii="宋体" w:hAnsi="宋体" w:cs="宋体"/>
          <w:bCs/>
          <w:color w:val="000000" w:themeColor="text1"/>
          <w:sz w:val="24"/>
          <w:szCs w:val="22"/>
          <w:highlight w:val="none"/>
          <w14:textFill>
            <w14:solidFill>
              <w14:schemeClr w14:val="tx1"/>
            </w14:solidFill>
          </w14:textFill>
        </w:rPr>
        <w:t xml:space="preserve">米</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4、</w:t>
      </w:r>
      <w:r>
        <w:rPr>
          <w:rFonts w:ascii="宋体" w:hAnsi="宋体" w:cs="宋体"/>
          <w:bCs/>
          <w:color w:val="000000" w:themeColor="text1"/>
          <w:sz w:val="24"/>
          <w:szCs w:val="22"/>
          <w:highlight w:val="none"/>
          <w14:textFill>
            <w14:solidFill>
              <w14:schemeClr w14:val="tx1"/>
            </w14:solidFill>
          </w14:textFill>
        </w:rPr>
        <w:t xml:space="preserve">作业范围：1.5-22米</w:t>
      </w:r>
      <w:r>
        <w:rPr>
          <w:rFonts w:hint="eastAsia" w:ascii="宋体" w:hAnsi="宋体" w:cs="宋体"/>
          <w:bCs/>
          <w:color w:val="000000" w:themeColor="text1"/>
          <w:sz w:val="24"/>
          <w:szCs w:val="22"/>
          <w:highlight w:val="none"/>
          <w:lang w:eastAsia="zh-CN"/>
          <w14:textFill>
            <w14:solidFill>
              <w14:schemeClr w14:val="tx1"/>
            </w14:solidFill>
          </w14:textFill>
        </w:rPr>
        <w:t xml:space="preserve">，</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可调节</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5、▲</w:t>
      </w:r>
      <w:r>
        <w:rPr>
          <w:rFonts w:ascii="宋体" w:hAnsi="宋体" w:cs="宋体"/>
          <w:bCs/>
          <w:color w:val="000000" w:themeColor="text1"/>
          <w:sz w:val="24"/>
          <w:szCs w:val="22"/>
          <w:highlight w:val="none"/>
          <w14:textFill>
            <w14:solidFill>
              <w14:schemeClr w14:val="tx1"/>
            </w14:solidFill>
          </w14:textFill>
        </w:rPr>
        <w:t xml:space="preserve">设计最大清理效率：</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6万平方米/小时</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6、</w:t>
      </w:r>
      <w:r>
        <w:rPr>
          <w:rFonts w:ascii="宋体" w:hAnsi="宋体" w:cs="宋体"/>
          <w:bCs/>
          <w:color w:val="000000" w:themeColor="text1"/>
          <w:sz w:val="24"/>
          <w:szCs w:val="22"/>
          <w:highlight w:val="none"/>
          <w14:textFill>
            <w14:solidFill>
              <w14:schemeClr w14:val="tx1"/>
            </w14:solidFill>
          </w14:textFill>
        </w:rPr>
        <w:t xml:space="preserve">智能管理：远程电压监测、作业轨迹跟踪、远程智能定位</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7、</w:t>
      </w:r>
      <w:r>
        <w:rPr>
          <w:rFonts w:ascii="宋体" w:hAnsi="宋体" w:cs="宋体"/>
          <w:bCs/>
          <w:color w:val="000000" w:themeColor="text1"/>
          <w:sz w:val="24"/>
          <w:szCs w:val="22"/>
          <w:highlight w:val="none"/>
          <w14:textFill>
            <w14:solidFill>
              <w14:schemeClr w14:val="tx1"/>
            </w14:solidFill>
          </w14:textFill>
        </w:rPr>
        <w:t xml:space="preserve">船舱容积：</w:t>
      </w:r>
      <w:r>
        <w:rPr>
          <w:rFonts w:hint="eastAsia" w:ascii="宋体" w:hAnsi="宋体" w:cs="宋体"/>
          <w:bCs/>
          <w:color w:val="000000" w:themeColor="text1"/>
          <w:sz w:val="24"/>
          <w:szCs w:val="22"/>
          <w:highlight w:val="none"/>
          <w14:textFill>
            <w14:solidFill>
              <w14:schemeClr w14:val="tx1"/>
            </w14:solidFill>
          </w14:textFill>
        </w:rPr>
        <w:t xml:space="preserve">≥8</w:t>
      </w:r>
      <w:r>
        <w:rPr>
          <w:rFonts w:ascii="宋体" w:hAnsi="宋体" w:cs="宋体"/>
          <w:bCs/>
          <w:color w:val="000000" w:themeColor="text1"/>
          <w:sz w:val="24"/>
          <w:szCs w:val="22"/>
          <w:highlight w:val="none"/>
          <w14:textFill>
            <w14:solidFill>
              <w14:schemeClr w14:val="tx1"/>
            </w14:solidFill>
          </w14:textFill>
        </w:rPr>
        <w:t xml:space="preserve">.0立方米</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8、</w:t>
      </w:r>
      <w:r>
        <w:rPr>
          <w:rFonts w:ascii="宋体" w:hAnsi="宋体" w:cs="宋体"/>
          <w:bCs/>
          <w:color w:val="000000" w:themeColor="text1"/>
          <w:sz w:val="24"/>
          <w:szCs w:val="22"/>
          <w:highlight w:val="none"/>
          <w14:textFill>
            <w14:solidFill>
              <w14:schemeClr w14:val="tx1"/>
            </w14:solidFill>
          </w14:textFill>
        </w:rPr>
        <w:t xml:space="preserve">设计工作速度：2-3公里/小时</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9、</w:t>
      </w:r>
      <w:r>
        <w:rPr>
          <w:rFonts w:ascii="宋体" w:hAnsi="宋体" w:cs="宋体"/>
          <w:bCs/>
          <w:color w:val="000000" w:themeColor="text1"/>
          <w:sz w:val="24"/>
          <w:szCs w:val="22"/>
          <w:highlight w:val="none"/>
          <w14:textFill>
            <w14:solidFill>
              <w14:schemeClr w14:val="tx1"/>
            </w14:solidFill>
          </w14:textFill>
        </w:rPr>
        <w:t xml:space="preserve">设计转移速度：8-10公里/小时</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0、</w:t>
      </w:r>
      <w:r>
        <w:rPr>
          <w:rFonts w:ascii="宋体" w:hAnsi="宋体" w:cs="宋体"/>
          <w:bCs/>
          <w:color w:val="000000" w:themeColor="text1"/>
          <w:sz w:val="24"/>
          <w:szCs w:val="22"/>
          <w:highlight w:val="none"/>
          <w14:textFill>
            <w14:solidFill>
              <w14:schemeClr w14:val="tx1"/>
            </w14:solidFill>
          </w14:textFill>
        </w:rPr>
        <w:t xml:space="preserve">驱动方式：汽油</w:t>
      </w:r>
      <w:r>
        <w:rPr>
          <w:rFonts w:hint="eastAsia" w:ascii="宋体" w:hAnsi="宋体" w:cs="宋体"/>
          <w:bCs/>
          <w:color w:val="000000" w:themeColor="text1"/>
          <w:sz w:val="24"/>
          <w:szCs w:val="22"/>
          <w:highlight w:val="none"/>
          <w14:textFill>
            <w14:solidFill>
              <w14:schemeClr w14:val="tx1"/>
            </w14:solidFill>
          </w14:textFill>
        </w:rPr>
        <w:t xml:space="preserve">舷外</w:t>
      </w:r>
      <w:r>
        <w:rPr>
          <w:rFonts w:ascii="宋体" w:hAnsi="宋体" w:cs="宋体"/>
          <w:bCs/>
          <w:color w:val="000000" w:themeColor="text1"/>
          <w:sz w:val="24"/>
          <w:szCs w:val="22"/>
          <w:highlight w:val="none"/>
          <w14:textFill>
            <w14:solidFill>
              <w14:schemeClr w14:val="tx1"/>
            </w14:solidFill>
          </w14:textFill>
        </w:rPr>
        <w:t xml:space="preserve">挂机90P+电池动力（180AH*24）</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1、</w:t>
      </w:r>
      <w:r>
        <w:rPr>
          <w:rFonts w:ascii="宋体" w:hAnsi="宋体" w:cs="宋体"/>
          <w:bCs/>
          <w:color w:val="000000" w:themeColor="text1"/>
          <w:sz w:val="24"/>
          <w:szCs w:val="22"/>
          <w:highlight w:val="none"/>
          <w14:textFill>
            <w14:solidFill>
              <w14:schemeClr w14:val="tx1"/>
            </w14:solidFill>
          </w14:textFill>
        </w:rPr>
        <w:t xml:space="preserve">充电电压：220V</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2、</w:t>
      </w:r>
      <w:r>
        <w:rPr>
          <w:rFonts w:ascii="宋体" w:hAnsi="宋体" w:cs="宋体"/>
          <w:bCs/>
          <w:color w:val="000000" w:themeColor="text1"/>
          <w:sz w:val="24"/>
          <w:szCs w:val="22"/>
          <w:highlight w:val="none"/>
          <w14:textFill>
            <w14:solidFill>
              <w14:schemeClr w14:val="tx1"/>
            </w14:solidFill>
          </w14:textFill>
        </w:rPr>
        <w:t xml:space="preserve">满电工作时间：</w:t>
      </w:r>
      <w:r>
        <w:rPr>
          <w:rFonts w:hint="eastAsia" w:ascii="宋体" w:hAnsi="宋体" w:cs="宋体"/>
          <w:bCs/>
          <w:color w:val="000000" w:themeColor="text1"/>
          <w:sz w:val="24"/>
          <w:szCs w:val="22"/>
          <w:highlight w:val="none"/>
          <w14:textFill>
            <w14:solidFill>
              <w14:schemeClr w14:val="tx1"/>
            </w14:solidFill>
          </w14:textFill>
        </w:rPr>
        <w:t xml:space="preserve">8-</w:t>
      </w:r>
      <w:r>
        <w:rPr>
          <w:rFonts w:ascii="宋体" w:hAnsi="宋体" w:cs="宋体"/>
          <w:bCs/>
          <w:color w:val="000000" w:themeColor="text1"/>
          <w:sz w:val="24"/>
          <w:szCs w:val="22"/>
          <w:highlight w:val="none"/>
          <w14:textFill>
            <w14:solidFill>
              <w14:schemeClr w14:val="tx1"/>
            </w14:solidFill>
          </w14:textFill>
        </w:rPr>
        <w:t xml:space="preserve">10小时</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3、</w:t>
      </w:r>
      <w:r>
        <w:rPr>
          <w:rFonts w:ascii="宋体" w:hAnsi="宋体" w:cs="宋体"/>
          <w:bCs/>
          <w:color w:val="000000" w:themeColor="text1"/>
          <w:sz w:val="24"/>
          <w:szCs w:val="22"/>
          <w:highlight w:val="none"/>
          <w14:textFill>
            <w14:solidFill>
              <w14:schemeClr w14:val="tx1"/>
            </w14:solidFill>
          </w14:textFill>
        </w:rPr>
        <w:t xml:space="preserve">充电时间：10-12小时</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4、</w:t>
      </w:r>
      <w:r>
        <w:rPr>
          <w:rFonts w:ascii="宋体" w:hAnsi="宋体" w:cs="宋体"/>
          <w:bCs/>
          <w:color w:val="000000" w:themeColor="text1"/>
          <w:sz w:val="24"/>
          <w:szCs w:val="22"/>
          <w:highlight w:val="none"/>
          <w14:textFill>
            <w14:solidFill>
              <w14:schemeClr w14:val="tx1"/>
            </w14:solidFill>
          </w14:textFill>
        </w:rPr>
        <w:t xml:space="preserve">污染物排放：打捞过程无排放</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5、</w:t>
      </w:r>
      <w:r>
        <w:rPr>
          <w:rFonts w:ascii="宋体" w:hAnsi="宋体" w:cs="宋体"/>
          <w:bCs/>
          <w:color w:val="000000" w:themeColor="text1"/>
          <w:sz w:val="24"/>
          <w:szCs w:val="22"/>
          <w:highlight w:val="none"/>
          <w14:textFill>
            <w14:solidFill>
              <w14:schemeClr w14:val="tx1"/>
            </w14:solidFill>
          </w14:textFill>
        </w:rPr>
        <w:t xml:space="preserve">工作噪音：</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50分贝</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6、</w:t>
      </w:r>
      <w:r>
        <w:rPr>
          <w:rFonts w:ascii="宋体" w:hAnsi="宋体" w:cs="宋体"/>
          <w:bCs/>
          <w:color w:val="000000" w:themeColor="text1"/>
          <w:sz w:val="24"/>
          <w:szCs w:val="22"/>
          <w:highlight w:val="none"/>
          <w14:textFill>
            <w14:solidFill>
              <w14:schemeClr w14:val="tx1"/>
            </w14:solidFill>
          </w14:textFill>
        </w:rPr>
        <w:t xml:space="preserve">设备外观：灰白外观</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7、</w:t>
      </w:r>
      <w:r>
        <w:rPr>
          <w:rFonts w:ascii="宋体" w:hAnsi="宋体" w:cs="宋体"/>
          <w:bCs/>
          <w:color w:val="000000" w:themeColor="text1"/>
          <w:sz w:val="24"/>
          <w:szCs w:val="22"/>
          <w:highlight w:val="none"/>
          <w14:textFill>
            <w14:solidFill>
              <w14:schemeClr w14:val="tx1"/>
            </w14:solidFill>
          </w14:textFill>
        </w:rPr>
        <w:t xml:space="preserve">最低通行高度：</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1.8米</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8、▲</w:t>
      </w:r>
      <w:r>
        <w:rPr>
          <w:rFonts w:ascii="宋体" w:hAnsi="宋体" w:cs="宋体"/>
          <w:bCs/>
          <w:color w:val="000000" w:themeColor="text1"/>
          <w:sz w:val="24"/>
          <w:szCs w:val="22"/>
          <w:highlight w:val="none"/>
          <w14:textFill>
            <w14:solidFill>
              <w14:schemeClr w14:val="tx1"/>
            </w14:solidFill>
          </w14:textFill>
        </w:rPr>
        <w:t xml:space="preserve">收集污染物种类：蓝藻、浮泥、油污、泡沫、浮萍、水葫芦、落叶、生活垃圾及其它微细无序状水面漂浮物。针对蓝藻具备两种打捞模式：（1）、船上装备石墨烯电絮凝系统，可打捞处于生长发育期的细小蓝藻孢子及蓝藻水华。（2）、物理打捞成熟的蓝藻水华。（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s="宋体"/>
          <w:bCs/>
          <w:color w:val="000000" w:themeColor="text1"/>
          <w:sz w:val="24"/>
          <w:szCs w:val="22"/>
          <w:highlight w:val="none"/>
          <w14:textFill>
            <w14:solidFill>
              <w14:schemeClr w14:val="tx1"/>
            </w14:solidFill>
          </w14:textFill>
        </w:rPr>
        <w:t xml:space="preserve">9、</w:t>
      </w:r>
      <w:r>
        <w:rPr>
          <w:rFonts w:ascii="宋体" w:hAnsi="宋体" w:cs="宋体"/>
          <w:bCs/>
          <w:color w:val="000000" w:themeColor="text1"/>
          <w:sz w:val="24"/>
          <w:szCs w:val="22"/>
          <w:highlight w:val="none"/>
          <w14:textFill>
            <w14:solidFill>
              <w14:schemeClr w14:val="tx1"/>
            </w14:solidFill>
          </w14:textFill>
        </w:rPr>
        <w:t xml:space="preserve">智能引拉船及拦截臂：</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(1)自动避障：水底感触式避障</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(2)</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主体材质：高密度聚乙烯非金属材质</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(3)</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主体构造：牵引小船360°转向，全滤网保护结构</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(4)</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主体尺寸：</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0.9米≤</w:t>
      </w:r>
      <w:r>
        <w:rPr>
          <w:rFonts w:ascii="宋体" w:hAnsi="宋体" w:cs="宋体"/>
          <w:bCs/>
          <w:color w:val="000000" w:themeColor="text1"/>
          <w:sz w:val="24"/>
          <w:szCs w:val="22"/>
          <w:highlight w:val="none"/>
          <w14:textFill>
            <w14:solidFill>
              <w14:schemeClr w14:val="tx1"/>
            </w14:solidFill>
          </w14:textFill>
        </w:rPr>
        <w:t xml:space="preserve">长</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1.1米，</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0.3米≤</w:t>
      </w:r>
      <w:r>
        <w:rPr>
          <w:rFonts w:ascii="宋体" w:hAnsi="宋体" w:cs="宋体"/>
          <w:bCs/>
          <w:color w:val="000000" w:themeColor="text1"/>
          <w:sz w:val="24"/>
          <w:szCs w:val="22"/>
          <w:highlight w:val="none"/>
          <w14:textFill>
            <w14:solidFill>
              <w14:schemeClr w14:val="tx1"/>
            </w14:solidFill>
          </w14:textFill>
        </w:rPr>
        <w:t xml:space="preserve">宽≤</w:t>
      </w:r>
      <w:r>
        <w:rPr>
          <w:rFonts w:hint="eastAsia" w:ascii="宋体" w:hAnsi="宋体" w:cs="宋体"/>
          <w:bCs/>
          <w:color w:val="000000" w:themeColor="text1"/>
          <w:sz w:val="24"/>
          <w:szCs w:val="22"/>
          <w:highlight w:val="none"/>
          <w14:textFill>
            <w14:solidFill>
              <w14:schemeClr w14:val="tx1"/>
            </w14:solidFill>
          </w14:textFill>
        </w:rPr>
        <w:t xml:space="preserve">0</w:t>
      </w:r>
      <w:r>
        <w:rPr>
          <w:rFonts w:ascii="宋体" w:hAnsi="宋体" w:cs="宋体"/>
          <w:bCs/>
          <w:color w:val="000000" w:themeColor="text1"/>
          <w:sz w:val="24"/>
          <w:szCs w:val="22"/>
          <w:highlight w:val="none"/>
          <w14:textFill>
            <w14:solidFill>
              <w14:schemeClr w14:val="tx1"/>
            </w14:solidFill>
          </w14:textFill>
        </w:rPr>
        <w:t xml:space="preserve">.</w:t>
      </w:r>
      <w:r>
        <w:rPr>
          <w:rFonts w:hint="eastAsia" w:ascii="宋体" w:hAnsi="宋体" w:cs="宋体"/>
          <w:bCs/>
          <w:color w:val="000000" w:themeColor="text1"/>
          <w:sz w:val="24"/>
          <w:szCs w:val="22"/>
          <w:highlight w:val="none"/>
          <w14:textFill>
            <w14:solidFill>
              <w14:schemeClr w14:val="tx1"/>
            </w14:solidFill>
          </w14:textFill>
        </w:rPr>
        <w:t xml:space="preserve">4</w:t>
      </w:r>
      <w:r>
        <w:rPr>
          <w:rFonts w:ascii="宋体" w:hAnsi="宋体" w:cs="宋体"/>
          <w:bCs/>
          <w:color w:val="000000" w:themeColor="text1"/>
          <w:sz w:val="24"/>
          <w:szCs w:val="22"/>
          <w:highlight w:val="none"/>
          <w14:textFill>
            <w14:solidFill>
              <w14:schemeClr w14:val="tx1"/>
            </w14:solidFill>
          </w14:textFill>
        </w:rPr>
        <w:t xml:space="preserve">米，</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0.3米≤</w:t>
      </w:r>
      <w:r>
        <w:rPr>
          <w:rFonts w:ascii="宋体" w:hAnsi="宋体" w:cs="宋体"/>
          <w:bCs/>
          <w:color w:val="000000" w:themeColor="text1"/>
          <w:sz w:val="24"/>
          <w:szCs w:val="22"/>
          <w:highlight w:val="none"/>
          <w14:textFill>
            <w14:solidFill>
              <w14:schemeClr w14:val="tx1"/>
            </w14:solidFill>
          </w14:textFill>
        </w:rPr>
        <w:t xml:space="preserve">高</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0.</w:t>
      </w:r>
      <w:r>
        <w:rPr>
          <w:rFonts w:hint="eastAsia" w:ascii="宋体" w:hAnsi="宋体" w:cs="宋体"/>
          <w:bCs/>
          <w:color w:val="000000" w:themeColor="text1"/>
          <w:sz w:val="24"/>
          <w:szCs w:val="22"/>
          <w:highlight w:val="none"/>
          <w14:textFill>
            <w14:solidFill>
              <w14:schemeClr w14:val="tx1"/>
            </w14:solidFill>
          </w14:textFill>
        </w:rPr>
        <w:t xml:space="preserve">4</w:t>
      </w:r>
      <w:r>
        <w:rPr>
          <w:rFonts w:ascii="宋体" w:hAnsi="宋体" w:cs="宋体"/>
          <w:bCs/>
          <w:color w:val="000000" w:themeColor="text1"/>
          <w:sz w:val="24"/>
          <w:szCs w:val="22"/>
          <w:highlight w:val="none"/>
          <w14:textFill>
            <w14:solidFill>
              <w14:schemeClr w14:val="tx1"/>
            </w14:solidFill>
          </w14:textFill>
        </w:rPr>
        <w:t xml:space="preserve">米</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(5)吃水深度：</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0.25米≤</w:t>
      </w:r>
      <w:r>
        <w:rPr>
          <w:rFonts w:ascii="宋体" w:hAnsi="宋体" w:cs="宋体"/>
          <w:bCs/>
          <w:color w:val="000000" w:themeColor="text1"/>
          <w:sz w:val="24"/>
          <w:szCs w:val="22"/>
          <w:highlight w:val="none"/>
          <w14:textFill>
            <w14:solidFill>
              <w14:schemeClr w14:val="tx1"/>
            </w14:solidFill>
          </w14:textFill>
        </w:rPr>
        <w:t xml:space="preserve">吃水深度</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0.35米</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(6)单体重量：</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20公斤≤</w:t>
      </w:r>
      <w:r>
        <w:rPr>
          <w:rFonts w:ascii="宋体" w:hAnsi="宋体" w:cs="宋体"/>
          <w:bCs/>
          <w:color w:val="000000" w:themeColor="text1"/>
          <w:sz w:val="24"/>
          <w:szCs w:val="22"/>
          <w:highlight w:val="none"/>
          <w14:textFill>
            <w14:solidFill>
              <w14:schemeClr w14:val="tx1"/>
            </w14:solidFill>
          </w14:textFill>
        </w:rPr>
        <w:t xml:space="preserve">单体重量</w:t>
      </w:r>
      <w:r>
        <w:rPr>
          <w:rFonts w:hint="eastAsia" w:ascii="宋体" w:hAnsi="宋体" w:cs="宋体"/>
          <w:bCs/>
          <w:color w:val="000000" w:themeColor="text1"/>
          <w:sz w:val="24"/>
          <w:szCs w:val="22"/>
          <w:highlight w:val="none"/>
          <w14:textFill>
            <w14:solidFill>
              <w14:schemeClr w14:val="tx1"/>
            </w14:solidFill>
          </w14:textFill>
        </w:rPr>
        <w:t xml:space="preserve">≤30</w:t>
      </w:r>
      <w:r>
        <w:rPr>
          <w:rFonts w:ascii="宋体" w:hAnsi="宋体" w:cs="宋体"/>
          <w:bCs/>
          <w:color w:val="000000" w:themeColor="text1"/>
          <w:sz w:val="24"/>
          <w:szCs w:val="22"/>
          <w:highlight w:val="none"/>
          <w14:textFill>
            <w14:solidFill>
              <w14:schemeClr w14:val="tx1"/>
            </w14:solidFill>
          </w14:textFill>
        </w:rPr>
        <w:t xml:space="preserve">公斤</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(7)</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拦截装置：柔性材质软臂，不倒翁结构，单臂</w:t>
      </w:r>
      <w:r>
        <w:rPr>
          <w:rFonts w:hint="eastAsia" w:ascii="宋体" w:hAnsi="宋体" w:cs="宋体"/>
          <w:bCs/>
          <w:color w:val="000000" w:themeColor="text1"/>
          <w:sz w:val="24"/>
          <w:szCs w:val="22"/>
          <w:highlight w:val="none"/>
          <w14:textFill>
            <w14:solidFill>
              <w14:schemeClr w14:val="tx1"/>
            </w14:solidFill>
          </w14:textFill>
        </w:rPr>
        <w:t xml:space="preserve">长度≥10</w:t>
      </w:r>
      <w:r>
        <w:rPr>
          <w:rFonts w:ascii="宋体" w:hAnsi="宋体" w:cs="宋体"/>
          <w:bCs/>
          <w:color w:val="000000" w:themeColor="text1"/>
          <w:sz w:val="24"/>
          <w:szCs w:val="22"/>
          <w:highlight w:val="none"/>
          <w14:textFill>
            <w14:solidFill>
              <w14:schemeClr w14:val="tx1"/>
            </w14:solidFill>
          </w14:textFill>
        </w:rPr>
        <w:t xml:space="preserve">米，并可实现外挂</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ascii="宋体" w:hAnsi="宋体" w:cs="宋体"/>
          <w:bCs/>
          <w:color w:val="000000" w:themeColor="text1"/>
          <w:sz w:val="24"/>
          <w:szCs w:val="22"/>
          <w:highlight w:val="none"/>
          <w14:textFill>
            <w14:solidFill>
              <w14:schemeClr w14:val="tx1"/>
            </w14:solidFill>
          </w14:textFill>
        </w:rPr>
        <w:t xml:space="preserve">(8)</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拦截深度：</w:t>
      </w:r>
      <w:r>
        <w:rPr>
          <w:rFonts w:hint="eastAsia" w:ascii="宋体" w:hAnsi="宋体" w:cs="宋体"/>
          <w:bCs/>
          <w:color w:val="000000" w:themeColor="text1"/>
          <w:sz w:val="24"/>
          <w:szCs w:val="22"/>
          <w:highlight w:val="none"/>
          <w14:textFill>
            <w14:solidFill>
              <w14:schemeClr w14:val="tx1"/>
            </w14:solidFill>
          </w14:textFill>
        </w:rPr>
        <w:t xml:space="preserve">≥15</w:t>
      </w:r>
      <w:r>
        <w:rPr>
          <w:rFonts w:ascii="宋体" w:hAnsi="宋体" w:cs="宋体"/>
          <w:bCs/>
          <w:color w:val="000000" w:themeColor="text1"/>
          <w:sz w:val="24"/>
          <w:szCs w:val="22"/>
          <w:highlight w:val="none"/>
          <w14:textFill>
            <w14:solidFill>
              <w14:schemeClr w14:val="tx1"/>
            </w14:solidFill>
          </w14:textFill>
        </w:rPr>
        <w:t xml:space="preserve">厘米</w:t>
      </w:r>
      <w:r>
        <w:rPr>
          <w:rFonts w:hint="eastAsia" w:ascii="宋体" w:hAnsi="宋体" w:cs="宋体"/>
          <w:bCs/>
          <w:color w:val="000000" w:themeColor="text1"/>
          <w:sz w:val="24"/>
          <w:szCs w:val="22"/>
          <w:highlight w:val="none"/>
          <w14:textFill>
            <w14:solidFill>
              <w14:schemeClr w14:val="tx1"/>
            </w14:solidFill>
          </w14:textFill>
        </w:rPr>
        <w:t xml:space="preserve">。</w:t>
      </w:r>
      <w:r>
        <w:rPr>
          <w:rFonts w:ascii="宋体" w:hAnsi="宋体" w:cs="宋体"/>
          <w:bCs/>
          <w:color w:val="000000" w:themeColor="text1"/>
          <w:sz w:val="24"/>
          <w:szCs w:val="22"/>
          <w:highlight w:val="none"/>
          <w14:textFill>
            <w14:solidFill>
              <w14:schemeClr w14:val="tx1"/>
            </w14:solidFill>
          </w14:textFill>
        </w:rPr>
        <w:t xml:space="preserve">（提供具备CMA</w:t>
      </w:r>
      <w:r>
        <w:rPr>
          <w:rFonts w:hint="eastAsia" w:ascii="宋体" w:hAnsi="宋体" w:cs="宋体"/>
          <w:bCs/>
          <w:color w:val="000000" w:themeColor="text1"/>
          <w:sz w:val="24"/>
          <w:szCs w:val="22"/>
          <w:highlight w:val="none"/>
          <w14:textFill>
            <w14:solidFill>
              <w14:schemeClr w14:val="tx1"/>
            </w14:solidFill>
          </w14:textFill>
        </w:rPr>
        <w:t xml:space="preserve">或</w:t>
      </w:r>
      <w:r>
        <w:rPr>
          <w:rFonts w:ascii="宋体" w:hAnsi="宋体" w:cs="宋体"/>
          <w:bCs/>
          <w:color w:val="000000" w:themeColor="text1"/>
          <w:sz w:val="24"/>
          <w:szCs w:val="22"/>
          <w:highlight w:val="none"/>
          <w14:textFill>
            <w14:solidFill>
              <w14:schemeClr w14:val="tx1"/>
            </w14:solidFill>
          </w14:textFill>
        </w:rPr>
        <w:t xml:space="preserve">CNAS标识的检测报告）</w:t>
      </w:r>
      <w:r/>
    </w:p>
    <w:p>
      <w:pPr>
        <w:pStyle w:val="1091"/>
        <w:ind w:firstLine="562"/>
        <w:spacing w:line="59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（三）配套设施参数要求</w:t>
      </w:r>
      <w:r/>
    </w:p>
    <w:p>
      <w:pPr>
        <w:ind w:firstLine="480"/>
        <w:spacing w:line="590" w:lineRule="exact"/>
        <w:rPr>
          <w:rFonts w:hint="eastAsia" w:ascii="宋体" w:hAnsi="宋体" w:eastAsia="宋体" w:cs="宋体"/>
          <w:bCs/>
          <w:color w:val="000000" w:themeColor="text1"/>
          <w:sz w:val="24"/>
          <w:szCs w:val="22"/>
          <w:highlight w:val="none"/>
          <w:lang w:eastAsia="zh-CN"/>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拖船架</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与打捞船匹配，尺寸：</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11米≤</w:t>
      </w:r>
      <w:r>
        <w:rPr>
          <w:rFonts w:hint="eastAsia" w:ascii="宋体" w:hAnsi="宋体" w:cs="宋体"/>
          <w:bCs/>
          <w:color w:val="000000" w:themeColor="text1"/>
          <w:sz w:val="24"/>
          <w:szCs w:val="22"/>
          <w:highlight w:val="none"/>
          <w14:textFill>
            <w14:solidFill>
              <w14:schemeClr w14:val="tx1"/>
            </w14:solidFill>
          </w14:textFill>
        </w:rPr>
        <w:t xml:space="preserve">长度≤13米、</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2.6米≤</w:t>
      </w:r>
      <w:r>
        <w:rPr>
          <w:rFonts w:hint="eastAsia" w:ascii="宋体" w:hAnsi="宋体" w:cs="宋体"/>
          <w:bCs/>
          <w:color w:val="000000" w:themeColor="text1"/>
          <w:sz w:val="24"/>
          <w:szCs w:val="22"/>
          <w:highlight w:val="none"/>
          <w14:textFill>
            <w14:solidFill>
              <w14:schemeClr w14:val="tx1"/>
            </w14:solidFill>
          </w14:textFill>
        </w:rPr>
        <w:t xml:space="preserve">宽度≤3米，</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能够灵活转运拖船（带轮子）</w:t>
      </w:r>
      <w:r>
        <w:rPr>
          <w:rFonts w:hint="eastAsia" w:ascii="宋体" w:hAnsi="宋体" w:cs="宋体"/>
          <w:bCs/>
          <w:color w:val="000000" w:themeColor="text1"/>
          <w:sz w:val="24"/>
          <w:szCs w:val="22"/>
          <w:highlight w:val="none"/>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lang w:eastAsia="zh-CN"/>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2.移动式发电机</w:t>
      </w:r>
      <w:r>
        <w:rPr>
          <w:rFonts w:hint="eastAsia" w:ascii="宋体" w:hAnsi="宋体" w:cs="宋体"/>
          <w:bCs/>
          <w:color w:val="000000" w:themeColor="text1"/>
          <w:sz w:val="24"/>
          <w:szCs w:val="22"/>
          <w:highlight w:val="none"/>
          <w:lang w:eastAsia="zh-CN"/>
          <w14:textFill>
            <w14:solidFill>
              <w14:schemeClr w14:val="tx1"/>
            </w14:solidFill>
          </w14:textFill>
        </w:rPr>
        <w:t xml:space="preserve">（</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含便携式终端</w:t>
      </w:r>
      <w:r>
        <w:rPr>
          <w:rFonts w:hint="eastAsia" w:ascii="宋体" w:hAnsi="宋体" w:cs="宋体"/>
          <w:bCs/>
          <w:color w:val="000000" w:themeColor="text1"/>
          <w:sz w:val="24"/>
          <w:szCs w:val="22"/>
          <w:highlight w:val="none"/>
          <w:lang w:eastAsia="zh-CN"/>
          <w14:textFill>
            <w14:solidFill>
              <w14:schemeClr w14:val="tx1"/>
            </w14:solidFill>
          </w14:textFill>
        </w:rPr>
        <w:t xml:space="preserve">）</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额定功率：≥5Kw，额定电压：220V，启动方式:电启动，低噪音(带静音箱)。</w:t>
      </w:r>
      <w:r/>
    </w:p>
    <w:p>
      <w:pPr>
        <w:ind w:firstLine="480"/>
        <w:spacing w:line="590" w:lineRule="exact"/>
        <w:rPr>
          <w:rFonts w:hint="eastAsia" w:ascii="宋体" w:hAnsi="宋体" w:cs="宋体"/>
          <w:bCs/>
          <w:color w:val="000000" w:themeColor="text1"/>
          <w:sz w:val="24"/>
          <w:szCs w:val="22"/>
          <w:highlight w:val="none"/>
          <w:lang w:val="en-US" w:eastAsia="zh-CN"/>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便携式终端：数量：2套，用于接收船只航行轨迹，监控水华及蓝藻处置情况。</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配备13寸以上显示屏，1</w:t>
      </w:r>
      <w:r>
        <w:rPr>
          <w:rFonts w:hint="eastAsia" w:ascii="宋体" w:hAnsi="宋体" w:cs="宋体"/>
          <w:bCs/>
          <w:color w:val="000000" w:themeColor="text1"/>
          <w:sz w:val="24"/>
          <w:szCs w:val="22"/>
          <w:highlight w:val="none"/>
          <w14:textFill>
            <w14:solidFill>
              <w14:schemeClr w14:val="tx1"/>
            </w14:solidFill>
          </w14:textFill>
        </w:rPr>
        <w:t xml:space="preserve">T</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存储空问，无风扇散热系统，16G高带宽统一显示内存，配套2条雷电5数据线，2个Type-C扩展坞，1只NUC16GDK型数据接收同步处理设备。</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3.藻泥输送带</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材质：SUS304，尺寸：长度≥5.0米，宽度≥1.0米。</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4</w:t>
      </w:r>
      <w:r>
        <w:rPr>
          <w:rFonts w:hint="eastAsia" w:ascii="宋体" w:hAnsi="宋体" w:cs="宋体"/>
          <w:bCs/>
          <w:color w:val="000000" w:themeColor="text1"/>
          <w:sz w:val="24"/>
          <w:szCs w:val="22"/>
          <w:highlight w:val="none"/>
          <w14:textFill>
            <w14:solidFill>
              <w14:schemeClr w14:val="tx1"/>
            </w14:solidFill>
          </w14:textFill>
        </w:rPr>
        <w:t xml:space="preserve">.蓝藻吨包</w:t>
      </w:r>
      <w:r/>
    </w:p>
    <w:p>
      <w:pPr>
        <w:ind w:firstLine="480"/>
        <w:spacing w:line="590" w:lineRule="exact"/>
        <w:rPr>
          <w:rFonts w:hint="eastAsia" w:ascii="宋体" w:hAnsi="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14:textFill>
            <w14:solidFill>
              <w14:schemeClr w14:val="tx1"/>
            </w14:solidFill>
          </w14:textFill>
        </w:rPr>
        <w:t xml:space="preserve">尺寸：50cm*50cm*50cm，材质：PP聚丙烯。</w:t>
      </w:r>
      <w:r/>
    </w:p>
    <w:p>
      <w:pPr>
        <w:pStyle w:val="1088"/>
        <w:ind w:firstLine="482"/>
        <w:jc w:val="left"/>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三、质量保证</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1、建设期的质量保证</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1.1设备达不到磋商文件质量和规格要求的，采购人有权解除合同，所有责任由成交供应商承担。</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1.2成交供应商必须严格按照合同约定期限要求将设备全部交付到指定地点，完成系统所有建设内容。</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1.3为确保系统高质量建设，供应商应制定有关建设期间的质量保证计划，包括仪器设备质量保证、技术人员及管理等。</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2、供货时限要求</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2.1供应商应制订明确的合同交货进度表。</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2.2提供详细的安装调试实施方案和进度计划，明确管理与技术人员职责，强调安装时效性。</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3、验收办法</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3.1项目验收由采购方组织有关专家等人员按照现行相关管理规定、磋商及响应文件要求及合同内容进行验收。</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3.2设备到达安装现场后，供应商和采购人（或委托的监理方）共同打开包装验货检查货物数量。供应商应提供详细装箱单据。如果货物质量或技术规格与合同不符，或货物有明显损坏，招标人有权提出索赔。只有经安装调试并且技术性能达到本磋商文件所述的技术要求后，招标人才能接受全部货物。</w:t>
      </w:r>
      <w:r/>
    </w:p>
    <w:p>
      <w:pPr>
        <w:pStyle w:val="1088"/>
        <w:ind w:firstLine="480"/>
        <w:jc w:val="left"/>
        <w:spacing w:line="500" w:lineRule="exact"/>
        <w:rPr>
          <w:rFonts w:hint="eastAsia" w:ascii="宋体" w:hAnsi="宋体" w:cs="宋体"/>
          <w:bCs/>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3.3设备不满足磋商文件要求的，采购人有权解除合同并追究成交供应商法律责任。</w:t>
      </w:r>
      <w:r/>
    </w:p>
    <w:p>
      <w:pPr>
        <w:pStyle w:val="1088"/>
        <w:ind w:firstLine="482"/>
        <w:jc w:val="left"/>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四、服务与技术支持</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w:t>
      </w:r>
      <w:r>
        <w:rPr>
          <w:rStyle w:val="984"/>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质保期：电动蓝藻物理打捞船1年（从验收合格之日起算起）。</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2、质保期内须免费提供技术服务，技术服务包括系统的维护、维修（包括更换仪器及零配件等）和技术支持。质保期结束后经采购人同意，备品配件须给予优惠价格。</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3、服务和技术支持要求</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3.1、在安装调试和质保期内，供应商应保证提供及时充足的技术服务。设备系统出现故障时，一般问题须1小时内电话支持；重点、难点问题须</w:t>
      </w:r>
      <w:r>
        <w:rPr>
          <w:rStyle w:val="984"/>
          <w:rFonts w:hint="eastAsia" w:ascii="宋体" w:hAnsi="宋体" w:cs="宋体"/>
          <w:color w:val="000000" w:themeColor="text1"/>
          <w:sz w:val="24"/>
          <w:szCs w:val="24"/>
          <w:highlight w:val="none"/>
          <w:lang w:val="en-US" w:eastAsia="zh-CN"/>
          <w14:textFill>
            <w14:solidFill>
              <w14:schemeClr w14:val="tx1"/>
            </w14:solidFill>
          </w14:textFill>
        </w:rPr>
        <w:t xml:space="preserve">24</w:t>
      </w:r>
      <w:r>
        <w:rPr>
          <w:rStyle w:val="984"/>
          <w:rFonts w:hint="eastAsia" w:ascii="宋体" w:hAnsi="宋体" w:cs="宋体"/>
          <w:color w:val="000000" w:themeColor="text1"/>
          <w:sz w:val="24"/>
          <w:szCs w:val="24"/>
          <w:highlight w:val="none"/>
          <w14:textFill>
            <w14:solidFill>
              <w14:schemeClr w14:val="tx1"/>
            </w14:solidFill>
          </w14:textFill>
        </w:rPr>
        <w:t xml:space="preserve">小时内到达现场维修，</w:t>
      </w:r>
      <w:r>
        <w:rPr>
          <w:rStyle w:val="984"/>
          <w:rFonts w:hint="eastAsia" w:ascii="宋体" w:hAnsi="宋体" w:cs="宋体"/>
          <w:color w:val="000000" w:themeColor="text1"/>
          <w:sz w:val="24"/>
          <w:szCs w:val="24"/>
          <w:highlight w:val="none"/>
          <w:lang w:val="en-US" w:eastAsia="zh-CN"/>
          <w14:textFill>
            <w14:solidFill>
              <w14:schemeClr w14:val="tx1"/>
            </w14:solidFill>
          </w14:textFill>
        </w:rPr>
        <w:t xml:space="preserve">48</w:t>
      </w:r>
      <w:r>
        <w:rPr>
          <w:rStyle w:val="984"/>
          <w:rFonts w:hint="eastAsia" w:ascii="宋体" w:hAnsi="宋体" w:cs="宋体"/>
          <w:color w:val="000000" w:themeColor="text1"/>
          <w:sz w:val="24"/>
          <w:szCs w:val="24"/>
          <w:highlight w:val="none"/>
          <w14:textFill>
            <w14:solidFill>
              <w14:schemeClr w14:val="tx1"/>
            </w14:solidFill>
          </w14:textFill>
        </w:rPr>
        <w:t xml:space="preserve">小时内解决问题。</w:t>
      </w:r>
      <w:r/>
    </w:p>
    <w:p>
      <w:pPr>
        <w:pStyle w:val="1088"/>
        <w:ind w:firstLine="480"/>
        <w:jc w:val="left"/>
        <w:spacing w:line="500" w:lineRule="exact"/>
        <w:rPr>
          <w:rStyle w:val="984"/>
          <w:rFonts w:hint="eastAsia" w:ascii="宋体" w:hAnsi="宋体" w:cs="宋体"/>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3.2、供应商在提交响应文件时应提供售后技术服务的详细方案，包括售后服务的经费问题。</w:t>
      </w:r>
      <w:r/>
    </w:p>
    <w:p>
      <w:pPr>
        <w:pStyle w:val="1088"/>
        <w:ind w:firstLine="480"/>
        <w:jc w:val="left"/>
        <w:spacing w:line="500" w:lineRule="exact"/>
        <w:rPr>
          <w:rFonts w:hint="eastAsia" w:ascii="宋体" w:hAnsi="宋体" w:cs="宋体"/>
          <w:bCs/>
          <w:color w:val="000000" w:themeColor="text1"/>
          <w:sz w:val="24"/>
          <w:szCs w:val="24"/>
          <w:highlight w:val="none"/>
          <w14:textFill>
            <w14:solidFill>
              <w14:schemeClr w14:val="tx1"/>
            </w14:solidFill>
          </w14:textFill>
        </w:rPr>
      </w:pPr>
      <w:r>
        <w:rPr>
          <w:rStyle w:val="984"/>
          <w:rFonts w:hint="eastAsia" w:ascii="宋体" w:hAnsi="宋体" w:cs="宋体"/>
          <w:color w:val="000000" w:themeColor="text1"/>
          <w:sz w:val="24"/>
          <w:szCs w:val="24"/>
          <w:highlight w:val="none"/>
          <w14:textFill>
            <w14:solidFill>
              <w14:schemeClr w14:val="tx1"/>
            </w14:solidFill>
          </w14:textFill>
        </w:rPr>
        <w:t xml:space="preserve">3.3、供应商应配备专职的维修工程师及应用工程师有效保证售后维修的及时、快捷，并负责提供技术支持，保证设备的正常操作。</w:t>
      </w:r>
      <w:r/>
    </w:p>
    <w:p>
      <w:pPr>
        <w:pStyle w:val="1088"/>
        <w:ind w:firstLine="482"/>
        <w:jc w:val="left"/>
        <w:spacing w:line="5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五、其他要求</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1、付款方式：</w:t>
      </w:r>
      <w:r/>
    </w:p>
    <w:p>
      <w:pPr>
        <w:ind w:firstLine="482"/>
        <w:spacing w:line="560" w:lineRule="exact"/>
        <w:rPr>
          <w:bCs/>
          <w:color w:val="000000" w:themeColor="text1"/>
          <w:sz w:val="24"/>
          <w:szCs w:val="21"/>
          <w:highlight w:val="none"/>
          <w14:textFill>
            <w14:solidFill>
              <w14:schemeClr w14:val="tx1"/>
            </w14:solidFill>
          </w14:textFill>
        </w:rPr>
      </w:pPr>
      <w:r>
        <w:rPr>
          <w:rFonts w:hint="eastAsia"/>
          <w:bCs/>
          <w:color w:val="000000" w:themeColor="text1"/>
          <w:sz w:val="24"/>
          <w:szCs w:val="21"/>
          <w:highlight w:val="none"/>
          <w14:textFill>
            <w14:solidFill>
              <w14:schemeClr w14:val="tx1"/>
            </w14:solidFill>
          </w14:textFill>
        </w:rPr>
        <w:t xml:space="preserve">拟采取一次性付款，验收后付款。</w:t>
      </w:r>
      <w:r/>
    </w:p>
    <w:p>
      <w:pPr>
        <w:pStyle w:val="1088"/>
        <w:ind w:firstLine="480"/>
        <w:spacing w:before="72" w:after="72" w:line="500" w:lineRule="exact"/>
        <w:rPr>
          <w:rFonts w:ascii="Times New Roman" w:hAnsi="Times New Roman"/>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全部设备货物安装调试完毕且验收合格，并对相关操作人员完成全部培训后，在提供对应发票后10个工作日内一次性付清余款。</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2、履约保证金：本项目不收取履约保证金</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3、成交供应商提供的整套设备应能构成一个完整的系统并按技术要求连续运行。</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4、提供的设备要求</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4.1供应商提供的设备必须是全新、符合国家质量检测标准的，符合采购需求中的规格型号及配置要求的货物(包括零部件)，所有的原材料必须无任何缺陷。所有的设备和安装要符合国家行业标准。</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4.2所提供的设备应具有出厂检验合格证。</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5、提供技术文件要求</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5.1成交供应商所提供的技术说明文件应与货物相对应一致，并尽可能完整清晰。合同技术文件应与每批货物共同包装送交，费用应包含于货物的报价中。</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5.2货物的技术说明文件应为中文，文字应简单易懂。</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6、项目需求中没有在响应文件中注明偏离（文字说明或在技术、商务偏离表注明）的参数、配置、条款视为供应商完全接受。</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7、所报货物或商务条款存在偏差的必须如实填写，否则可能导致废标。</w:t>
      </w:r>
      <w:r/>
    </w:p>
    <w:p>
      <w:pPr>
        <w:ind w:firstLine="48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8、成交供应商在签订合同时，若坚持提出不合理要求，中标资格将被取消，该成交供应商对由此产生的一切后果负责。</w:t>
      </w:r>
      <w:r/>
    </w:p>
    <w:p>
      <w:pPr>
        <w:pStyle w:val="1092"/>
        <w:ind w:firstLine="482"/>
        <w:spacing w:line="590" w:lineRule="exac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六、培训要求</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1、现场培训</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1.1培训地点：安装现场；</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1.2时间：在安装调试后10天内进行；</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1.3内容：设备的操作和维护。</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2、培训要求</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2.1供应商在提交响应文件时应提供技术培训的详细方案。</w:t>
      </w:r>
      <w:r/>
    </w:p>
    <w:p>
      <w:pPr>
        <w:ind w:firstLine="480"/>
        <w:spacing w:line="590" w:lineRule="exact"/>
        <w:rPr>
          <w:rFonts w:eastAsia="方正仿宋_GBK"/>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2.2培训所需所有费用由成交人承担。</w:t>
      </w:r>
      <w:r/>
    </w:p>
    <w:p>
      <w:pPr>
        <w:pStyle w:val="1092"/>
        <w:ind w:firstLine="482"/>
        <w:spacing w:line="590" w:lineRule="exact"/>
        <w:rPr>
          <w:rFonts w:hint="eastAsia" w:ascii="宋体" w:hAnsi="宋体" w:cs="宋体"/>
          <w:b/>
          <w:bCs/>
          <w:color w:val="000000" w:themeColor="text1"/>
          <w:sz w:val="24"/>
          <w:szCs w:val="22"/>
          <w:highlight w:val="none"/>
          <w14:textFill>
            <w14:solidFill>
              <w14:schemeClr w14:val="tx1"/>
            </w14:solidFill>
          </w14:textFill>
        </w:rPr>
      </w:pPr>
      <w:r>
        <w:rPr>
          <w:rFonts w:hint="eastAsia" w:ascii="宋体" w:hAnsi="宋体" w:cs="宋体"/>
          <w:b/>
          <w:bCs/>
          <w:color w:val="000000" w:themeColor="text1"/>
          <w:sz w:val="24"/>
          <w:szCs w:val="22"/>
          <w:highlight w:val="none"/>
          <w14:textFill>
            <w14:solidFill>
              <w14:schemeClr w14:val="tx1"/>
            </w14:solidFill>
          </w14:textFill>
        </w:rPr>
        <w:t xml:space="preserve">七、注意事项</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1、本项目不接受备选的投标方案或有选择的报价，只允许有一个报价。投标报价内容包括：</w:t>
      </w:r>
      <w:r>
        <w:rPr>
          <w:rStyle w:val="984"/>
          <w:rFonts w:hint="eastAsia" w:ascii="宋体" w:hAnsi="宋体" w:cs="宋体"/>
          <w:b/>
          <w:bCs/>
          <w:color w:val="000000" w:themeColor="text1"/>
          <w:sz w:val="24"/>
          <w:highlight w:val="none"/>
          <w14:textFill>
            <w14:solidFill>
              <w14:schemeClr w14:val="tx1"/>
            </w14:solidFill>
          </w14:textFill>
        </w:rPr>
        <w:t xml:space="preserve">设备本身、安装调试费</w:t>
      </w:r>
      <w:r>
        <w:rPr>
          <w:rStyle w:val="984"/>
          <w:rFonts w:hint="eastAsia" w:ascii="宋体" w:hAnsi="宋体" w:cs="宋体"/>
          <w:b/>
          <w:bCs/>
          <w:color w:val="000000" w:themeColor="text1"/>
          <w:sz w:val="24"/>
          <w:highlight w:val="none"/>
          <w:lang w:val="en-US" w:eastAsia="zh-CN"/>
          <w14:textFill>
            <w14:solidFill>
              <w14:schemeClr w14:val="tx1"/>
            </w14:solidFill>
          </w14:textFill>
        </w:rPr>
        <w:t xml:space="preserve">、</w:t>
      </w:r>
      <w:r>
        <w:rPr>
          <w:rStyle w:val="984"/>
          <w:rFonts w:hint="eastAsia" w:ascii="宋体" w:hAnsi="宋体" w:cs="宋体"/>
          <w:b/>
          <w:bCs/>
          <w:color w:val="000000" w:themeColor="text1"/>
          <w:sz w:val="24"/>
          <w:highlight w:val="none"/>
          <w14:textFill>
            <w14:solidFill>
              <w14:schemeClr w14:val="tx1"/>
            </w14:solidFill>
          </w14:textFill>
        </w:rPr>
        <w:t xml:space="preserve">人工费、服务费、培训费、税金以及交付使用过程中涉及到的其他一切费用。</w:t>
      </w:r>
      <w:r/>
    </w:p>
    <w:p>
      <w:pPr>
        <w:ind w:firstLine="480"/>
        <w:spacing w:line="590" w:lineRule="exact"/>
        <w:rPr>
          <w:rStyle w:val="984"/>
          <w:rFonts w:hint="eastAsia" w:ascii="宋体" w:hAnsi="宋体" w:cs="宋体"/>
          <w:color w:val="000000" w:themeColor="text1"/>
          <w:sz w:val="24"/>
          <w:highlight w:val="none"/>
          <w14:textFill>
            <w14:solidFill>
              <w14:schemeClr w14:val="tx1"/>
            </w14:solidFill>
          </w14:textFill>
        </w:rPr>
      </w:pPr>
      <w:r>
        <w:rPr>
          <w:rStyle w:val="984"/>
          <w:rFonts w:hint="eastAsia" w:ascii="宋体" w:hAnsi="宋体" w:cs="宋体"/>
          <w:color w:val="000000" w:themeColor="text1"/>
          <w:sz w:val="24"/>
          <w:highlight w:val="none"/>
          <w14:textFill>
            <w14:solidFill>
              <w14:schemeClr w14:val="tx1"/>
            </w14:solidFill>
          </w14:textFill>
        </w:rPr>
        <w:t xml:space="preserve">2、供应商报价时应充分考虑所有可能影响到报价的因素，一旦评标结束最终成交，如发生漏、缺、少项，都将被认为是成交供应商的报价让利行为，损失自负。</w:t>
      </w:r>
      <w:r/>
    </w:p>
    <w:p>
      <w:pPr>
        <w:ind w:firstLine="480"/>
        <w:spacing w:line="500" w:lineRule="exact"/>
        <w:rPr>
          <w:rFonts w:hint="eastAsia" w:ascii="宋体" w:hAnsi="宋体" w:cs="宋体"/>
          <w:b/>
          <w:bCs/>
          <w:color w:val="000000" w:themeColor="text1"/>
          <w:sz w:val="24"/>
          <w:szCs w:val="21"/>
          <w:highlight w:val="none"/>
          <w14:textFill>
            <w14:solidFill>
              <w14:schemeClr w14:val="tx1"/>
            </w14:solidFill>
          </w14:textFill>
        </w:rPr>
      </w:pPr>
      <w:r>
        <w:rPr>
          <w:rFonts w:hint="eastAsia" w:ascii="宋体" w:hAnsi="宋体" w:cs="宋体"/>
          <w:b/>
          <w:bCs/>
          <w:color w:val="000000" w:themeColor="text1"/>
          <w:sz w:val="24"/>
          <w:szCs w:val="21"/>
          <w:highlight w:val="none"/>
          <w14:textFill>
            <w14:solidFill>
              <w14:schemeClr w14:val="tx1"/>
            </w14:solidFill>
          </w14:textFill>
        </w:rPr>
        <w:t xml:space="preserve">八、采购标的需实现的功能或者目标，以及为落实政府采购政策需满足的要求；</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1.1采购本国货物、工程和服务</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1.1.1政府采购应当采购本国货物、工程和服务，但有《中华人民共和国政府采购法》第十条规定情形的除外。</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1.1.2如采购进口产品的，应当符合《政府采购进口产品管理办法》(财库(2007)119号文)、《关于政府采购进口产品管理有关问题的通知》(财办库(2008)248号文)等相关规定。</w:t>
      </w:r>
      <w:r>
        <w:rPr>
          <w:rFonts w:hint="eastAsia" w:ascii="宋体" w:hAnsi="宋体" w:cs="宋体"/>
          <w:b/>
          <w:bCs/>
          <w:color w:val="000000" w:themeColor="text1"/>
          <w:sz w:val="24"/>
          <w:szCs w:val="24"/>
          <w:highlight w:val="none"/>
          <w14:textFill>
            <w14:solidFill>
              <w14:schemeClr w14:val="tx1"/>
            </w14:solidFill>
          </w14:textFill>
        </w:rPr>
        <w:t xml:space="preserve">本项目不采购进口产品。</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1.3政府采购需求标准</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1.3.1商品包装、快递包装政府采购需求标准（试行）</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1.5绿色数据中心政府采购需求标准（试行）</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1.5.1为加快数据中心绿色转型，根据财政部生态环境部工业和信息化部关于印发《绿色数据中心政府采购需求标准（试行）》的通知），本项目如涉及绿色数据中心，供应商应当提供符合需求标准的产品。</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1.6本项目中涉及涂料、胶黏剂、油墨、清洗剂等挥发性有机物产品的，属于强制性标准的，供应商应当提供符合国家和江苏省相关VOCs含量限制标准的产品。</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2、采购标的需执行的国家相关标准、行业标准、地方标准或者其他标准、规范；</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3、采购标的需满足的质量、安全、技术规格、物理特性等要求；</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4、采购标的的数量、采购项目交付或者实施的时间和地点；</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5、采购标的需满足的服务标准、期限、效率等要求；</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6、采购标的的验收标准；</w:t>
      </w:r>
      <w:r/>
    </w:p>
    <w:p>
      <w:pPr>
        <w:pStyle w:val="1088"/>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7、采购标的的其他技术、服务等要求。</w:t>
      </w:r>
      <w:r/>
    </w:p>
    <w:p>
      <w:pPr>
        <w:pStyle w:val="1088"/>
        <w:ind w:firstLine="482"/>
        <w:spacing w:line="50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8、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jc w:val="center"/>
        <w:rPr>
          <w:rFonts w:eastAsia="黑体"/>
          <w:bCs/>
          <w:color w:val="000000" w:themeColor="text1"/>
          <w:sz w:val="44"/>
          <w:highlight w:val="none"/>
          <w14:textFill>
            <w14:solidFill>
              <w14:schemeClr w14:val="tx1"/>
            </w14:solidFill>
          </w14:textFill>
        </w:rPr>
        <w:sectPr>
          <w:headerReference w:type="defaul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eastAsia="黑体"/>
          <w:bCs/>
          <w:color w:val="000000" w:themeColor="text1"/>
          <w:sz w:val="44"/>
          <w:highlight w:val="none"/>
          <w14:textFill>
            <w14:solidFill>
              <w14:schemeClr w14:val="tx1"/>
            </w14:solidFill>
          </w14:textFill>
        </w:rPr>
      </w:r>
      <w:r/>
    </w:p>
    <w:p>
      <w:pPr>
        <w:ind w:firstLine="482"/>
        <w:jc w:val="center"/>
        <w:spacing w:line="480" w:lineRule="exact"/>
        <w:rPr>
          <w:rFonts w:hint="eastAsia" w:ascii="宋体" w:hAnsi="宋体"/>
          <w:b/>
          <w:color w:val="000000" w:themeColor="text1"/>
          <w:sz w:val="36"/>
          <w:szCs w:val="36"/>
          <w:highlight w:val="none"/>
          <w14:textFill>
            <w14:solidFill>
              <w14:schemeClr w14:val="tx1"/>
            </w14:solidFill>
          </w14:textFill>
        </w:rPr>
        <w:outlineLvl w:val="0"/>
      </w:pPr>
      <w:r/>
      <w:bookmarkStart w:id="151" w:name="_Toc18561"/>
      <w:r>
        <w:rPr>
          <w:rFonts w:hint="eastAsia" w:ascii="黑体" w:eastAsia="黑体"/>
          <w:color w:val="000000" w:themeColor="text1"/>
          <w:sz w:val="44"/>
          <w:szCs w:val="44"/>
          <w:highlight w:val="none"/>
          <w14:textFill>
            <w14:solidFill>
              <w14:schemeClr w14:val="tx1"/>
            </w14:solidFill>
          </w14:textFill>
        </w:rPr>
        <w:t xml:space="preserve">第五章 评审方法和评审标准</w:t>
      </w:r>
      <w:bookmarkEnd w:id="147"/>
      <w:r/>
      <w:bookmarkEnd w:id="151"/>
      <w:r/>
      <w:r/>
    </w:p>
    <w:p>
      <w:pPr>
        <w:pStyle w:val="1061"/>
        <w:ind w:firstLine="0"/>
        <w:spacing w:before="0" w:after="0" w:line="560" w:lineRule="exact"/>
        <w:rPr>
          <w:rFonts w:ascii="宋体"/>
          <w:b/>
          <w:bCs/>
          <w:color w:val="000000" w:themeColor="text1"/>
          <w:highlight w:val="none"/>
          <w14:textFill>
            <w14:solidFill>
              <w14:schemeClr w14:val="tx1"/>
            </w14:solidFill>
          </w14:textFill>
        </w:rPr>
      </w:pPr>
      <w:r>
        <w:rPr>
          <w:rFonts w:hint="eastAsia" w:ascii="宋体"/>
          <w:b/>
          <w:bCs/>
          <w:color w:val="000000" w:themeColor="text1"/>
          <w:highlight w:val="none"/>
          <w14:textFill>
            <w14:solidFill>
              <w14:schemeClr w14:val="tx1"/>
            </w14:solidFill>
          </w14:textFill>
        </w:rPr>
        <w:t xml:space="preserve">一、</w:t>
      </w:r>
      <w:r>
        <w:rPr>
          <w:rFonts w:hint="eastAsia" w:ascii="宋体"/>
          <w:b/>
          <w:color w:val="000000" w:themeColor="text1"/>
          <w:highlight w:val="none"/>
          <w14:textFill>
            <w14:solidFill>
              <w14:schemeClr w14:val="tx1"/>
            </w14:solidFill>
          </w14:textFill>
        </w:rPr>
        <w:t xml:space="preserve">磋商小组：</w:t>
      </w:r>
      <w:r/>
    </w:p>
    <w:p>
      <w:pPr>
        <w:pStyle w:val="1061"/>
        <w:spacing w:before="0" w:after="0" w:line="560" w:lineRule="exact"/>
        <w:rPr>
          <w:rFonts w:ascii="宋体"/>
          <w:bCs/>
          <w:color w:val="000000" w:themeColor="text1"/>
          <w:highlight w:val="none"/>
          <w14:textFill>
            <w14:solidFill>
              <w14:schemeClr w14:val="tx1"/>
            </w14:solidFill>
          </w14:textFill>
        </w:rPr>
      </w:pPr>
      <w:r>
        <w:rPr>
          <w:rFonts w:hint="eastAsia" w:ascii="宋体"/>
          <w:bCs/>
          <w:color w:val="000000" w:themeColor="text1"/>
          <w:highlight w:val="none"/>
          <w14:textFill>
            <w14:solidFill>
              <w14:schemeClr w14:val="tx1"/>
            </w14:solidFill>
          </w14:textFill>
        </w:rPr>
        <w:t xml:space="preserve">本采购项目磋商小组由采购人代表1名及相关评审专家2名组成。</w:t>
      </w:r>
      <w:r/>
    </w:p>
    <w:p>
      <w:pPr>
        <w:pStyle w:val="1061"/>
        <w:ind w:firstLine="0"/>
        <w:spacing w:before="0" w:after="0" w:line="560" w:lineRule="exact"/>
        <w:rPr>
          <w:rFonts w:ascii="宋体"/>
          <w:b/>
          <w:bCs/>
          <w:color w:val="000000" w:themeColor="text1"/>
          <w:highlight w:val="none"/>
          <w14:textFill>
            <w14:solidFill>
              <w14:schemeClr w14:val="tx1"/>
            </w14:solidFill>
          </w14:textFill>
        </w:rPr>
      </w:pPr>
      <w:r>
        <w:rPr>
          <w:rFonts w:hint="eastAsia" w:ascii="宋体"/>
          <w:b/>
          <w:bCs/>
          <w:color w:val="000000" w:themeColor="text1"/>
          <w:highlight w:val="none"/>
          <w14:textFill>
            <w14:solidFill>
              <w14:schemeClr w14:val="tx1"/>
            </w14:solidFill>
          </w14:textFill>
        </w:rPr>
        <w:t xml:space="preserve">二</w:t>
      </w:r>
      <w:r>
        <w:rPr>
          <w:rFonts w:hint="eastAsia" w:ascii="宋体"/>
          <w:b/>
          <w:color w:val="000000" w:themeColor="text1"/>
          <w:highlight w:val="none"/>
          <w14:textFill>
            <w14:solidFill>
              <w14:schemeClr w14:val="tx1"/>
            </w14:solidFill>
          </w14:textFill>
        </w:rPr>
        <w:t xml:space="preserve">、评审方法：</w:t>
      </w:r>
      <w:r>
        <w:rPr>
          <w:rFonts w:hint="eastAsia" w:ascii="宋体"/>
          <w:b/>
          <w:bCs/>
          <w:color w:val="000000" w:themeColor="text1"/>
          <w:highlight w:val="none"/>
          <w14:textFill>
            <w14:solidFill>
              <w14:schemeClr w14:val="tx1"/>
            </w14:solidFill>
          </w14:textFill>
        </w:rPr>
        <w:t xml:space="preserve">综合评分法</w:t>
      </w:r>
      <w:r/>
    </w:p>
    <w:p>
      <w:pPr>
        <w:pStyle w:val="1061"/>
        <w:spacing w:before="0" w:after="0" w:line="560" w:lineRule="exact"/>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 xml:space="preserve">经磋商确定最终采购需求和确定提交最后报价的供应商后，由磋商小组采用综合评分法对提交最后报价的供应商的响应文件和最后报价进行综合评分。</w:t>
      </w:r>
      <w:r/>
    </w:p>
    <w:p>
      <w:pPr>
        <w:pStyle w:val="1061"/>
        <w:spacing w:before="0" w:after="0" w:line="560" w:lineRule="exact"/>
        <w:rPr>
          <w:rFonts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w:t>
      </w:r>
      <w:r/>
    </w:p>
    <w:p>
      <w:pPr>
        <w:pStyle w:val="1061"/>
        <w:ind w:firstLine="0"/>
        <w:spacing w:before="0" w:after="0" w:line="560" w:lineRule="exact"/>
        <w:rPr>
          <w:rFonts w:ascii="宋体"/>
          <w:b/>
          <w:bCs/>
          <w:color w:val="000000" w:themeColor="text1"/>
          <w:highlight w:val="none"/>
          <w14:textFill>
            <w14:solidFill>
              <w14:schemeClr w14:val="tx1"/>
            </w14:solidFill>
          </w14:textFill>
        </w:rPr>
      </w:pPr>
      <w:r>
        <w:rPr>
          <w:rFonts w:hint="eastAsia" w:ascii="宋体"/>
          <w:b/>
          <w:bCs/>
          <w:color w:val="000000" w:themeColor="text1"/>
          <w:highlight w:val="none"/>
          <w14:textFill>
            <w14:solidFill>
              <w14:schemeClr w14:val="tx1"/>
            </w14:solidFill>
          </w14:textFill>
        </w:rPr>
        <w:t xml:space="preserve">三、</w:t>
      </w:r>
      <w:r>
        <w:rPr>
          <w:rFonts w:hint="eastAsia" w:ascii="宋体"/>
          <w:b/>
          <w:color w:val="000000" w:themeColor="text1"/>
          <w:highlight w:val="none"/>
          <w14:textFill>
            <w14:solidFill>
              <w14:schemeClr w14:val="tx1"/>
            </w14:solidFill>
          </w14:textFill>
        </w:rPr>
        <w:t xml:space="preserve">评审</w:t>
      </w:r>
      <w:r>
        <w:rPr>
          <w:rFonts w:hint="eastAsia" w:ascii="宋体"/>
          <w:b/>
          <w:bCs/>
          <w:color w:val="000000" w:themeColor="text1"/>
          <w:highlight w:val="none"/>
          <w14:textFill>
            <w14:solidFill>
              <w14:schemeClr w14:val="tx1"/>
            </w14:solidFill>
          </w14:textFill>
        </w:rPr>
        <w:t xml:space="preserve">原则：</w:t>
      </w:r>
      <w:r/>
    </w:p>
    <w:p>
      <w:pPr>
        <w:pStyle w:val="1061"/>
        <w:spacing w:before="0" w:after="0" w:line="560" w:lineRule="exact"/>
        <w:rPr>
          <w:rFonts w:ascii="宋体"/>
          <w:bCs/>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t xml:space="preserve">磋商小组</w:t>
      </w:r>
      <w:r>
        <w:rPr>
          <w:rFonts w:hint="eastAsia" w:ascii="宋体"/>
          <w:bCs/>
          <w:color w:val="000000" w:themeColor="text1"/>
          <w:highlight w:val="none"/>
          <w14:textFill>
            <w14:solidFill>
              <w14:schemeClr w14:val="tx1"/>
            </w14:solidFill>
          </w14:textFill>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61"/>
        <w:ind w:firstLine="0"/>
        <w:spacing w:before="0" w:after="0" w:line="560" w:lineRule="exact"/>
        <w:rPr>
          <w:rFonts w:ascii="宋体"/>
          <w:b/>
          <w:bCs/>
          <w:color w:val="000000" w:themeColor="text1"/>
          <w:highlight w:val="none"/>
          <w14:textFill>
            <w14:solidFill>
              <w14:schemeClr w14:val="tx1"/>
            </w14:solidFill>
          </w14:textFill>
        </w:rPr>
      </w:pPr>
      <w:r>
        <w:rPr>
          <w:rFonts w:hint="eastAsia" w:ascii="宋体"/>
          <w:b/>
          <w:bCs/>
          <w:color w:val="000000" w:themeColor="text1"/>
          <w:highlight w:val="none"/>
          <w14:textFill>
            <w14:solidFill>
              <w14:schemeClr w14:val="tx1"/>
            </w14:solidFill>
          </w14:textFill>
        </w:rPr>
        <w:t xml:space="preserve">四、评审标准： </w:t>
      </w:r>
      <w:r/>
    </w:p>
    <w:p>
      <w:pPr>
        <w:ind w:firstLine="482"/>
        <w:spacing w:before="120" w:after="12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1.价格分：30分</w:t>
      </w:r>
      <w:r/>
    </w:p>
    <w:p>
      <w:pPr>
        <w:ind w:firstLine="480"/>
        <w:spacing w:before="120" w:after="120" w:line="360" w:lineRule="auto"/>
        <w:rPr>
          <w:rFonts w:ascii="宋体" w:hAnsi="Arial"/>
          <w:color w:val="000000" w:themeColor="text1"/>
          <w:sz w:val="24"/>
          <w:highlight w:val="none"/>
          <w14:textFill>
            <w14:solidFill>
              <w14:schemeClr w14:val="tx1"/>
            </w14:solidFill>
          </w14:textFill>
        </w:rPr>
      </w:pPr>
      <w:r>
        <w:rPr>
          <w:rFonts w:hint="eastAsia" w:ascii="宋体" w:hAnsi="Arial"/>
          <w:color w:val="000000" w:themeColor="text1"/>
          <w:sz w:val="24"/>
          <w:highlight w:val="none"/>
          <w14:textFill>
            <w14:solidFill>
              <w14:schemeClr w14:val="tx1"/>
            </w14:solidFill>
          </w14:textFill>
        </w:rPr>
        <w:t xml:space="preserve">价格分统一采用低价优先法计算，即满足磋商文件要求且二轮（最后）报价（单价汇总额）最低的供应商的价格为磋商基准价，其价格分为满分。其他供应商的价格分统一按照下列公式计算：</w:t>
      </w:r>
      <w:r/>
    </w:p>
    <w:p>
      <w:pPr>
        <w:ind w:firstLine="480"/>
        <w:spacing w:before="120" w:after="120" w:line="360" w:lineRule="auto"/>
        <w:rPr>
          <w:rFonts w:ascii="宋体" w:hAnsi="Arial"/>
          <w:color w:val="000000" w:themeColor="text1"/>
          <w:sz w:val="24"/>
          <w:highlight w:val="none"/>
          <w14:textFill>
            <w14:solidFill>
              <w14:schemeClr w14:val="tx1"/>
            </w14:solidFill>
          </w14:textFill>
        </w:rPr>
      </w:pPr>
      <w:r>
        <w:rPr>
          <w:rFonts w:hint="eastAsia" w:ascii="宋体" w:hAnsi="Arial"/>
          <w:color w:val="000000" w:themeColor="text1"/>
          <w:sz w:val="24"/>
          <w:highlight w:val="none"/>
          <w14:textFill>
            <w14:solidFill>
              <w14:schemeClr w14:val="tx1"/>
            </w14:solidFill>
          </w14:textFill>
        </w:rPr>
        <w:t xml:space="preserve">磋商报价得分=（磋商基准价/最后磋商报价）×30分</w:t>
      </w:r>
      <w:r/>
    </w:p>
    <w:p>
      <w:pPr>
        <w:ind w:firstLine="480"/>
        <w:spacing w:before="120" w:after="120" w:line="360" w:lineRule="auto"/>
        <w:rPr>
          <w:rFonts w:ascii="宋体" w:hAnsi="Arial"/>
          <w:color w:val="000000" w:themeColor="text1"/>
          <w:sz w:val="24"/>
          <w:highlight w:val="none"/>
          <w14:textFill>
            <w14:solidFill>
              <w14:schemeClr w14:val="tx1"/>
            </w14:solidFill>
          </w14:textFill>
        </w:rPr>
      </w:pPr>
      <w:r>
        <w:rPr>
          <w:rFonts w:hint="eastAsia" w:ascii="宋体" w:hAnsi="Arial"/>
          <w:color w:val="000000" w:themeColor="text1"/>
          <w:sz w:val="24"/>
          <w:highlight w:val="none"/>
          <w14:textFill>
            <w14:solidFill>
              <w14:schemeClr w14:val="tx1"/>
            </w14:solidFill>
          </w14:textFill>
        </w:rPr>
        <w:t xml:space="preserve">项目评审过程中，不得去掉二轮（最后）报价中的最高报价和最低报价</w:t>
      </w:r>
      <w:r/>
    </w:p>
    <w:p>
      <w:pPr>
        <w:ind w:firstLine="482"/>
        <w:spacing w:before="120" w:after="12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2.商务技术分：70分</w:t>
      </w:r>
      <w:r/>
    </w:p>
    <w:tbl>
      <w:tblPr>
        <w:tblStyle w:val="802"/>
        <w:tblW w:w="84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61"/>
        <w:gridCol w:w="1164"/>
        <w:gridCol w:w="625"/>
        <w:gridCol w:w="5336"/>
      </w:tblGrid>
      <w:tr>
        <w:trPr>
          <w:jc w:val="center"/>
          <w:trHeight w:val="324"/>
        </w:trPr>
        <w:tc>
          <w:tcPr>
            <w:gridSpan w:val="2"/>
            <w:tcW w:w="25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评审因素</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分数</w:t>
            </w:r>
            <w:r/>
          </w:p>
        </w:tc>
        <w:tc>
          <w:tcPr>
            <w:tcW w:w="5336"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评审标准</w:t>
            </w:r>
            <w:r/>
          </w:p>
        </w:tc>
      </w:tr>
      <w:tr>
        <w:trPr>
          <w:jc w:val="center"/>
          <w:trHeight w:val="2995"/>
        </w:trPr>
        <w:tc>
          <w:tcPr>
            <w:tcW w:w="1361" w:type="dxa"/>
            <w:vAlign w:val="center"/>
            <w:vMerge w:val="restart"/>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技术响应</w:t>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技术参数响应</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30.00</w:t>
            </w:r>
            <w:r/>
          </w:p>
        </w:tc>
        <w:tc>
          <w:tcPr>
            <w:tcW w:w="5336" w:type="dxa"/>
            <w:textDirection w:val="lrTb"/>
            <w:noWrap w:val="false"/>
          </w:tcPr>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需求”的“</w:t>
            </w:r>
            <w:r>
              <w:rPr>
                <w:rFonts w:hint="eastAsia" w:ascii="宋体" w:hAnsi="宋体" w:eastAsia="宋体" w:cs="宋体"/>
                <w:color w:val="000000"/>
                <w:sz w:val="24"/>
                <w:szCs w:val="24"/>
                <w:highlight w:val="none"/>
                <w:lang w:eastAsia="zh-CN"/>
              </w:rPr>
              <w:t xml:space="preserve">电动蓝藻物理打捞船主要技术要求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和“配套设施参数要求”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所投产品的性能指标全部满足或高于</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要求的得</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标“▲”项为重要参数，</w:t>
            </w:r>
            <w:r>
              <w:rPr>
                <w:rFonts w:hint="eastAsia" w:ascii="宋体" w:hAnsi="宋体" w:eastAsia="宋体" w:cs="宋体"/>
                <w:color w:val="000000"/>
                <w:sz w:val="24"/>
                <w:szCs w:val="24"/>
                <w:highlight w:val="none"/>
              </w:rPr>
              <w:t xml:space="preserve">每有一项（一个句号的完整内容为一“项”）</w:t>
            </w:r>
            <w:r>
              <w:rPr>
                <w:rFonts w:hint="eastAsia" w:ascii="宋体" w:hAnsi="宋体" w:eastAsia="宋体" w:cs="宋体"/>
                <w:color w:val="000000"/>
                <w:sz w:val="24"/>
                <w:szCs w:val="24"/>
                <w:highlight w:val="none"/>
                <w:lang w:val="en-US" w:eastAsia="zh-CN"/>
              </w:rPr>
              <w:t xml:space="preserve">负偏离</w:t>
            </w:r>
            <w:r>
              <w:rPr>
                <w:rFonts w:hint="eastAsia" w:ascii="宋体" w:hAnsi="宋体" w:eastAsia="宋体" w:cs="宋体"/>
                <w:color w:val="000000"/>
                <w:sz w:val="24"/>
                <w:szCs w:val="24"/>
                <w:highlight w:val="none"/>
              </w:rPr>
              <w:t xml:space="preserve">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；其它项</w:t>
            </w:r>
            <w:r>
              <w:rPr>
                <w:rFonts w:hint="eastAsia" w:ascii="宋体" w:hAnsi="宋体" w:eastAsia="宋体" w:cs="宋体"/>
                <w:color w:val="000000"/>
                <w:sz w:val="24"/>
                <w:szCs w:val="24"/>
                <w:highlight w:val="none"/>
              </w:rPr>
              <w:t xml:space="preserve">每有一项（一个句号的完整内容为一“项”）</w:t>
            </w:r>
            <w:r>
              <w:rPr>
                <w:rFonts w:hint="eastAsia" w:ascii="宋体" w:hAnsi="宋体" w:eastAsia="宋体" w:cs="宋体"/>
                <w:color w:val="000000"/>
                <w:sz w:val="24"/>
                <w:szCs w:val="24"/>
                <w:highlight w:val="none"/>
                <w:lang w:val="en-US" w:eastAsia="zh-CN"/>
              </w:rPr>
              <w:t xml:space="preserve">负偏离</w:t>
            </w:r>
            <w:r>
              <w:rPr>
                <w:rFonts w:hint="eastAsia" w:ascii="宋体" w:hAnsi="宋体" w:eastAsia="宋体" w:cs="宋体"/>
                <w:color w:val="000000"/>
                <w:sz w:val="24"/>
                <w:szCs w:val="24"/>
                <w:highlight w:val="none"/>
              </w:rPr>
              <w:t xml:space="preserve">扣</w:t>
            </w:r>
            <w:r>
              <w:rPr>
                <w:rFonts w:hint="eastAsia" w:ascii="宋体" w:hAnsi="宋体" w:eastAsia="宋体" w:cs="宋体"/>
                <w:color w:val="000000"/>
                <w:sz w:val="24"/>
                <w:szCs w:val="24"/>
                <w:highlight w:val="none"/>
                <w:lang w:val="en-US" w:eastAsia="zh-CN"/>
              </w:rPr>
              <w:t xml:space="preserve">0.3</w:t>
            </w:r>
            <w:r>
              <w:rPr>
                <w:rFonts w:hint="eastAsia" w:ascii="宋体" w:hAnsi="宋体" w:eastAsia="宋体" w:cs="宋体"/>
                <w:color w:val="000000"/>
                <w:sz w:val="24"/>
                <w:szCs w:val="24"/>
                <w:highlight w:val="none"/>
              </w:rPr>
              <w:t xml:space="preserve">分，本项分值扣完即止，不设负</w:t>
            </w:r>
            <w:r>
              <w:rPr>
                <w:rFonts w:hint="eastAsia" w:ascii="宋体" w:hAnsi="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供应商针对本项评审内容在响应文件《技术要求响应及偏离表》中逐条列出响应及偏离情况，采购需求中要求提供证明材料的，以证明材料为准，若《技术要求响应及偏离表》与提供证明材料的内容不一致，以证明材料为准，采购需求中未要求提供证明材料的，以《技术要求响应及偏离表》为准，未按要求提供证明材料或未在《技术要求响应及偏离表》中列明偏离情况的对应项按负偏离进行扣分处理</w:t>
            </w:r>
            <w:r>
              <w:rPr>
                <w:rFonts w:hint="eastAsia" w:ascii="宋体" w:hAnsi="宋体" w:cs="宋体"/>
                <w:color w:val="000000" w:themeColor="text1"/>
                <w:sz w:val="24"/>
                <w:highlight w:val="none"/>
                <w14:textFill>
                  <w14:solidFill>
                    <w14:schemeClr w14:val="tx1"/>
                  </w14:solidFill>
                </w14:textFill>
              </w:rPr>
              <w:t xml:space="preserve">。</w:t>
            </w:r>
            <w:r/>
          </w:p>
        </w:tc>
      </w:tr>
      <w:tr>
        <w:trPr>
          <w:jc w:val="center"/>
          <w:trHeight w:val="415"/>
        </w:trPr>
        <w:tc>
          <w:tcPr>
            <w:tcW w:w="1361" w:type="dxa"/>
            <w:vAlign w:val="center"/>
            <w:vMerge w:val="continue"/>
            <w:textDirection w:val="lrTb"/>
            <w:noWrap w:val="false"/>
          </w:tcPr>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产品认证</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3.00</w:t>
            </w:r>
            <w:r/>
          </w:p>
        </w:tc>
        <w:tc>
          <w:tcPr>
            <w:tcW w:w="5336"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1.投标船只具备节水产品认证证书的得1分，没有不得分；（提供第三方检测机构出具的有效期内证书原件扫描件，否则不得分</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2.投标船只控制系统供应商具有CMMI认证证书的得1分，没有不得分；(提供相关的佐证材料扫描件，未提供不得分)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3.投标船只获得行政主管部门颁发的首台(套)装备产品证书的得1分，没有不得分。(提供相关的佐证材料扫描件，未提供不得分)</w:t>
            </w:r>
            <w:r/>
          </w:p>
        </w:tc>
      </w:tr>
      <w:tr>
        <w:trPr>
          <w:jc w:val="center"/>
          <w:trHeight w:val="495"/>
        </w:trPr>
        <w:tc>
          <w:tcPr>
            <w:tcW w:w="1361" w:type="dxa"/>
            <w:vAlign w:val="center"/>
            <w:vMerge w:val="restart"/>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企业经营业绩、信誉</w:t>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企业业绩</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2.00</w:t>
            </w:r>
            <w:r/>
          </w:p>
        </w:tc>
        <w:tc>
          <w:tcPr>
            <w:tcW w:w="5336"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供应商自2023年1月1日（以合同签订时间为准）以来，承担过类似采购项目业绩，每有一个得1分，最高得2分。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注：须提供中标（成交）通知书和合同证明材料原件扫描件，二者缺一不可，且业绩合同中主要内容、标的等清晰可见，否则该业绩不得分。</w:t>
            </w:r>
            <w:r/>
          </w:p>
        </w:tc>
      </w:tr>
      <w:tr>
        <w:trPr>
          <w:jc w:val="center"/>
          <w:trHeight w:val="1613"/>
        </w:trPr>
        <w:tc>
          <w:tcPr>
            <w:tcW w:w="1361" w:type="dxa"/>
            <w:vAlign w:val="center"/>
            <w:vMerge w:val="continue"/>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相关证书</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3.00</w:t>
            </w:r>
            <w:r/>
          </w:p>
        </w:tc>
        <w:tc>
          <w:tcPr>
            <w:tcW w:w="5336" w:type="dxa"/>
            <w:textDirection w:val="lrTb"/>
            <w:noWrap w:val="false"/>
          </w:tcPr>
          <w:p>
            <w:pPr>
              <w:spacing w:line="40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供应商具有有效期内的质量管理体系认证证书、职业健康安全管理体系认证证书、环境管理体系认证证书，每有1个得1分，最高得3分。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注：须提供认证证书原件扫描件，否则不得分。</w:t>
            </w:r>
            <w:r/>
          </w:p>
        </w:tc>
      </w:tr>
      <w:tr>
        <w:trPr>
          <w:jc w:val="center"/>
          <w:trHeight w:val="1613"/>
        </w:trPr>
        <w:tc>
          <w:tcPr>
            <w:tcW w:w="1361"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人员配备</w:t>
            </w:r>
            <w:r/>
          </w:p>
        </w:tc>
        <w:tc>
          <w:tcPr>
            <w:tcW w:w="1164" w:type="dxa"/>
            <w:vAlign w:val="center"/>
            <w:textDirection w:val="lrTb"/>
            <w:noWrap w:val="false"/>
          </w:tcPr>
          <w:p>
            <w:pPr>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项目负责人</w:t>
            </w:r>
            <w:r/>
          </w:p>
          <w:p>
            <w:pPr>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2.00</w:t>
            </w:r>
            <w:r/>
          </w:p>
        </w:tc>
        <w:tc>
          <w:tcPr>
            <w:tcW w:w="5336"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拟投入本项目的项目负责人具有环保类高级及以上职称的，得2分；具有环保类中级工程师职称的，得1分；本项最高得2分。</w:t>
            </w:r>
            <w:r/>
          </w:p>
          <w:p>
            <w:pPr>
              <w:spacing w:line="400" w:lineRule="exac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注：以上材料须提供相关证书或文件等证明材料并提供响应</w:t>
            </w:r>
            <w:r>
              <w:rPr>
                <w:rFonts w:hint="eastAsia" w:ascii="宋体" w:hAnsi="宋体" w:cs="宋体"/>
                <w:color w:val="000000" w:themeColor="text1"/>
                <w:sz w:val="24"/>
                <w:highlight w:val="none"/>
                <w:lang w:val="en-US" w:eastAsia="zh-CN"/>
                <w14:textFill>
                  <w14:solidFill>
                    <w14:schemeClr w14:val="tx1"/>
                  </w14:solidFill>
                </w14:textFill>
              </w:rPr>
              <w:t xml:space="preserve">截止</w:t>
            </w:r>
            <w:r>
              <w:rPr>
                <w:rFonts w:hint="eastAsia" w:ascii="宋体" w:hAnsi="宋体" w:cs="宋体"/>
                <w:color w:val="000000" w:themeColor="text1"/>
                <w:sz w:val="24"/>
                <w:highlight w:val="none"/>
                <w14:textFill>
                  <w14:solidFill>
                    <w14:schemeClr w14:val="tx1"/>
                  </w14:solidFill>
                </w14:textFill>
              </w:rPr>
              <w:t xml:space="preserve">前6个月以来任意1个月供应商为其缴纳的社保证明材料，社保证明以社保主管部门出具的证明为准。</w:t>
            </w:r>
            <w:r/>
          </w:p>
        </w:tc>
      </w:tr>
      <w:tr>
        <w:trPr>
          <w:jc w:val="center"/>
          <w:trHeight w:val="346"/>
        </w:trPr>
        <w:tc>
          <w:tcPr>
            <w:tcW w:w="1361" w:type="dxa"/>
            <w:vAlign w:val="center"/>
            <w:vMerge w:val="restart"/>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项目实施方案</w:t>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项目实施方案</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10.00</w:t>
            </w:r>
            <w:r/>
          </w:p>
        </w:tc>
        <w:tc>
          <w:tcPr>
            <w:tcW w:w="5336"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项目实施方案针对本项目的实际需求、实施难点、进度计划、安全措施、质量保证等进行评分；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方案分析全面、准确、清晰，提出先进可行的措施和方法及建议合理、可行、可靠，且优于采购需求的得10分；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方案较全面、要点能够对应项目实际，措施及建议较合理、可靠，能够满足采购需求的得8分；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方案相对基本全面、要点</w:t>
            </w:r>
            <w:r>
              <w:rPr>
                <w:rFonts w:hint="eastAsia" w:ascii="宋体" w:hAnsi="宋体" w:cs="宋体"/>
                <w:color w:val="000000" w:themeColor="text1"/>
                <w:sz w:val="24"/>
                <w:highlight w:val="none"/>
                <w:lang w:val="en-US" w:eastAsia="zh-CN"/>
                <w14:textFill>
                  <w14:solidFill>
                    <w14:schemeClr w14:val="tx1"/>
                  </w14:solidFill>
                </w14:textFill>
              </w:rPr>
              <w:t xml:space="preserve">基本</w:t>
            </w:r>
            <w:r>
              <w:rPr>
                <w:rFonts w:hint="eastAsia" w:ascii="宋体" w:hAnsi="宋体" w:cs="宋体"/>
                <w:color w:val="000000" w:themeColor="text1"/>
                <w:sz w:val="24"/>
                <w:highlight w:val="none"/>
                <w14:textFill>
                  <w14:solidFill>
                    <w14:schemeClr w14:val="tx1"/>
                  </w14:solidFill>
                </w14:textFill>
              </w:rPr>
              <w:t xml:space="preserve">能够对应项目实际，措施及建议基本合理、可靠，能够满足采购需求的得6分；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方案分析一般，措施及建议不全面，无原则偏差，但承诺通过后期优化能够满足采购需求的得3分</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方案分析差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不可行的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无法满足采购需求的</w:t>
            </w:r>
            <w:r>
              <w:rPr>
                <w:rFonts w:hint="eastAsia" w:ascii="宋体" w:hAnsi="宋体" w:cs="宋体"/>
                <w:color w:val="000000" w:themeColor="text1"/>
                <w:sz w:val="24"/>
                <w:highlight w:val="none"/>
                <w14:textFill>
                  <w14:solidFill>
                    <w14:schemeClr w14:val="tx1"/>
                  </w14:solidFill>
                </w14:textFill>
              </w:rPr>
              <w:t xml:space="preserve">得1分；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没有内容不得分。</w:t>
            </w:r>
            <w:r/>
          </w:p>
        </w:tc>
      </w:tr>
      <w:tr>
        <w:trPr>
          <w:jc w:val="center"/>
          <w:trHeight w:val="346"/>
        </w:trPr>
        <w:tc>
          <w:tcPr>
            <w:tcW w:w="1361" w:type="dxa"/>
            <w:vAlign w:val="center"/>
            <w:vMerge w:val="continue"/>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培训方案</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10.00</w:t>
            </w:r>
            <w:r/>
          </w:p>
        </w:tc>
        <w:tc>
          <w:tcPr>
            <w:tcW w:w="5336"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项目培训方案针对项目特点、培训内容、合理性、可行性、专业人员配备等进行评分；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方案内容全面、条理清晰、可行性强，且优于采购需求的得10分；</w:t>
            </w:r>
            <w:r/>
          </w:p>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方案内容比较详实、有一定条理性、可行性较好，能够满足采购需求的得8分</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方案内容基本详实、有一定条理性、可行性一般，能够满足采购需求的得6分；</w:t>
            </w:r>
            <w:r/>
          </w:p>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w:t>
            </w:r>
            <w:r>
              <w:rPr>
                <w:rFonts w:hint="eastAsia" w:ascii="宋体" w:hAnsi="宋体" w:cs="宋体"/>
                <w:color w:val="000000" w:themeColor="text1"/>
                <w:sz w:val="24"/>
                <w:highlight w:val="none"/>
                <w:lang w:val="en-US" w:eastAsia="zh-CN"/>
                <w14:textFill>
                  <w14:solidFill>
                    <w14:schemeClr w14:val="tx1"/>
                  </w14:solidFill>
                </w14:textFill>
              </w:rPr>
              <w:t xml:space="preserve">内容不完善</w:t>
            </w:r>
            <w:r>
              <w:rPr>
                <w:rFonts w:hint="eastAsia" w:ascii="宋体" w:hAnsi="宋体" w:cs="宋体"/>
                <w:color w:val="000000" w:themeColor="text1"/>
                <w:sz w:val="24"/>
                <w:highlight w:val="none"/>
                <w14:textFill>
                  <w14:solidFill>
                    <w14:schemeClr w14:val="tx1"/>
                  </w14:solidFill>
                </w14:textFill>
              </w:rPr>
              <w:t xml:space="preserve">，但承诺通过后期优化能够满足采购需求的得3分</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方案内容</w:t>
            </w:r>
            <w:bookmarkStart w:id="168" w:name="_GoBack"/>
            <w:r/>
            <w:bookmarkEnd w:id="168"/>
            <w:r>
              <w:rPr>
                <w:rFonts w:hint="eastAsia" w:ascii="宋体" w:hAnsi="宋体" w:cs="宋体"/>
                <w:color w:val="000000" w:themeColor="text1"/>
                <w:sz w:val="24"/>
                <w:highlight w:val="none"/>
                <w14:textFill>
                  <w14:solidFill>
                    <w14:schemeClr w14:val="tx1"/>
                  </w14:solidFill>
                </w14:textFill>
              </w:rPr>
              <w:t xml:space="preserve">差，</w:t>
            </w:r>
            <w:r>
              <w:rPr>
                <w:rFonts w:hint="eastAsia" w:ascii="宋体" w:hAnsi="宋体" w:cs="宋体"/>
                <w:color w:val="000000" w:themeColor="text1"/>
                <w:sz w:val="24"/>
                <w:highlight w:val="none"/>
                <w:lang w:val="en-US" w:eastAsia="zh-CN"/>
                <w14:textFill>
                  <w14:solidFill>
                    <w14:schemeClr w14:val="tx1"/>
                  </w14:solidFill>
                </w14:textFill>
              </w:rPr>
              <w:t xml:space="preserve">不</w:t>
            </w:r>
            <w:r>
              <w:rPr>
                <w:rFonts w:hint="eastAsia" w:ascii="宋体" w:hAnsi="宋体" w:cs="宋体"/>
                <w:color w:val="000000" w:themeColor="text1"/>
                <w:sz w:val="24"/>
                <w:highlight w:val="none"/>
                <w14:textFill>
                  <w14:solidFill>
                    <w14:schemeClr w14:val="tx1"/>
                  </w14:solidFill>
                </w14:textFill>
              </w:rPr>
              <w:t xml:space="preserve">可行</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无法满足采购需求的</w:t>
            </w:r>
            <w:r>
              <w:rPr>
                <w:rFonts w:hint="eastAsia" w:ascii="宋体" w:hAnsi="宋体" w:cs="宋体"/>
                <w:color w:val="000000" w:themeColor="text1"/>
                <w:sz w:val="24"/>
                <w:highlight w:val="none"/>
                <w14:textFill>
                  <w14:solidFill>
                    <w14:schemeClr w14:val="tx1"/>
                  </w14:solidFill>
                </w14:textFill>
              </w:rPr>
              <w:t xml:space="preserve">得1分；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没有内容不得分。</w:t>
            </w:r>
            <w:r/>
          </w:p>
        </w:tc>
      </w:tr>
      <w:tr>
        <w:trPr>
          <w:jc w:val="center"/>
          <w:trHeight w:val="346"/>
        </w:trPr>
        <w:tc>
          <w:tcPr>
            <w:tcW w:w="1361" w:type="dxa"/>
            <w:vAlign w:val="center"/>
            <w:vMerge w:val="continue"/>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64"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售后服务方案</w:t>
            </w:r>
            <w:r/>
          </w:p>
        </w:tc>
        <w:tc>
          <w:tcPr>
            <w:tcW w:w="62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10.00</w:t>
            </w:r>
            <w:r/>
          </w:p>
        </w:tc>
        <w:tc>
          <w:tcPr>
            <w:tcW w:w="5336"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售后服务方案针对服务承诺、服务响应时间、服务方式、服务内容等进行评分。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方案详细、响应及时、服务体系完整，且优于采购需求的得10分；</w:t>
            </w:r>
            <w:r/>
          </w:p>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方案较详细、响应较好，服务体系较完整，能够满足采购需求的得8分</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方案一般、响应一般，服务体系基本完整，能够满足采购需求的得6分；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方案笼统、响应滞后、服务体系</w:t>
            </w:r>
            <w:r>
              <w:rPr>
                <w:rFonts w:hint="eastAsia" w:ascii="宋体" w:hAnsi="宋体" w:cs="宋体"/>
                <w:color w:val="000000" w:themeColor="text1"/>
                <w:sz w:val="24"/>
                <w:highlight w:val="none"/>
                <w:lang w:val="en-US" w:eastAsia="zh-CN"/>
                <w14:textFill>
                  <w14:solidFill>
                    <w14:schemeClr w14:val="tx1"/>
                  </w14:solidFill>
                </w14:textFill>
              </w:rPr>
              <w:t xml:space="preserve">不完整</w:t>
            </w:r>
            <w:r>
              <w:rPr>
                <w:rFonts w:hint="eastAsia" w:ascii="宋体" w:hAnsi="宋体" w:cs="宋体"/>
                <w:color w:val="000000" w:themeColor="text1"/>
                <w:sz w:val="24"/>
                <w:highlight w:val="none"/>
                <w14:textFill>
                  <w14:solidFill>
                    <w14:schemeClr w14:val="tx1"/>
                  </w14:solidFill>
                </w14:textFill>
              </w:rPr>
              <w:t xml:space="preserve">，但承诺通过后期优化能够满足采购需求的得3分；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方案差，</w:t>
            </w:r>
            <w:r>
              <w:rPr>
                <w:rFonts w:hint="eastAsia" w:ascii="宋体" w:hAnsi="宋体" w:cs="宋体"/>
                <w:color w:val="000000" w:themeColor="text1"/>
                <w:sz w:val="24"/>
                <w:highlight w:val="none"/>
                <w:lang w:val="en-US" w:eastAsia="zh-CN"/>
                <w14:textFill>
                  <w14:solidFill>
                    <w14:schemeClr w14:val="tx1"/>
                  </w14:solidFill>
                </w14:textFill>
              </w:rPr>
              <w:t xml:space="preserve">不</w:t>
            </w:r>
            <w:r>
              <w:rPr>
                <w:rFonts w:hint="eastAsia" w:ascii="宋体" w:hAnsi="宋体" w:cs="宋体"/>
                <w:color w:val="000000" w:themeColor="text1"/>
                <w:sz w:val="24"/>
                <w:highlight w:val="none"/>
                <w14:textFill>
                  <w14:solidFill>
                    <w14:schemeClr w14:val="tx1"/>
                  </w14:solidFill>
                </w14:textFill>
              </w:rPr>
              <w:t xml:space="preserve">可行</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无法满足采购需求的</w:t>
            </w:r>
            <w:r>
              <w:rPr>
                <w:rFonts w:hint="eastAsia" w:ascii="宋体" w:hAnsi="宋体" w:cs="宋体"/>
                <w:color w:val="000000" w:themeColor="text1"/>
                <w:sz w:val="24"/>
                <w:highlight w:val="none"/>
                <w14:textFill>
                  <w14:solidFill>
                    <w14:schemeClr w14:val="tx1"/>
                  </w14:solidFill>
                </w14:textFill>
              </w:rPr>
              <w:t xml:space="preserve">得1分；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没有内容不得分。</w:t>
            </w:r>
            <w:r/>
          </w:p>
        </w:tc>
      </w:tr>
    </w:tbl>
    <w:p>
      <w:pPr>
        <w:pStyle w:val="1061"/>
        <w:spacing w:before="0" w:after="0" w:line="560" w:lineRule="exact"/>
        <w:rPr>
          <w:rFonts w:ascii="宋体"/>
          <w:b/>
          <w:bCs/>
          <w:color w:val="000000" w:themeColor="text1"/>
          <w:highlight w:val="none"/>
          <w14:textFill>
            <w14:solidFill>
              <w14:schemeClr w14:val="tx1"/>
            </w14:solidFill>
          </w14:textFill>
        </w:rPr>
      </w:pPr>
      <w:r>
        <w:rPr>
          <w:rFonts w:hint="eastAsia" w:ascii="宋体"/>
          <w:b/>
          <w:bCs/>
          <w:color w:val="000000" w:themeColor="text1"/>
          <w:highlight w:val="none"/>
          <w14:textFill>
            <w14:solidFill>
              <w14:schemeClr w14:val="tx1"/>
            </w14:solidFill>
          </w14:textFill>
        </w:rPr>
        <w:t xml:space="preserve">五、成交标准</w:t>
      </w:r>
      <w:r/>
    </w:p>
    <w:p>
      <w:pPr>
        <w:pStyle w:val="1005"/>
        <w:ind w:firstLine="480"/>
        <w:jc w:val="left"/>
        <w:spacing w:line="360" w:lineRule="auto"/>
        <w:rPr>
          <w:rFonts w:hint="eastAsia" w:ascii="宋体" w:hAnsi="宋体"/>
          <w:color w:val="000000" w:themeColor="text1"/>
          <w:szCs w:val="24"/>
          <w:highlight w:val="none"/>
          <w14:textFill>
            <w14:solidFill>
              <w14:schemeClr w14:val="tx1"/>
            </w14:solidFill>
          </w14:textFill>
        </w:rPr>
      </w:pPr>
      <w:r>
        <w:rPr>
          <w:rFonts w:hint="eastAsia" w:ascii="宋体" w:hAnsi="Arial"/>
          <w:color w:val="000000" w:themeColor="text1"/>
          <w:highlight w:val="none"/>
          <w14:textFill>
            <w14:solidFill>
              <w14:schemeClr w14:val="tx1"/>
            </w14:solidFill>
          </w14:textFill>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商务技术总分由高到低顺序推荐。</w:t>
      </w:r>
      <w:r>
        <w:rPr>
          <w:rFonts w:ascii="宋体" w:hAnsi="宋体" w:cs="宋体"/>
          <w:color w:val="000000" w:themeColor="text1"/>
          <w:szCs w:val="24"/>
          <w:highlight w:val="none"/>
          <w14:textFill>
            <w14:solidFill>
              <w14:schemeClr w14:val="tx1"/>
            </w14:solidFill>
          </w14:textFill>
        </w:rPr>
        <w:br w:type="page" w:clear="all"/>
      </w:r>
      <w:bookmarkEnd w:id="148"/>
      <w:r/>
      <w:bookmarkEnd w:id="149"/>
      <w:r/>
      <w:bookmarkEnd w:id="150"/>
      <w:r/>
      <w:r/>
    </w:p>
    <w:p>
      <w:pPr>
        <w:jc w:val="center"/>
        <w:keepLines/>
        <w:keepNext/>
        <w:spacing w:before="156" w:after="156" w:line="360" w:lineRule="auto"/>
        <w:rPr>
          <w:rFonts w:hint="eastAsia" w:ascii="黑体" w:hAnsi="黑体" w:eastAsia="黑体"/>
          <w:bCs/>
          <w:color w:val="000000" w:themeColor="text1"/>
          <w:sz w:val="44"/>
          <w:szCs w:val="44"/>
          <w:highlight w:val="none"/>
          <w14:textFill>
            <w14:solidFill>
              <w14:schemeClr w14:val="tx1"/>
            </w14:solidFill>
          </w14:textFill>
        </w:rPr>
        <w:outlineLvl w:val="0"/>
      </w:pPr>
      <w:r/>
      <w:bookmarkStart w:id="152" w:name="_Toc30749"/>
      <w:r/>
      <w:bookmarkStart w:id="153" w:name="_Toc26200"/>
      <w:r/>
      <w:bookmarkStart w:id="154" w:name="_Toc161932696"/>
      <w:r>
        <w:rPr>
          <w:rFonts w:hint="eastAsia" w:ascii="黑体" w:hAnsi="黑体" w:eastAsia="黑体"/>
          <w:bCs/>
          <w:color w:val="000000" w:themeColor="text1"/>
          <w:sz w:val="44"/>
          <w:szCs w:val="44"/>
          <w:highlight w:val="none"/>
          <w14:textFill>
            <w14:solidFill>
              <w14:schemeClr w14:val="tx1"/>
            </w14:solidFill>
          </w14:textFill>
        </w:rPr>
        <w:t xml:space="preserve">第六章  响应文件格式</w:t>
      </w:r>
      <w:bookmarkEnd w:id="152"/>
      <w:r/>
      <w:bookmarkEnd w:id="153"/>
      <w:r/>
      <w:bookmarkEnd w:id="154"/>
      <w:r/>
      <w:r/>
    </w:p>
    <w:p>
      <w:pPr>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响  应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供应商名称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cs="宋体"/>
          <w:iCs/>
          <w:color w:val="000000" w:themeColor="text1"/>
          <w:sz w:val="36"/>
          <w:szCs w:val="36"/>
          <w:highlight w:val="none"/>
          <w14:textFill>
            <w14:solidFill>
              <w14:schemeClr w14:val="tx1"/>
            </w14:solidFill>
          </w14:textFill>
        </w:rPr>
        <w:outlineLvl w:val="1"/>
      </w:pPr>
      <w:r>
        <w:rPr>
          <w:rFonts w:hint="eastAsia" w:ascii="宋体" w:hAnsi="宋体" w:cs="宋体"/>
          <w:iCs/>
          <w:color w:val="000000" w:themeColor="text1"/>
          <w:sz w:val="36"/>
          <w:szCs w:val="36"/>
          <w:highlight w:val="none"/>
          <w14:textFill>
            <w14:solidFill>
              <w14:schemeClr w14:val="tx1"/>
            </w14:solidFill>
          </w14:textFill>
        </w:rPr>
        <w:t xml:space="preserve">一、法人或者其他组织的营业执照等证明文件，自然人的身份证明</w:t>
      </w:r>
      <w:r/>
    </w:p>
    <w:p>
      <w:pPr>
        <w:rPr>
          <w:iCs/>
          <w:color w:val="000000" w:themeColor="text1"/>
          <w:szCs w:val="22"/>
          <w:highlight w:val="none"/>
          <w14:textFill>
            <w14:solidFill>
              <w14:schemeClr w14:val="tx1"/>
            </w14:solidFill>
          </w14:textFill>
        </w:rPr>
      </w:pPr>
      <w:r>
        <w:rPr>
          <w:iCs/>
          <w:color w:val="000000" w:themeColor="text1"/>
          <w:szCs w:val="22"/>
          <w:highlight w:val="none"/>
          <w14:textFill>
            <w14:solidFill>
              <w14:schemeClr w14:val="tx1"/>
            </w14:solidFill>
          </w14:textFill>
        </w:rPr>
      </w:r>
      <w:r/>
    </w:p>
    <w:p>
      <w:pPr>
        <w:rPr>
          <w:iCs/>
          <w:color w:val="000000" w:themeColor="text1"/>
          <w:szCs w:val="22"/>
          <w:highlight w:val="none"/>
          <w14:textFill>
            <w14:solidFill>
              <w14:schemeClr w14:val="tx1"/>
            </w14:solidFill>
          </w14:textFill>
        </w:rPr>
      </w:pPr>
      <w:r>
        <w:rPr>
          <w:iCs/>
          <w:color w:val="000000" w:themeColor="text1"/>
          <w:szCs w:val="22"/>
          <w:highlight w:val="none"/>
          <w14:textFill>
            <w14:solidFill>
              <w14:schemeClr w14:val="tx1"/>
            </w14:solidFill>
          </w14:textFill>
        </w:rPr>
      </w:r>
      <w:r/>
    </w:p>
    <w:p>
      <w:pPr>
        <w:jc w:val="left"/>
        <w:keepLines/>
        <w:keepNext/>
        <w:spacing w:before="360" w:after="200" w:line="360" w:lineRule="auto"/>
        <w:rPr>
          <w:rFonts w:ascii="Arial" w:hAnsi="Arial" w:cs="Arial"/>
          <w:iCs/>
          <w:color w:val="000000" w:themeColor="text1"/>
          <w:sz w:val="36"/>
          <w:szCs w:val="22"/>
          <w:highlight w:val="none"/>
          <w14:textFill>
            <w14:solidFill>
              <w14:schemeClr w14:val="tx1"/>
            </w14:solidFill>
          </w14:textFill>
        </w:rPr>
        <w:outlineLvl w:val="1"/>
      </w:pPr>
      <w:r>
        <w:rPr>
          <w:rFonts w:hint="eastAsia" w:ascii="Arial" w:hAnsi="Arial" w:cs="Arial"/>
          <w:iCs/>
          <w:color w:val="000000" w:themeColor="text1"/>
          <w:sz w:val="36"/>
          <w:szCs w:val="22"/>
          <w:highlight w:val="none"/>
          <w14:textFill>
            <w14:solidFill>
              <w14:schemeClr w14:val="tx1"/>
            </w14:solidFill>
          </w14:textFill>
        </w:rPr>
        <w:t xml:space="preserve">二、上一年度的财务状况报告</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（成立不满一年无需提供）</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i/>
          <w:iCs/>
          <w:color w:val="000000" w:themeColor="text1"/>
          <w:sz w:val="36"/>
          <w:szCs w:val="22"/>
          <w:highlight w:val="none"/>
          <w:u w:val="single"/>
          <w14:textFill>
            <w14:solidFill>
              <w14:schemeClr w14:val="tx1"/>
            </w14:solidFill>
          </w14:textFill>
        </w:rPr>
      </w:pPr>
      <w:r>
        <w:rPr>
          <w:rFonts w:hint="eastAsia" w:ascii="Arial" w:hAnsi="Arial" w:cs="Arial"/>
          <w:i/>
          <w:iCs/>
          <w:color w:val="000000" w:themeColor="text1"/>
          <w:sz w:val="36"/>
          <w:szCs w:val="22"/>
          <w:highlight w:val="none"/>
          <w:u w:val="singl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三、依法缴纳税收和社会保障资金的相关材料</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财务状况报告及税收、社会保障资金缴纳情况承诺函</w:t>
      </w:r>
      <w:r/>
    </w:p>
    <w:p>
      <w:pPr>
        <w:jc w:val="left"/>
        <w:rPr>
          <w:rFonts w:ascii="MS Mincho"/>
          <w:color w:val="000000" w:themeColor="text1"/>
          <w:highlight w:val="none"/>
          <w14:textFill>
            <w14:solidFill>
              <w14:schemeClr w14:val="tx1"/>
            </w14:solidFill>
          </w14:textFill>
        </w:rPr>
      </w:pPr>
      <w:r>
        <w:rPr>
          <w:rFonts w:ascii="MS Mincho"/>
          <w:color w:val="000000" w:themeColor="text1"/>
          <w:highlight w:val="none"/>
          <w14:textFill>
            <w14:solidFill>
              <w14:schemeClr w14:val="tx1"/>
            </w14:solidFill>
          </w14:textFill>
        </w:rPr>
      </w:r>
      <w:r/>
    </w:p>
    <w:p>
      <w:pPr>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致：</w:t>
      </w:r>
      <w:r>
        <w:rPr>
          <w:rFonts w:hint="eastAsia"/>
          <w:color w:val="000000" w:themeColor="text1"/>
          <w:sz w:val="24"/>
          <w:highlight w:val="none"/>
          <w:u w:val="single"/>
          <w14:textFill>
            <w14:solidFill>
              <w14:schemeClr w14:val="tx1"/>
            </w14:solidFill>
          </w14:textFill>
        </w:rPr>
        <w:t xml:space="preserve">采购人名称</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我方</w:t>
      </w:r>
      <w:r>
        <w:rPr>
          <w:rFonts w:hint="eastAsia"/>
          <w:color w:val="000000" w:themeColor="text1"/>
          <w:sz w:val="24"/>
          <w:highlight w:val="none"/>
          <w:u w:val="single"/>
          <w14:textFill>
            <w14:solidFill>
              <w14:schemeClr w14:val="tx1"/>
            </w14:solidFill>
          </w14:textFill>
        </w:rPr>
        <w:t xml:space="preserve">供应商名称</w:t>
      </w:r>
      <w:r>
        <w:rPr>
          <w:rFonts w:hint="eastAsia"/>
          <w:color w:val="000000" w:themeColor="text1"/>
          <w:sz w:val="24"/>
          <w:highlight w:val="none"/>
          <w14:textFill>
            <w14:solidFill>
              <w14:schemeClr w14:val="tx1"/>
            </w14:solidFill>
          </w14:textFill>
        </w:rPr>
        <w:t xml:space="preserve">参加</w:t>
      </w:r>
      <w:r>
        <w:rPr>
          <w:rFonts w:hint="eastAsia"/>
          <w:color w:val="000000" w:themeColor="text1"/>
          <w:sz w:val="24"/>
          <w:highlight w:val="none"/>
          <w:u w:val="single"/>
          <w14:textFill>
            <w14:solidFill>
              <w14:schemeClr w14:val="tx1"/>
            </w14:solidFill>
          </w14:textFill>
        </w:rPr>
        <w:t xml:space="preserve">项目名称</w:t>
      </w:r>
      <w:r>
        <w:rPr>
          <w:rFonts w:hint="eastAsia"/>
          <w:color w:val="000000" w:themeColor="text1"/>
          <w:sz w:val="24"/>
          <w:highlight w:val="none"/>
          <w14:textFill>
            <w14:solidFill>
              <w14:schemeClr w14:val="tx1"/>
            </w14:solidFill>
          </w14:textFill>
        </w:rPr>
        <w:t xml:space="preserve">（项目编号：</w:t>
      </w:r>
      <w:r>
        <w:rPr>
          <w:rFonts w:hint="eastAsia"/>
          <w:color w:val="000000" w:themeColor="text1"/>
          <w:sz w:val="24"/>
          <w:highlight w:val="none"/>
          <w:u w:val="single"/>
          <w14:textFill>
            <w14:solidFill>
              <w14:schemeClr w14:val="tx1"/>
            </w14:solidFill>
          </w14:textFill>
        </w:rPr>
        <w:t xml:space="preserve">项目编号</w:t>
      </w:r>
      <w:r>
        <w:rPr>
          <w:rFonts w:hint="eastAsia"/>
          <w:color w:val="000000" w:themeColor="text1"/>
          <w:sz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（1）具有良好的商业信誉和健全的财务会计制度（财务状况报告）；</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（2）有依法缴纳税收和社会保障资金的良好记录。</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特此承诺</w:t>
      </w:r>
      <w:r/>
    </w:p>
    <w:p>
      <w:pPr>
        <w:ind w:firstLine="480"/>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供应商（公章）：</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或委托代理人（签名或签章）：</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四、具备履行合同所必需的设备和专业技术能力的声明及证明材料</w:t>
      </w:r>
      <w:r/>
    </w:p>
    <w:p>
      <w:pPr>
        <w:jc w:val="center"/>
        <w:spacing w:line="460" w:lineRule="exact"/>
        <w:rPr>
          <w:color w:val="000000" w:themeColor="text1"/>
          <w:sz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具备履行合同所必需的设备和专业技术能力的声明及证明材料</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主要设备有：</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。（须附证明材料）</w:t>
      </w:r>
      <w:r/>
    </w:p>
    <w:p>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主要专业技术能力有：</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。（须附证明材料）</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jc w:val="left"/>
        <w:rPr>
          <w:rFonts w:ascii="MS Mincho"/>
          <w:color w:val="000000" w:themeColor="text1"/>
          <w:highlight w:val="none"/>
          <w14:textFill>
            <w14:solidFill>
              <w14:schemeClr w14:val="tx1"/>
            </w14:solidFill>
          </w14:textFill>
        </w:rPr>
      </w:pPr>
      <w:r>
        <w:rPr>
          <w:rFonts w:ascii="MS Mincho"/>
          <w:color w:val="000000" w:themeColor="text1"/>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附主要设备和主要专业技术能力的证明材料如下：</w:t>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五、参加政府采购活动前3年内在经营活动中没有重大违法记录的书面声明</w:t>
      </w:r>
      <w:r/>
    </w:p>
    <w:p>
      <w:pPr>
        <w:jc w:val="center"/>
        <w:spacing w:line="460" w:lineRule="exact"/>
        <w:rPr>
          <w:rFonts w:hint="eastAsia" w:ascii="宋体" w:hAnsi="宋体"/>
          <w:b/>
          <w:bCs/>
          <w:color w:val="000000" w:themeColor="text1"/>
          <w:sz w:val="44"/>
          <w:szCs w:val="4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声  明</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六、法律、行政法规规定的其他条件的证明文件</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（如有，请按要求提供）</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七 、落实政府采购政策需满足的资格要求的证明文件</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（如有，请按要求提供）</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八、特定资格要求的证明文件</w:t>
      </w:r>
      <w:r/>
    </w:p>
    <w:p>
      <w:pPr>
        <w:ind w:firstLine="480"/>
        <w:jc w:val="left"/>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（如有，请按要求提供）</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九、授权委托书与法定代表人（单位负责人）身份证明</w:t>
      </w:r>
      <w:r/>
    </w:p>
    <w:p>
      <w:pPr>
        <w:jc w:val="center"/>
        <w:spacing w:line="360" w:lineRule="exact"/>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授权委托书</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致：</w:t>
      </w:r>
      <w:r>
        <w:rPr>
          <w:rFonts w:hint="eastAsia"/>
          <w:color w:val="000000" w:themeColor="text1"/>
          <w:sz w:val="24"/>
          <w:highlight w:val="none"/>
          <w:u w:val="single"/>
          <w14:textFill>
            <w14:solidFill>
              <w14:schemeClr w14:val="tx1"/>
            </w14:solidFill>
          </w14:textFill>
        </w:rPr>
        <w:t xml:space="preserve">采购单位</w:t>
      </w:r>
      <w:r/>
    </w:p>
    <w:p>
      <w:pPr>
        <w:ind w:firstLine="42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本人</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姓名</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系</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供应商</w:t>
      </w:r>
      <w:r>
        <w:rPr>
          <w:color w:val="000000" w:themeColor="text1"/>
          <w:sz w:val="24"/>
          <w:highlight w:val="none"/>
          <w:u w:val="single"/>
          <w14:textFill>
            <w14:solidFill>
              <w14:schemeClr w14:val="tx1"/>
            </w14:solidFill>
          </w14:textFill>
        </w:rPr>
        <w:t xml:space="preserve">名称）</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法定代表人（</w:t>
      </w:r>
      <w:r>
        <w:rPr>
          <w:rFonts w:hint="eastAsia"/>
          <w:color w:val="000000" w:themeColor="text1"/>
          <w:sz w:val="24"/>
          <w:highlight w:val="none"/>
          <w14:textFill>
            <w14:solidFill>
              <w14:schemeClr w14:val="tx1"/>
            </w14:solidFill>
          </w14:textFill>
        </w:rPr>
        <w:t xml:space="preserve">单位</w:t>
      </w:r>
      <w:r>
        <w:rPr>
          <w:color w:val="000000" w:themeColor="text1"/>
          <w:sz w:val="24"/>
          <w:highlight w:val="none"/>
          <w14:textFill>
            <w14:solidFill>
              <w14:schemeClr w14:val="tx1"/>
            </w14:solidFill>
          </w14:textFill>
        </w:rPr>
        <w:t xml:space="preserve">负责人）</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现委托</w:t>
      </w:r>
      <w:r>
        <w:rPr>
          <w:rFonts w:hint="eastAsia"/>
          <w:color w:val="000000" w:themeColor="text1"/>
          <w:sz w:val="24"/>
          <w:highlight w:val="none"/>
          <w:u w:val="single"/>
          <w14:textFill>
            <w14:solidFill>
              <w14:schemeClr w14:val="tx1"/>
            </w14:solidFill>
          </w14:textFill>
        </w:rPr>
        <w:t xml:space="preserve"> （姓名</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为</w:t>
      </w:r>
      <w:r>
        <w:rPr>
          <w:color w:val="000000" w:themeColor="text1"/>
          <w:sz w:val="24"/>
          <w:highlight w:val="none"/>
          <w14:textFill>
            <w14:solidFill>
              <w14:schemeClr w14:val="tx1"/>
            </w14:solidFill>
          </w14:textFill>
        </w:rPr>
        <w:t xml:space="preserve">我方代理人。</w:t>
      </w:r>
      <w:r>
        <w:rPr>
          <w:rFonts w:hint="eastAsia"/>
          <w:color w:val="000000" w:themeColor="text1"/>
          <w:sz w:val="24"/>
          <w:highlight w:val="none"/>
          <w14:textFill>
            <w14:solidFill>
              <w14:schemeClr w14:val="tx1"/>
            </w14:solidFill>
          </w14:textFill>
        </w:rPr>
        <w:t xml:space="preserve">代理人根据</w:t>
      </w:r>
      <w:r>
        <w:rPr>
          <w:color w:val="000000" w:themeColor="text1"/>
          <w:sz w:val="24"/>
          <w:highlight w:val="none"/>
          <w14:textFill>
            <w14:solidFill>
              <w14:schemeClr w14:val="tx1"/>
            </w14:solidFill>
          </w14:textFill>
        </w:rPr>
        <w:t xml:space="preserve">授权，以我方名义签署、澄清确认、提交、撤回、修改</w:t>
      </w:r>
      <w:r>
        <w:rPr>
          <w:rFonts w:hint="eastAsia"/>
          <w:color w:val="000000" w:themeColor="text1"/>
          <w:sz w:val="24"/>
          <w:highlight w:val="none"/>
          <w:u w:val="single"/>
          <w14:textFill>
            <w14:solidFill>
              <w14:schemeClr w14:val="tx1"/>
            </w14:solidFill>
          </w14:textFill>
        </w:rPr>
        <w:t xml:space="preserve"> （项目名称） </w:t>
      </w:r>
      <w:r>
        <w:rPr>
          <w:rFonts w:hint="eastAsia"/>
          <w:color w:val="000000" w:themeColor="text1"/>
          <w:sz w:val="24"/>
          <w:highlight w:val="none"/>
          <w14:textFill>
            <w14:solidFill>
              <w14:schemeClr w14:val="tx1"/>
            </w14:solidFill>
          </w14:textFill>
        </w:rPr>
        <w:t xml:space="preserve">项目（项目编号：</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）响应文件和</w:t>
      </w:r>
      <w:r>
        <w:rPr>
          <w:color w:val="000000" w:themeColor="text1"/>
          <w:sz w:val="24"/>
          <w:highlight w:val="none"/>
          <w14:textFill>
            <w14:solidFill>
              <w14:schemeClr w14:val="tx1"/>
            </w14:solidFill>
          </w14:textFill>
        </w:rPr>
        <w:t xml:space="preserve">处理有关事宜，其法律后果由我方承担。</w:t>
      </w:r>
      <w:r/>
    </w:p>
    <w:p>
      <w:pPr>
        <w:ind w:firstLine="42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委托</w:t>
      </w:r>
      <w:r>
        <w:rPr>
          <w:color w:val="000000" w:themeColor="text1"/>
          <w:sz w:val="24"/>
          <w:highlight w:val="none"/>
          <w14:textFill>
            <w14:solidFill>
              <w14:schemeClr w14:val="tx1"/>
            </w14:solidFill>
          </w14:textFill>
        </w:rPr>
        <w:t xml:space="preserve">期限：自本</w:t>
      </w:r>
      <w:r>
        <w:rPr>
          <w:rFonts w:hint="eastAsia"/>
          <w:color w:val="000000" w:themeColor="text1"/>
          <w:sz w:val="24"/>
          <w:highlight w:val="none"/>
          <w14:textFill>
            <w14:solidFill>
              <w14:schemeClr w14:val="tx1"/>
            </w14:solidFill>
          </w14:textFill>
        </w:rPr>
        <w:t xml:space="preserve">授权</w:t>
      </w:r>
      <w:r>
        <w:rPr>
          <w:color w:val="000000" w:themeColor="text1"/>
          <w:sz w:val="24"/>
          <w:highlight w:val="none"/>
          <w14:textFill>
            <w14:solidFill>
              <w14:schemeClr w14:val="tx1"/>
            </w14:solidFill>
          </w14:textFill>
        </w:rPr>
        <w:t xml:space="preserve">委托书签署之日起至</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有效期</w:t>
      </w:r>
      <w:r>
        <w:rPr>
          <w:rFonts w:hint="eastAsia"/>
          <w:color w:val="000000" w:themeColor="text1"/>
          <w:sz w:val="24"/>
          <w:highlight w:val="none"/>
          <w14:textFill>
            <w14:solidFill>
              <w14:schemeClr w14:val="tx1"/>
            </w14:solidFill>
          </w14:textFill>
        </w:rPr>
        <w:t xml:space="preserve">届满</w:t>
      </w:r>
      <w:r>
        <w:rPr>
          <w:color w:val="000000" w:themeColor="text1"/>
          <w:sz w:val="24"/>
          <w:highlight w:val="none"/>
          <w14:textFill>
            <w14:solidFill>
              <w14:schemeClr w14:val="tx1"/>
            </w14:solidFill>
          </w14:textFill>
        </w:rPr>
        <w:t xml:space="preserve">之日止。</w:t>
      </w:r>
      <w:r/>
    </w:p>
    <w:p>
      <w:pPr>
        <w:ind w:firstLine="420"/>
        <w:jc w:val="left"/>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代理人</w:t>
      </w:r>
      <w:r>
        <w:rPr>
          <w:color w:val="000000" w:themeColor="text1"/>
          <w:sz w:val="24"/>
          <w:highlight w:val="none"/>
          <w14:textFill>
            <w14:solidFill>
              <w14:schemeClr w14:val="tx1"/>
            </w14:solidFill>
          </w14:textFill>
        </w:rPr>
        <w:t xml:space="preserve">无转委托权。</w:t>
      </w:r>
      <w:r/>
    </w:p>
    <w:p>
      <w:pPr>
        <w:ind w:firstLine="42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名称（加盖公章）：</w:t>
      </w:r>
      <w:r>
        <w:rPr>
          <w:rFonts w:hint="eastAsia"/>
          <w:color w:val="000000" w:themeColor="text1"/>
          <w:sz w:val="24"/>
          <w:highlight w:val="none"/>
          <w:u w:val="single"/>
          <w14:textFill>
            <w14:solidFill>
              <w14:schemeClr w14:val="tx1"/>
            </w14:solidFill>
          </w14:textFill>
        </w:rPr>
        <w:t xml:space="preserve">             </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法定代表人（单位负责人）（签字</w:t>
      </w:r>
      <w:r>
        <w:rPr>
          <w:rFonts w:hint="eastAsia"/>
          <w:color w:val="000000" w:themeColor="text1"/>
          <w:sz w:val="24"/>
          <w:highlight w:val="none"/>
          <w14:textFill>
            <w14:solidFill>
              <w14:schemeClr w14:val="tx1"/>
            </w14:solidFill>
          </w14:textFill>
        </w:rPr>
        <w:t xml:space="preserve">、签章</w:t>
      </w:r>
      <w:r>
        <w:rPr>
          <w:color w:val="000000" w:themeColor="text1"/>
          <w:sz w:val="24"/>
          <w:highlight w:val="none"/>
          <w14:textFill>
            <w14:solidFill>
              <w14:schemeClr w14:val="tx1"/>
            </w14:solidFill>
          </w14:textFill>
        </w:rPr>
        <w:t xml:space="preserve">或</w:t>
      </w:r>
      <w:r>
        <w:rPr>
          <w:rFonts w:hint="eastAsia"/>
          <w:color w:val="000000" w:themeColor="text1"/>
          <w:sz w:val="24"/>
          <w:highlight w:val="none"/>
          <w14:textFill>
            <w14:solidFill>
              <w14:schemeClr w14:val="tx1"/>
            </w14:solidFill>
          </w14:textFill>
        </w:rPr>
        <w:t xml:space="preserve">印鉴）</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联系方式</w:t>
      </w:r>
      <w:r>
        <w:rPr>
          <w:rFonts w:hint="eastAsia"/>
          <w:color w:val="000000" w:themeColor="text1"/>
          <w:sz w:val="24"/>
          <w:highlight w:val="none"/>
          <w:u w:val="single"/>
          <w14:textFill>
            <w14:solidFill>
              <w14:schemeClr w14:val="tx1"/>
            </w14:solidFill>
          </w14:textFill>
        </w:rPr>
        <w:t xml:space="preserve">           </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委托代理</w:t>
      </w:r>
      <w:r>
        <w:rPr>
          <w:color w:val="000000" w:themeColor="text1"/>
          <w:sz w:val="24"/>
          <w:highlight w:val="none"/>
          <w14:textFill>
            <w14:solidFill>
              <w14:schemeClr w14:val="tx1"/>
            </w14:solidFill>
          </w14:textFill>
        </w:rPr>
        <w:t xml:space="preserve">人（签字</w:t>
      </w:r>
      <w:r>
        <w:rPr>
          <w:rFonts w:hint="eastAsia"/>
          <w:color w:val="000000" w:themeColor="text1"/>
          <w:sz w:val="24"/>
          <w:highlight w:val="none"/>
          <w14:textFill>
            <w14:solidFill>
              <w14:schemeClr w14:val="tx1"/>
            </w14:solidFill>
          </w14:textFill>
        </w:rPr>
        <w:t xml:space="preserve">/签章</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，联系方式</w:t>
      </w:r>
      <w:r>
        <w:rPr>
          <w:rFonts w:hint="eastAsia"/>
          <w:color w:val="000000" w:themeColor="text1"/>
          <w:sz w:val="24"/>
          <w:highlight w:val="none"/>
          <w:u w:val="single"/>
          <w14:textFill>
            <w14:solidFill>
              <w14:schemeClr w14:val="tx1"/>
            </w14:solidFill>
          </w14:textFill>
        </w:rPr>
        <w:t xml:space="preserve">         </w:t>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法定代表人（单位负责人）有效期内的身份证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80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委托代理人</w:t>
      </w:r>
      <w:r>
        <w:rPr>
          <w:rFonts w:ascii="宋体" w:hAnsi="宋体"/>
          <w:color w:val="000000" w:themeColor="text1"/>
          <w:sz w:val="24"/>
          <w:szCs w:val="20"/>
          <w:highlight w:val="none"/>
          <w14:textFill>
            <w14:solidFill>
              <w14:schemeClr w14:val="tx1"/>
            </w14:solidFill>
          </w14:textFill>
        </w:rPr>
        <w:t xml:space="preserve">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80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填报说明</w:t>
      </w:r>
      <w:r>
        <w:rPr>
          <w:color w:val="000000" w:themeColor="text1"/>
          <w:sz w:val="24"/>
          <w:highlight w:val="none"/>
          <w14:textFill>
            <w14:solidFill>
              <w14:schemeClr w14:val="tx1"/>
            </w14:solidFill>
          </w14:textFill>
        </w:rPr>
        <w:t xml:space="preserve">：</w:t>
      </w:r>
      <w:r/>
    </w:p>
    <w:p>
      <w:pPr>
        <w:ind w:firstLine="480"/>
        <w:jc w:val="left"/>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1、若供应商为事业单位或其他组织或分支机构（仅当</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注明允许分支机构参与</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的），则法定代表人（单位负责人）</w:t>
      </w:r>
      <w:r>
        <w:rPr>
          <w:rFonts w:hint="eastAsia"/>
          <w:color w:val="000000" w:themeColor="text1"/>
          <w:sz w:val="24"/>
          <w:highlight w:val="none"/>
          <w14:textFill>
            <w14:solidFill>
              <w14:schemeClr w14:val="tx1"/>
            </w14:solidFill>
          </w14:textFill>
        </w:rPr>
        <w:t xml:space="preserve">处</w:t>
      </w:r>
      <w:r>
        <w:rPr>
          <w:color w:val="000000" w:themeColor="text1"/>
          <w:sz w:val="24"/>
          <w:highlight w:val="none"/>
          <w14:textFill>
            <w14:solidFill>
              <w14:schemeClr w14:val="tx1"/>
            </w14:solidFill>
          </w14:textFill>
        </w:rPr>
        <w:t xml:space="preserve">的签署人可为单位负责人</w:t>
      </w:r>
      <w:r>
        <w:rPr>
          <w:rFonts w:hint="eastAsia"/>
          <w:color w:val="000000" w:themeColor="text1"/>
          <w:sz w:val="24"/>
          <w:highlight w:val="none"/>
          <w14:textFill>
            <w14:solidFill>
              <w14:schemeClr w14:val="tx1"/>
            </w14:solidFill>
          </w14:textFill>
        </w:rPr>
        <w:t xml:space="preserve">。</w:t>
      </w:r>
      <w:r/>
    </w:p>
    <w:p>
      <w:pPr>
        <w:ind w:firstLine="480"/>
        <w:jc w:val="left"/>
        <w:spacing w:line="360" w:lineRule="auto"/>
        <w:tabs>
          <w:tab w:val="left" w:pos="55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若</w:t>
      </w:r>
      <w:r>
        <w:rPr>
          <w:rFonts w:hint="eastAsia"/>
          <w:color w:val="000000" w:themeColor="text1"/>
          <w:sz w:val="24"/>
          <w:highlight w:val="none"/>
          <w14:textFill>
            <w14:solidFill>
              <w14:schemeClr w14:val="tx1"/>
            </w14:solidFill>
          </w14:textFill>
        </w:rPr>
        <w:t xml:space="preserve">响应文件</w:t>
      </w:r>
      <w:r>
        <w:rPr>
          <w:color w:val="000000" w:themeColor="text1"/>
          <w:sz w:val="24"/>
          <w:highlight w:val="none"/>
          <w14:textFill>
            <w14:solidFill>
              <w14:schemeClr w14:val="tx1"/>
            </w14:solidFill>
          </w14:textFill>
        </w:rPr>
        <w:t xml:space="preserve">中全部签字之处均为法定代表人（单位负责人）本人签署，则可不提供本《</w:t>
      </w:r>
      <w:r>
        <w:rPr>
          <w:rFonts w:hint="eastAsia"/>
          <w:color w:val="000000" w:themeColor="text1"/>
          <w:sz w:val="24"/>
          <w:highlight w:val="none"/>
          <w14:textFill>
            <w14:solidFill>
              <w14:schemeClr w14:val="tx1"/>
            </w14:solidFill>
          </w14:textFill>
        </w:rPr>
        <w:t xml:space="preserve">授权委托书</w:t>
      </w:r>
      <w:r>
        <w:rPr>
          <w:color w:val="000000" w:themeColor="text1"/>
          <w:sz w:val="24"/>
          <w:highlight w:val="none"/>
          <w14:textFill>
            <w14:solidFill>
              <w14:schemeClr w14:val="tx1"/>
            </w14:solidFill>
          </w14:textFill>
        </w:rPr>
        <w:t xml:space="preserve">》，但须提供</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法定代表人（单位负责人）身份证</w:t>
      </w:r>
      <w:r>
        <w:rPr>
          <w:rFonts w:hint="eastAsia"/>
          <w:color w:val="000000" w:themeColor="text1"/>
          <w:sz w:val="24"/>
          <w:highlight w:val="none"/>
          <w14:textFill>
            <w14:solidFill>
              <w14:schemeClr w14:val="tx1"/>
            </w14:solidFill>
          </w14:textFill>
        </w:rPr>
        <w:t xml:space="preserve">明》</w:t>
      </w:r>
      <w:r>
        <w:rPr>
          <w:color w:val="000000" w:themeColor="text1"/>
          <w:sz w:val="24"/>
          <w:highlight w:val="none"/>
          <w14:textFill>
            <w14:solidFill>
              <w14:schemeClr w14:val="tx1"/>
            </w14:solidFill>
          </w14:textFill>
        </w:rPr>
        <w:t xml:space="preserve">。</w:t>
      </w:r>
      <w:r/>
    </w:p>
    <w:p>
      <w:pPr>
        <w:ind w:firstLine="480"/>
        <w:jc w:val="left"/>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供应商为自然人的情形，可不提供本</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授权委托书</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w:t>
      </w:r>
      <w:r/>
    </w:p>
    <w:p>
      <w:pPr>
        <w:ind w:firstLine="482"/>
        <w:jc w:val="left"/>
        <w:spacing w:line="360" w:lineRule="auto"/>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4、请供应商如实填写联系方式并在评审过程中保持联系方式畅通，评审过程中如联系不上，由供应商承担一切不利后果。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 xml:space="preserve">法定代表人（单位负责人）身份证明</w:t>
      </w:r>
      <w:r/>
    </w:p>
    <w:p>
      <w:pPr>
        <w:spacing w:line="200" w:lineRule="exact"/>
        <w:rPr>
          <w:rFonts w:hint="eastAsia" w:ascii="宋体" w:hAnsi="宋体"/>
          <w:color w:val="000000" w:themeColor="text1"/>
          <w:sz w:val="20"/>
          <w:szCs w:val="20"/>
          <w:highlight w:val="none"/>
          <w14:textFill>
            <w14:solidFill>
              <w14:schemeClr w14:val="tx1"/>
            </w14:solidFill>
          </w14:textFill>
        </w:rPr>
      </w:pPr>
      <w:r>
        <w:rPr>
          <w:rFonts w:hint="eastAsia" w:ascii="宋体" w:hAnsi="宋体"/>
          <w:color w:val="000000" w:themeColor="text1"/>
          <w:sz w:val="20"/>
          <w:szCs w:val="20"/>
          <w:highlight w:val="none"/>
          <w14:textFill>
            <w14:solidFill>
              <w14:schemeClr w14:val="tx1"/>
            </w14:solidFill>
          </w14:textFill>
        </w:rPr>
      </w:r>
      <w:r/>
    </w:p>
    <w:p>
      <w:pPr>
        <w:spacing w:line="360" w:lineRule="auto"/>
        <w:tabs>
          <w:tab w:val="left" w:pos="558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hint="eastAsia"/>
          <w:color w:val="000000" w:themeColor="text1"/>
          <w:sz w:val="24"/>
          <w:highlight w:val="none"/>
          <w:u w:val="single"/>
          <w14:textFill>
            <w14:solidFill>
              <w14:schemeClr w14:val="tx1"/>
            </w14:solidFill>
          </w14:textFill>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性别：</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年龄：</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职务：</w:t>
      </w:r>
      <w:r>
        <w:rPr>
          <w:rFonts w:hint="eastAsia" w:ascii="宋体" w:hAnsi="宋体"/>
          <w:color w:val="000000" w:themeColor="text1"/>
          <w:sz w:val="24"/>
          <w:highlight w:val="none"/>
          <w:u w:val="single"/>
          <w14:textFill>
            <w14:solidFill>
              <w14:schemeClr w14:val="tx1"/>
            </w14:solidFill>
          </w14:textFill>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系</w:t>
      </w:r>
      <w:r>
        <w:rPr>
          <w:rFonts w:hint="eastAsia" w:ascii="宋体" w:hAnsi="宋体"/>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供应商</w:t>
      </w:r>
      <w:r>
        <w:rPr>
          <w:color w:val="000000" w:themeColor="text1"/>
          <w:sz w:val="24"/>
          <w:highlight w:val="none"/>
          <w:u w:val="single"/>
          <w14:textFill>
            <w14:solidFill>
              <w14:schemeClr w14:val="tx1"/>
            </w14:solidFill>
          </w14:textFill>
        </w:rPr>
        <w:t xml:space="preserve">名称）</w:t>
      </w:r>
      <w:r>
        <w:rPr>
          <w:rFonts w:hint="eastAsia"/>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right="-46"/>
        <w:spacing w:before="120" w:line="583" w:lineRule="auto"/>
        <w:tabs>
          <w:tab w:val="left" w:pos="567" w:leader="none"/>
        </w:tabs>
        <w:rPr>
          <w:rFonts w:hint="eastAsia" w:ascii="宋体" w:hAnsi="宋体"/>
          <w:color w:val="000000" w:themeColor="text1"/>
          <w:spacing w:val="-3"/>
          <w:sz w:val="24"/>
          <w:highlight w:val="none"/>
          <w14:textFill>
            <w14:solidFill>
              <w14:schemeClr w14:val="tx1"/>
            </w14:solidFill>
          </w14:textFill>
        </w:rPr>
      </w:pPr>
      <w:r>
        <w:rPr>
          <w:rFonts w:ascii="宋体" w:hAnsi="宋体"/>
          <w:color w:val="000000" w:themeColor="text1"/>
          <w:spacing w:val="-3"/>
          <w:sz w:val="24"/>
          <w:highlight w:val="none"/>
          <w14:textFill>
            <w14:solidFill>
              <w14:schemeClr w14:val="tx1"/>
            </w14:solidFill>
          </w14:textFill>
        </w:rPr>
        <w:t xml:space="preserve">法</w:t>
      </w:r>
      <w:r>
        <w:rPr>
          <w:rFonts w:ascii="宋体" w:hAnsi="宋体"/>
          <w:color w:val="000000" w:themeColor="text1"/>
          <w:sz w:val="24"/>
          <w:highlight w:val="none"/>
          <w14:textFill>
            <w14:solidFill>
              <w14:schemeClr w14:val="tx1"/>
            </w14:solidFill>
          </w14:textFill>
        </w:rPr>
        <w:t xml:space="preserve">定</w:t>
      </w:r>
      <w:r>
        <w:rPr>
          <w:rFonts w:ascii="宋体" w:hAnsi="宋体"/>
          <w:color w:val="000000" w:themeColor="text1"/>
          <w:spacing w:val="-3"/>
          <w:sz w:val="24"/>
          <w:highlight w:val="none"/>
          <w14:textFill>
            <w14:solidFill>
              <w14:schemeClr w14:val="tx1"/>
            </w14:solidFill>
          </w14:textFill>
        </w:rPr>
        <w:t xml:space="preserve">代</w:t>
      </w:r>
      <w:r>
        <w:rPr>
          <w:rFonts w:ascii="宋体" w:hAnsi="宋体"/>
          <w:color w:val="000000" w:themeColor="text1"/>
          <w:sz w:val="24"/>
          <w:highlight w:val="none"/>
          <w14:textFill>
            <w14:solidFill>
              <w14:schemeClr w14:val="tx1"/>
            </w14:solidFill>
          </w14:textFill>
        </w:rPr>
        <w:t xml:space="preserve">表</w:t>
      </w:r>
      <w:r>
        <w:rPr>
          <w:rFonts w:ascii="宋体" w:hAnsi="宋体"/>
          <w:color w:val="000000" w:themeColor="text1"/>
          <w:spacing w:val="-3"/>
          <w:sz w:val="24"/>
          <w:highlight w:val="none"/>
          <w14:textFill>
            <w14:solidFill>
              <w14:schemeClr w14:val="tx1"/>
            </w14:solidFill>
          </w14:textFill>
        </w:rPr>
        <w:t xml:space="preserve">人</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pacing w:val="-3"/>
          <w:sz w:val="24"/>
          <w:highlight w:val="none"/>
          <w14:textFill>
            <w14:solidFill>
              <w14:schemeClr w14:val="tx1"/>
            </w14:solidFill>
          </w14:textFill>
        </w:rPr>
        <w:t xml:space="preserve">单</w:t>
      </w:r>
      <w:r>
        <w:rPr>
          <w:rFonts w:ascii="宋体" w:hAnsi="宋体"/>
          <w:color w:val="000000" w:themeColor="text1"/>
          <w:sz w:val="24"/>
          <w:highlight w:val="none"/>
          <w14:textFill>
            <w14:solidFill>
              <w14:schemeClr w14:val="tx1"/>
            </w14:solidFill>
          </w14:textFill>
        </w:rPr>
        <w:t xml:space="preserve">位</w:t>
      </w:r>
      <w:r>
        <w:rPr>
          <w:rFonts w:ascii="宋体" w:hAnsi="宋体"/>
          <w:color w:val="000000" w:themeColor="text1"/>
          <w:spacing w:val="-3"/>
          <w:sz w:val="24"/>
          <w:highlight w:val="none"/>
          <w14:textFill>
            <w14:solidFill>
              <w14:schemeClr w14:val="tx1"/>
            </w14:solidFill>
          </w14:textFill>
        </w:rPr>
        <w:t xml:space="preserve">负</w:t>
      </w:r>
      <w:r>
        <w:rPr>
          <w:rFonts w:ascii="宋体" w:hAnsi="宋体"/>
          <w:color w:val="000000" w:themeColor="text1"/>
          <w:sz w:val="24"/>
          <w:highlight w:val="none"/>
          <w14:textFill>
            <w14:solidFill>
              <w14:schemeClr w14:val="tx1"/>
            </w14:solidFill>
          </w14:textFill>
        </w:rPr>
        <w:t xml:space="preserve">责人</w:t>
      </w:r>
      <w:r>
        <w:rPr>
          <w:rFonts w:ascii="宋体" w:hAnsi="宋体"/>
          <w:color w:val="000000" w:themeColor="text1"/>
          <w:spacing w:val="-3"/>
          <w:sz w:val="24"/>
          <w:highlight w:val="none"/>
          <w14:textFill>
            <w14:solidFill>
              <w14:schemeClr w14:val="tx1"/>
            </w14:solidFill>
          </w14:textFill>
        </w:rPr>
        <w:t xml:space="preserve">）有效期内的身</w:t>
      </w:r>
      <w:r>
        <w:rPr>
          <w:rFonts w:hint="eastAsia" w:ascii="宋体" w:hAnsi="宋体"/>
          <w:color w:val="000000" w:themeColor="text1"/>
          <w:spacing w:val="-3"/>
          <w:sz w:val="24"/>
          <w:highlight w:val="none"/>
          <w14:textFill>
            <w14:solidFill>
              <w14:schemeClr w14:val="tx1"/>
            </w14:solidFill>
          </w14:textFill>
        </w:rPr>
        <w:t xml:space="preserve">份</w:t>
      </w:r>
      <w:r>
        <w:rPr>
          <w:rFonts w:ascii="宋体" w:hAnsi="宋体"/>
          <w:color w:val="000000" w:themeColor="text1"/>
          <w:spacing w:val="-3"/>
          <w:sz w:val="24"/>
          <w:highlight w:val="none"/>
          <w14:textFill>
            <w14:solidFill>
              <w14:schemeClr w14:val="tx1"/>
            </w14:solidFill>
          </w14:textFill>
        </w:rPr>
        <w:t xml:space="preserve">证正反面</w:t>
      </w:r>
      <w:r>
        <w:rPr>
          <w:rFonts w:hint="eastAsia" w:ascii="宋体" w:hAnsi="宋体"/>
          <w:color w:val="000000" w:themeColor="text1"/>
          <w:spacing w:val="-3"/>
          <w:sz w:val="24"/>
          <w:highlight w:val="none"/>
          <w14:textFill>
            <w14:solidFill>
              <w14:schemeClr w14:val="tx1"/>
            </w14:solidFill>
          </w14:textFill>
        </w:rPr>
        <w:t xml:space="preserve">电子</w:t>
      </w:r>
      <w:r>
        <w:rPr>
          <w:rFonts w:ascii="宋体" w:hAnsi="宋体"/>
          <w:color w:val="000000" w:themeColor="text1"/>
          <w:spacing w:val="-3"/>
          <w:sz w:val="24"/>
          <w:highlight w:val="none"/>
          <w14:textFill>
            <w14:solidFill>
              <w14:schemeClr w14:val="tx1"/>
            </w14:solidFill>
          </w14:textFill>
        </w:rPr>
        <w:t xml:space="preserve">件</w:t>
      </w:r>
      <w:r>
        <w:rPr>
          <w:rFonts w:hint="eastAsia" w:ascii="宋体" w:hAnsi="宋体"/>
          <w:color w:val="000000" w:themeColor="text1"/>
          <w:spacing w:val="-3"/>
          <w:sz w:val="24"/>
          <w:highlight w:val="none"/>
          <w14:textFill>
            <w14:solidFill>
              <w14:schemeClr w14:val="tx1"/>
            </w14:solidFill>
          </w14:textFill>
        </w:rPr>
        <w:t xml:space="preserve">：</w:t>
      </w:r>
      <w:r/>
    </w:p>
    <w:tbl>
      <w:tblPr>
        <w:tblStyle w:val="80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hint="eastAsia" w:ascii="宋体" w:hAnsi="宋体"/>
          <w:color w:val="000000" w:themeColor="text1"/>
          <w:spacing w:val="-3"/>
          <w:sz w:val="24"/>
          <w:highlight w:val="none"/>
          <w14:textFill>
            <w14:solidFill>
              <w14:schemeClr w14:val="tx1"/>
            </w14:solidFill>
          </w14:textFill>
        </w:rPr>
      </w:pPr>
      <w:r>
        <w:rPr>
          <w:rFonts w:hint="eastAsia" w:ascii="宋体" w:hAnsi="宋体"/>
          <w:color w:val="000000" w:themeColor="text1"/>
          <w:spacing w:val="-3"/>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名称（加盖公章）</w:t>
      </w:r>
      <w:r>
        <w:rPr>
          <w:rFonts w:ascii="宋体" w:hAnsi="宋体"/>
          <w:color w:val="000000" w:themeColor="text1"/>
          <w:sz w:val="24"/>
          <w:highlight w:val="none"/>
          <w:lang w:val="zh-CN"/>
          <w14:textFill>
            <w14:solidFill>
              <w14:schemeClr w14:val="tx1"/>
            </w14:solidFill>
          </w14:textFill>
        </w:rPr>
        <w:t xml:space="preserve">：</w:t>
      </w:r>
      <w:r>
        <w:rPr>
          <w:rFonts w:hint="eastAsia"/>
          <w:color w:val="000000" w:themeColor="text1"/>
          <w:sz w:val="24"/>
          <w:highlight w:val="none"/>
          <w:u w:val="single"/>
          <w14:textFill>
            <w14:solidFill>
              <w14:schemeClr w14:val="tx1"/>
            </w14:solidFill>
          </w14:textFill>
        </w:rPr>
        <w:t xml:space="preserve">             </w:t>
      </w:r>
      <w:r/>
    </w:p>
    <w:p>
      <w:p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3"/>
          <w:sz w:val="24"/>
          <w:highlight w:val="none"/>
          <w14:textFill>
            <w14:solidFill>
              <w14:schemeClr w14:val="tx1"/>
            </w14:solidFill>
          </w14:textFill>
        </w:rPr>
        <w:t xml:space="preserve">法定代表人（</w:t>
      </w:r>
      <w:r>
        <w:rPr>
          <w:rFonts w:ascii="宋体" w:hAnsi="宋体"/>
          <w:color w:val="000000" w:themeColor="text1"/>
          <w:sz w:val="24"/>
          <w:highlight w:val="none"/>
          <w14:textFill>
            <w14:solidFill>
              <w14:schemeClr w14:val="tx1"/>
            </w14:solidFill>
          </w14:textFill>
        </w:rPr>
        <w:t xml:space="preserve">单位负责人</w:t>
      </w:r>
      <w:r>
        <w:rPr>
          <w:rFonts w:hint="eastAsia" w:ascii="宋体" w:hAnsi="宋体"/>
          <w:color w:val="000000" w:themeColor="text1"/>
          <w:spacing w:val="-3"/>
          <w:sz w:val="24"/>
          <w:highlight w:val="none"/>
          <w14:textFill>
            <w14:solidFill>
              <w14:schemeClr w14:val="tx1"/>
            </w14:solidFill>
          </w14:textFill>
        </w:rPr>
        <w:t xml:space="preserve">）（签字、签章或印鉴）：</w:t>
      </w:r>
      <w:r>
        <w:rPr>
          <w:rFonts w:hint="eastAsia"/>
          <w:color w:val="000000" w:themeColor="text1"/>
          <w:sz w:val="24"/>
          <w:highlight w:val="none"/>
          <w:u w:val="single"/>
          <w14:textFill>
            <w14:solidFill>
              <w14:schemeClr w14:val="tx1"/>
            </w14:solidFill>
          </w14:textFill>
        </w:rPr>
        <w:t xml:space="preserve">             </w:t>
      </w:r>
      <w:r/>
    </w:p>
    <w:p>
      <w:p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3"/>
          <w:sz w:val="24"/>
          <w:highlight w:val="none"/>
          <w14:textFill>
            <w14:solidFill>
              <w14:schemeClr w14:val="tx1"/>
            </w14:solidFill>
          </w14:textFill>
        </w:rPr>
        <w:t xml:space="preserve">法定代表人（</w:t>
      </w:r>
      <w:r>
        <w:rPr>
          <w:rFonts w:ascii="宋体" w:hAnsi="宋体"/>
          <w:color w:val="000000" w:themeColor="text1"/>
          <w:sz w:val="24"/>
          <w:highlight w:val="none"/>
          <w14:textFill>
            <w14:solidFill>
              <w14:schemeClr w14:val="tx1"/>
            </w14:solidFill>
          </w14:textFill>
        </w:rPr>
        <w:t xml:space="preserve">单位负责人</w:t>
      </w:r>
      <w:r>
        <w:rPr>
          <w:rFonts w:hint="eastAsia" w:ascii="宋体" w:hAnsi="宋体"/>
          <w:color w:val="000000" w:themeColor="text1"/>
          <w:spacing w:val="-3"/>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联系方式</w:t>
      </w:r>
      <w:r>
        <w:rPr>
          <w:rFonts w:hint="eastAsia"/>
          <w:color w:val="000000" w:themeColor="text1"/>
          <w:sz w:val="24"/>
          <w:highlight w:val="none"/>
          <w:u w:val="single"/>
          <w14:textFill>
            <w14:solidFill>
              <w14:schemeClr w14:val="tx1"/>
            </w14:solidFill>
          </w14:textFill>
        </w:rPr>
        <w:t xml:space="preserve">            </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jc w:val="left"/>
        <w:spacing w:line="360" w:lineRule="auto"/>
        <w:tabs>
          <w:tab w:val="left" w:pos="5580"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注：请供应商如实填写联系方式并在评审过程中保持联系方式畅通，评审过程中如联系不上，由供应商承担一切不利后果。</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before="260" w:after="260" w:line="416" w:lineRule="auto"/>
        <w:rPr>
          <w:rFonts w:hint="eastAsia" w:ascii="黑体" w:hAnsi="黑体" w:eastAsia="黑体"/>
          <w:b/>
          <w:color w:val="000000" w:themeColor="text1"/>
          <w:sz w:val="32"/>
          <w:szCs w:val="3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十、磋商响应函</w:t>
      </w:r>
      <w:r/>
    </w:p>
    <w:p>
      <w:pPr>
        <w:jc w:val="center"/>
        <w:spacing w:line="360" w:lineRule="auto"/>
        <w:tabs>
          <w:tab w:val="left" w:pos="360" w:leader="none"/>
        </w:tabs>
        <w:rPr>
          <w:color w:val="000000" w:themeColor="text1"/>
          <w:sz w:val="24"/>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磋商响应函</w:t>
      </w:r>
      <w:r/>
    </w:p>
    <w:p>
      <w:pPr>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致：（招标人）</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1.按磋商文件规定的各项要求，向买方提供所需服务（包含与服务相关的货物、工程）。</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2.我们完全理解贵方不一定将合同授予最低报价的供应商。</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4.我们同意从规定的开启日期起遵循本响应文件，并在规定的磋商有效期期满之前均具有约束力。</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.与本磋商有关的正式通讯地址为：</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供应商开户行：</w:t>
      </w:r>
      <w:r/>
    </w:p>
    <w:p>
      <w:pPr>
        <w:ind w:firstLine="480"/>
        <w:jc w:val="left"/>
        <w:spacing w:line="360" w:lineRule="auto"/>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rFonts w:ascii="Arial" w:hAnsi="Arial" w:cs="Arial"/>
          <w:color w:val="000000" w:themeColor="text1"/>
          <w:sz w:val="36"/>
          <w:szCs w:val="22"/>
          <w:highlight w:val="none"/>
          <w14:textFill>
            <w14:solidFill>
              <w14:schemeClr w14:val="tx1"/>
            </w14:solidFill>
          </w14:textFill>
        </w:rPr>
      </w:pPr>
      <w:r>
        <w:rPr>
          <w:rFonts w:hint="eastAsia" w:ascii="Arial" w:hAnsi="Arial" w:cs="Arial"/>
          <w:color w:val="000000" w:themeColor="text1"/>
          <w:sz w:val="36"/>
          <w:szCs w:val="22"/>
          <w:highlight w:val="non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十一、中小企业声明函（货物）</w:t>
      </w:r>
      <w:r/>
    </w:p>
    <w:p>
      <w:pPr>
        <w:jc w:val="center"/>
        <w:spacing w:line="360"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36"/>
          <w:szCs w:val="28"/>
          <w:highlight w:val="none"/>
          <w14:textFill>
            <w14:solidFill>
              <w14:schemeClr w14:val="tx1"/>
            </w14:solidFill>
          </w14:textFill>
        </w:rPr>
        <w:t xml:space="preserve">中小企业声明函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s="宋体"/>
          <w:color w:val="000000" w:themeColor="text1"/>
          <w:sz w:val="24"/>
          <w:highlight w:val="none"/>
          <w:u w:val="single"/>
          <w14:textFill>
            <w14:solidFill>
              <w14:schemeClr w14:val="tx1"/>
            </w14:solidFill>
          </w14:textFill>
        </w:rPr>
        <w:t xml:space="preserve">（单位名称）</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（磋商文件中明确的所属行业）</w:t>
      </w:r>
      <w:r>
        <w:rPr>
          <w:rFonts w:hint="eastAsia" w:ascii="宋体" w:hAnsi="宋体" w:cs="宋体"/>
          <w:color w:val="000000" w:themeColor="text1"/>
          <w:sz w:val="24"/>
          <w:highlight w:val="none"/>
          <w14:textFill>
            <w14:solidFill>
              <w14:schemeClr w14:val="tx1"/>
            </w14:solidFill>
          </w14:textFill>
        </w:rPr>
        <w:t xml:space="preserve">行业；制造商为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（磋商文件中明确的所属行业）</w:t>
      </w:r>
      <w:r>
        <w:rPr>
          <w:rFonts w:hint="eastAsia" w:ascii="宋体" w:hAnsi="宋体" w:cs="宋体"/>
          <w:color w:val="000000" w:themeColor="text1"/>
          <w:sz w:val="24"/>
          <w:highlight w:val="none"/>
          <w14:textFill>
            <w14:solidFill>
              <w14:schemeClr w14:val="tx1"/>
            </w14:solidFill>
          </w14:textFill>
        </w:rPr>
        <w:t xml:space="preserve">行业；制造商为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（磋商文件中明确的所属行业）</w:t>
      </w:r>
      <w:r>
        <w:rPr>
          <w:rFonts w:hint="eastAsia" w:ascii="宋体" w:hAnsi="宋体" w:cs="宋体"/>
          <w:color w:val="000000" w:themeColor="text1"/>
          <w:sz w:val="24"/>
          <w:highlight w:val="none"/>
          <w14:textFill>
            <w14:solidFill>
              <w14:schemeClr w14:val="tx1"/>
            </w14:solidFill>
          </w14:textFill>
        </w:rPr>
        <w:t xml:space="preserve">行业；制造商为</w:t>
      </w:r>
      <w:r>
        <w:rPr>
          <w:rFonts w:hint="eastAsia" w:ascii="宋体" w:hAnsi="宋体" w:cs="宋体"/>
          <w:color w:val="000000" w:themeColor="text1"/>
          <w:sz w:val="24"/>
          <w:highlight w:val="none"/>
          <w:u w:val="single"/>
          <w14:textFill>
            <w14:solidFill>
              <w14:schemeClr w14:val="tx1"/>
            </w14:solidFill>
          </w14:textFill>
        </w:rPr>
        <w:t xml:space="preserve">（企业名称）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（中型企业、小型企业、微型企业）</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28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企业名称（盖章）：</w:t>
      </w:r>
      <w:r/>
    </w:p>
    <w:p>
      <w:pPr>
        <w:ind w:firstLine="28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填报说明：</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2、请供应商如实填写，所填内容须与投标分项报价表一致，如填写不完整或不一致或填写有误，将不享受扶持政策。</w:t>
      </w:r>
      <w:r/>
    </w:p>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3、成交供应商的《中小企业声明函》随中标结果公开，接受社会监督。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14:textFill>
            <w14:solidFill>
              <w14:schemeClr w14:val="tx1"/>
            </w14:solidFill>
          </w14:textFill>
        </w:rPr>
      </w:pPr>
      <w:r>
        <w:rPr>
          <w:rFonts w:hint="eastAsia" w:ascii="Arial" w:hAnsi="Arial" w:cs="Arial"/>
          <w:color w:val="000000" w:themeColor="text1"/>
          <w:sz w:val="36"/>
          <w:szCs w:val="22"/>
          <w:highlight w:val="non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十二、残疾人福利性单位声明函</w:t>
      </w:r>
      <w:r/>
    </w:p>
    <w:p>
      <w:pPr>
        <w:jc w:val="center"/>
        <w:spacing w:line="360" w:lineRule="auto"/>
        <w:tabs>
          <w:tab w:val="left" w:pos="360" w:leader="none"/>
        </w:tabs>
        <w:rPr>
          <w:rFonts w:hint="eastAsia" w:ascii="宋体" w:hAnsi="宋体"/>
          <w:color w:val="000000" w:themeColor="text1"/>
          <w:sz w:val="24"/>
          <w:szCs w:val="21"/>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残疾人福利性单位声明函</w:t>
      </w:r>
      <w:r/>
    </w:p>
    <w:p>
      <w:pPr>
        <w:ind w:firstLine="480"/>
        <w:jc w:val="left"/>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none"/>
          <w14:textFill>
            <w14:solidFill>
              <w14:schemeClr w14:val="tx1"/>
            </w14:solidFill>
          </w14:textFill>
        </w:rPr>
        <w:t xml:space="preserve">〔2017〕</w:t>
      </w:r>
      <w:r>
        <w:rPr>
          <w:rFonts w:hint="eastAsia" w:ascii="宋体" w:hAnsi="宋体" w:cs="宋体"/>
          <w:color w:val="000000" w:themeColor="text1"/>
          <w:sz w:val="24"/>
          <w:szCs w:val="21"/>
          <w:highlight w:val="none"/>
          <w14:textFill>
            <w14:solidFill>
              <w14:schemeClr w14:val="tx1"/>
            </w14:solidFill>
          </w14:textFill>
        </w:rPr>
        <w:t xml:space="preserve">141号）的规定，本单位为符合条件的残疾人福利性单位，且本单位参加单位的项目（</w:t>
      </w:r>
      <w:r>
        <w:rPr>
          <w:rFonts w:hint="eastAsia" w:ascii="宋体" w:hAnsi="宋体" w:cs="宋体"/>
          <w:color w:val="000000" w:themeColor="text1"/>
          <w:sz w:val="24"/>
          <w:highlight w:val="none"/>
          <w14:textFill>
            <w14:solidFill>
              <w14:schemeClr w14:val="tx1"/>
            </w14:solidFill>
          </w14:textFill>
        </w:rPr>
        <w:t xml:space="preserve">项目编号：，分包号：</w:t>
      </w:r>
      <w:r>
        <w:rPr>
          <w:rFonts w:hint="eastAsia" w:ascii="宋体" w:hAnsi="宋体" w:cs="宋体"/>
          <w:color w:val="000000" w:themeColor="text1"/>
          <w:sz w:val="24"/>
          <w:szCs w:val="21"/>
          <w:highlight w:val="none"/>
          <w14:textFill>
            <w14:solidFill>
              <w14:schemeClr w14:val="tx1"/>
            </w14:solidFill>
          </w14:textFill>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1.</w:t>
      </w:r>
      <w:r>
        <w:rPr>
          <w:rFonts w:hint="eastAsia" w:ascii="宋体" w:hAnsi="宋体" w:cs="宋体"/>
          <w:color w:val="000000" w:themeColor="text1"/>
          <w:sz w:val="24"/>
          <w:szCs w:val="21"/>
          <w:highlight w:val="none"/>
          <w:u w:val="single"/>
          <w14:textFill>
            <w14:solidFill>
              <w14:schemeClr w14:val="tx1"/>
            </w14:solidFill>
          </w14:textFill>
        </w:rPr>
        <w:t xml:space="preserve">（标的名称）</w:t>
      </w:r>
      <w:r>
        <w:rPr>
          <w:rFonts w:hint="eastAsia" w:ascii="宋体" w:hAnsi="宋体" w:cs="宋体"/>
          <w:color w:val="000000" w:themeColor="text1"/>
          <w:sz w:val="24"/>
          <w:szCs w:val="21"/>
          <w:highlight w:val="none"/>
          <w14:textFill>
            <w14:solidFill>
              <w14:schemeClr w14:val="tx1"/>
            </w14:solidFill>
          </w14:textFill>
        </w:rPr>
        <w:t xml:space="preserve">，制造商为</w:t>
      </w:r>
      <w:r>
        <w:rPr>
          <w:rFonts w:hint="eastAsia" w:ascii="宋体" w:hAnsi="宋体" w:cs="宋体"/>
          <w:color w:val="000000" w:themeColor="text1"/>
          <w:sz w:val="24"/>
          <w:szCs w:val="21"/>
          <w:highlight w:val="none"/>
          <w:u w:val="single"/>
          <w14:textFill>
            <w14:solidFill>
              <w14:schemeClr w14:val="tx1"/>
            </w14:solidFill>
          </w14:textFill>
        </w:rPr>
        <w:t xml:space="preserve">（企业名称）</w:t>
      </w:r>
      <w:r>
        <w:rPr>
          <w:rFonts w:hint="eastAsia" w:ascii="宋体" w:hAnsi="宋体" w:cs="宋体"/>
          <w:color w:val="000000" w:themeColor="text1"/>
          <w:sz w:val="24"/>
          <w:szCs w:val="21"/>
          <w:highlight w:val="none"/>
          <w14:textFill>
            <w14:solidFill>
              <w14:schemeClr w14:val="tx1"/>
            </w14:solidFill>
          </w14:textFill>
        </w:rPr>
        <w:t xml:space="preserve">，属于残疾人福利性单位； </w:t>
      </w:r>
      <w:r/>
    </w:p>
    <w:p>
      <w:pPr>
        <w:ind w:firstLine="480"/>
        <w:jc w:val="left"/>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2.</w:t>
      </w:r>
      <w:r>
        <w:rPr>
          <w:rFonts w:hint="eastAsia" w:ascii="宋体" w:hAnsi="宋体" w:cs="宋体"/>
          <w:color w:val="000000" w:themeColor="text1"/>
          <w:sz w:val="24"/>
          <w:szCs w:val="21"/>
          <w:highlight w:val="none"/>
          <w:u w:val="single"/>
          <w14:textFill>
            <w14:solidFill>
              <w14:schemeClr w14:val="tx1"/>
            </w14:solidFill>
          </w14:textFill>
        </w:rPr>
        <w:t xml:space="preserve">（标的名称）</w:t>
      </w:r>
      <w:r>
        <w:rPr>
          <w:rFonts w:hint="eastAsia" w:ascii="宋体" w:hAnsi="宋体" w:cs="宋体"/>
          <w:color w:val="000000" w:themeColor="text1"/>
          <w:sz w:val="24"/>
          <w:szCs w:val="21"/>
          <w:highlight w:val="none"/>
          <w14:textFill>
            <w14:solidFill>
              <w14:schemeClr w14:val="tx1"/>
            </w14:solidFill>
          </w14:textFill>
        </w:rPr>
        <w:t xml:space="preserve">，制造商为</w:t>
      </w:r>
      <w:r>
        <w:rPr>
          <w:rFonts w:hint="eastAsia" w:ascii="宋体" w:hAnsi="宋体" w:cs="宋体"/>
          <w:color w:val="000000" w:themeColor="text1"/>
          <w:sz w:val="24"/>
          <w:szCs w:val="21"/>
          <w:highlight w:val="none"/>
          <w:u w:val="single"/>
          <w14:textFill>
            <w14:solidFill>
              <w14:schemeClr w14:val="tx1"/>
            </w14:solidFill>
          </w14:textFill>
        </w:rPr>
        <w:t xml:space="preserve">（企业名称）</w:t>
      </w:r>
      <w:r>
        <w:rPr>
          <w:rFonts w:hint="eastAsia" w:ascii="宋体" w:hAnsi="宋体" w:cs="宋体"/>
          <w:color w:val="000000" w:themeColor="text1"/>
          <w:sz w:val="24"/>
          <w:szCs w:val="21"/>
          <w:highlight w:val="none"/>
          <w14:textFill>
            <w14:solidFill>
              <w14:schemeClr w14:val="tx1"/>
            </w14:solidFill>
          </w14:textFill>
        </w:rPr>
        <w:t xml:space="preserve">，属于残疾人福利性单位；</w:t>
      </w:r>
      <w:r/>
    </w:p>
    <w:p>
      <w:pPr>
        <w:ind w:firstLine="480"/>
        <w:jc w:val="left"/>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r>
      <w:r/>
    </w:p>
    <w:p>
      <w:pPr>
        <w:ind w:firstLine="28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单位名称（盖章）：</w:t>
      </w:r>
      <w:r/>
    </w:p>
    <w:p>
      <w:pPr>
        <w:ind w:firstLine="28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spacing w:line="360" w:lineRule="auto"/>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p>
      <w:pPr>
        <w:spacing w:line="360" w:lineRule="auto"/>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填报说明：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请供应商如实填写，所填内容须与投标分项报价表一致，如填写不完整或不一致或填写有误，将不享受扶持政策。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2、成交供应商的《残疾人福利性单位声明函》随中标结果公开</w:t>
      </w:r>
      <w:r>
        <w:rPr>
          <w:rFonts w:hint="eastAsia" w:ascii="宋体" w:hAnsi="宋体" w:cs="宋体"/>
          <w:color w:val="000000" w:themeColor="text1"/>
          <w:sz w:val="24"/>
          <w:highlight w:val="none"/>
          <w14:textFill>
            <w14:solidFill>
              <w14:schemeClr w14:val="tx1"/>
            </w14:solidFill>
          </w14:textFill>
        </w:rPr>
        <w:t xml:space="preserve">，接受社会监督</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u w:val="single"/>
          <w14:textFill>
            <w14:solidFill>
              <w14:schemeClr w14:val="tx1"/>
            </w14:solidFill>
          </w14:textFill>
        </w:rPr>
        <w:outlineLvl w:val="1"/>
      </w:pPr>
      <w:r>
        <w:rPr>
          <w:rFonts w:hint="eastAsia" w:ascii="Arial" w:hAnsi="Arial" w:cs="Arial"/>
          <w:color w:val="000000" w:themeColor="text1"/>
          <w:sz w:val="36"/>
          <w:szCs w:val="22"/>
          <w:highlight w:val="none"/>
          <w:u w:val="single"/>
          <w14:textFill>
            <w14:solidFill>
              <w14:schemeClr w14:val="tx1"/>
            </w14:solidFill>
          </w14:textFill>
        </w:rPr>
        <w:t xml:space="preserve">十三、分项报价表</w:t>
      </w:r>
      <w:r/>
    </w:p>
    <w:p>
      <w:pPr>
        <w:jc w:val="center"/>
        <w:spacing w:line="360" w:lineRule="auto"/>
        <w:tabs>
          <w:tab w:val="left" w:pos="360" w:leader="none"/>
        </w:tabs>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分项报价表</w:t>
      </w:r>
      <w:r/>
    </w:p>
    <w:p>
      <w:pPr>
        <w:jc w:val="lef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项目名称：      项目编号：      </w:t>
      </w:r>
      <w:r/>
    </w:p>
    <w:p>
      <w:pPr>
        <w:jc w:val="right"/>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单位：元</w:t>
      </w:r>
      <w:r/>
    </w:p>
    <w:tbl>
      <w:tblPr>
        <w:tblStyle w:val="802"/>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990"/>
        </w:trPr>
        <w:tc>
          <w:tcPr>
            <w:tcW w:w="521" w:type="dxa"/>
            <w:vAlign w:val="center"/>
            <w:textDirection w:val="lrTb"/>
            <w:noWrap/>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序号</w:t>
            </w:r>
            <w:r/>
          </w:p>
        </w:tc>
        <w:tc>
          <w:tcPr>
            <w:tcW w:w="1250"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货物  （标的）名称</w:t>
            </w:r>
            <w:r/>
          </w:p>
        </w:tc>
        <w:tc>
          <w:tcPr>
            <w:tcW w:w="705"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品牌</w:t>
            </w:r>
            <w:r/>
          </w:p>
        </w:tc>
        <w:tc>
          <w:tcPr>
            <w:tcW w:w="1215"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是否符合本国产品标准</w:t>
            </w:r>
            <w:r/>
          </w:p>
        </w:tc>
        <w:tc>
          <w:tcPr>
            <w:tcW w:w="825"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规格型号</w:t>
            </w:r>
            <w:r/>
          </w:p>
        </w:tc>
        <w:tc>
          <w:tcPr>
            <w:tcW w:w="768"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制造商</w:t>
            </w:r>
            <w:r/>
          </w:p>
        </w:tc>
        <w:tc>
          <w:tcPr>
            <w:tcW w:w="927"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制造商企业类型</w:t>
            </w:r>
            <w:r/>
          </w:p>
        </w:tc>
        <w:tc>
          <w:tcPr>
            <w:tcW w:w="780"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单价</w:t>
            </w:r>
            <w:r/>
          </w:p>
        </w:tc>
        <w:tc>
          <w:tcPr>
            <w:tcW w:w="765"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数量</w:t>
            </w:r>
            <w:r/>
          </w:p>
        </w:tc>
        <w:tc>
          <w:tcPr>
            <w:tcW w:w="750"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计量单位</w:t>
            </w:r>
            <w:r/>
          </w:p>
        </w:tc>
        <w:tc>
          <w:tcPr>
            <w:tcW w:w="793" w:type="dxa"/>
            <w:vAlign w:val="center"/>
            <w:textDirection w:val="lrTb"/>
            <w:noWrap w:val="false"/>
          </w:tcPr>
          <w:p>
            <w:pPr>
              <w:jc w:val="center"/>
              <w:spacing w:line="360" w:lineRule="auto"/>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12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80" w:type="dxa"/>
            <w:vAlign w:val="center"/>
            <w:textDirection w:val="lrTb"/>
            <w:noWrap w:val="false"/>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12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80" w:type="dxa"/>
            <w:vAlign w:val="center"/>
            <w:textDirection w:val="lrTb"/>
            <w:noWrap w:val="false"/>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12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80" w:type="dxa"/>
            <w:vAlign w:val="center"/>
            <w:textDirection w:val="lrTb"/>
            <w:noWrap w:val="false"/>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tc>
        <w:tc>
          <w:tcPr>
            <w:tcW w:w="12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8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567"/>
        </w:trPr>
        <w:tc>
          <w:tcPr>
            <w:gridSpan w:val="6"/>
            <w:tcW w:w="5284" w:type="dxa"/>
            <w:vAlign w:val="center"/>
            <w:textDirection w:val="lrTb"/>
            <w:noWrap/>
          </w:tcPr>
          <w:p>
            <w:pPr>
              <w:jc w:val="cente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总计（元）</w:t>
            </w:r>
            <w:r/>
          </w:p>
        </w:tc>
        <w:tc>
          <w:tcPr>
            <w:gridSpan w:val="5"/>
            <w:tcW w:w="4015" w:type="dxa"/>
            <w:vAlign w:val="center"/>
            <w:textDirection w:val="lrTb"/>
            <w:noWrap w:val="false"/>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567"/>
        </w:trPr>
        <w:tc>
          <w:tcPr>
            <w:gridSpan w:val="11"/>
            <w:tcW w:w="9299" w:type="dxa"/>
            <w:vAlign w:val="center"/>
            <w:textDirection w:val="lrTb"/>
            <w:noWrap/>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本采购包中提供的符合本国产品标准的产品成本之和占该采购包提供的全部产品成本之和的比例为  %。（该部分供应商填写）</w:t>
            </w:r>
            <w:r/>
          </w:p>
        </w:tc>
      </w:tr>
    </w:tbl>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供应商（盖章）：</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w:t>
      </w:r>
      <w:r>
        <w:rPr>
          <w:color w:val="000000" w:themeColor="text1"/>
          <w:highlight w:val="none"/>
          <w14:textFill>
            <w14:solidFill>
              <w14:schemeClr w14:val="tx1"/>
            </w14:solidFill>
          </w14:textFill>
        </w:rPr>
        <w:t xml:space="preserve">（单位负责人）</w:t>
      </w:r>
      <w:r>
        <w:rPr>
          <w:rFonts w:hint="eastAsia"/>
          <w:color w:val="000000" w:themeColor="text1"/>
          <w:highlight w:val="none"/>
          <w14:textFill>
            <w14:solidFill>
              <w14:schemeClr w14:val="tx1"/>
            </w14:solidFill>
          </w14:textFill>
        </w:rPr>
        <w:t xml:space="preserve">或委托代理人（签字或盖章）：</w:t>
      </w:r>
      <w:r/>
    </w:p>
    <w:p>
      <w:pPr>
        <w:ind w:firstLine="420"/>
        <w:spacing w:line="360" w:lineRule="auto"/>
        <w:rPr>
          <w:rFonts w:hint="eastAsia"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填报说明：</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1、“制造商企业类型”栏填写内容为“大型”“中型”“小型”“微型”“监狱企业”或“残疾人福利性单位”。</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2、以上报价包含但不限于设备本身、安装调试费、人工费、服务费、培训费、税金以及交付使用过程中涉及到的其他一切费用。</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3、请供应商如实、正确填写本表，所填内容将作为评审的依据，其内容应与对应的证明资料相符。</w:t>
      </w:r>
      <w:r/>
    </w:p>
    <w:p>
      <w:pPr>
        <w:ind w:firstLine="420"/>
        <w:spacing w:line="360" w:lineRule="auto"/>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4、行数或事项不够，可自行增加。</w:t>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line="360" w:lineRule="auto"/>
        <w:rPr>
          <w:rFonts w:hint="eastAsia" w:ascii="宋体" w:hAnsi="宋体" w:cs="宋体"/>
          <w:iCs/>
          <w:color w:val="000000" w:themeColor="text1"/>
          <w:sz w:val="28"/>
          <w:szCs w:val="28"/>
          <w:highlight w:val="none"/>
          <w:u w:val="single"/>
          <w14:textFill>
            <w14:solidFill>
              <w14:schemeClr w14:val="tx1"/>
            </w14:solidFill>
          </w14:textFill>
        </w:rPr>
        <w:outlineLvl w:val="1"/>
      </w:pPr>
      <w:r>
        <w:rPr>
          <w:rFonts w:hint="eastAsia" w:ascii="宋体" w:hAnsi="宋体" w:cs="宋体"/>
          <w:iCs/>
          <w:color w:val="000000" w:themeColor="text1"/>
          <w:sz w:val="28"/>
          <w:szCs w:val="28"/>
          <w:highlight w:val="none"/>
          <w:u w:val="single"/>
          <w14:textFill>
            <w14:solidFill>
              <w14:schemeClr w14:val="tx1"/>
            </w14:solidFill>
          </w14:textFill>
        </w:rPr>
        <w:t xml:space="preserve">十四、关于符合本国产品标准的声明函</w:t>
      </w:r>
      <w:r/>
    </w:p>
    <w:p>
      <w:pPr>
        <w:ind w:firstLine="42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1.</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cs="宋体"/>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cs="宋体"/>
          <w:color w:val="000000" w:themeColor="text1"/>
          <w:sz w:val="24"/>
          <w:highlight w:val="none"/>
          <w:shd w:val="clear" w:color="auto" w:fill="ffffff"/>
          <w14:textFill>
            <w14:solidFill>
              <w14:schemeClr w14:val="tx1"/>
            </w14:solidFill>
          </w14:textFill>
        </w:rPr>
        <w:t xml:space="preserve">，生产厂为</w:t>
      </w:r>
      <w:r>
        <w:rPr>
          <w:rFonts w:hint="eastAsia" w:ascii="宋体" w:hAnsi="宋体" w:cs="宋体"/>
          <w:color w:val="000000" w:themeColor="text1"/>
          <w:highlight w:val="none"/>
          <w:u w:val="single"/>
          <w:shd w:val="clear" w:color="auto" w:fill="ffffff"/>
          <w14:textFill>
            <w14:solidFill>
              <w14:schemeClr w14:val="tx1"/>
            </w14:solidFill>
          </w14:textFill>
        </w:rPr>
        <w:t xml:space="preserve">（厂名）</w:t>
      </w:r>
      <w:r>
        <w:rPr>
          <w:rFonts w:hint="eastAsia" w:ascii="宋体" w:hAnsi="宋体" w:cs="宋体"/>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4"/>
          <w:highlight w:val="none"/>
          <w:shd w:val="clear" w:color="auto" w:fill="ffffff"/>
          <w14:textFill>
            <w14:solidFill>
              <w14:schemeClr w14:val="tx1"/>
            </w14:solidFill>
          </w14:textFill>
        </w:rPr>
        <w:t xml:space="preserve">，厂址为</w:t>
      </w:r>
      <w:r>
        <w:rPr>
          <w:rFonts w:hint="eastAsia" w:ascii="宋体" w:hAnsi="宋体" w:cs="宋体"/>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u w:val="single"/>
          <w:shd w:val="clear" w:color="auto" w:fill="ffffff"/>
          <w14:textFill>
            <w14:solidFill>
              <w14:schemeClr w14:val="tx1"/>
            </w14:solidFill>
          </w14:textFill>
        </w:rPr>
        <w:t xml:space="preserve"> </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（产品名称1） </w:t>
      </w:r>
      <w:r>
        <w:rPr>
          <w:rFonts w:hint="eastAsia" w:ascii="宋体" w:hAnsi="宋体" w:cs="宋体"/>
          <w:color w:val="000000" w:themeColor="text1"/>
          <w:sz w:val="24"/>
          <w:highlight w:val="none"/>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cs="宋体"/>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cs="宋体"/>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cs="宋体"/>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4"/>
          <w:highlight w:val="none"/>
          <w:shd w:val="clear" w:color="auto" w:fill="ffffff"/>
          <w14:textFill>
            <w14:solidFill>
              <w14:schemeClr w14:val="tx1"/>
            </w14:solidFill>
          </w14:textFill>
        </w:rPr>
        <w:t xml:space="preserve">在中国境内生产。</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cs="宋体"/>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cs="宋体"/>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4"/>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2.</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cs="宋体"/>
          <w:color w:val="000000" w:themeColor="text1"/>
          <w:sz w:val="24"/>
          <w:highlight w:val="none"/>
          <w:shd w:val="clear" w:color="auto" w:fill="ffffff"/>
          <w14:textFill>
            <w14:solidFill>
              <w14:schemeClr w14:val="tx1"/>
            </w14:solidFill>
          </w14:textFill>
        </w:rPr>
        <w:t xml:space="preserve">，生产厂为</w:t>
      </w:r>
      <w:r>
        <w:rPr>
          <w:rFonts w:hint="eastAsia" w:ascii="宋体" w:hAnsi="宋体" w:cs="宋体"/>
          <w:color w:val="000000" w:themeColor="text1"/>
          <w:highlight w:val="none"/>
          <w:u w:val="single"/>
          <w:shd w:val="clear" w:color="auto" w:fill="ffffff"/>
          <w14:textFill>
            <w14:solidFill>
              <w14:schemeClr w14:val="tx1"/>
            </w14:solidFill>
          </w14:textFill>
        </w:rPr>
        <w:t xml:space="preserve">（厂名）</w:t>
      </w:r>
      <w:r>
        <w:rPr>
          <w:rFonts w:hint="eastAsia" w:ascii="宋体" w:hAnsi="宋体" w:cs="宋体"/>
          <w:color w:val="000000" w:themeColor="text1"/>
          <w:sz w:val="24"/>
          <w:highlight w:val="none"/>
          <w:shd w:val="clear" w:color="auto" w:fill="ffffff"/>
          <w14:textFill>
            <w14:solidFill>
              <w14:schemeClr w14:val="tx1"/>
            </w14:solidFill>
          </w14:textFill>
        </w:rPr>
        <w:t xml:space="preserve">，厂址为</w:t>
      </w:r>
      <w:r>
        <w:rPr>
          <w:rFonts w:hint="eastAsia" w:ascii="宋体" w:hAnsi="宋体" w:cs="宋体"/>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cs="宋体"/>
          <w:color w:val="000000" w:themeColor="text1"/>
          <w:sz w:val="24"/>
          <w:highlight w:val="none"/>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cs="宋体"/>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cs="宋体"/>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cs="宋体"/>
          <w:color w:val="000000" w:themeColor="text1"/>
          <w:sz w:val="24"/>
          <w:highlight w:val="none"/>
          <w:shd w:val="clear" w:color="auto" w:fill="ffffff"/>
          <w14:textFill>
            <w14:solidFill>
              <w14:schemeClr w14:val="tx1"/>
            </w14:solidFill>
          </w14:textFill>
        </w:rPr>
        <w:t xml:space="preserve">在中国境内生产。</w:t>
      </w:r>
      <w:r>
        <w:rPr>
          <w:rFonts w:hint="eastAsia" w:ascii="宋体" w:hAnsi="宋体" w:cs="宋体"/>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cs="宋体"/>
          <w:color w:val="000000" w:themeColor="text1"/>
          <w:sz w:val="24"/>
          <w:highlight w:val="none"/>
          <w:shd w:val="clear" w:color="auto" w:fill="ffffff"/>
          <w14:textFill>
            <w14:solidFill>
              <w14:schemeClr w14:val="tx1"/>
            </w14:solidFill>
          </w14:textFill>
        </w:rPr>
        <w:t xml:space="preserve">的</w:t>
      </w:r>
      <w:r>
        <w:rPr>
          <w:rFonts w:hint="eastAsia" w:ascii="宋体" w:hAnsi="宋体" w:cs="宋体"/>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cs="宋体"/>
          <w:color w:val="000000" w:themeColor="text1"/>
          <w:sz w:val="24"/>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w:t>
      </w:r>
      <w:r/>
    </w:p>
    <w:p>
      <w:pPr>
        <w:ind w:firstLine="420"/>
        <w:jc w:val="left"/>
        <w:spacing w:before="30" w:after="3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本公司（单位）对上述声明内容的真实性负责。如有虚假，愿承担相应法律责任。</w:t>
      </w:r>
      <w:r/>
    </w:p>
    <w:p>
      <w:pPr>
        <w:jc w:val="left"/>
        <w:spacing w:before="30" w:after="3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480" w:firstLine="4728"/>
        <w:jc w:val="left"/>
        <w:spacing w:before="30" w:after="3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公司（单位）名称（盖章）：　                                          日期：　   年　  月　  日         </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1.产品如有型号，请在“产品名称”栏一并填写。</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2.生产厂名与厂址应与生产厂营业执照载明的相关信息保持一致。</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4.该产品的关键组件要求实施前，“关键组件”栏可不填，下同。</w:t>
      </w:r>
      <w:r/>
    </w:p>
    <w:p>
      <w:pPr>
        <w:jc w:val="left"/>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6.用斜线划除的地方无需填写。</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7.请供应商如实填写，如填写有误，将承担一切不利后果。</w:t>
      </w:r>
      <w:r/>
    </w:p>
    <w:p>
      <w:pPr>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8.供应商提供虚假《声明函》、虚假证明文件谋取中标的，依照《中华人民共和国政府采购法》等法律法规规定追究相应责任。</w:t>
      </w:r>
      <w:r/>
    </w:p>
    <w:p>
      <w:pPr>
        <w:rPr>
          <w:rFonts w:hint="eastAsia"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成交人的《声明函》或有关证明文件随中标结果公开，接受社会监督</w:t>
      </w:r>
      <w:r/>
    </w:p>
    <w:p>
      <w:pPr>
        <w:rPr>
          <w:rFonts w:ascii="Arial" w:hAnsi="Arial" w:cs="Arial"/>
          <w:color w:val="000000" w:themeColor="text1"/>
          <w:sz w:val="36"/>
          <w:szCs w:val="22"/>
          <w:highlight w:val="none"/>
          <w:u w:val="single"/>
          <w14:textFill>
            <w14:solidFill>
              <w14:schemeClr w14:val="tx1"/>
            </w14:solidFill>
          </w14:textFill>
        </w:rPr>
      </w:pPr>
      <w:r>
        <w:rPr>
          <w:rFonts w:hint="eastAsia" w:ascii="Arial" w:hAnsi="Arial" w:cs="Arial"/>
          <w:color w:val="000000" w:themeColor="text1"/>
          <w:sz w:val="36"/>
          <w:szCs w:val="22"/>
          <w:highlight w:val="none"/>
          <w:u w:val="singl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u w:val="single"/>
          <w14:textFill>
            <w14:solidFill>
              <w14:schemeClr w14:val="tx1"/>
            </w14:solidFill>
          </w14:textFill>
        </w:rPr>
        <w:outlineLvl w:val="1"/>
      </w:pPr>
      <w:r>
        <w:rPr>
          <w:rFonts w:hint="eastAsia" w:ascii="Arial" w:hAnsi="Arial" w:cs="Arial"/>
          <w:color w:val="000000" w:themeColor="text1"/>
          <w:sz w:val="36"/>
          <w:szCs w:val="22"/>
          <w:highlight w:val="none"/>
          <w:u w:val="single"/>
          <w14:textFill>
            <w14:solidFill>
              <w14:schemeClr w14:val="tx1"/>
            </w14:solidFill>
          </w14:textFill>
        </w:rPr>
        <w:t xml:space="preserve">十五、技术要求响应及偏离表</w:t>
      </w:r>
      <w:r/>
    </w:p>
    <w:p>
      <w:pPr>
        <w:jc w:val="center"/>
        <w:spacing w:line="360" w:lineRule="auto"/>
        <w:tabs>
          <w:tab w:val="left" w:pos="360" w:leader="none"/>
        </w:tabs>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技术要求响应及偏离表</w:t>
      </w:r>
      <w:r/>
    </w:p>
    <w:p>
      <w:pPr>
        <w:jc w:val="left"/>
        <w:spacing w:line="360" w:lineRule="auto"/>
        <w:rPr>
          <w:rFonts w:ascii="Arial" w:hAnsi="Arial" w:cs="Arial"/>
          <w:color w:val="000000" w:themeColor="text1"/>
          <w:sz w:val="36"/>
          <w:szCs w:val="22"/>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项目名称：      项目编号：    </w:t>
      </w:r>
      <w:r/>
    </w:p>
    <w:tbl>
      <w:tblPr>
        <w:tblStyle w:val="8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327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磋商文件要求</w:t>
            </w:r>
            <w:r/>
          </w:p>
        </w:tc>
        <w:tc>
          <w:tcPr>
            <w:tcW w:w="302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139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327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2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327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2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327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2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8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tc>
        <w:tc>
          <w:tcPr>
            <w:tcW w:w="327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2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keepLines/>
        <w:keepNext/>
        <w:spacing w:before="360" w:after="200" w:line="360" w:lineRule="auto"/>
        <w:rPr>
          <w:rFonts w:ascii="Arial" w:hAnsi="Arial" w:cs="Arial"/>
          <w:color w:val="000000" w:themeColor="text1"/>
          <w:sz w:val="36"/>
          <w:szCs w:val="22"/>
          <w:highlight w:val="none"/>
          <w:u w:val="single"/>
          <w14:textFill>
            <w14:solidFill>
              <w14:schemeClr w14:val="tx1"/>
            </w14:solidFill>
          </w14:textFill>
        </w:rPr>
        <w:outlineLvl w:val="1"/>
      </w:pPr>
      <w:r/>
      <w:bookmarkStart w:id="155" w:name="_Hlt26955054"/>
      <w:r/>
      <w:bookmarkEnd w:id="155"/>
      <w:r>
        <w:rPr>
          <w:rFonts w:hint="eastAsia" w:ascii="Arial" w:hAnsi="Arial" w:cs="Arial"/>
          <w:color w:val="000000" w:themeColor="text1"/>
          <w:sz w:val="36"/>
          <w:szCs w:val="22"/>
          <w:highlight w:val="none"/>
          <w:u w:val="single"/>
          <w14:textFill>
            <w14:solidFill>
              <w14:schemeClr w14:val="tx1"/>
            </w14:solidFill>
          </w14:textFill>
        </w:rPr>
        <w:t xml:space="preserve">十六、商务要求响应及偏离表</w:t>
      </w:r>
      <w:r/>
    </w:p>
    <w:p>
      <w:pPr>
        <w:jc w:val="center"/>
        <w:spacing w:line="360" w:lineRule="auto"/>
        <w:tabs>
          <w:tab w:val="left" w:pos="360" w:leader="none"/>
        </w:tabs>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商务要求响应及偏离表</w:t>
      </w:r>
      <w:r/>
    </w:p>
    <w:p>
      <w:pPr>
        <w:jc w:val="left"/>
        <w:spacing w:line="360" w:lineRule="auto"/>
        <w:rPr>
          <w:color w:val="000000" w:themeColor="text1"/>
          <w:szCs w:val="22"/>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项目名称：      项目编号：      </w:t>
      </w:r>
      <w:r>
        <w:rPr>
          <w:rFonts w:ascii="宋体" w:hAnsi="宋体"/>
          <w:bCs/>
          <w:color w:val="000000" w:themeColor="text1"/>
          <w:sz w:val="24"/>
          <w:highlight w:val="none"/>
          <w14:textFill>
            <w14:solidFill>
              <w14:schemeClr w14:val="tx1"/>
            </w14:solidFill>
          </w14:textFill>
        </w:rPr>
        <w:t xml:space="preserve"> </w:t>
      </w:r>
      <w:r/>
    </w:p>
    <w:tbl>
      <w:tblPr>
        <w:tblStyle w:val="802"/>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bookmarkStart w:id="156" w:name="_Hlt26955056"/>
            <w:r/>
            <w:bookmarkEnd w:id="156"/>
            <w:r/>
            <w:bookmarkStart w:id="157" w:name="_Hlt26955064"/>
            <w:r/>
            <w:bookmarkEnd w:id="157"/>
            <w:r/>
            <w:bookmarkStart w:id="158" w:name="_Hlt26609391"/>
            <w:r/>
            <w:bookmarkEnd w:id="158"/>
            <w:r/>
            <w:bookmarkStart w:id="159" w:name="_Hlt24879081"/>
            <w:r/>
            <w:bookmarkEnd w:id="159"/>
            <w:r/>
            <w:bookmarkStart w:id="160" w:name="_Hlt26782999"/>
            <w:r/>
            <w:bookmarkEnd w:id="160"/>
            <w:r/>
            <w:bookmarkStart w:id="161" w:name="_Hlt26671372"/>
            <w:r/>
            <w:bookmarkEnd w:id="161"/>
            <w:r/>
            <w:bookmarkStart w:id="162" w:name="_Hlt26671343"/>
            <w:r/>
            <w:bookmarkEnd w:id="162"/>
            <w:r/>
            <w:bookmarkStart w:id="163" w:name="_Hlt26580838"/>
            <w:r/>
            <w:bookmarkEnd w:id="163"/>
            <w:r>
              <w:rPr>
                <w:rFonts w:hint="eastAsia" w:ascii="宋体" w:hAnsi="宋体"/>
                <w:color w:val="000000" w:themeColor="text1"/>
                <w:sz w:val="24"/>
                <w:highlight w:val="none"/>
                <w14:textFill>
                  <w14:solidFill>
                    <w14:schemeClr w14:val="tx1"/>
                  </w14:solidFill>
                </w14:textFill>
              </w:rPr>
              <w:t xml:space="preserve">序号</w:t>
            </w:r>
            <w:r/>
          </w:p>
        </w:tc>
        <w:tc>
          <w:tcPr>
            <w:tcW w:w="326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磋商文件要求</w:t>
            </w:r>
            <w:r/>
          </w:p>
        </w:tc>
        <w:tc>
          <w:tcPr>
            <w:tcW w:w="30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139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p>
        </w:tc>
        <w:tc>
          <w:tcPr>
            <w:tcW w:w="326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p>
        </w:tc>
        <w:tc>
          <w:tcPr>
            <w:tcW w:w="326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c>
          <w:tcPr>
            <w:tcW w:w="326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tc>
        <w:tc>
          <w:tcPr>
            <w:tcW w:w="3263"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0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9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rFonts w:ascii="Arial" w:hAnsi="Arial" w:cs="Arial"/>
          <w:color w:val="000000" w:themeColor="text1"/>
          <w:sz w:val="36"/>
          <w:szCs w:val="22"/>
          <w:highlight w:val="none"/>
          <w14:textFill>
            <w14:solidFill>
              <w14:schemeClr w14:val="tx1"/>
            </w14:solidFill>
          </w14:textFill>
        </w:rPr>
      </w:pPr>
      <w:r>
        <w:rPr>
          <w:rFonts w:hint="eastAsia" w:ascii="Arial" w:hAnsi="Arial" w:cs="Arial"/>
          <w:color w:val="000000" w:themeColor="text1"/>
          <w:sz w:val="36"/>
          <w:szCs w:val="22"/>
          <w:highlight w:val="non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十七、类似项目业绩一览表</w:t>
      </w:r>
      <w:r/>
    </w:p>
    <w:p>
      <w:pPr>
        <w:jc w:val="center"/>
        <w:spacing w:line="360" w:lineRule="auto"/>
        <w:tabs>
          <w:tab w:val="left" w:pos="360" w:leader="none"/>
        </w:tabs>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类似项目业绩一览表</w:t>
      </w:r>
      <w:r/>
    </w:p>
    <w:p>
      <w:pPr>
        <w:jc w:val="left"/>
        <w:spacing w:line="360" w:lineRule="auto"/>
        <w:rPr>
          <w:color w:val="000000" w:themeColor="text1"/>
          <w:szCs w:val="22"/>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项目名称：      项目编号：     </w:t>
      </w:r>
      <w:r>
        <w:rPr>
          <w:rFonts w:ascii="宋体" w:hAnsi="宋体"/>
          <w:bCs/>
          <w:color w:val="000000" w:themeColor="text1"/>
          <w:sz w:val="24"/>
          <w:highlight w:val="none"/>
          <w14:textFill>
            <w14:solidFill>
              <w14:schemeClr w14:val="tx1"/>
            </w14:solidFill>
          </w14:textFill>
        </w:rPr>
        <w:t xml:space="preserve"> </w:t>
      </w:r>
      <w:r/>
    </w:p>
    <w:tbl>
      <w:tblPr>
        <w:tblStyle w:val="8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68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1850"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签订时间</w:t>
            </w:r>
            <w:r/>
          </w:p>
        </w:tc>
        <w:tc>
          <w:tcPr>
            <w:tcW w:w="198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采购单位</w:t>
            </w:r>
            <w:r/>
          </w:p>
        </w:tc>
        <w:tc>
          <w:tcPr>
            <w:tcW w:w="13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68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5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68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5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67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68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850"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98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30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ind w:left="200" w:firstLine="200"/>
        <w:spacing w:after="120" w:line="300" w:lineRule="auto"/>
        <w:tabs>
          <w:tab w:val="left" w:pos="420" w:leader="none"/>
        </w:tabs>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Arial" w:hAnsi="Arial" w:cs="Arial"/>
          <w:color w:val="000000" w:themeColor="text1"/>
          <w:sz w:val="36"/>
          <w:szCs w:val="22"/>
          <w:highlight w:val="none"/>
          <w14:textFill>
            <w14:solidFill>
              <w14:schemeClr w14:val="tx1"/>
            </w14:solidFill>
          </w14:textFill>
        </w:rPr>
      </w:pPr>
      <w:r>
        <w:rPr>
          <w:rFonts w:hint="eastAsia" w:ascii="Arial" w:hAnsi="Arial" w:cs="Arial"/>
          <w:color w:val="000000" w:themeColor="text1"/>
          <w:sz w:val="36"/>
          <w:szCs w:val="22"/>
          <w:highlight w:val="none"/>
          <w14:textFill>
            <w14:solidFill>
              <w14:schemeClr w14:val="tx1"/>
            </w14:solidFill>
          </w14:textFill>
        </w:rPr>
        <w:br w:type="page" w:clear="all"/>
      </w:r>
      <w:r/>
    </w:p>
    <w:p>
      <w:pPr>
        <w:jc w:val="left"/>
        <w:keepLines/>
        <w:keepNext/>
        <w:spacing w:before="360" w:after="200" w:line="360" w:lineRule="auto"/>
        <w:rPr>
          <w:rFonts w:ascii="Arial" w:hAnsi="Arial" w:cs="Arial"/>
          <w:color w:val="000000" w:themeColor="text1"/>
          <w:sz w:val="36"/>
          <w:szCs w:val="22"/>
          <w:highlight w:val="none"/>
          <w14:textFill>
            <w14:solidFill>
              <w14:schemeClr w14:val="tx1"/>
            </w14:solidFill>
          </w14:textFill>
        </w:rPr>
        <w:outlineLvl w:val="1"/>
      </w:pPr>
      <w:r>
        <w:rPr>
          <w:rFonts w:hint="eastAsia" w:ascii="Arial" w:hAnsi="Arial" w:cs="Arial"/>
          <w:color w:val="000000" w:themeColor="text1"/>
          <w:sz w:val="36"/>
          <w:szCs w:val="22"/>
          <w:highlight w:val="none"/>
          <w14:textFill>
            <w14:solidFill>
              <w14:schemeClr w14:val="tx1"/>
            </w14:solidFill>
          </w14:textFill>
        </w:rPr>
        <w:t xml:space="preserve">十八、项目团队人员一览表</w:t>
      </w:r>
      <w:r/>
    </w:p>
    <w:p>
      <w:pPr>
        <w:jc w:val="center"/>
        <w:spacing w:line="360" w:lineRule="auto"/>
        <w:tabs>
          <w:tab w:val="left" w:pos="360" w:leader="none"/>
        </w:tabs>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项目团队人员一览表</w:t>
      </w:r>
      <w:r/>
    </w:p>
    <w:p>
      <w:pPr>
        <w:jc w:val="left"/>
        <w:spacing w:line="360" w:lineRule="auto"/>
        <w:rPr>
          <w:color w:val="000000" w:themeColor="text1"/>
          <w:szCs w:val="22"/>
          <w:highlight w:val="none"/>
          <w14:textFill>
            <w14:solidFill>
              <w14:schemeClr w14:val="tx1"/>
            </w14:solidFill>
          </w14:textFill>
        </w:rPr>
      </w:pPr>
      <w:r>
        <w:rPr>
          <w:rFonts w:hint="eastAsia" w:ascii="宋体" w:hAnsi="宋体" w:cs="方正仿宋_GBK"/>
          <w:color w:val="000000" w:themeColor="text1"/>
          <w:sz w:val="24"/>
          <w:highlight w:val="none"/>
          <w14:textFill>
            <w14:solidFill>
              <w14:schemeClr w14:val="tx1"/>
            </w14:solidFill>
          </w14:textFill>
        </w:rPr>
        <w:t xml:space="preserve">项目名称：      项目编号：      </w:t>
      </w:r>
      <w:r>
        <w:rPr>
          <w:rFonts w:ascii="宋体" w:hAnsi="宋体"/>
          <w:bCs/>
          <w:color w:val="000000" w:themeColor="text1"/>
          <w:sz w:val="24"/>
          <w:highlight w:val="none"/>
          <w14:textFill>
            <w14:solidFill>
              <w14:schemeClr w14:val="tx1"/>
            </w14:solidFill>
          </w14:textFill>
        </w:rPr>
        <w:t xml:space="preserve"> </w:t>
      </w:r>
      <w:r/>
    </w:p>
    <w:tbl>
      <w:tblPr>
        <w:tblStyle w:val="80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姓名</w:t>
            </w:r>
            <w:r/>
          </w:p>
        </w:tc>
        <w:tc>
          <w:tcPr>
            <w:tcW w:w="144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本项目拟担任职务</w:t>
            </w:r>
            <w:r/>
          </w:p>
        </w:tc>
        <w:tc>
          <w:tcPr>
            <w:tcW w:w="223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技术职称、专业资质</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学历</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年龄</w:t>
            </w:r>
            <w:r/>
          </w:p>
        </w:tc>
        <w:tc>
          <w:tcPr>
            <w:tcW w:w="16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4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239"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6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95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4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239"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6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jc w:val="center"/>
          <w:trHeight w:val="640"/>
        </w:trPr>
        <w:tc>
          <w:tcPr>
            <w:tcW w:w="95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46"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239"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601"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供应商（盖章）：</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w:t>
      </w:r>
      <w:r>
        <w:rPr>
          <w:color w:val="000000" w:themeColor="text1"/>
          <w:sz w:val="24"/>
          <w:highlight w:val="none"/>
          <w14:textFill>
            <w14:solidFill>
              <w14:schemeClr w14:val="tx1"/>
            </w14:solidFill>
          </w14:textFill>
        </w:rPr>
        <w:t xml:space="preserve">（单位负责人）</w:t>
      </w:r>
      <w:r>
        <w:rPr>
          <w:rFonts w:hint="eastAsia"/>
          <w:color w:val="000000" w:themeColor="text1"/>
          <w:sz w:val="24"/>
          <w:highlight w:val="none"/>
          <w14:textFill>
            <w14:solidFill>
              <w14:schemeClr w14:val="tx1"/>
            </w14:solidFill>
          </w14:textFill>
        </w:rPr>
        <w:t xml:space="preserve">或委托代理人（签字或盖章）：</w:t>
      </w:r>
      <w:r/>
    </w:p>
    <w:p>
      <w:pPr>
        <w:ind w:firstLine="480"/>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w:t>
      </w:r>
      <w:r/>
    </w:p>
    <w:p>
      <w:pPr>
        <w:rPr>
          <w:rFonts w:hint="eastAsia" w:ascii="黑体" w:hAnsi="黑体" w:eastAsia="黑体" w:cs="仿宋"/>
          <w:bCs/>
          <w:color w:val="000000" w:themeColor="text1"/>
          <w:sz w:val="40"/>
          <w:szCs w:val="32"/>
          <w:highlight w:val="none"/>
          <w14:textFill>
            <w14:solidFill>
              <w14:schemeClr w14:val="tx1"/>
            </w14:solidFill>
          </w14:textFill>
        </w:rPr>
      </w:pPr>
      <w:r/>
      <w:bookmarkStart w:id="164" w:name="_Hlt26955066"/>
      <w:r/>
      <w:bookmarkEnd w:id="164"/>
      <w:r/>
      <w:bookmarkStart w:id="165" w:name="_Hlt26671374"/>
      <w:r/>
      <w:bookmarkEnd w:id="165"/>
      <w:r/>
      <w:bookmarkStart w:id="166" w:name="_格式2__法定代表人授权书"/>
      <w:r/>
      <w:bookmarkEnd w:id="166"/>
      <w:r/>
      <w:bookmarkStart w:id="167" w:name="_Hlt26609389"/>
      <w:r/>
      <w:bookmarkEnd w:id="167"/>
      <w:r>
        <w:rPr>
          <w:rFonts w:ascii="黑体" w:hAnsi="黑体" w:eastAsia="黑体" w:cs="仿宋"/>
          <w:bCs/>
          <w:color w:val="000000" w:themeColor="text1"/>
          <w:sz w:val="40"/>
          <w:szCs w:val="32"/>
          <w:highlight w:val="none"/>
          <w14:textFill>
            <w14:solidFill>
              <w14:schemeClr w14:val="tx1"/>
            </w14:solidFill>
          </w14:textFill>
        </w:rPr>
        <w:br w:type="page" w:clear="all"/>
      </w:r>
      <w:r/>
    </w:p>
    <w:p>
      <w:pPr>
        <w:jc w:val="left"/>
        <w:keepLines/>
        <w:keepNext/>
        <w:spacing w:line="360" w:lineRule="auto"/>
        <w:rPr>
          <w:rFonts w:hint="eastAsia" w:ascii="宋体" w:hAnsi="宋体" w:cs="宋体"/>
          <w:iCs/>
          <w:color w:val="000000" w:themeColor="text1"/>
          <w:sz w:val="28"/>
          <w:szCs w:val="28"/>
          <w:highlight w:val="none"/>
          <w:u w:val="single"/>
          <w14:textFill>
            <w14:solidFill>
              <w14:schemeClr w14:val="tx1"/>
            </w14:solidFill>
          </w14:textFill>
        </w:rPr>
        <w:outlineLvl w:val="1"/>
      </w:pPr>
      <w:r>
        <w:rPr>
          <w:rFonts w:hint="eastAsia" w:ascii="宋体" w:hAnsi="宋体" w:cs="宋体"/>
          <w:iCs/>
          <w:color w:val="000000" w:themeColor="text1"/>
          <w:sz w:val="28"/>
          <w:szCs w:val="28"/>
          <w:highlight w:val="none"/>
          <w:u w:val="single"/>
          <w14:textFill>
            <w14:solidFill>
              <w14:schemeClr w14:val="tx1"/>
            </w14:solidFill>
          </w14:textFill>
        </w:rPr>
        <w:t xml:space="preserve">十九、开标一览表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供应商全称（CA公章）：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tbl>
      <w:tblPr>
        <w:tblStyle w:val="82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项目名称</w:t>
            </w:r>
            <w:r/>
          </w:p>
        </w:tc>
        <w:tc>
          <w:tcPr>
            <w:tcW w:w="5703" w:type="dxa"/>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总价（小写）</w:t>
            </w:r>
            <w:r/>
          </w:p>
        </w:tc>
      </w:tr>
      <w:tr>
        <w:trPr/>
        <w:tc>
          <w:tcPr>
            <w:tcW w:w="2802" w:type="dxa"/>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5703" w:type="dxa"/>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元</w:t>
            </w:r>
            <w:r/>
          </w:p>
        </w:tc>
      </w:tr>
      <w:tr>
        <w:trPr/>
        <w:tc>
          <w:tcPr>
            <w:tcW w:w="2802" w:type="dxa"/>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核心产品</w:t>
            </w:r>
            <w:r/>
          </w:p>
        </w:tc>
        <w:tc>
          <w:tcPr>
            <w:tcW w:w="5703" w:type="dxa"/>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480"/>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年月日</w:t>
      </w:r>
      <w:r/>
    </w:p>
    <w:p>
      <w:pPr>
        <w:jc w:val="left"/>
        <w:widowControl/>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 xml:space="preserve">质疑函范本</w:t>
      </w:r>
      <w:r/>
    </w:p>
    <w:p>
      <w:pPr>
        <w:spacing w:line="500" w:lineRule="exact"/>
        <w:rPr>
          <w:rFonts w:hint="eastAsia"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 xml:space="preserve">致：</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黑体" w:hAnsi="黑体" w:eastAsia="黑体" w:cs="仿宋"/>
          <w:bCs/>
          <w:color w:val="000000" w:themeColor="text1"/>
          <w:sz w:val="24"/>
          <w:highlight w:val="none"/>
          <w14:textFill>
            <w14:solidFill>
              <w14:schemeClr w14:val="tx1"/>
            </w14:solidFill>
          </w14:textFill>
        </w:rPr>
      </w:pPr>
      <w:r>
        <w:rPr>
          <w:rFonts w:hint="eastAsia" w:ascii="黑体" w:hAnsi="黑体" w:eastAsia="黑体" w:cs="仿宋"/>
          <w:bCs/>
          <w:color w:val="000000" w:themeColor="text1"/>
          <w:sz w:val="24"/>
          <w:highlight w:val="none"/>
          <w14:textFill>
            <w14:solidFill>
              <w14:schemeClr w14:val="tx1"/>
            </w14:solidFill>
          </w14:textFill>
        </w:rPr>
        <w:t xml:space="preserve">一、质疑供应商基本信息</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质疑供应商：</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联系人：</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授权代表：</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联系电话：</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地址：</w:t>
      </w:r>
      <w:r>
        <w:rPr>
          <w:rFonts w:ascii="宋体" w:hAnsi="宋体" w:cs="仿宋"/>
          <w:color w:val="000000" w:themeColor="text1"/>
          <w:sz w:val="24"/>
          <w:highlight w:val="none"/>
          <w14:textFill>
            <w14:solidFill>
              <w14:schemeClr w14:val="tx1"/>
            </w14:solidFill>
          </w14:textFill>
        </w:rPr>
        <w:t xml:space="preserve"> </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邮编：</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黑体" w:hAnsi="黑体" w:eastAsia="黑体" w:cs="仿宋"/>
          <w:bCs/>
          <w:color w:val="000000" w:themeColor="text1"/>
          <w:sz w:val="24"/>
          <w:highlight w:val="none"/>
          <w14:textFill>
            <w14:solidFill>
              <w14:schemeClr w14:val="tx1"/>
            </w14:solidFill>
          </w14:textFill>
        </w:rPr>
      </w:pPr>
      <w:r>
        <w:rPr>
          <w:rFonts w:hint="eastAsia" w:ascii="黑体" w:hAnsi="黑体" w:eastAsia="黑体" w:cs="仿宋"/>
          <w:bCs/>
          <w:color w:val="000000" w:themeColor="text1"/>
          <w:sz w:val="24"/>
          <w:highlight w:val="none"/>
          <w14:textFill>
            <w14:solidFill>
              <w14:schemeClr w14:val="tx1"/>
            </w14:solidFill>
          </w14:textFill>
        </w:rPr>
        <w:t xml:space="preserve">二、质疑项目基本情况</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质疑项目的编号：</w:t>
      </w:r>
      <w:r>
        <w:rPr>
          <w:rFonts w:hint="eastAsia" w:ascii="宋体" w:hAnsi="宋体" w:cs="仿宋"/>
          <w:color w:val="000000" w:themeColor="text1"/>
          <w:sz w:val="24"/>
          <w:highlight w:val="none"/>
          <w:u w:val="single"/>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包号：</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采购人名称：</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采购文件获取日期：</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黑体" w:hAnsi="黑体" w:eastAsia="黑体" w:cs="仿宋"/>
          <w:bCs/>
          <w:color w:val="000000" w:themeColor="text1"/>
          <w:sz w:val="24"/>
          <w:highlight w:val="none"/>
          <w14:textFill>
            <w14:solidFill>
              <w14:schemeClr w14:val="tx1"/>
            </w14:solidFill>
          </w14:textFill>
        </w:rPr>
      </w:pPr>
      <w:r>
        <w:rPr>
          <w:rFonts w:hint="eastAsia" w:ascii="黑体" w:hAnsi="黑体" w:eastAsia="黑体" w:cs="仿宋"/>
          <w:bCs/>
          <w:color w:val="000000" w:themeColor="text1"/>
          <w:sz w:val="24"/>
          <w:highlight w:val="none"/>
          <w14:textFill>
            <w14:solidFill>
              <w14:schemeClr w14:val="tx1"/>
            </w14:solidFill>
          </w14:textFill>
        </w:rPr>
        <w:t xml:space="preserve">三、质疑事项具体内容</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质疑事项1：</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事实依据：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法律依据：</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质疑事项2</w:t>
      </w:r>
      <w:r/>
    </w:p>
    <w:p>
      <w:pPr>
        <w:spacing w:line="500" w:lineRule="exact"/>
        <w:rPr>
          <w:rFonts w:hint="eastAsia" w:ascii="宋体" w:hAnsi="宋体" w:cs="仿宋"/>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p>
    <w:p>
      <w:pPr>
        <w:spacing w:line="500" w:lineRule="exact"/>
        <w:rPr>
          <w:rFonts w:hint="eastAsia" w:ascii="黑体" w:hAnsi="黑体" w:eastAsia="黑体" w:cs="仿宋"/>
          <w:bCs/>
          <w:color w:val="000000" w:themeColor="text1"/>
          <w:sz w:val="24"/>
          <w:highlight w:val="none"/>
          <w14:textFill>
            <w14:solidFill>
              <w14:schemeClr w14:val="tx1"/>
            </w14:solidFill>
          </w14:textFill>
        </w:rPr>
      </w:pPr>
      <w:r>
        <w:rPr>
          <w:rFonts w:hint="eastAsia" w:ascii="黑体" w:hAnsi="黑体" w:eastAsia="黑体" w:cs="仿宋"/>
          <w:bCs/>
          <w:color w:val="000000" w:themeColor="text1"/>
          <w:sz w:val="24"/>
          <w:highlight w:val="none"/>
          <w14:textFill>
            <w14:solidFill>
              <w14:schemeClr w14:val="tx1"/>
            </w14:solidFill>
          </w14:textFill>
        </w:rPr>
        <w:t xml:space="preserve">四、与质疑事项相关的质疑请求</w:t>
      </w:r>
      <w:r/>
    </w:p>
    <w:p>
      <w:pPr>
        <w:spacing w:line="500" w:lineRule="exact"/>
        <w:rPr>
          <w:rFonts w:hint="eastAsia" w:ascii="宋体" w:hAnsi="宋体" w:cs="仿宋"/>
          <w:color w:val="000000" w:themeColor="text1"/>
          <w:sz w:val="24"/>
          <w:highlight w:val="none"/>
          <w:u w:val="singl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请求：</w:t>
      </w:r>
      <w:r>
        <w:rPr>
          <w:rFonts w:hint="eastAsia" w:ascii="宋体" w:hAnsi="宋体" w:cs="仿宋"/>
          <w:color w:val="000000" w:themeColor="text1"/>
          <w:sz w:val="24"/>
          <w:highlight w:val="none"/>
          <w:u w:val="single"/>
          <w14:textFill>
            <w14:solidFill>
              <w14:schemeClr w14:val="tx1"/>
            </w14:solidFill>
          </w14:textFill>
        </w:rPr>
        <w:t xml:space="preserve">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签字（签章）：                   公章：                      </w:t>
      </w:r>
      <w:r/>
    </w:p>
    <w:p>
      <w:pPr>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p>
    <w:p>
      <w:pPr>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质疑函制作说明：</w:t>
      </w:r>
      <w:r/>
    </w:p>
    <w:p>
      <w:pPr>
        <w:ind w:firstLine="480"/>
        <w:jc w:val="left"/>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5.质疑函的质疑请求应与质疑事项相关。</w:t>
      </w:r>
      <w:r/>
    </w:p>
    <w:p>
      <w:pPr>
        <w:ind w:firstLine="480"/>
        <w:jc w:val="left"/>
        <w:spacing w:line="500" w:lineRule="exact"/>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5"/>
      <w:footerReference w:type="first" r:id="rId16"/>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Wingdings 2">
    <w:panose1 w:val="05020102010507070707"/>
  </w:font>
  <w:font w:name="方正小标宋_GBK">
    <w:panose1 w:val="020B0503020202020204"/>
  </w:font>
  <w:font w:name="仿宋">
    <w:panose1 w:val="02010609060101010101"/>
  </w:font>
  <w:font w:name="方正楷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MS Mincho">
    <w:panose1 w:val="02020603050405090304"/>
  </w:font>
  <w:font w:name="Book Antiqua">
    <w:panose1 w:val="02040602050305030304"/>
  </w:font>
  <w:font w:name="Tahoma">
    <w:panose1 w:val="020B0604030504040204"/>
  </w:font>
  <w:font w:name="微软雅黑">
    <w:panose1 w:val="020B050302020402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b/>
        <w:i/>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Cs w:val="21"/>
                            </w:rPr>
                          </w:pPr>
                          <w:r>
                            <w:rPr>
                              <w:szCs w:val="21"/>
                            </w:rPr>
                            <w:fldChar w:fldCharType="begin"/>
                          </w:r>
                          <w:r>
                            <w:rPr>
                              <w:szCs w:val="21"/>
                            </w:rPr>
                            <w:instrText xml:space="preserve"> PAGE  \* MERGEFORMAT </w:instrText>
                          </w:r>
                          <w:r>
                            <w:rPr>
                              <w:szCs w:val="21"/>
                            </w:rPr>
                            <w:fldChar w:fldCharType="separate"/>
                          </w:r>
                          <w:r>
                            <w:rPr>
                              <w:szCs w:val="21"/>
                            </w:rPr>
                            <w:t xml:space="preserve">2</w:t>
                          </w:r>
                          <w:r>
                            <w:rPr>
                              <w:szCs w:val="21"/>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Cs w:val="21"/>
                      </w:rPr>
                    </w:pPr>
                    <w:r>
                      <w:rPr>
                        <w:szCs w:val="21"/>
                      </w:rPr>
                      <w:fldChar w:fldCharType="begin"/>
                    </w:r>
                    <w:r>
                      <w:rPr>
                        <w:szCs w:val="21"/>
                      </w:rPr>
                      <w:instrText xml:space="preserve"> PAGE  \* MERGEFORMAT </w:instrText>
                    </w:r>
                    <w:r>
                      <w:rPr>
                        <w:szCs w:val="21"/>
                      </w:rPr>
                      <w:fldChar w:fldCharType="separate"/>
                    </w:r>
                    <w:r>
                      <w:rPr>
                        <w:szCs w:val="21"/>
                      </w:rPr>
                      <w:t xml:space="preserve">2</w:t>
                    </w:r>
                    <w:r>
                      <w:rPr>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029"/>
        <w:sz w:val="18"/>
        <w:szCs w:val="18"/>
      </w:rPr>
      <w:framePr w:wrap="around" w:vAnchor="text" w:hAnchor="margin" w:xAlign="center" w:y="1"/>
    </w:pPr>
    <w:r>
      <w:rPr>
        <w:sz w:val="18"/>
        <w:szCs w:val="18"/>
      </w:rPr>
      <w:fldChar w:fldCharType="begin"/>
    </w:r>
    <w:r>
      <w:rPr>
        <w:rStyle w:val="1029"/>
        <w:szCs w:val="21"/>
      </w:rPr>
      <w:instrText xml:space="preserve">PAGE  </w:instrText>
    </w:r>
    <w:r>
      <w:rPr>
        <w:sz w:val="18"/>
        <w:szCs w:val="18"/>
      </w:rPr>
      <w:fldChar w:fldCharType="separate"/>
    </w:r>
    <w:r>
      <w:rPr>
        <w:rStyle w:val="1029"/>
        <w:szCs w:val="21"/>
      </w:rPr>
      <w:t xml:space="preserve">1</w:t>
    </w:r>
    <w:r>
      <w:rPr>
        <w:sz w:val="18"/>
        <w:szCs w:val="18"/>
      </w:rPr>
      <w:fldChar w:fldCharType="end"/>
    </w:r>
    <w:r/>
  </w:p>
  <w:p>
    <w:pPr>
      <w:jc w:val="left"/>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Cs w:val="21"/>
                            </w:rPr>
                          </w:pPr>
                          <w:r>
                            <w:rPr>
                              <w:szCs w:val="21"/>
                            </w:rPr>
                            <w:fldChar w:fldCharType="begin"/>
                          </w:r>
                          <w:r>
                            <w:rPr>
                              <w:szCs w:val="21"/>
                            </w:rPr>
                            <w:instrText xml:space="preserve"> PAGE  \* MERGEFORMAT </w:instrText>
                          </w:r>
                          <w:r>
                            <w:rPr>
                              <w:szCs w:val="21"/>
                            </w:rPr>
                            <w:fldChar w:fldCharType="separate"/>
                          </w:r>
                          <w:r>
                            <w:rPr>
                              <w:szCs w:val="21"/>
                            </w:rPr>
                            <w:t xml:space="preserve">1</w:t>
                          </w:r>
                          <w:r>
                            <w:rPr>
                              <w:szCs w:val="21"/>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Cs w:val="21"/>
                      </w:rPr>
                    </w:pPr>
                    <w:r>
                      <w:rPr>
                        <w:szCs w:val="21"/>
                      </w:rPr>
                      <w:fldChar w:fldCharType="begin"/>
                    </w:r>
                    <w:r>
                      <w:rPr>
                        <w:szCs w:val="21"/>
                      </w:rPr>
                      <w:instrText xml:space="preserve"> PAGE  \* MERGEFORMAT </w:instrText>
                    </w:r>
                    <w:r>
                      <w:rPr>
                        <w:szCs w:val="21"/>
                      </w:rPr>
                      <w:fldChar w:fldCharType="separate"/>
                    </w:r>
                    <w:r>
                      <w:rPr>
                        <w:szCs w:val="21"/>
                      </w:rPr>
                      <w:t xml:space="preserve">1</w:t>
                    </w:r>
                    <w:r>
                      <w:rPr>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12"/>
                          </w:pPr>
                          <w:r>
                            <w:fldChar w:fldCharType="begin"/>
                          </w:r>
                          <w:r>
                            <w:instrText xml:space="preserve"> PAGE  \* MERGEFORMAT </w:instrText>
                          </w:r>
                          <w:r>
                            <w:fldChar w:fldCharType="separate"/>
                          </w:r>
                          <w:r>
                            <w:t xml:space="preserve">37</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2"/>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12"/>
                          </w:pPr>
                          <w:r>
                            <w:fldChar w:fldCharType="begin"/>
                          </w:r>
                          <w:r>
                            <w:instrText xml:space="preserve"> PAGE  \* MERGEFORMAT </w:instrText>
                          </w:r>
                          <w:r>
                            <w:fldChar w:fldCharType="separate"/>
                          </w:r>
                          <w:r>
                            <w:t xml:space="preserve">27</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tabs>
        <w:tab w:val="left" w:pos="8058" w:leader="none"/>
      </w:tabs>
      <w:rPr>
        <w:color w:val="000000"/>
      </w:rPr>
    </w:pPr>
    <w:r>
      <w:rPr>
        <w:rFonts w:hint="eastAsia"/>
        <w:color w:val="000000"/>
      </w:rPr>
      <w:tab/>
    </w:r>
    <w:r>
      <w:rPr>
        <w:rFonts w:hint="eastAsia"/>
        <w:color w:val="000000"/>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Bdr>
        <w:bottom w:val="none" w:color="000000" w:sz="0" w:space="0"/>
      </w:pBd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83"/>
      <w:isLgl w:val="false"/>
      <w:suff w:val="tab"/>
      <w:lvlText w:val="第%1章"/>
      <w:lvlJc w:val="left"/>
      <w:pPr>
        <w:ind w:left="9351" w:hanging="420"/>
      </w:pPr>
      <w:rPr>
        <w:rFonts w:hint="eastAsia" w:ascii="黑体" w:eastAsia="黑体"/>
        <w:b w:val="0"/>
        <w:sz w:val="36"/>
        <w:lang w:val="en-US"/>
      </w:rPr>
    </w:lvl>
    <w:lvl w:ilvl="1">
      <w:start w:val="1"/>
      <w:numFmt w:val="decimal"/>
      <w:pStyle w:val="1074"/>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75"/>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1"/>
    <w:link w:val="792"/>
    <w:uiPriority w:val="9"/>
    <w:rPr>
      <w:rFonts w:ascii="Arial" w:hAnsi="Arial" w:eastAsia="Arial" w:cs="Arial"/>
      <w:sz w:val="40"/>
      <w:szCs w:val="40"/>
    </w:rPr>
  </w:style>
  <w:style w:type="character" w:styleId="15">
    <w:name w:val="Heading 2 Char"/>
    <w:basedOn w:val="801"/>
    <w:link w:val="793"/>
    <w:uiPriority w:val="9"/>
    <w:rPr>
      <w:rFonts w:ascii="Arial" w:hAnsi="Arial" w:eastAsia="Arial" w:cs="Arial"/>
      <w:sz w:val="34"/>
    </w:rPr>
  </w:style>
  <w:style w:type="character" w:styleId="17">
    <w:name w:val="Heading 3 Char"/>
    <w:basedOn w:val="801"/>
    <w:link w:val="794"/>
    <w:uiPriority w:val="9"/>
    <w:rPr>
      <w:rFonts w:ascii="Arial" w:hAnsi="Arial" w:eastAsia="Arial" w:cs="Arial"/>
      <w:sz w:val="30"/>
      <w:szCs w:val="30"/>
    </w:rPr>
  </w:style>
  <w:style w:type="character" w:styleId="19">
    <w:name w:val="Heading 4 Char"/>
    <w:basedOn w:val="801"/>
    <w:link w:val="795"/>
    <w:uiPriority w:val="9"/>
    <w:rPr>
      <w:rFonts w:ascii="Arial" w:hAnsi="Arial" w:eastAsia="Arial" w:cs="Arial"/>
      <w:b/>
      <w:bCs/>
      <w:sz w:val="26"/>
      <w:szCs w:val="26"/>
    </w:rPr>
  </w:style>
  <w:style w:type="character" w:styleId="21">
    <w:name w:val="Heading 5 Char"/>
    <w:basedOn w:val="801"/>
    <w:link w:val="796"/>
    <w:uiPriority w:val="9"/>
    <w:rPr>
      <w:rFonts w:ascii="Arial" w:hAnsi="Arial" w:eastAsia="Arial" w:cs="Arial"/>
      <w:b/>
      <w:bCs/>
      <w:sz w:val="24"/>
      <w:szCs w:val="24"/>
    </w:rPr>
  </w:style>
  <w:style w:type="character" w:styleId="23">
    <w:name w:val="Heading 6 Char"/>
    <w:basedOn w:val="801"/>
    <w:link w:val="797"/>
    <w:uiPriority w:val="9"/>
    <w:rPr>
      <w:rFonts w:ascii="Arial" w:hAnsi="Arial" w:eastAsia="Arial" w:cs="Arial"/>
      <w:b/>
      <w:bCs/>
      <w:sz w:val="22"/>
      <w:szCs w:val="22"/>
    </w:rPr>
  </w:style>
  <w:style w:type="character" w:styleId="25">
    <w:name w:val="Heading 7 Char"/>
    <w:basedOn w:val="801"/>
    <w:link w:val="798"/>
    <w:uiPriority w:val="9"/>
    <w:rPr>
      <w:rFonts w:ascii="Arial" w:hAnsi="Arial" w:eastAsia="Arial" w:cs="Arial"/>
      <w:b/>
      <w:bCs/>
      <w:i/>
      <w:iCs/>
      <w:sz w:val="22"/>
      <w:szCs w:val="22"/>
    </w:rPr>
  </w:style>
  <w:style w:type="character" w:styleId="27">
    <w:name w:val="Heading 8 Char"/>
    <w:basedOn w:val="801"/>
    <w:link w:val="799"/>
    <w:uiPriority w:val="9"/>
    <w:rPr>
      <w:rFonts w:ascii="Arial" w:hAnsi="Arial" w:eastAsia="Arial" w:cs="Arial"/>
      <w:i/>
      <w:iCs/>
      <w:sz w:val="22"/>
      <w:szCs w:val="22"/>
    </w:rPr>
  </w:style>
  <w:style w:type="character" w:styleId="29">
    <w:name w:val="Heading 9 Char"/>
    <w:basedOn w:val="801"/>
    <w:link w:val="800"/>
    <w:uiPriority w:val="9"/>
    <w:rPr>
      <w:rFonts w:ascii="Arial" w:hAnsi="Arial" w:eastAsia="Arial" w:cs="Arial"/>
      <w:i/>
      <w:iCs/>
      <w:sz w:val="21"/>
      <w:szCs w:val="21"/>
    </w:rPr>
  </w:style>
  <w:style w:type="character" w:styleId="34">
    <w:name w:val="Title Char"/>
    <w:basedOn w:val="801"/>
    <w:link w:val="823"/>
    <w:uiPriority w:val="10"/>
    <w:rPr>
      <w:sz w:val="48"/>
      <w:szCs w:val="48"/>
    </w:rPr>
  </w:style>
  <w:style w:type="character" w:styleId="36">
    <w:name w:val="Subtitle Char"/>
    <w:basedOn w:val="801"/>
    <w:link w:val="816"/>
    <w:uiPriority w:val="11"/>
    <w:rPr>
      <w:sz w:val="24"/>
      <w:szCs w:val="24"/>
    </w:rPr>
  </w:style>
  <w:style w:type="character" w:styleId="38">
    <w:name w:val="Quote Char"/>
    <w:link w:val="843"/>
    <w:uiPriority w:val="29"/>
    <w:rPr>
      <w:i/>
    </w:rPr>
  </w:style>
  <w:style w:type="character" w:styleId="40">
    <w:name w:val="Intense Quote Char"/>
    <w:link w:val="845"/>
    <w:uiPriority w:val="30"/>
    <w:rPr>
      <w:i/>
    </w:rPr>
  </w:style>
  <w:style w:type="character" w:styleId="42">
    <w:name w:val="Header Char"/>
    <w:basedOn w:val="801"/>
    <w:link w:val="813"/>
    <w:uiPriority w:val="99"/>
  </w:style>
  <w:style w:type="character" w:styleId="46">
    <w:name w:val="Caption Char"/>
    <w:basedOn w:val="804"/>
    <w:link w:val="812"/>
    <w:uiPriority w:val="99"/>
  </w:style>
  <w:style w:type="table" w:styleId="4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7"/>
    <w:uiPriority w:val="99"/>
    <w:rPr>
      <w:sz w:val="18"/>
    </w:rPr>
  </w:style>
  <w:style w:type="character" w:styleId="178">
    <w:name w:val="Endnote Text Char"/>
    <w:link w:val="810"/>
    <w:uiPriority w:val="99"/>
    <w:rPr>
      <w:sz w:val="20"/>
    </w:rPr>
  </w:style>
  <w:style w:type="paragraph" w:styleId="189">
    <w:name w:val="TOC Heading"/>
    <w:uiPriority w:val="39"/>
    <w:unhideWhenUsed/>
  </w:style>
  <w:style w:type="paragraph" w:styleId="7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2">
    <w:name w:val="Heading 1"/>
    <w:basedOn w:val="791"/>
    <w:next w:val="791"/>
    <w:link w:val="830"/>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83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32"/>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33"/>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34"/>
    <w:uiPriority w:val="9"/>
    <w:unhideWhenUsed/>
    <w:qFormat/>
    <w:pPr>
      <w:keepLines/>
      <w:keepNext/>
      <w:spacing w:before="320" w:after="200"/>
      <w:outlineLvl w:val="4"/>
    </w:pPr>
    <w:rPr>
      <w:rFonts w:ascii="Arial" w:hAnsi="Arial" w:eastAsia="Arial" w:cs="Arial"/>
      <w:b/>
      <w:bCs/>
      <w:sz w:val="24"/>
    </w:rPr>
  </w:style>
  <w:style w:type="paragraph" w:styleId="797">
    <w:name w:val="Heading 6"/>
    <w:basedOn w:val="791"/>
    <w:next w:val="791"/>
    <w:link w:val="835"/>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link w:val="837"/>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link w:val="838"/>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toc 7"/>
    <w:basedOn w:val="791"/>
    <w:next w:val="791"/>
    <w:uiPriority w:val="39"/>
    <w:unhideWhenUsed/>
    <w:qFormat/>
    <w:pPr>
      <w:ind w:left="1701"/>
      <w:spacing w:after="57"/>
    </w:pPr>
  </w:style>
  <w:style w:type="paragraph" w:styleId="804">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annotation text"/>
    <w:basedOn w:val="791"/>
    <w:uiPriority w:val="99"/>
    <w:semiHidden/>
    <w:unhideWhenUsed/>
    <w:qFormat/>
    <w:pPr>
      <w:jc w:val="left"/>
    </w:pPr>
  </w:style>
  <w:style w:type="paragraph" w:styleId="806">
    <w:name w:val="Body Text Indent"/>
    <w:uiPriority w:val="0"/>
    <w:qFormat/>
    <w:pPr>
      <w:ind w:left="420"/>
      <w:jc w:val="both"/>
      <w:spacing w:after="120"/>
      <w:widowControl w:val="off"/>
    </w:pPr>
    <w:rPr>
      <w:rFonts w:ascii="Calibri" w:hAnsi="Calibri" w:eastAsia="宋体" w:cs="Times New Roman"/>
      <w:sz w:val="21"/>
      <w:szCs w:val="22"/>
      <w:lang w:val="en-US" w:eastAsia="zh-CN" w:bidi="ar-SA"/>
    </w:rPr>
  </w:style>
  <w:style w:type="paragraph" w:styleId="807">
    <w:name w:val="toc 5"/>
    <w:basedOn w:val="791"/>
    <w:next w:val="791"/>
    <w:uiPriority w:val="39"/>
    <w:unhideWhenUsed/>
    <w:qFormat/>
    <w:pPr>
      <w:ind w:left="1134"/>
      <w:spacing w:after="57"/>
    </w:pPr>
  </w:style>
  <w:style w:type="paragraph" w:styleId="808">
    <w:name w:val="toc 3"/>
    <w:basedOn w:val="791"/>
    <w:next w:val="791"/>
    <w:uiPriority w:val="39"/>
    <w:unhideWhenUsed/>
    <w:qFormat/>
    <w:pPr>
      <w:ind w:left="567"/>
      <w:spacing w:after="57"/>
    </w:pPr>
  </w:style>
  <w:style w:type="paragraph" w:styleId="809">
    <w:name w:val="toc 8"/>
    <w:basedOn w:val="791"/>
    <w:next w:val="791"/>
    <w:uiPriority w:val="39"/>
    <w:unhideWhenUsed/>
    <w:qFormat/>
    <w:pPr>
      <w:ind w:left="1984"/>
      <w:spacing w:after="57"/>
    </w:pPr>
  </w:style>
  <w:style w:type="paragraph" w:styleId="810">
    <w:name w:val="endnote text"/>
    <w:basedOn w:val="791"/>
    <w:link w:val="976"/>
    <w:uiPriority w:val="99"/>
    <w:semiHidden/>
    <w:unhideWhenUsed/>
    <w:qFormat/>
    <w:rPr>
      <w:sz w:val="20"/>
    </w:rPr>
  </w:style>
  <w:style w:type="paragraph" w:styleId="811">
    <w:name w:val="Balloon Text"/>
    <w:basedOn w:val="791"/>
    <w:link w:val="1087"/>
    <w:uiPriority w:val="99"/>
    <w:semiHidden/>
    <w:unhideWhenUsed/>
    <w:qFormat/>
    <w:rPr>
      <w:sz w:val="18"/>
      <w:szCs w:val="18"/>
    </w:rPr>
  </w:style>
  <w:style w:type="paragraph" w:styleId="812">
    <w:name w:val="Footer"/>
    <w:basedOn w:val="791"/>
    <w:link w:val="849"/>
    <w:uiPriority w:val="99"/>
    <w:unhideWhenUsed/>
    <w:qFormat/>
    <w:pPr>
      <w:tabs>
        <w:tab w:val="center" w:pos="7143" w:leader="none"/>
        <w:tab w:val="right" w:pos="14287" w:leader="none"/>
      </w:tabs>
    </w:pPr>
  </w:style>
  <w:style w:type="paragraph" w:styleId="813">
    <w:name w:val="Header"/>
    <w:basedOn w:val="791"/>
    <w:link w:val="847"/>
    <w:uiPriority w:val="99"/>
    <w:unhideWhenUsed/>
    <w:qFormat/>
    <w:pPr>
      <w:tabs>
        <w:tab w:val="center" w:pos="7143" w:leader="none"/>
        <w:tab w:val="right" w:pos="14287" w:leader="none"/>
      </w:tabs>
    </w:pPr>
  </w:style>
  <w:style w:type="paragraph" w:styleId="814">
    <w:name w:val="toc 1"/>
    <w:basedOn w:val="791"/>
    <w:next w:val="791"/>
    <w:uiPriority w:val="39"/>
    <w:unhideWhenUsed/>
    <w:qFormat/>
    <w:pPr>
      <w:spacing w:after="57"/>
    </w:pPr>
  </w:style>
  <w:style w:type="paragraph" w:styleId="815">
    <w:name w:val="toc 4"/>
    <w:basedOn w:val="791"/>
    <w:next w:val="791"/>
    <w:uiPriority w:val="39"/>
    <w:unhideWhenUsed/>
    <w:qFormat/>
    <w:pPr>
      <w:ind w:left="850"/>
      <w:spacing w:after="57"/>
    </w:pPr>
  </w:style>
  <w:style w:type="paragraph" w:styleId="816">
    <w:name w:val="Subtitle"/>
    <w:basedOn w:val="791"/>
    <w:next w:val="791"/>
    <w:link w:val="842"/>
    <w:uiPriority w:val="11"/>
    <w:qFormat/>
    <w:pPr>
      <w:spacing w:before="200" w:after="200"/>
    </w:pPr>
    <w:rPr>
      <w:sz w:val="24"/>
    </w:rPr>
  </w:style>
  <w:style w:type="paragraph" w:styleId="817">
    <w:name w:val="footnote text"/>
    <w:basedOn w:val="791"/>
    <w:link w:val="975"/>
    <w:uiPriority w:val="99"/>
    <w:semiHidden/>
    <w:unhideWhenUsed/>
    <w:qFormat/>
    <w:pPr>
      <w:spacing w:after="40"/>
    </w:pPr>
    <w:rPr>
      <w:sz w:val="18"/>
    </w:rPr>
  </w:style>
  <w:style w:type="paragraph" w:styleId="818">
    <w:name w:val="toc 6"/>
    <w:basedOn w:val="791"/>
    <w:next w:val="791"/>
    <w:uiPriority w:val="39"/>
    <w:unhideWhenUsed/>
    <w:qFormat/>
    <w:pPr>
      <w:ind w:left="1417"/>
      <w:spacing w:after="57"/>
    </w:pPr>
  </w:style>
  <w:style w:type="paragraph" w:styleId="819">
    <w:name w:val="table of figures"/>
    <w:basedOn w:val="791"/>
    <w:next w:val="791"/>
    <w:uiPriority w:val="99"/>
    <w:unhideWhenUsed/>
    <w:qFormat/>
  </w:style>
  <w:style w:type="paragraph" w:styleId="820">
    <w:name w:val="toc 2"/>
    <w:basedOn w:val="791"/>
    <w:next w:val="791"/>
    <w:uiPriority w:val="39"/>
    <w:unhideWhenUsed/>
    <w:qFormat/>
    <w:pPr>
      <w:ind w:left="283"/>
      <w:spacing w:after="57"/>
    </w:pPr>
  </w:style>
  <w:style w:type="paragraph" w:styleId="821">
    <w:name w:val="toc 9"/>
    <w:basedOn w:val="791"/>
    <w:next w:val="791"/>
    <w:uiPriority w:val="39"/>
    <w:unhideWhenUsed/>
    <w:qFormat/>
    <w:pPr>
      <w:ind w:left="2268"/>
      <w:spacing w:after="57"/>
    </w:pPr>
  </w:style>
  <w:style w:type="paragraph" w:styleId="822">
    <w:name w:val="Normal (Web)"/>
    <w:basedOn w:val="791"/>
    <w:uiPriority w:val="99"/>
    <w:semiHidden/>
    <w:unhideWhenUsed/>
    <w:qFormat/>
    <w:pPr>
      <w:jc w:val="left"/>
      <w:spacing w:beforeAutospacing="1" w:afterAutospacing="1"/>
    </w:pPr>
    <w:rPr>
      <w:sz w:val="24"/>
    </w:rPr>
  </w:style>
  <w:style w:type="paragraph" w:styleId="823">
    <w:name w:val="Title"/>
    <w:basedOn w:val="791"/>
    <w:next w:val="791"/>
    <w:link w:val="841"/>
    <w:uiPriority w:val="10"/>
    <w:qFormat/>
    <w:pPr>
      <w:contextualSpacing/>
      <w:spacing w:before="300" w:after="200"/>
    </w:pPr>
    <w:rPr>
      <w:sz w:val="48"/>
      <w:szCs w:val="48"/>
    </w:rPr>
  </w:style>
  <w:style w:type="table" w:styleId="8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annotation reference"/>
    <w:basedOn w:val="801"/>
    <w:uiPriority w:val="99"/>
    <w:semiHidden/>
    <w:unhideWhenUsed/>
    <w:qFormat/>
    <w:rPr>
      <w:sz w:val="21"/>
      <w:szCs w:val="21"/>
    </w:rPr>
  </w:style>
  <w:style w:type="character" w:styleId="828">
    <w:name w:val="footnote reference"/>
    <w:uiPriority w:val="99"/>
    <w:unhideWhenUsed/>
    <w:qFormat/>
    <w:rPr>
      <w:vertAlign w:val="superscript"/>
    </w:rPr>
  </w:style>
  <w:style w:type="paragraph" w:styleId="829" w:customStyle="1">
    <w:name w:val="Default"/>
    <w:link w:val="1042"/>
    <w:uiPriority w:val="99"/>
    <w:qFormat/>
    <w:pPr>
      <w:widowControl w:val="off"/>
    </w:pPr>
    <w:rPr>
      <w:rFonts w:ascii="MS Mincho" w:hAnsi="Times New Roman" w:eastAsia="MS Mincho" w:cs="Times New Roman"/>
      <w:color w:val="000000"/>
      <w:sz w:val="24"/>
      <w:szCs w:val="24"/>
      <w:lang w:val="en-US" w:eastAsia="zh-CN" w:bidi="ar-SA"/>
    </w:rPr>
  </w:style>
  <w:style w:type="character" w:styleId="830" w:customStyle="1">
    <w:name w:val="标题 1 字符"/>
    <w:link w:val="792"/>
    <w:uiPriority w:val="9"/>
    <w:qFormat/>
    <w:rPr>
      <w:rFonts w:ascii="Arial" w:hAnsi="Arial" w:eastAsia="Arial" w:cs="Arial"/>
      <w:sz w:val="40"/>
      <w:szCs w:val="40"/>
    </w:rPr>
  </w:style>
  <w:style w:type="character" w:styleId="831" w:customStyle="1">
    <w:name w:val="标题 2 字符"/>
    <w:link w:val="793"/>
    <w:uiPriority w:val="9"/>
    <w:qFormat/>
    <w:rPr>
      <w:rFonts w:ascii="Arial" w:hAnsi="Arial" w:eastAsia="Arial" w:cs="Arial"/>
      <w:sz w:val="34"/>
    </w:rPr>
  </w:style>
  <w:style w:type="character" w:styleId="832" w:customStyle="1">
    <w:name w:val="标题 3 字符"/>
    <w:link w:val="794"/>
    <w:uiPriority w:val="9"/>
    <w:qFormat/>
    <w:rPr>
      <w:rFonts w:ascii="Arial" w:hAnsi="Arial" w:eastAsia="Arial" w:cs="Arial"/>
      <w:sz w:val="30"/>
      <w:szCs w:val="30"/>
    </w:rPr>
  </w:style>
  <w:style w:type="character" w:styleId="833" w:customStyle="1">
    <w:name w:val="标题 4 字符"/>
    <w:link w:val="795"/>
    <w:uiPriority w:val="9"/>
    <w:qFormat/>
    <w:rPr>
      <w:rFonts w:ascii="Arial" w:hAnsi="Arial" w:eastAsia="Arial" w:cs="Arial"/>
      <w:b/>
      <w:bCs/>
      <w:sz w:val="26"/>
      <w:szCs w:val="26"/>
    </w:rPr>
  </w:style>
  <w:style w:type="character" w:styleId="834" w:customStyle="1">
    <w:name w:val="标题 5 字符"/>
    <w:link w:val="796"/>
    <w:uiPriority w:val="9"/>
    <w:qFormat/>
    <w:rPr>
      <w:rFonts w:ascii="Arial" w:hAnsi="Arial" w:eastAsia="Arial" w:cs="Arial"/>
      <w:b/>
      <w:bCs/>
      <w:sz w:val="24"/>
      <w:szCs w:val="24"/>
    </w:rPr>
  </w:style>
  <w:style w:type="character" w:styleId="835" w:customStyle="1">
    <w:name w:val="标题 6 字符"/>
    <w:link w:val="797"/>
    <w:uiPriority w:val="9"/>
    <w:qFormat/>
    <w:rPr>
      <w:rFonts w:ascii="Arial" w:hAnsi="Arial" w:eastAsia="Arial" w:cs="Arial"/>
      <w:b/>
      <w:bCs/>
      <w:sz w:val="22"/>
      <w:szCs w:val="22"/>
    </w:rPr>
  </w:style>
  <w:style w:type="character" w:styleId="836" w:customStyle="1">
    <w:name w:val="标题 7 字符"/>
    <w:link w:val="798"/>
    <w:uiPriority w:val="9"/>
    <w:qFormat/>
    <w:rPr>
      <w:rFonts w:ascii="Arial" w:hAnsi="Arial" w:eastAsia="Arial" w:cs="Arial"/>
      <w:b/>
      <w:bCs/>
      <w:i/>
      <w:iCs/>
      <w:sz w:val="22"/>
      <w:szCs w:val="22"/>
    </w:rPr>
  </w:style>
  <w:style w:type="character" w:styleId="837" w:customStyle="1">
    <w:name w:val="标题 8 字符"/>
    <w:link w:val="799"/>
    <w:uiPriority w:val="9"/>
    <w:qFormat/>
    <w:rPr>
      <w:rFonts w:ascii="Arial" w:hAnsi="Arial" w:eastAsia="Arial" w:cs="Arial"/>
      <w:i/>
      <w:iCs/>
      <w:sz w:val="22"/>
      <w:szCs w:val="22"/>
    </w:rPr>
  </w:style>
  <w:style w:type="character" w:styleId="838" w:customStyle="1">
    <w:name w:val="标题 9 字符"/>
    <w:link w:val="800"/>
    <w:uiPriority w:val="9"/>
    <w:qFormat/>
    <w:rPr>
      <w:rFonts w:ascii="Arial" w:hAnsi="Arial" w:eastAsia="Arial" w:cs="Arial"/>
      <w:i/>
      <w:iCs/>
      <w:sz w:val="21"/>
      <w:szCs w:val="21"/>
    </w:rPr>
  </w:style>
  <w:style w:type="paragraph" w:styleId="839">
    <w:name w:val="List Paragraph"/>
    <w:basedOn w:val="791"/>
    <w:uiPriority w:val="34"/>
    <w:qFormat/>
    <w:pPr>
      <w:contextualSpacing/>
      <w:ind w:left="720"/>
    </w:pPr>
  </w:style>
  <w:style w:type="paragraph" w:styleId="840">
    <w:name w:val="No Spacing"/>
    <w:uiPriority w:val="1"/>
    <w:qFormat/>
    <w:rPr>
      <w:rFonts w:ascii="Times New Roman" w:hAnsi="Times New Roman" w:eastAsia="宋体" w:cs="Times New Roman"/>
      <w:lang w:val="en-US" w:eastAsia="zh-CN" w:bidi="ar-SA"/>
    </w:rPr>
  </w:style>
  <w:style w:type="character" w:styleId="841" w:customStyle="1">
    <w:name w:val="标题 字符"/>
    <w:link w:val="823"/>
    <w:uiPriority w:val="10"/>
    <w:qFormat/>
    <w:rPr>
      <w:sz w:val="48"/>
      <w:szCs w:val="48"/>
    </w:rPr>
  </w:style>
  <w:style w:type="character" w:styleId="842" w:customStyle="1">
    <w:name w:val="副标题 字符"/>
    <w:link w:val="816"/>
    <w:uiPriority w:val="11"/>
    <w:qFormat/>
    <w:rPr>
      <w:sz w:val="24"/>
      <w:szCs w:val="24"/>
    </w:rPr>
  </w:style>
  <w:style w:type="paragraph" w:styleId="843">
    <w:name w:val="Quote"/>
    <w:basedOn w:val="791"/>
    <w:next w:val="791"/>
    <w:link w:val="844"/>
    <w:uiPriority w:val="29"/>
    <w:qFormat/>
    <w:pPr>
      <w:ind w:left="720" w:right="720"/>
    </w:pPr>
    <w:rPr>
      <w:i/>
    </w:rPr>
  </w:style>
  <w:style w:type="character" w:styleId="844" w:customStyle="1">
    <w:name w:val="引用 字符"/>
    <w:link w:val="843"/>
    <w:uiPriority w:val="29"/>
    <w:qFormat/>
    <w:rPr>
      <w:i/>
    </w:rPr>
  </w:style>
  <w:style w:type="paragraph" w:styleId="845">
    <w:name w:val="Intense Quote"/>
    <w:basedOn w:val="791"/>
    <w:next w:val="791"/>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字符"/>
    <w:link w:val="845"/>
    <w:uiPriority w:val="30"/>
    <w:qFormat/>
    <w:rPr>
      <w:i/>
    </w:rPr>
  </w:style>
  <w:style w:type="character" w:styleId="847" w:customStyle="1">
    <w:name w:val="页眉 字符"/>
    <w:link w:val="813"/>
    <w:uiPriority w:val="99"/>
    <w:qFormat/>
  </w:style>
  <w:style w:type="character" w:styleId="848" w:customStyle="1">
    <w:name w:val="Footer Char"/>
    <w:uiPriority w:val="99"/>
    <w:qFormat/>
  </w:style>
  <w:style w:type="character" w:styleId="849" w:customStyle="1">
    <w:name w:val="页脚 字符"/>
    <w:link w:val="812"/>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字符"/>
    <w:link w:val="817"/>
    <w:uiPriority w:val="99"/>
    <w:qFormat/>
    <w:rPr>
      <w:sz w:val="18"/>
    </w:rPr>
  </w:style>
  <w:style w:type="character" w:styleId="976" w:customStyle="1">
    <w:name w:val="尾注文本 字符"/>
    <w:link w:val="810"/>
    <w:uiPriority w:val="99"/>
    <w:qFormat/>
    <w:rPr>
      <w:sz w:val="20"/>
    </w:rPr>
  </w:style>
  <w:style w:type="paragraph" w:styleId="977" w:customStyle="1">
    <w:name w:val="TOC 标题1"/>
    <w:uiPriority w:val="39"/>
    <w:unhideWhenUsed/>
    <w:qFormat/>
    <w:rPr>
      <w:rFonts w:ascii="Times New Roman" w:hAnsi="Times New Roman" w:eastAsia="宋体" w:cs="Times New Roman"/>
      <w:lang w:val="en-US" w:eastAsia="zh-CN" w:bidi="ar-SA"/>
    </w:rPr>
  </w:style>
  <w:style w:type="paragraph" w:styleId="978" w:customStyle="1">
    <w:name w:val="标题 11"/>
    <w:basedOn w:val="791"/>
    <w:link w:val="986"/>
    <w:uiPriority w:val="0"/>
    <w:qFormat/>
    <w:pPr>
      <w:keepNext/>
      <w:outlineLvl w:val="0"/>
    </w:pPr>
    <w:rPr>
      <w:rFonts w:ascii="楷体_GB2312" w:eastAsia="楷体_GB2312"/>
      <w:sz w:val="28"/>
      <w:szCs w:val="20"/>
    </w:rPr>
  </w:style>
  <w:style w:type="paragraph" w:styleId="979" w:customStyle="1">
    <w:name w:val="标题 21"/>
    <w:basedOn w:val="791"/>
    <w:next w:val="791"/>
    <w:uiPriority w:val="0"/>
    <w:qFormat/>
    <w:pPr>
      <w:jc w:val="center"/>
      <w:keepLines/>
      <w:keepNext/>
      <w:spacing w:before="260" w:after="260" w:line="416" w:lineRule="auto"/>
      <w:outlineLvl w:val="1"/>
    </w:pPr>
    <w:rPr>
      <w:rFonts w:ascii="Arial" w:hAnsi="Arial" w:eastAsia="幼圆"/>
      <w:b/>
      <w:sz w:val="44"/>
      <w:szCs w:val="20"/>
    </w:rPr>
  </w:style>
  <w:style w:type="paragraph" w:styleId="980" w:customStyle="1">
    <w:name w:val="标题 31"/>
    <w:basedOn w:val="791"/>
    <w:next w:val="981"/>
    <w:uiPriority w:val="0"/>
    <w:qFormat/>
    <w:pPr>
      <w:keepLines/>
      <w:keepNext/>
      <w:spacing w:before="260" w:after="260" w:line="416" w:lineRule="auto"/>
      <w:outlineLvl w:val="2"/>
    </w:pPr>
    <w:rPr>
      <w:b/>
      <w:sz w:val="32"/>
      <w:szCs w:val="20"/>
    </w:rPr>
  </w:style>
  <w:style w:type="paragraph" w:styleId="981" w:customStyle="1">
    <w:name w:val="正文2"/>
    <w:basedOn w:val="791"/>
    <w:uiPriority w:val="0"/>
    <w:qFormat/>
    <w:pPr>
      <w:ind w:firstLine="420"/>
      <w:spacing w:line="360" w:lineRule="auto"/>
    </w:pPr>
  </w:style>
  <w:style w:type="paragraph" w:styleId="982" w:customStyle="1">
    <w:name w:val="标题 41"/>
    <w:basedOn w:val="791"/>
    <w:next w:val="791"/>
    <w:uiPriority w:val="0"/>
    <w:qFormat/>
    <w:pPr>
      <w:keepLines/>
      <w:keepNext/>
      <w:spacing w:before="280" w:after="290" w:line="376" w:lineRule="auto"/>
      <w:outlineLvl w:val="3"/>
    </w:pPr>
    <w:rPr>
      <w:rFonts w:ascii="Arial" w:hAnsi="Arial" w:eastAsia="黑体"/>
      <w:b/>
      <w:bCs/>
      <w:sz w:val="28"/>
      <w:szCs w:val="28"/>
    </w:rPr>
  </w:style>
  <w:style w:type="paragraph" w:styleId="983" w:customStyle="1">
    <w:name w:val="标题 51"/>
    <w:basedOn w:val="791"/>
    <w:next w:val="791"/>
    <w:uiPriority w:val="0"/>
    <w:qFormat/>
    <w:pPr>
      <w:keepNext/>
      <w:outlineLvl w:val="4"/>
    </w:pPr>
    <w:rPr>
      <w:rFonts w:ascii="宋体" w:hAnsi="宋体"/>
      <w:b/>
      <w:bCs/>
    </w:rPr>
  </w:style>
  <w:style w:type="character" w:styleId="984" w:customStyle="1">
    <w:name w:val="默认段落字体1"/>
    <w:uiPriority w:val="0"/>
    <w:semiHidden/>
    <w:qFormat/>
  </w:style>
  <w:style w:type="table" w:styleId="985" w:customStyle="1">
    <w:name w:val="普通表格1"/>
    <w:uiPriority w:val="0"/>
    <w:semiHidden/>
    <w:qFormat/>
    <w:tblPr>
      <w:tblCellMar>
        <w:left w:w="0" w:type="dxa"/>
        <w:top w:w="0" w:type="dxa"/>
        <w:right w:w="0" w:type="dxa"/>
        <w:bottom w:w="0" w:type="dxa"/>
      </w:tblCellMar>
    </w:tblPr>
  </w:style>
  <w:style w:type="character" w:styleId="986" w:customStyle="1">
    <w:name w:val="标题 1 Char"/>
    <w:link w:val="978"/>
    <w:uiPriority w:val="0"/>
    <w:qFormat/>
    <w:rPr>
      <w:rFonts w:ascii="楷体_GB2312" w:eastAsia="楷体_GB2312"/>
      <w:sz w:val="28"/>
      <w:lang w:val="en-US" w:eastAsia="zh-CN" w:bidi="ar-SA"/>
    </w:rPr>
  </w:style>
  <w:style w:type="paragraph" w:styleId="987" w:customStyle="1">
    <w:name w:val="目录 71"/>
    <w:basedOn w:val="791"/>
    <w:next w:val="791"/>
    <w:uiPriority w:val="0"/>
    <w:semiHidden/>
    <w:qFormat/>
    <w:pPr>
      <w:ind w:left="2520"/>
    </w:pPr>
  </w:style>
  <w:style w:type="paragraph" w:styleId="988" w:customStyle="1">
    <w:name w:val="索引 81"/>
    <w:basedOn w:val="791"/>
    <w:next w:val="791"/>
    <w:uiPriority w:val="99"/>
    <w:unhideWhenUsed/>
    <w:qFormat/>
    <w:pPr>
      <w:ind w:left="1400"/>
    </w:pPr>
  </w:style>
  <w:style w:type="paragraph" w:styleId="989" w:customStyle="1">
    <w:name w:val="正文缩进1"/>
    <w:basedOn w:val="791"/>
    <w:link w:val="990"/>
    <w:uiPriority w:val="0"/>
    <w:qFormat/>
    <w:pPr>
      <w:ind w:firstLine="420"/>
    </w:pPr>
    <w:rPr>
      <w:szCs w:val="20"/>
    </w:rPr>
  </w:style>
  <w:style w:type="character" w:styleId="990" w:customStyle="1">
    <w:name w:val="正文缩进 Char"/>
    <w:link w:val="989"/>
    <w:uiPriority w:val="0"/>
    <w:qFormat/>
    <w:rPr>
      <w:rFonts w:eastAsia="宋体"/>
      <w:sz w:val="21"/>
      <w:lang w:val="en-US" w:eastAsia="zh-CN" w:bidi="ar-SA"/>
    </w:rPr>
  </w:style>
  <w:style w:type="paragraph" w:styleId="991" w:customStyle="1">
    <w:name w:val="文档结构图1"/>
    <w:basedOn w:val="791"/>
    <w:uiPriority w:val="0"/>
    <w:semiHidden/>
    <w:qFormat/>
    <w:pPr>
      <w:shd w:val="clear" w:color="auto" w:fill="000080"/>
    </w:pPr>
  </w:style>
  <w:style w:type="paragraph" w:styleId="992" w:customStyle="1">
    <w:name w:val="批注文字1"/>
    <w:basedOn w:val="791"/>
    <w:link w:val="993"/>
    <w:uiPriority w:val="0"/>
    <w:qFormat/>
    <w:pPr>
      <w:jc w:val="left"/>
    </w:pPr>
  </w:style>
  <w:style w:type="character" w:styleId="993" w:customStyle="1">
    <w:name w:val="批注文字 Char"/>
    <w:link w:val="992"/>
    <w:uiPriority w:val="0"/>
    <w:qFormat/>
    <w:rPr>
      <w:sz w:val="21"/>
      <w:szCs w:val="24"/>
    </w:rPr>
  </w:style>
  <w:style w:type="paragraph" w:styleId="994" w:customStyle="1">
    <w:name w:val="正文文本 31"/>
    <w:basedOn w:val="791"/>
    <w:uiPriority w:val="0"/>
    <w:qFormat/>
    <w:rPr>
      <w:rFonts w:ascii="仿宋_GB2312" w:hAnsi="Arial" w:eastAsia="仿宋_GB2312"/>
      <w:sz w:val="32"/>
      <w:szCs w:val="20"/>
    </w:rPr>
  </w:style>
  <w:style w:type="paragraph" w:styleId="995" w:customStyle="1">
    <w:name w:val="正文文本1"/>
    <w:basedOn w:val="791"/>
    <w:next w:val="791"/>
    <w:uiPriority w:val="0"/>
    <w:qFormat/>
    <w:rPr>
      <w:rFonts w:ascii="楷体_GB2312" w:hAnsi="Arial" w:eastAsia="楷体_GB2312"/>
      <w:sz w:val="28"/>
      <w:szCs w:val="20"/>
    </w:rPr>
  </w:style>
  <w:style w:type="paragraph" w:styleId="996" w:customStyle="1">
    <w:name w:val="正文文本缩进1"/>
    <w:basedOn w:val="791"/>
    <w:uiPriority w:val="0"/>
    <w:qFormat/>
    <w:pPr>
      <w:ind w:firstLine="645"/>
    </w:pPr>
    <w:rPr>
      <w:rFonts w:ascii="楷体_GB2312" w:eastAsia="楷体_GB2312"/>
      <w:sz w:val="32"/>
      <w:szCs w:val="20"/>
    </w:rPr>
  </w:style>
  <w:style w:type="paragraph" w:styleId="997" w:customStyle="1">
    <w:name w:val="寄信人地址1"/>
    <w:basedOn w:val="791"/>
    <w:uiPriority w:val="99"/>
    <w:unhideWhenUsed/>
    <w:qFormat/>
    <w:rPr>
      <w:rFonts w:ascii="Arial" w:hAnsi="Arial"/>
    </w:rPr>
  </w:style>
  <w:style w:type="paragraph" w:styleId="998" w:customStyle="1">
    <w:name w:val="文本块1"/>
    <w:basedOn w:val="791"/>
    <w:uiPriority w:val="99"/>
    <w:unhideWhenUsed/>
    <w:qFormat/>
    <w:pPr>
      <w:ind w:left="420" w:right="33"/>
      <w:jc w:val="left"/>
    </w:pPr>
    <w:rPr>
      <w:sz w:val="24"/>
      <w:szCs w:val="20"/>
    </w:rPr>
  </w:style>
  <w:style w:type="paragraph" w:styleId="999" w:customStyle="1">
    <w:name w:val="索引 41"/>
    <w:basedOn w:val="791"/>
    <w:next w:val="791"/>
    <w:uiPriority w:val="99"/>
    <w:unhideWhenUsed/>
    <w:qFormat/>
    <w:pPr>
      <w:ind w:left="600"/>
    </w:pPr>
  </w:style>
  <w:style w:type="paragraph" w:styleId="1000" w:customStyle="1">
    <w:name w:val="目录 51"/>
    <w:basedOn w:val="791"/>
    <w:next w:val="791"/>
    <w:uiPriority w:val="0"/>
    <w:semiHidden/>
    <w:qFormat/>
    <w:pPr>
      <w:ind w:left="1680"/>
    </w:pPr>
  </w:style>
  <w:style w:type="paragraph" w:styleId="1001" w:customStyle="1">
    <w:name w:val="目录 31"/>
    <w:basedOn w:val="791"/>
    <w:next w:val="791"/>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02" w:customStyle="1">
    <w:name w:val="纯文本1"/>
    <w:basedOn w:val="791"/>
    <w:link w:val="1003"/>
    <w:uiPriority w:val="0"/>
    <w:qFormat/>
    <w:rPr>
      <w:rFonts w:ascii="宋体" w:hAnsi="Courier New"/>
      <w:szCs w:val="20"/>
    </w:rPr>
  </w:style>
  <w:style w:type="character" w:styleId="1003" w:customStyle="1">
    <w:name w:val="纯文本 Char"/>
    <w:link w:val="1002"/>
    <w:uiPriority w:val="0"/>
    <w:qFormat/>
    <w:rPr>
      <w:rFonts w:ascii="宋体" w:hAnsi="Courier New"/>
      <w:sz w:val="21"/>
    </w:rPr>
  </w:style>
  <w:style w:type="paragraph" w:styleId="1004" w:customStyle="1">
    <w:name w:val="目录 81"/>
    <w:basedOn w:val="791"/>
    <w:next w:val="791"/>
    <w:uiPriority w:val="0"/>
    <w:semiHidden/>
    <w:qFormat/>
    <w:pPr>
      <w:ind w:left="2940"/>
    </w:pPr>
  </w:style>
  <w:style w:type="paragraph" w:styleId="1005" w:customStyle="1">
    <w:name w:val="日期1"/>
    <w:basedOn w:val="791"/>
    <w:next w:val="791"/>
    <w:uiPriority w:val="0"/>
    <w:qFormat/>
    <w:rPr>
      <w:sz w:val="24"/>
      <w:szCs w:val="20"/>
    </w:rPr>
  </w:style>
  <w:style w:type="paragraph" w:styleId="1006" w:customStyle="1">
    <w:name w:val="正文文本缩进 21"/>
    <w:basedOn w:val="791"/>
    <w:uiPriority w:val="0"/>
    <w:qFormat/>
    <w:pPr>
      <w:ind w:firstLine="560"/>
    </w:pPr>
    <w:rPr>
      <w:rFonts w:ascii="宋体" w:hAnsi="宋体"/>
      <w:sz w:val="28"/>
    </w:rPr>
  </w:style>
  <w:style w:type="paragraph" w:styleId="1007" w:customStyle="1">
    <w:name w:val="批注框文本1"/>
    <w:basedOn w:val="791"/>
    <w:uiPriority w:val="0"/>
    <w:semiHidden/>
    <w:qFormat/>
    <w:rPr>
      <w:sz w:val="18"/>
      <w:szCs w:val="18"/>
    </w:rPr>
  </w:style>
  <w:style w:type="paragraph" w:styleId="1008" w:customStyle="1">
    <w:name w:val="页脚1"/>
    <w:basedOn w:val="791"/>
    <w:uiPriority w:val="0"/>
    <w:qFormat/>
    <w:pPr>
      <w:jc w:val="left"/>
      <w:tabs>
        <w:tab w:val="center" w:pos="4153" w:leader="none"/>
        <w:tab w:val="right" w:pos="8306" w:leader="none"/>
      </w:tabs>
    </w:pPr>
    <w:rPr>
      <w:sz w:val="18"/>
      <w:szCs w:val="20"/>
    </w:rPr>
  </w:style>
  <w:style w:type="paragraph" w:styleId="1009" w:customStyle="1">
    <w:name w:val="页眉1"/>
    <w:basedOn w:val="791"/>
    <w:uiPriority w:val="0"/>
    <w:qFormat/>
    <w:pPr>
      <w:jc w:val="center"/>
      <w:tabs>
        <w:tab w:val="center" w:pos="4153" w:leader="none"/>
        <w:tab w:val="right" w:pos="8306" w:leader="none"/>
      </w:tabs>
      <w:pBdr>
        <w:bottom w:val="single" w:color="000000" w:sz="6" w:space="1"/>
      </w:pBdr>
    </w:pPr>
    <w:rPr>
      <w:sz w:val="18"/>
      <w:szCs w:val="18"/>
    </w:rPr>
  </w:style>
  <w:style w:type="paragraph" w:styleId="1010" w:customStyle="1">
    <w:name w:val="目录 11"/>
    <w:basedOn w:val="791"/>
    <w:next w:val="791"/>
    <w:uiPriority w:val="39"/>
    <w:qFormat/>
    <w:pPr>
      <w:jc w:val="left"/>
      <w:spacing w:before="120" w:after="120" w:line="300" w:lineRule="exact"/>
      <w:tabs>
        <w:tab w:val="right" w:pos="9440" w:leader="dot"/>
      </w:tabs>
    </w:pPr>
    <w:rPr>
      <w:rFonts w:ascii="黑体" w:eastAsia="黑体"/>
      <w:b/>
      <w:caps/>
      <w:sz w:val="18"/>
      <w:szCs w:val="28"/>
    </w:rPr>
  </w:style>
  <w:style w:type="paragraph" w:styleId="1011" w:customStyle="1">
    <w:name w:val="目录 41"/>
    <w:basedOn w:val="791"/>
    <w:next w:val="791"/>
    <w:uiPriority w:val="0"/>
    <w:semiHidden/>
    <w:qFormat/>
    <w:pPr>
      <w:ind w:left="1260"/>
    </w:pPr>
  </w:style>
  <w:style w:type="paragraph" w:styleId="1012" w:customStyle="1">
    <w:name w:val="副标题1"/>
    <w:basedOn w:val="791"/>
    <w:next w:val="791"/>
    <w:link w:val="1013"/>
    <w:uiPriority w:val="0"/>
    <w:qFormat/>
    <w:pPr>
      <w:jc w:val="center"/>
      <w:spacing w:before="240" w:after="60" w:line="312" w:lineRule="auto"/>
      <w:outlineLvl w:val="1"/>
    </w:pPr>
    <w:rPr>
      <w:rFonts w:ascii="Cambria" w:hAnsi="Cambria"/>
      <w:b/>
      <w:bCs/>
      <w:sz w:val="32"/>
      <w:szCs w:val="32"/>
    </w:rPr>
  </w:style>
  <w:style w:type="character" w:styleId="1013" w:customStyle="1">
    <w:name w:val="副标题 Char"/>
    <w:link w:val="1012"/>
    <w:uiPriority w:val="0"/>
    <w:qFormat/>
    <w:rPr>
      <w:rFonts w:ascii="Cambria" w:hAnsi="Cambria"/>
      <w:b/>
      <w:bCs/>
      <w:sz w:val="32"/>
      <w:szCs w:val="32"/>
    </w:rPr>
  </w:style>
  <w:style w:type="paragraph" w:styleId="1014" w:customStyle="1">
    <w:name w:val="目录 61"/>
    <w:basedOn w:val="791"/>
    <w:next w:val="791"/>
    <w:uiPriority w:val="0"/>
    <w:semiHidden/>
    <w:qFormat/>
    <w:pPr>
      <w:ind w:left="2100"/>
    </w:pPr>
  </w:style>
  <w:style w:type="paragraph" w:styleId="1015" w:customStyle="1">
    <w:name w:val="正文文本缩进 31"/>
    <w:basedOn w:val="791"/>
    <w:uiPriority w:val="0"/>
    <w:qFormat/>
    <w:pPr>
      <w:ind w:firstLine="523"/>
    </w:pPr>
    <w:rPr>
      <w:rFonts w:ascii="仿宋_GB2312" w:hAnsi="宋体" w:eastAsia="仿宋_GB2312"/>
      <w:sz w:val="24"/>
    </w:rPr>
  </w:style>
  <w:style w:type="paragraph" w:styleId="1016" w:customStyle="1">
    <w:name w:val="目录 21"/>
    <w:basedOn w:val="791"/>
    <w:next w:val="791"/>
    <w:uiPriority w:val="39"/>
    <w:qFormat/>
    <w:pPr>
      <w:jc w:val="left"/>
      <w:spacing w:line="260" w:lineRule="exact"/>
      <w:tabs>
        <w:tab w:val="right" w:pos="9440" w:leader="dot"/>
      </w:tabs>
    </w:pPr>
    <w:rPr>
      <w:rFonts w:ascii="黑体" w:eastAsia="黑体"/>
      <w:b/>
      <w:bCs/>
      <w:smallCaps/>
      <w:sz w:val="18"/>
      <w:szCs w:val="44"/>
    </w:rPr>
  </w:style>
  <w:style w:type="paragraph" w:styleId="1017" w:customStyle="1">
    <w:name w:val="目录 91"/>
    <w:basedOn w:val="791"/>
    <w:next w:val="791"/>
    <w:uiPriority w:val="0"/>
    <w:semiHidden/>
    <w:qFormat/>
    <w:pPr>
      <w:ind w:left="3360"/>
    </w:pPr>
  </w:style>
  <w:style w:type="paragraph" w:styleId="1018" w:customStyle="1">
    <w:name w:val="正文文本 21"/>
    <w:basedOn w:val="791"/>
    <w:uiPriority w:val="0"/>
    <w:qFormat/>
    <w:pPr>
      <w:jc w:val="center"/>
    </w:pPr>
    <w:rPr>
      <w:rFonts w:ascii="仿宋_GB2312" w:eastAsia="仿宋_GB2312"/>
      <w:sz w:val="44"/>
    </w:rPr>
  </w:style>
  <w:style w:type="paragraph" w:styleId="1019" w:customStyle="1">
    <w:name w:val="HTML 预设格式1"/>
    <w:basedOn w:val="791"/>
    <w:link w:val="10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20" w:customStyle="1">
    <w:name w:val="HTML 预设格式 Char"/>
    <w:link w:val="1019"/>
    <w:uiPriority w:val="0"/>
    <w:qFormat/>
    <w:rPr>
      <w:rFonts w:ascii="黑体" w:hAnsi="Courier New" w:eastAsia="黑体" w:cs="Courier New"/>
    </w:rPr>
  </w:style>
  <w:style w:type="paragraph" w:styleId="1021" w:customStyle="1">
    <w:name w:val="普通(网站)1"/>
    <w:basedOn w:val="791"/>
    <w:uiPriority w:val="0"/>
    <w:unhideWhenUsed/>
    <w:qFormat/>
    <w:pPr>
      <w:jc w:val="left"/>
      <w:spacing w:before="100" w:beforeAutospacing="1" w:after="100" w:afterAutospacing="1"/>
      <w:widowControl/>
    </w:pPr>
    <w:rPr>
      <w:rFonts w:ascii="宋体" w:hAnsi="宋体" w:cs="宋体"/>
      <w:sz w:val="24"/>
    </w:rPr>
  </w:style>
  <w:style w:type="paragraph" w:styleId="1022" w:customStyle="1">
    <w:name w:val="索引 11"/>
    <w:basedOn w:val="791"/>
    <w:next w:val="791"/>
    <w:uiPriority w:val="0"/>
    <w:semiHidden/>
    <w:qFormat/>
    <w:rPr>
      <w:rFonts w:ascii="宋体" w:hAnsi="宋体"/>
      <w:szCs w:val="18"/>
    </w:rPr>
  </w:style>
  <w:style w:type="paragraph" w:styleId="1023" w:customStyle="1">
    <w:name w:val="批注主题1"/>
    <w:basedOn w:val="992"/>
    <w:next w:val="992"/>
    <w:link w:val="1024"/>
    <w:uiPriority w:val="0"/>
    <w:qFormat/>
    <w:rPr>
      <w:b/>
      <w:bCs/>
    </w:rPr>
  </w:style>
  <w:style w:type="character" w:styleId="1024" w:customStyle="1">
    <w:name w:val="批注主题 Char"/>
    <w:link w:val="1023"/>
    <w:uiPriority w:val="0"/>
    <w:qFormat/>
    <w:rPr>
      <w:b/>
      <w:bCs/>
      <w:sz w:val="21"/>
      <w:szCs w:val="24"/>
    </w:rPr>
  </w:style>
  <w:style w:type="paragraph" w:styleId="1025" w:customStyle="1">
    <w:name w:val="正文首行缩进1"/>
    <w:basedOn w:val="995"/>
    <w:uiPriority w:val="99"/>
    <w:qFormat/>
    <w:pPr>
      <w:ind w:firstLine="420"/>
      <w:spacing w:after="120"/>
    </w:pPr>
    <w:rPr>
      <w:rFonts w:ascii="Times New Roman" w:hAnsi="Times New Roman"/>
      <w:sz w:val="21"/>
    </w:rPr>
  </w:style>
  <w:style w:type="paragraph" w:styleId="1026" w:customStyle="1">
    <w:name w:val="正文首行缩进 21"/>
    <w:basedOn w:val="996"/>
    <w:uiPriority w:val="99"/>
    <w:qFormat/>
    <w:pPr>
      <w:ind w:firstLine="420"/>
    </w:pPr>
  </w:style>
  <w:style w:type="table" w:styleId="1027" w:customStyle="1">
    <w:name w:val="网格型11"/>
    <w:basedOn w:val="985"/>
    <w:uiPriority w:val="0"/>
    <w:qFormat/>
    <w:pPr>
      <w:jc w:val="both"/>
      <w:widowControl w:val="off"/>
    </w:pPr>
    <w:tblPr/>
  </w:style>
  <w:style w:type="character" w:styleId="1028" w:customStyle="1">
    <w:name w:val="要点1"/>
    <w:uiPriority w:val="0"/>
    <w:qFormat/>
    <w:rPr>
      <w:b/>
      <w:bCs/>
    </w:rPr>
  </w:style>
  <w:style w:type="character" w:styleId="1029" w:customStyle="1">
    <w:name w:val="页码1"/>
    <w:uiPriority w:val="0"/>
    <w:qFormat/>
  </w:style>
  <w:style w:type="character" w:styleId="1030" w:customStyle="1">
    <w:name w:val="已访问的超链接1"/>
    <w:uiPriority w:val="0"/>
    <w:qFormat/>
    <w:rPr>
      <w:color w:val="800080"/>
      <w:u w:val="none"/>
    </w:rPr>
  </w:style>
  <w:style w:type="character" w:styleId="1031" w:customStyle="1">
    <w:name w:val="强调1"/>
    <w:uiPriority w:val="0"/>
    <w:qFormat/>
    <w:rPr>
      <w:b/>
      <w:bCs/>
    </w:rPr>
  </w:style>
  <w:style w:type="character" w:styleId="1032" w:customStyle="1">
    <w:name w:val="HTML 定义1"/>
    <w:uiPriority w:val="0"/>
    <w:qFormat/>
  </w:style>
  <w:style w:type="character" w:styleId="1033" w:customStyle="1">
    <w:name w:val="HTML 打字机1"/>
    <w:uiPriority w:val="0"/>
    <w:qFormat/>
    <w:rPr>
      <w:rFonts w:ascii="monospace" w:hAnsi="monospace" w:eastAsia="monospace" w:cs="monospace"/>
      <w:sz w:val="20"/>
    </w:rPr>
  </w:style>
  <w:style w:type="character" w:styleId="1034" w:customStyle="1">
    <w:name w:val="HTML 缩写1"/>
    <w:uiPriority w:val="0"/>
    <w:qFormat/>
  </w:style>
  <w:style w:type="character" w:styleId="1035" w:customStyle="1">
    <w:name w:val="HTML 变量1"/>
    <w:uiPriority w:val="0"/>
    <w:qFormat/>
  </w:style>
  <w:style w:type="character" w:styleId="1036" w:customStyle="1">
    <w:name w:val="超链接1"/>
    <w:uiPriority w:val="99"/>
    <w:qFormat/>
    <w:rPr>
      <w:color w:val="0000ff"/>
      <w:u w:val="none"/>
    </w:rPr>
  </w:style>
  <w:style w:type="character" w:styleId="1037" w:customStyle="1">
    <w:name w:val="HTML 代码1"/>
    <w:uiPriority w:val="0"/>
    <w:qFormat/>
    <w:rPr>
      <w:rFonts w:ascii="monospace" w:hAnsi="monospace" w:eastAsia="monospace" w:cs="monospace"/>
      <w:sz w:val="18"/>
      <w:szCs w:val="18"/>
    </w:rPr>
  </w:style>
  <w:style w:type="character" w:styleId="1038" w:customStyle="1">
    <w:name w:val="批注引用1"/>
    <w:uiPriority w:val="0"/>
    <w:qFormat/>
    <w:rPr>
      <w:sz w:val="21"/>
      <w:szCs w:val="21"/>
    </w:rPr>
  </w:style>
  <w:style w:type="character" w:styleId="1039" w:customStyle="1">
    <w:name w:val="HTML 引文1"/>
    <w:uiPriority w:val="0"/>
    <w:qFormat/>
  </w:style>
  <w:style w:type="character" w:styleId="1040" w:customStyle="1">
    <w:name w:val="HTML 键盘1"/>
    <w:uiPriority w:val="0"/>
    <w:qFormat/>
    <w:rPr>
      <w:rFonts w:ascii="monospace" w:hAnsi="monospace" w:eastAsia="monospace" w:cs="monospace"/>
      <w:sz w:val="20"/>
    </w:rPr>
  </w:style>
  <w:style w:type="character" w:styleId="1041" w:customStyle="1">
    <w:name w:val="HTML 样本1"/>
    <w:uiPriority w:val="0"/>
    <w:qFormat/>
    <w:rPr>
      <w:rFonts w:ascii="monospace" w:hAnsi="monospace" w:eastAsia="monospace" w:cs="monospace"/>
    </w:rPr>
  </w:style>
  <w:style w:type="character" w:styleId="1042" w:customStyle="1">
    <w:name w:val="Default Char"/>
    <w:link w:val="829"/>
    <w:uiPriority w:val="99"/>
    <w:qFormat/>
    <w:rPr>
      <w:rFonts w:ascii="MS Mincho" w:eastAsia="MS Mincho"/>
      <w:color w:val="000000"/>
      <w:sz w:val="24"/>
      <w:szCs w:val="24"/>
      <w:lang w:val="en-US" w:eastAsia="zh-CN" w:bidi="ar-SA"/>
    </w:rPr>
  </w:style>
  <w:style w:type="character" w:styleId="1043" w:customStyle="1">
    <w:name w:val="纯文本 Char1"/>
    <w:uiPriority w:val="0"/>
    <w:qFormat/>
    <w:rPr>
      <w:rFonts w:ascii="宋体" w:hAnsi="Courier New"/>
      <w:sz w:val="21"/>
    </w:rPr>
  </w:style>
  <w:style w:type="character" w:styleId="1044" w:customStyle="1">
    <w:name w:val="标题2 Char"/>
    <w:uiPriority w:val="0"/>
    <w:qFormat/>
    <w:rPr>
      <w:rFonts w:ascii="方正楷体_GBK" w:hAnsi="Book Antiqua" w:eastAsia="方正楷体_GBK"/>
      <w:sz w:val="32"/>
      <w:lang w:val="en-US" w:eastAsia="zh-CN" w:bidi="ar-SA"/>
    </w:rPr>
  </w:style>
  <w:style w:type="character" w:styleId="1045" w:customStyle="1">
    <w:name w:val="列出段落 Char"/>
    <w:link w:val="1046"/>
    <w:uiPriority w:val="0"/>
    <w:qFormat/>
    <w:rPr>
      <w:rFonts w:ascii="Calibri" w:hAnsi="Calibri"/>
      <w:sz w:val="24"/>
      <w:szCs w:val="24"/>
      <w:lang w:eastAsia="en-US" w:bidi="en-US"/>
    </w:rPr>
  </w:style>
  <w:style w:type="paragraph" w:styleId="1046" w:customStyle="1">
    <w:name w:val="列出段落1"/>
    <w:basedOn w:val="791"/>
    <w:link w:val="1045"/>
    <w:uiPriority w:val="0"/>
    <w:qFormat/>
    <w:pPr>
      <w:contextualSpacing/>
      <w:ind w:left="720"/>
      <w:jc w:val="left"/>
      <w:widowControl/>
    </w:pPr>
    <w:rPr>
      <w:sz w:val="24"/>
      <w:lang w:eastAsia="en-US" w:bidi="en-US"/>
    </w:rPr>
  </w:style>
  <w:style w:type="character" w:styleId="1047" w:customStyle="1">
    <w:name w:val="mini-outputtext1"/>
    <w:uiPriority w:val="0"/>
    <w:qFormat/>
  </w:style>
  <w:style w:type="character" w:styleId="1048" w:customStyle="1">
    <w:name w:val="font21"/>
    <w:uiPriority w:val="0"/>
    <w:qFormat/>
    <w:rPr>
      <w:rFonts w:hint="eastAsia" w:ascii="宋体" w:hAnsi="宋体" w:eastAsia="宋体" w:cs="宋体"/>
      <w:color w:val="000000"/>
      <w:sz w:val="22"/>
      <w:szCs w:val="22"/>
      <w:u w:val="none"/>
    </w:rPr>
  </w:style>
  <w:style w:type="character" w:styleId="1049" w:customStyle="1">
    <w:name w:val="二级标题2 Char"/>
    <w:link w:val="1050"/>
    <w:uiPriority w:val="0"/>
    <w:qFormat/>
    <w:rPr>
      <w:rFonts w:ascii="华文中宋" w:hAnsi="华文中宋" w:eastAsia="华文中宋"/>
      <w:b/>
      <w:bCs/>
      <w:sz w:val="24"/>
      <w:szCs w:val="24"/>
    </w:rPr>
  </w:style>
  <w:style w:type="paragraph" w:styleId="1050" w:customStyle="1">
    <w:name w:val="二级标题2"/>
    <w:basedOn w:val="979"/>
    <w:next w:val="995"/>
    <w:link w:val="1049"/>
    <w:uiPriority w:val="0"/>
    <w:qFormat/>
    <w:pPr>
      <w:jc w:val="both"/>
      <w:spacing w:before="0" w:after="0" w:line="360" w:lineRule="auto"/>
    </w:pPr>
    <w:rPr>
      <w:rFonts w:ascii="华文中宋" w:hAnsi="华文中宋" w:eastAsia="华文中宋"/>
      <w:bCs/>
      <w:sz w:val="24"/>
      <w:szCs w:val="24"/>
    </w:rPr>
  </w:style>
  <w:style w:type="character" w:styleId="1051" w:customStyle="1">
    <w:name w:val="jj1"/>
    <w:uiPriority w:val="0"/>
    <w:qFormat/>
    <w:rPr>
      <w:sz w:val="20"/>
      <w:szCs w:val="20"/>
      <w:u w:val="none"/>
    </w:rPr>
  </w:style>
  <w:style w:type="character" w:styleId="1052" w:customStyle="1">
    <w:name w:val="apple-style-span"/>
    <w:uiPriority w:val="0"/>
    <w:qFormat/>
  </w:style>
  <w:style w:type="character" w:styleId="1053" w:customStyle="1">
    <w:name w:val="font41"/>
    <w:uiPriority w:val="0"/>
    <w:qFormat/>
    <w:rPr>
      <w:rFonts w:ascii="Arial" w:hAnsi="Arial" w:cs="Arial"/>
      <w:color w:val="000000"/>
      <w:sz w:val="22"/>
      <w:szCs w:val="22"/>
      <w:u w:val="none"/>
    </w:rPr>
  </w:style>
  <w:style w:type="paragraph" w:styleId="1054" w:customStyle="1">
    <w:name w:val="Char Char Char Char1 Char Char"/>
    <w:basedOn w:val="791"/>
    <w:uiPriority w:val="0"/>
    <w:qFormat/>
    <w:pPr>
      <w:tabs>
        <w:tab w:val="left" w:pos="360" w:leader="none"/>
      </w:tabs>
    </w:pPr>
    <w:rPr>
      <w:sz w:val="24"/>
    </w:rPr>
  </w:style>
  <w:style w:type="paragraph" w:styleId="1055" w:customStyle="1">
    <w:name w:val="正文1"/>
    <w:basedOn w:val="791"/>
    <w:next w:val="791"/>
    <w:uiPriority w:val="0"/>
    <w:qFormat/>
    <w:pPr>
      <w:ind w:left="357" w:firstLine="420"/>
      <w:jc w:val="left"/>
      <w:spacing w:line="360" w:lineRule="auto"/>
      <w:widowControl/>
    </w:pPr>
    <w:rPr>
      <w:rFonts w:cs="Arial"/>
      <w:szCs w:val="20"/>
    </w:rPr>
  </w:style>
  <w:style w:type="paragraph" w:styleId="1056" w:customStyle="1">
    <w:name w:val="Table Paragraph"/>
    <w:basedOn w:val="791"/>
    <w:uiPriority w:val="1"/>
    <w:qFormat/>
    <w:rPr>
      <w:rFonts w:ascii="宋体" w:hAnsi="宋体" w:cs="宋体"/>
      <w:szCs w:val="22"/>
      <w:lang w:val="ja-JP" w:eastAsia="ja-JP" w:bidi="ja-JP"/>
    </w:rPr>
  </w:style>
  <w:style w:type="paragraph" w:styleId="1057" w:customStyle="1">
    <w:name w:val="BioQuote Tekst"/>
    <w:basedOn w:val="791"/>
    <w:uiPriority w:val="0"/>
    <w:qFormat/>
    <w:pPr>
      <w:ind w:right="-1"/>
    </w:pPr>
    <w:rPr>
      <w:rFonts w:ascii="Arial" w:hAnsi="Arial"/>
      <w:sz w:val="22"/>
      <w:szCs w:val="20"/>
      <w:lang w:eastAsia="en-US"/>
    </w:rPr>
  </w:style>
  <w:style w:type="paragraph" w:styleId="1058" w:customStyle="1">
    <w:name w:val="Other|1"/>
    <w:basedOn w:val="791"/>
    <w:uiPriority w:val="0"/>
    <w:qFormat/>
    <w:pPr>
      <w:ind w:firstLine="400"/>
      <w:spacing w:line="415" w:lineRule="auto"/>
    </w:pPr>
    <w:rPr>
      <w:rFonts w:ascii="宋体" w:hAnsi="宋体" w:cs="宋体"/>
      <w:lang w:val="zh-TW" w:eastAsia="zh-TW" w:bidi="zh-TW"/>
    </w:rPr>
  </w:style>
  <w:style w:type="paragraph" w:styleId="1059" w:customStyle="1">
    <w:name w:val="Char Char Char Char"/>
    <w:basedOn w:val="991"/>
    <w:uiPriority w:val="0"/>
    <w:qFormat/>
    <w:pPr>
      <w:spacing w:line="360" w:lineRule="auto"/>
    </w:pPr>
    <w:rPr>
      <w:rFonts w:ascii="Tahoma" w:hAnsi="Tahoma"/>
      <w:sz w:val="24"/>
    </w:rPr>
  </w:style>
  <w:style w:type="paragraph" w:styleId="1060" w:customStyle="1">
    <w:name w:val="第四级"/>
    <w:basedOn w:val="791"/>
    <w:next w:val="791"/>
    <w:uiPriority w:val="0"/>
    <w:qFormat/>
    <w:pPr>
      <w:numPr>
        <w:ilvl w:val="3"/>
        <w:numId w:val="1"/>
      </w:numPr>
      <w:spacing w:line="360" w:lineRule="auto"/>
    </w:pPr>
    <w:rPr>
      <w:rFonts w:ascii="宋体" w:hAnsi="宋体" w:eastAsia="仿宋"/>
      <w:sz w:val="28"/>
      <w:szCs w:val="21"/>
    </w:rPr>
  </w:style>
  <w:style w:type="paragraph" w:styleId="1061" w:customStyle="1">
    <w:name w:val="普通正文"/>
    <w:basedOn w:val="791"/>
    <w:uiPriority w:val="0"/>
    <w:qFormat/>
    <w:pPr>
      <w:ind w:firstLine="480"/>
      <w:jc w:val="left"/>
      <w:spacing w:before="120" w:after="120" w:line="360" w:lineRule="auto"/>
    </w:pPr>
    <w:rPr>
      <w:rFonts w:ascii="Arial" w:hAnsi="Arial"/>
      <w:sz w:val="24"/>
    </w:rPr>
  </w:style>
  <w:style w:type="paragraph" w:styleId="106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63" w:customStyle="1">
    <w:name w:val="标题1"/>
    <w:basedOn w:val="791"/>
    <w:next w:val="791"/>
    <w:uiPriority w:val="0"/>
    <w:qFormat/>
    <w:pPr>
      <w:jc w:val="center"/>
      <w:spacing w:line="700" w:lineRule="atLeast"/>
      <w:tabs>
        <w:tab w:val="left" w:pos="9193" w:leader="none"/>
        <w:tab w:val="left" w:pos="9827" w:leader="none"/>
      </w:tabs>
    </w:pPr>
    <w:rPr>
      <w:rFonts w:eastAsia="方正小标宋_GBK"/>
      <w:sz w:val="44"/>
    </w:rPr>
  </w:style>
  <w:style w:type="paragraph" w:styleId="1064" w:customStyle="1">
    <w:name w:val="Coms Alinea"/>
    <w:uiPriority w:val="0"/>
    <w:qFormat/>
    <w:pPr>
      <w:widowControl w:val="off"/>
    </w:pPr>
    <w:rPr>
      <w:rFonts w:ascii="Arial" w:hAnsi="Arial" w:eastAsia="宋体" w:cs="Arial"/>
      <w:lang w:val="en-US" w:eastAsia="zh-CN" w:bidi="ar-SA"/>
    </w:rPr>
  </w:style>
  <w:style w:type="paragraph" w:styleId="106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67" w:customStyle="1">
    <w:name w:val="列出段落2"/>
    <w:basedOn w:val="791"/>
    <w:uiPriority w:val="34"/>
    <w:qFormat/>
    <w:pPr>
      <w:ind w:firstLine="420"/>
    </w:pPr>
    <w:rPr>
      <w:rFonts w:ascii="Calibri" w:hAnsi="Calibri"/>
      <w:szCs w:val="22"/>
    </w:rPr>
  </w:style>
  <w:style w:type="paragraph" w:styleId="1068" w:customStyle="1">
    <w:name w:val="Char"/>
    <w:basedOn w:val="791"/>
    <w:uiPriority w:val="0"/>
    <w:qFormat/>
    <w:pPr>
      <w:ind w:firstLine="916"/>
      <w:jc w:val="center"/>
      <w:tabs>
        <w:tab w:val="left" w:pos="360" w:leader="none"/>
      </w:tabs>
    </w:pPr>
    <w:rPr>
      <w:rFonts w:ascii="宋体" w:hAnsi="宋体"/>
      <w:b/>
      <w:bCs/>
      <w:sz w:val="24"/>
      <w:szCs w:val="21"/>
    </w:rPr>
  </w:style>
  <w:style w:type="paragraph" w:styleId="1069" w:customStyle="1">
    <w:name w:val="标题2"/>
    <w:basedOn w:val="791"/>
    <w:next w:val="791"/>
    <w:uiPriority w:val="0"/>
    <w:qFormat/>
    <w:pPr>
      <w:jc w:val="center"/>
    </w:pPr>
    <w:rPr>
      <w:rFonts w:eastAsia="方正楷体_GBK"/>
    </w:rPr>
  </w:style>
  <w:style w:type="paragraph" w:styleId="1070" w:customStyle="1">
    <w:name w:val="段"/>
    <w:next w:val="107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71" w:customStyle="1">
    <w:name w:val="正文 A"/>
    <w:next w:val="1070"/>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1072" w:customStyle="1">
    <w:name w:val="标题3"/>
    <w:basedOn w:val="791"/>
    <w:next w:val="791"/>
    <w:uiPriority w:val="0"/>
    <w:qFormat/>
    <w:rPr>
      <w:rFonts w:eastAsia="方正黑体_GBK"/>
    </w:rPr>
  </w:style>
  <w:style w:type="paragraph" w:styleId="1073" w:customStyle="1">
    <w:name w:val="TOC 标题2"/>
    <w:basedOn w:val="978"/>
    <w:next w:val="791"/>
    <w:uiPriority w:val="39"/>
    <w:qFormat/>
    <w:pPr>
      <w:jc w:val="left"/>
      <w:keepLines/>
      <w:spacing w:before="480" w:line="276" w:lineRule="auto"/>
      <w:widowControl/>
      <w:outlineLvl w:val="9"/>
    </w:pPr>
    <w:rPr>
      <w:rFonts w:ascii="Cambria" w:hAnsi="Cambria" w:eastAsia="宋体"/>
      <w:b/>
      <w:bCs/>
      <w:color w:val="365f91"/>
      <w:szCs w:val="28"/>
    </w:rPr>
  </w:style>
  <w:style w:type="paragraph" w:styleId="1074" w:customStyle="1">
    <w:name w:val="正文 1.1"/>
    <w:basedOn w:val="791"/>
    <w:next w:val="107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75" w:customStyle="1">
    <w:name w:val="正文 1.1.1"/>
    <w:basedOn w:val="791"/>
    <w:next w:val="791"/>
    <w:uiPriority w:val="0"/>
    <w:qFormat/>
    <w:pPr>
      <w:numPr>
        <w:ilvl w:val="2"/>
        <w:numId w:val="1"/>
      </w:numPr>
      <w:spacing w:line="360" w:lineRule="auto"/>
      <w:outlineLvl w:val="2"/>
    </w:pPr>
    <w:rPr>
      <w:rFonts w:ascii="宋体" w:hAnsi="宋体"/>
      <w:color w:val="000000"/>
      <w:sz w:val="28"/>
      <w:szCs w:val="21"/>
    </w:rPr>
  </w:style>
  <w:style w:type="paragraph" w:styleId="1076" w:customStyle="1">
    <w:name w:val="Style1"/>
    <w:basedOn w:val="791"/>
    <w:uiPriority w:val="0"/>
    <w:qFormat/>
    <w:pPr>
      <w:spacing w:after="120"/>
      <w:widowControl/>
      <w:tabs>
        <w:tab w:val="left" w:pos="-720" w:leader="none"/>
      </w:tabs>
    </w:pPr>
    <w:rPr>
      <w:spacing w:val="-3"/>
      <w:sz w:val="24"/>
      <w:szCs w:val="20"/>
      <w:lang w:val="en-AU" w:eastAsia="en-US"/>
    </w:rPr>
  </w:style>
  <w:style w:type="paragraph" w:styleId="1077" w:customStyle="1">
    <w:name w:val="Char1"/>
    <w:basedOn w:val="791"/>
    <w:uiPriority w:val="0"/>
    <w:qFormat/>
    <w:rPr>
      <w:rFonts w:ascii="Tahoma" w:hAnsi="Tahoma"/>
      <w:sz w:val="24"/>
      <w:szCs w:val="20"/>
    </w:rPr>
  </w:style>
  <w:style w:type="paragraph" w:styleId="1078" w:customStyle="1">
    <w:name w:val="正文空2格  1."/>
    <w:basedOn w:val="791"/>
    <w:uiPriority w:val="0"/>
    <w:qFormat/>
    <w:pPr>
      <w:ind w:firstLine="480"/>
      <w:spacing w:line="360" w:lineRule="auto"/>
    </w:pPr>
    <w:rPr>
      <w:rFonts w:ascii="宋体" w:eastAsia="仿宋" w:cs="宋体"/>
      <w:sz w:val="28"/>
      <w:szCs w:val="20"/>
    </w:rPr>
  </w:style>
  <w:style w:type="paragraph" w:styleId="107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80" w:customStyle="1">
    <w:name w:val="默认段落字体 Para Char Char Char Char Char Char Char Char Char1 Char Char Char Char Char Char Char"/>
    <w:basedOn w:val="991"/>
    <w:uiPriority w:val="0"/>
    <w:qFormat/>
    <w:rPr>
      <w:rFonts w:ascii="Tahoma" w:hAnsi="Tahoma"/>
      <w:sz w:val="24"/>
    </w:rPr>
  </w:style>
  <w:style w:type="paragraph" w:styleId="1081" w:customStyle="1">
    <w:name w:val="xl47"/>
    <w:basedOn w:val="79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82" w:customStyle="1">
    <w:name w:val="HTML 预先格式化"/>
    <w:basedOn w:val="7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83" w:customStyle="1">
    <w:name w:val="正文 第一章"/>
    <w:basedOn w:val="791"/>
    <w:next w:val="107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84" w:customStyle="1">
    <w:name w:val="Char Char Char Char1 Char Char Char"/>
    <w:basedOn w:val="991"/>
    <w:uiPriority w:val="0"/>
    <w:qFormat/>
    <w:pPr>
      <w:spacing w:line="360" w:lineRule="auto"/>
    </w:pPr>
    <w:rPr>
      <w:rFonts w:ascii="Tahoma" w:hAnsi="Tahoma"/>
      <w:sz w:val="24"/>
    </w:rPr>
  </w:style>
  <w:style w:type="table" w:styleId="1085" w:customStyle="1">
    <w:name w:val="网格型1"/>
    <w:basedOn w:val="985"/>
    <w:uiPriority w:val="0"/>
    <w:qFormat/>
    <w:pPr>
      <w:jc w:val="both"/>
    </w:pPr>
    <w:tblPr/>
  </w:style>
  <w:style w:type="paragraph" w:styleId="1086" w:customStyle="1">
    <w:name w:val="Body text|1"/>
    <w:basedOn w:val="791"/>
    <w:uiPriority w:val="0"/>
    <w:qFormat/>
    <w:pPr>
      <w:ind w:firstLine="400"/>
      <w:jc w:val="left"/>
      <w:spacing w:line="480" w:lineRule="auto"/>
    </w:pPr>
    <w:rPr>
      <w:rFonts w:ascii="宋体" w:hAnsi="宋体" w:cs="宋体"/>
      <w:sz w:val="22"/>
      <w:szCs w:val="22"/>
      <w:lang w:val="zh-TW" w:eastAsia="zh-TW" w:bidi="zh-TW"/>
    </w:rPr>
  </w:style>
  <w:style w:type="character" w:styleId="1087" w:customStyle="1">
    <w:name w:val="批注框文本 字符"/>
    <w:basedOn w:val="801"/>
    <w:link w:val="811"/>
    <w:uiPriority w:val="99"/>
    <w:semiHidden/>
    <w:qFormat/>
    <w:rPr>
      <w:sz w:val="18"/>
      <w:szCs w:val="18"/>
    </w:rPr>
  </w:style>
  <w:style w:type="paragraph" w:styleId="1088" w:customStyle="1">
    <w:name w:val="正文_2"/>
    <w:next w:val="1089"/>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正文文本_0"/>
    <w:next w:val="1088"/>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10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1" w:customStyle="1">
    <w:name w:val="正文文本11"/>
    <w:uiPriority w:val="0"/>
    <w:qFormat/>
    <w:pPr>
      <w:jc w:val="both"/>
      <w:widowControl w:val="off"/>
    </w:pPr>
    <w:rPr>
      <w:rFonts w:ascii="楷体_GB2312" w:hAnsi="Arial" w:eastAsia="楷体_GB2312" w:cs="Times New Roman"/>
      <w:sz w:val="28"/>
      <w:szCs w:val="28"/>
      <w:lang w:val="en-US" w:eastAsia="zh-CN" w:bidi="ar-SA"/>
    </w:rPr>
  </w:style>
  <w:style w:type="paragraph" w:styleId="1092" w:customStyle="1">
    <w:name w:val="正文1_0"/>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Normal1"/>
    <w:next w:val="1092"/>
    <w:uiPriority w:val="0"/>
    <w:qFormat/>
    <w:pPr>
      <w:jc w:val="both"/>
      <w:widowControl w:val="off"/>
    </w:pPr>
    <w:rPr>
      <w:rFonts w:ascii="Calibri" w:hAnsi="Calibri" w:eastAsia="宋体" w:cs="Times New Roman"/>
      <w:sz w:val="21"/>
      <w:szCs w:val="24"/>
      <w:lang w:val="en-US" w:eastAsia="zh-CN" w:bidi="ar-SA"/>
    </w:rPr>
  </w:style>
  <w:style w:type="character" w:styleId="1094" w:customStyle="1">
    <w:name w:val="Unresolved Mention"/>
    <w:basedOn w:val="801"/>
    <w:uiPriority w:val="99"/>
    <w:semiHidden/>
    <w:unhideWhenUsed/>
    <w:qFormat/>
    <w:rPr>
      <w:color w:val="605e5c"/>
      <w:shd w:val="clear" w:color="auto" w:fill="e1dfdd"/>
    </w:rPr>
  </w:style>
  <w:style w:type="numbering" w:styleId="109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江苏振兴工程项目管理有限公司</cp:lastModifiedBy>
  <cp:revision>5</cp:revision>
  <dcterms:created xsi:type="dcterms:W3CDTF">2026-04-17T00:08:00Z</dcterms:created>
  <dcterms:modified xsi:type="dcterms:W3CDTF">2026-04-29T08:49:24Z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eyJoZGlkIjoiM2EwMGMxYjcyYzUwNTcxNDgzMWY5YTYwNjY2YWQ4YzkiLCJ1c2VySWQiOiIyNTMzMDc5MDcifQ==</vt:lpwstr>
  </property>
  <property fmtid="{D5CDD505-2E9C-101B-9397-08002B2CF9AE}" pid="3" name="KSOProductBuildVer">
    <vt:lpwstr>2052-12.1.0.25865</vt:lpwstr>
  </property>
  <property fmtid="{D5CDD505-2E9C-101B-9397-08002B2CF9AE}" pid="4" name="ICV">
    <vt:lpwstr>7934898ADAFA45C4BE47728A81452CB0_13</vt:lpwstr>
  </property>
</Properties>
</file>