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6"/>
        <w:ind w:firstLine="0"/>
        <w:rPr>
          <w:rFonts w:eastAsia="黑体"/>
          <w:b/>
          <w:bCs/>
          <w:sz w:val="84"/>
          <w:shd w:val="clear" w:color="ffffff" w:fill="d9d9d9"/>
        </w:rPr>
      </w:pPr>
      <w:r>
        <w:rPr>
          <w:rFonts w:eastAsia="黑体"/>
          <w:b/>
          <w:bCs/>
          <w:sz w:val="84"/>
          <w:shd w:val="clear" w:color="ffffff" w:fill="d9d9d9"/>
        </w:rPr>
      </w:r>
      <w:r/>
    </w:p>
    <w:p>
      <w:pPr>
        <w:pStyle w:val="766"/>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6"/>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766"/>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766"/>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766"/>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ind w:firstLine="192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项目编号：</w:t>
      </w:r>
      <w:r>
        <w:rPr>
          <w:rFonts w:hint="eastAsia" w:ascii="黑体" w:hAnsi="华文中宋" w:eastAsia="黑体"/>
          <w:bCs/>
          <w:sz w:val="32"/>
          <w:szCs w:val="32"/>
          <w:lang w:eastAsia="zh-CN"/>
        </w:rPr>
        <w:t xml:space="preserve">JSZC-320214-JZCG-G2026-0015</w:t>
      </w:r>
      <w:r/>
    </w:p>
    <w:p>
      <w:pPr>
        <w:ind w:firstLine="192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项目名称：</w:t>
      </w:r>
      <w:r>
        <w:rPr>
          <w:rFonts w:hint="eastAsia" w:ascii="黑体" w:hAnsi="华文中宋" w:eastAsia="黑体"/>
          <w:bCs/>
          <w:sz w:val="32"/>
          <w:szCs w:val="32"/>
          <w:lang w:eastAsia="zh-CN"/>
        </w:rPr>
        <w:t xml:space="preserve">鸿泰苑三区物业管理服务外包项目</w:t>
      </w:r>
      <w:r/>
    </w:p>
    <w:p>
      <w:pPr>
        <w:ind w:left="3519" w:hanging="1600"/>
        <w:jc w:val="left"/>
        <w:rPr>
          <w:rFonts w:ascii="黑体" w:hAnsi="华文中宋" w:eastAsia="黑体"/>
          <w:bCs/>
          <w:sz w:val="32"/>
          <w:szCs w:val="32"/>
        </w:rPr>
      </w:pPr>
      <w:r>
        <w:rPr>
          <w:rFonts w:hint="eastAsia" w:ascii="黑体" w:hAnsi="华文中宋" w:eastAsia="黑体"/>
          <w:bCs/>
          <w:sz w:val="32"/>
          <w:szCs w:val="32"/>
        </w:rPr>
        <w:t xml:space="preserve">采 购 人：无锡市新吴区人民政府鸿山街道办事处</w:t>
      </w:r>
      <w:r/>
    </w:p>
    <w:p>
      <w:pPr>
        <w:jc w:val="center"/>
        <w:rPr>
          <w:rFonts w:ascii="黑体" w:hAnsi="华文中宋" w:eastAsia="黑体"/>
          <w:bCs/>
          <w:sz w:val="30"/>
          <w:szCs w:val="30"/>
        </w:rPr>
      </w:pPr>
      <w:r>
        <w:rPr>
          <w:rFonts w:ascii="黑体" w:hAnsi="华文中宋" w:eastAsia="黑体"/>
          <w:bCs/>
          <w:sz w:val="30"/>
          <w:szCs w:val="30"/>
        </w:rPr>
      </w:r>
      <w:r/>
    </w:p>
    <w:p>
      <w:pPr>
        <w:pStyle w:val="766"/>
        <w:ind w:firstLine="0"/>
        <w:jc w:val="center"/>
        <w:spacing w:before="0" w:after="0"/>
        <w:rPr>
          <w:rFonts w:ascii="宋体" w:hAnsi="宋体"/>
          <w:shd w:val="clear" w:color="ffffff" w:fill="d9d9d9"/>
        </w:rPr>
      </w:pPr>
      <w:r>
        <w:rPr>
          <w:rFonts w:ascii="宋体" w:hAnsi="宋体"/>
          <w:shd w:val="clear" w:color="ffffff" w:fill="d9d9d9"/>
        </w:rPr>
      </w:r>
      <w:r/>
    </w:p>
    <w:p>
      <w:pPr>
        <w:pStyle w:val="766"/>
        <w:ind w:firstLine="0"/>
        <w:jc w:val="center"/>
        <w:spacing w:before="0" w:after="0"/>
        <w:rPr>
          <w:rFonts w:ascii="宋体" w:hAnsi="宋体"/>
          <w:shd w:val="clear" w:color="ffffff" w:fill="d9d9d9"/>
        </w:rPr>
      </w:pPr>
      <w:r>
        <w:rPr>
          <w:rFonts w:ascii="宋体" w:hAnsi="宋体"/>
          <w:shd w:val="clear" w:color="ffffff" w:fill="d9d9d9"/>
        </w:rPr>
      </w:r>
      <w:r/>
    </w:p>
    <w:p>
      <w:pPr>
        <w:pStyle w:val="766"/>
        <w:ind w:firstLine="0"/>
        <w:jc w:val="center"/>
        <w:spacing w:before="0" w:after="0"/>
        <w:rPr>
          <w:rFonts w:ascii="宋体" w:hAnsi="宋体"/>
          <w:shd w:val="clear" w:color="ffffff" w:fill="d9d9d9"/>
        </w:rPr>
      </w:pPr>
      <w:r>
        <w:rPr>
          <w:rFonts w:ascii="宋体" w:hAnsi="宋体"/>
          <w:shd w:val="clear" w:color="ffffff" w:fill="d9d9d9"/>
        </w:rPr>
      </w:r>
      <w:r/>
    </w:p>
    <w:p>
      <w:pPr>
        <w:pStyle w:val="766"/>
        <w:ind w:firstLine="0"/>
        <w:jc w:val="center"/>
        <w:spacing w:before="0" w:after="0"/>
        <w:rPr>
          <w:rFonts w:ascii="宋体" w:hAnsi="宋体" w:eastAsia="黑体"/>
          <w:sz w:val="32"/>
          <w:szCs w:val="32"/>
          <w:shd w:val="clear" w:color="ffffff" w:fill="d9d9d9"/>
        </w:rPr>
      </w:pPr>
      <w:r>
        <w:rPr>
          <w:rFonts w:hint="eastAsia" w:ascii="黑体" w:hAnsi="华文中宋" w:eastAsia="黑体"/>
          <w:bCs/>
          <w:color w:val="000000"/>
          <w:sz w:val="32"/>
          <w:szCs w:val="32"/>
        </w:rPr>
        <w:t xml:space="preserve">采购代理机构：无锡市公共资源交易中心新吴分中心</w:t>
      </w:r>
      <w:r/>
    </w:p>
    <w:p>
      <w:pPr>
        <w:pStyle w:val="766"/>
        <w:ind w:firstLine="0"/>
        <w:jc w:val="center"/>
        <w:rPr>
          <w:rFonts w:ascii="黑体" w:hAnsi="华文中宋" w:eastAsia="黑体"/>
          <w:bCs/>
          <w:sz w:val="32"/>
          <w:szCs w:val="32"/>
        </w:rPr>
      </w:pPr>
      <w:r>
        <w:rPr>
          <w:rFonts w:hint="eastAsia" w:ascii="黑体" w:hAnsi="华文中宋" w:eastAsia="黑体"/>
          <w:bCs/>
          <w:sz w:val="32"/>
          <w:szCs w:val="32"/>
        </w:rPr>
        <w:t xml:space="preserve">二○二</w:t>
      </w:r>
      <w:r>
        <w:rPr>
          <w:rFonts w:hint="eastAsia" w:ascii="黑体" w:hAnsi="华文中宋" w:eastAsia="黑体"/>
          <w:bCs/>
          <w:sz w:val="32"/>
          <w:szCs w:val="32"/>
          <w:lang w:eastAsia="zh-CN"/>
        </w:rPr>
        <w:t xml:space="preserve">六</w:t>
      </w:r>
      <w:r>
        <w:rPr>
          <w:rFonts w:hint="eastAsia" w:ascii="黑体" w:hAnsi="华文中宋" w:eastAsia="黑体"/>
          <w:bCs/>
          <w:sz w:val="32"/>
          <w:szCs w:val="32"/>
        </w:rPr>
        <w:t xml:space="preserve">年</w:t>
      </w:r>
      <w:r>
        <w:rPr>
          <w:rFonts w:hint="eastAsia" w:ascii="黑体" w:hAnsi="华文中宋" w:eastAsia="黑体"/>
          <w:bCs/>
          <w:sz w:val="32"/>
          <w:szCs w:val="32"/>
          <w:lang w:eastAsia="zh-CN"/>
        </w:rPr>
        <w:t xml:space="preserve">四</w:t>
      </w:r>
      <w:r>
        <w:rPr>
          <w:rFonts w:hint="eastAsia" w:ascii="黑体" w:hAnsi="华文中宋" w:eastAsia="黑体"/>
          <w:bCs/>
          <w:sz w:val="32"/>
          <w:szCs w:val="32"/>
        </w:rPr>
        <w:t xml:space="preserve">月</w:t>
      </w:r>
      <w:r/>
    </w:p>
    <w:p>
      <w:pPr>
        <w:pStyle w:val="766"/>
        <w:ind w:firstLine="0"/>
        <w:jc w:val="center"/>
        <w:rPr>
          <w:rFonts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黑体" w:hAnsi="黑体" w:eastAsia="黑体"/>
          <w:sz w:val="36"/>
          <w:szCs w:val="36"/>
        </w:rPr>
        <w:t xml:space="preserve">总  目  录</w:t>
      </w:r>
      <w:r/>
    </w:p>
    <w:p>
      <w:pPr>
        <w:jc w:val="center"/>
        <w:spacing w:line="480" w:lineRule="auto"/>
        <w:rPr>
          <w:rFonts w:ascii="黑体" w:hAnsi="Arial" w:eastAsia="黑体"/>
          <w:sz w:val="44"/>
        </w:rPr>
        <w:outlineLvl w:val="0"/>
      </w:pPr>
      <w:r>
        <w:rPr>
          <w:rFonts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评标方法与评标标准-----------------------（5</w:t>
      </w:r>
      <w:r>
        <w:rPr>
          <w:rFonts w:hint="eastAsia" w:ascii="宋体" w:hAnsi="宋体"/>
          <w:sz w:val="30"/>
          <w:szCs w:val="30"/>
          <w:lang w:val="en-US" w:eastAsia="zh-CN"/>
        </w:rPr>
        <w:t xml:space="preserve">1</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投标文件内容与格式-----------------------（6</w:t>
      </w:r>
      <w:r>
        <w:rPr>
          <w:rFonts w:hint="eastAsia" w:ascii="宋体" w:hAnsi="宋体"/>
          <w:sz w:val="30"/>
          <w:szCs w:val="30"/>
          <w:lang w:val="en-US" w:eastAsia="zh-CN"/>
        </w:rPr>
        <w:t xml:space="preserve">0</w:t>
      </w:r>
      <w:r>
        <w:rPr>
          <w:rFonts w:hint="eastAsia" w:ascii="宋体" w:hAnsi="宋体"/>
          <w:sz w:val="30"/>
          <w:szCs w:val="30"/>
        </w:rPr>
        <w:t xml:space="preserve">）</w:t>
      </w:r>
      <w:r/>
    </w:p>
    <w:p>
      <w:pPr>
        <w:jc w:val="center"/>
        <w:spacing w:line="500" w:lineRule="exact"/>
        <w:tabs>
          <w:tab w:val="left" w:pos="1440" w:leader="none"/>
        </w:tabs>
        <w:rPr>
          <w:rFonts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受无锡市新吴区人民政府鸿山街道办事处的委托，无锡市公共资源交易中心新吴分中心就</w:t>
      </w:r>
      <w:r>
        <w:rPr>
          <w:rFonts w:hint="eastAsia" w:ascii="宋体" w:hAnsi="宋体"/>
          <w:sz w:val="24"/>
          <w:szCs w:val="24"/>
          <w:lang w:eastAsia="zh-CN"/>
        </w:rPr>
        <w:t xml:space="preserve">鸿泰苑三区物业管理服务外包项目</w:t>
      </w:r>
      <w:r>
        <w:rPr>
          <w:rFonts w:hint="eastAsia" w:ascii="宋体" w:hAnsi="宋体"/>
          <w:sz w:val="24"/>
          <w:szCs w:val="24"/>
        </w:rPr>
        <w:t xml:space="preserve">（</w:t>
      </w:r>
      <w:r>
        <w:rPr>
          <w:rFonts w:hint="eastAsia" w:ascii="宋体" w:hAnsi="宋体"/>
          <w:sz w:val="24"/>
          <w:szCs w:val="24"/>
          <w:lang w:eastAsia="zh-CN"/>
        </w:rPr>
        <w:t xml:space="preserve">JSZC-320214-JZCG-G2026-0015</w:t>
      </w:r>
      <w:r>
        <w:rPr>
          <w:rFonts w:hint="eastAsia" w:ascii="宋体" w:hAnsi="宋体"/>
          <w:sz w:val="24"/>
          <w:szCs w:val="24"/>
        </w:rPr>
        <w:t xml:space="preserve">）进行公开招标采购，欢迎符合条件的供应商投标。</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lang w:eastAsia="zh-CN"/>
        </w:rPr>
        <w:t xml:space="preserve">鸿泰苑三区物业管理服务外包项目</w:t>
      </w:r>
      <w:r>
        <w:rPr>
          <w:rFonts w:hint="eastAsia" w:ascii="宋体" w:hAnsi="宋体"/>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w:t>
      </w:r>
      <w:r>
        <w:rPr>
          <w:rFonts w:hint="eastAsia" w:ascii="宋体" w:hAnsi="宋体"/>
          <w:color w:val="auto"/>
          <w:sz w:val="24"/>
          <w:szCs w:val="24"/>
          <w:highlight w:val="none"/>
        </w:rPr>
        <w:t xml:space="preserve">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79"/>
        <w:ind w:firstLine="452"/>
        <w:keepLines w:val="0"/>
        <w:keepNext w:val="0"/>
        <w:spacing w:before="0" w:after="0" w:line="500" w:lineRule="exact"/>
        <w:rPr>
          <w:sz w:val="30"/>
          <w:szCs w:val="30"/>
        </w:rPr>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JSZC-320214-JZCG-G2026-0015</w:t>
      </w:r>
      <w:r/>
    </w:p>
    <w:p>
      <w:pPr>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鸿泰苑三区物业管理服务外包项目</w:t>
      </w:r>
      <w:bookmarkEnd w:id="11"/>
      <w:r/>
    </w:p>
    <w:p>
      <w:pPr>
        <w:ind w:firstLine="480"/>
        <w:spacing w:line="500" w:lineRule="exact"/>
        <w:rPr>
          <w:rFonts w:hint="eastAsia" w:ascii="宋体" w:hAnsi="宋体"/>
          <w:sz w:val="24"/>
          <w:szCs w:val="24"/>
        </w:rPr>
      </w:pPr>
      <w:r>
        <w:rPr>
          <w:rFonts w:hint="eastAsia" w:ascii="宋体" w:hAnsi="宋体"/>
          <w:sz w:val="24"/>
          <w:szCs w:val="24"/>
        </w:rPr>
        <w:t xml:space="preserve">3.项目预算金额：992.276446万元</w:t>
      </w:r>
      <w:r/>
    </w:p>
    <w:p>
      <w:pPr>
        <w:ind w:firstLine="480"/>
        <w:spacing w:line="500" w:lineRule="exact"/>
        <w:rPr>
          <w:rFonts w:hint="eastAsia" w:ascii="宋体" w:hAnsi="宋体"/>
          <w:sz w:val="24"/>
          <w:szCs w:val="24"/>
        </w:rPr>
      </w:pPr>
      <w:r>
        <w:rPr>
          <w:rFonts w:hint="eastAsia" w:ascii="宋体" w:hAnsi="宋体"/>
          <w:sz w:val="24"/>
          <w:szCs w:val="24"/>
        </w:rPr>
        <w:t xml:space="preserve">4.项目最高限价：992.276446万元</w:t>
      </w:r>
      <w:r/>
    </w:p>
    <w:p>
      <w:pPr>
        <w:ind w:firstLine="480"/>
        <w:spacing w:line="500" w:lineRule="exact"/>
        <w:rPr>
          <w:rFonts w:ascii="宋体" w:hAnsi="宋体"/>
          <w:sz w:val="24"/>
          <w:szCs w:val="24"/>
        </w:rPr>
      </w:pPr>
      <w:r>
        <w:rPr>
          <w:rFonts w:hint="eastAsia" w:ascii="宋体" w:hAnsi="宋体"/>
          <w:sz w:val="24"/>
          <w:szCs w:val="24"/>
        </w:rPr>
        <w:t xml:space="preserve">5.采购方式：公开招标（暗标）</w:t>
      </w:r>
      <w:r/>
    </w:p>
    <w:p>
      <w:pPr>
        <w:ind w:firstLine="480"/>
        <w:spacing w:line="500" w:lineRule="exact"/>
        <w:rPr>
          <w:rFonts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cs="宋体"/>
          <w:sz w:val="24"/>
          <w:szCs w:val="24"/>
        </w:rPr>
        <w:t xml:space="preserve">8.本项目不接受联合体投标。</w:t>
      </w:r>
      <w:r/>
    </w:p>
    <w:p>
      <w:pPr>
        <w:pStyle w:val="679"/>
        <w:ind w:firstLine="452"/>
        <w:keepLines w:val="0"/>
        <w:keepNext w:val="0"/>
        <w:spacing w:before="0" w:after="0" w:line="500" w:lineRule="exact"/>
        <w:rPr>
          <w:sz w:val="30"/>
          <w:szCs w:val="30"/>
        </w:rPr>
      </w:pPr>
      <w:r/>
      <w:bookmarkStart w:id="12" w:name="_Toc38985264"/>
      <w:r/>
      <w:bookmarkStart w:id="13" w:name="_Toc28359003"/>
      <w:r/>
      <w:bookmarkStart w:id="14" w:name="_Toc35393791"/>
      <w:r/>
      <w:bookmarkStart w:id="15" w:name="_Toc28359080"/>
      <w:r/>
      <w:bookmarkStart w:id="16" w:name="_Toc35393622"/>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38985265"/>
      <w:r/>
      <w:bookmarkStart w:id="18" w:name="_Toc35393623"/>
      <w:r/>
      <w:bookmarkStart w:id="19" w:name="_Toc35393792"/>
      <w:r/>
      <w:bookmarkStart w:id="20" w:name="_Toc28359004"/>
      <w:r/>
      <w:bookmarkStart w:id="21" w:name="_Toc28359081"/>
      <w:r>
        <w:rPr>
          <w:rFonts w:hint="eastAsia" w:ascii="宋体" w:hAnsi="宋体"/>
          <w:sz w:val="24"/>
          <w:szCs w:val="24"/>
        </w:rPr>
        <w:t xml:space="preserve">1.满足《中华人民共和国政府采购法》第二十二条规定；</w:t>
      </w:r>
      <w:r/>
    </w:p>
    <w:p>
      <w:pPr>
        <w:ind w:firstLine="480"/>
        <w:spacing w:line="500" w:lineRule="exact"/>
        <w:rPr>
          <w:rFonts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ascii="宋体" w:hAnsi="宋体"/>
          <w:sz w:val="24"/>
          <w:szCs w:val="24"/>
        </w:rPr>
      </w:pPr>
      <w:r>
        <w:rPr>
          <w:rFonts w:hint="eastAsia" w:ascii="宋体" w:hAnsi="宋体"/>
          <w:sz w:val="24"/>
          <w:szCs w:val="24"/>
        </w:rPr>
        <w:t xml:space="preserve">2.1中小企业政策：本项目专门面向中小企业；</w:t>
      </w:r>
      <w:r/>
    </w:p>
    <w:p>
      <w:pPr>
        <w:ind w:firstLine="480"/>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rPr>
      </w:pPr>
      <w:r>
        <w:rPr>
          <w:rFonts w:hint="eastAsia" w:ascii="宋体" w:hAnsi="宋体"/>
          <w:sz w:val="24"/>
          <w:szCs w:val="24"/>
        </w:rPr>
        <w:t xml:space="preserve">3.本项目的特定资格要求：无。</w:t>
      </w:r>
      <w:r/>
    </w:p>
    <w:p>
      <w:pPr>
        <w:pStyle w:val="679"/>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p>
    <w:p>
      <w:pPr>
        <w:ind w:firstLine="540"/>
        <w:spacing w:line="500" w:lineRule="exact"/>
        <w:rPr>
          <w:rStyle w:val="728"/>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79"/>
        <w:ind w:firstLine="452"/>
        <w:keepLines w:val="0"/>
        <w:keepNext w:val="0"/>
        <w:spacing w:before="0" w:after="0" w:line="500" w:lineRule="exact"/>
        <w:rPr>
          <w:color w:val="auto"/>
          <w:sz w:val="30"/>
          <w:szCs w:val="30"/>
          <w:highlight w:val="none"/>
        </w:rPr>
      </w:pPr>
      <w:r>
        <w:rPr>
          <w:rFonts w:hint="eastAsia"/>
          <w:sz w:val="30"/>
          <w:szCs w:val="30"/>
        </w:rPr>
        <w:t xml:space="preserve">四、</w:t>
      </w:r>
      <w:r>
        <w:rPr>
          <w:rFonts w:hint="eastAsia"/>
          <w:color w:val="auto"/>
          <w:sz w:val="30"/>
          <w:szCs w:val="30"/>
          <w:highlight w:val="none"/>
        </w:rPr>
        <w:t xml:space="preserve">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05</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0</w:t>
      </w:r>
      <w:bookmarkStart w:id="203" w:name="_GoBack"/>
      <w:r/>
      <w:bookmarkEnd w:id="203"/>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点30分（北京时间）</w:t>
      </w:r>
      <w:r/>
    </w:p>
    <w:p>
      <w:pPr>
        <w:ind w:firstLine="480"/>
        <w:spacing w:line="500" w:lineRule="exact"/>
        <w:rPr>
          <w:rFonts w:ascii="宋体" w:hAnsi="宋体"/>
          <w:bCs/>
          <w:sz w:val="24"/>
          <w:szCs w:val="24"/>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ascii="宋体" w:hAnsi="宋体"/>
          <w:color w:val="000000"/>
          <w:sz w:val="24"/>
          <w:szCs w:val="24"/>
        </w:rPr>
        <w:t xml:space="preserve">”</w:t>
      </w:r>
      <w:r>
        <w:rPr>
          <w:rFonts w:hint="eastAsia" w:ascii="宋体" w:hAnsi="宋体"/>
          <w:sz w:val="24"/>
          <w:szCs w:val="24"/>
        </w:rPr>
        <w:t xml:space="preserve">网上开标大厅。</w:t>
      </w:r>
      <w:r/>
    </w:p>
    <w:p>
      <w:pPr>
        <w:pStyle w:val="679"/>
        <w:ind w:firstLine="452"/>
        <w:keepLines w:val="0"/>
        <w:keepNext w:val="0"/>
        <w:spacing w:before="0" w:after="0" w:line="500" w:lineRule="exact"/>
        <w:rPr>
          <w:sz w:val="30"/>
          <w:szCs w:val="30"/>
        </w:rPr>
      </w:pPr>
      <w:r/>
      <w:bookmarkStart w:id="27" w:name="_Toc28359007"/>
      <w:r/>
      <w:bookmarkStart w:id="28" w:name="_Toc35393625"/>
      <w:r/>
      <w:bookmarkStart w:id="29" w:name="_Toc35393794"/>
      <w:r/>
      <w:bookmarkStart w:id="30" w:name="_Toc28359084"/>
      <w:r/>
      <w:bookmarkStart w:id="31" w:name="_Toc38985267"/>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（招标公告及招标文件公告期限）自本公告发布之日起5个工作日。</w:t>
      </w:r>
      <w:r/>
    </w:p>
    <w:p>
      <w:pPr>
        <w:pStyle w:val="679"/>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79"/>
        <w:ind w:firstLine="452"/>
        <w:keepLines w:val="0"/>
        <w:keepNext w:val="0"/>
        <w:spacing w:before="0" w:after="0" w:line="500" w:lineRule="exact"/>
        <w:rPr>
          <w:sz w:val="30"/>
          <w:szCs w:val="30"/>
        </w:rPr>
      </w:pPr>
      <w:r/>
      <w:bookmarkStart w:id="35" w:name="_Toc28359008"/>
      <w:r/>
      <w:bookmarkStart w:id="36" w:name="_Toc35393627"/>
      <w:r/>
      <w:bookmarkStart w:id="37" w:name="_Toc35393796"/>
      <w:r/>
      <w:bookmarkStart w:id="38" w:name="_Toc28359085"/>
      <w:r/>
      <w:bookmarkStart w:id="39" w:name="_Toc38985269"/>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称：无锡市新吴区人民政府鸿山街道办事处</w:t>
      </w:r>
      <w:r/>
    </w:p>
    <w:p>
      <w:pPr>
        <w:ind w:firstLine="480"/>
        <w:spacing w:line="500" w:lineRule="exact"/>
        <w:rPr>
          <w:rFonts w:ascii="宋体" w:hAnsi="宋体" w:cs="宋体"/>
          <w:sz w:val="24"/>
          <w:szCs w:val="24"/>
        </w:rPr>
      </w:pPr>
      <w:r>
        <w:rPr>
          <w:rFonts w:hint="eastAsia" w:ascii="宋体" w:hAnsi="宋体" w:cs="宋体"/>
          <w:sz w:val="24"/>
          <w:szCs w:val="24"/>
        </w:rPr>
        <w:t xml:space="preserve">地    址：无锡市新吴区鸿山街道锦鸿路1号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称：无锡市公共资源交易中心新吴分中心</w:t>
      </w:r>
      <w:r/>
    </w:p>
    <w:p>
      <w:pPr>
        <w:ind w:firstLine="480"/>
        <w:spacing w:line="500" w:lineRule="exact"/>
        <w:rPr>
          <w:rFonts w:ascii="宋体" w:hAnsi="宋体" w:cs="宋体"/>
          <w:sz w:val="24"/>
          <w:szCs w:val="24"/>
        </w:rPr>
      </w:pPr>
      <w:r>
        <w:rPr>
          <w:rFonts w:hint="eastAsia" w:ascii="宋体" w:hAnsi="宋体" w:cs="宋体"/>
          <w:sz w:val="24"/>
          <w:szCs w:val="24"/>
        </w:rPr>
        <w:t xml:space="preserve">地    址：无锡市新吴区清晏路30号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采购人项目咨询联系人：朱鑫；电话：0510-88999718</w:t>
      </w:r>
      <w:r/>
    </w:p>
    <w:p>
      <w:pPr>
        <w:ind w:firstLine="480"/>
        <w:spacing w:line="500" w:lineRule="exact"/>
        <w:rPr>
          <w:rFonts w:ascii="宋体" w:hAnsi="宋体" w:cs="宋体"/>
          <w:sz w:val="24"/>
          <w:szCs w:val="24"/>
        </w:rPr>
      </w:pPr>
      <w:r>
        <w:rPr>
          <w:rFonts w:hint="eastAsia" w:ascii="宋体" w:hAnsi="宋体" w:cs="宋体"/>
          <w:sz w:val="24"/>
          <w:szCs w:val="24"/>
        </w:rPr>
        <w:t xml:space="preserve">采购人质疑受理联系人：朱鑫；电话：0510-88999718</w:t>
      </w:r>
      <w:r/>
    </w:p>
    <w:p>
      <w:pPr>
        <w:ind w:firstLine="480"/>
        <w:spacing w:line="500" w:lineRule="exact"/>
        <w:rPr>
          <w:rFonts w:ascii="宋体" w:hAnsi="宋体" w:cs="宋体"/>
          <w:sz w:val="24"/>
          <w:szCs w:val="24"/>
        </w:rPr>
      </w:pPr>
      <w:r>
        <w:rPr>
          <w:rFonts w:hint="eastAsia" w:ascii="宋体" w:hAnsi="宋体" w:cs="宋体"/>
          <w:sz w:val="24"/>
          <w:szCs w:val="24"/>
        </w:rPr>
        <w:t xml:space="preserve">交易中心项目联系人：华晓芸；电话：0510-85253039</w:t>
      </w:r>
      <w:r/>
    </w:p>
    <w:p>
      <w:pPr>
        <w:pStyle w:val="679"/>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\t "_blank" \o "“苏采云”系统供应商操作手册"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（三）有关本次采购的事项若存在变动或修改，敬请及时关注无锡市公共资源交易中心新吴分中心在“江苏政府采购网”发布的更正公告。</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ind w:firstLine="480"/>
        <w:spacing w:line="500" w:lineRule="exact"/>
        <w:tabs>
          <w:tab w:val="left" w:pos="900" w:leader="none"/>
        </w:tabs>
        <w:rPr>
          <w:rFonts w:ascii="宋体" w:hAnsi="宋体"/>
          <w:bCs/>
          <w:sz w:val="24"/>
          <w:szCs w:val="24"/>
          <w:shd w:val="clear" w:color="ffffff" w:fill="d9d9d9"/>
        </w:rPr>
      </w:pPr>
      <w:r>
        <w:rPr>
          <w:rFonts w:ascii="宋体" w:hAnsi="宋体"/>
          <w:bCs/>
          <w:sz w:val="24"/>
          <w:szCs w:val="24"/>
          <w:shd w:val="clear" w:color="ffffff" w:fill="d9d9d9"/>
        </w:rPr>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679"/>
        <w:ind w:firstLine="452"/>
        <w:keepLines w:val="0"/>
        <w:keepNext w:val="0"/>
        <w:spacing w:before="0" w:after="0" w:line="500" w:lineRule="exact"/>
        <w:rPr>
          <w:sz w:val="30"/>
          <w:szCs w:val="30"/>
        </w:rPr>
      </w:pPr>
      <w:r/>
      <w:bookmarkStart w:id="47" w:name="_Toc16938519"/>
      <w:r/>
      <w:bookmarkStart w:id="48" w:name="_Toc120614214"/>
      <w:r/>
      <w:bookmarkStart w:id="49" w:name="_Toc20823275"/>
      <w:r/>
      <w:bookmarkStart w:id="50" w:name="_Toc513029203"/>
      <w:r>
        <w:rPr>
          <w:rFonts w:hint="eastAsia"/>
          <w:sz w:val="30"/>
          <w:szCs w:val="30"/>
        </w:rPr>
        <w:t xml:space="preserve">一、总则</w:t>
      </w:r>
      <w:bookmarkEnd w:id="47"/>
      <w:r/>
      <w:bookmarkEnd w:id="48"/>
      <w:r/>
      <w:bookmarkEnd w:id="49"/>
      <w:r/>
      <w:bookmarkEnd w:id="50"/>
      <w:r/>
      <w:r/>
    </w:p>
    <w:p>
      <w:pPr>
        <w:pStyle w:val="680"/>
        <w:ind w:firstLine="422"/>
        <w:keepLines w:val="0"/>
        <w:keepNext w:val="0"/>
        <w:spacing w:before="0" w:after="0" w:line="500" w:lineRule="exact"/>
        <w:rPr>
          <w:rFonts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680"/>
        <w:ind w:firstLine="422"/>
        <w:keepLines w:val="0"/>
        <w:keepNext w:val="0"/>
        <w:spacing w:before="0" w:after="0" w:line="500" w:lineRule="exact"/>
        <w:rPr>
          <w:rFonts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0"/>
        <w:ind w:firstLine="422"/>
        <w:keepLines w:val="0"/>
        <w:keepNext w:val="0"/>
        <w:spacing w:before="0" w:after="0" w:line="500" w:lineRule="exact"/>
        <w:rPr>
          <w:rFonts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
    </w:p>
    <w:p>
      <w:pPr>
        <w:ind w:firstLine="480"/>
        <w:spacing w:line="500" w:lineRule="exact"/>
        <w:rPr>
          <w:rFonts w:ascii="宋体" w:hAnsi="宋体"/>
          <w:sz w:val="24"/>
        </w:rPr>
      </w:pPr>
      <w:r>
        <w:rPr>
          <w:rFonts w:hint="eastAsia" w:ascii="宋体" w:hAnsi="宋体"/>
          <w:sz w:val="24"/>
        </w:rPr>
        <w:t xml:space="preserve">3.1本次招标及由此产生的合同受中华人民共和国法律的制约和保护。</w:t>
      </w:r>
      <w:r/>
    </w:p>
    <w:p>
      <w:pPr>
        <w:pStyle w:val="680"/>
        <w:ind w:firstLine="422"/>
        <w:keepLines w:val="0"/>
        <w:keepNext w:val="0"/>
        <w:spacing w:before="0" w:after="0" w:line="500" w:lineRule="exact"/>
        <w:rPr>
          <w:rFonts w:ascii="宋体" w:hAnsi="宋体" w:eastAsia="宋体"/>
          <w:bCs w:val="0"/>
        </w:rPr>
      </w:pPr>
      <w:r/>
      <w:bookmarkStart w:id="61" w:name="_Toc20823279"/>
      <w:r/>
      <w:bookmarkStart w:id="62" w:name="_Toc462564067"/>
      <w:r/>
      <w:bookmarkStart w:id="63" w:name="_Toc513029207"/>
      <w:r/>
      <w:bookmarkStart w:id="64" w:name="_Toc16938523"/>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投标人应自行承担所有与参加投标有关的费用，无论投标过程中的做法和结果如何，无锡市公共资源交易中心新吴分中心（以下简称交易中心）在任何情况下均无义务和责任承担这些费用。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4.2本次招标标书工本费、中标服务费、招标文件均免费。</w:t>
      </w:r>
      <w:r/>
    </w:p>
    <w:p>
      <w:pPr>
        <w:pStyle w:val="680"/>
        <w:ind w:firstLine="422"/>
        <w:keepLines w:val="0"/>
        <w:keepNext w:val="0"/>
        <w:spacing w:before="0" w:after="0" w:line="500" w:lineRule="exact"/>
        <w:rPr>
          <w:rFonts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9"/>
        <w:ind w:firstLine="452"/>
        <w:keepLines w:val="0"/>
        <w:keepNext w:val="0"/>
        <w:spacing w:before="0" w:after="0" w:line="500" w:lineRule="exact"/>
        <w:rPr>
          <w:sz w:val="30"/>
          <w:szCs w:val="30"/>
        </w:rPr>
      </w:pPr>
      <w:r/>
      <w:bookmarkStart w:id="65" w:name="_Toc16938525"/>
      <w:r/>
      <w:bookmarkStart w:id="66" w:name="_Toc513029209"/>
      <w:r/>
      <w:bookmarkStart w:id="67" w:name="_Toc20823281"/>
      <w:r/>
      <w:bookmarkStart w:id="68" w:name="_Toc120614215"/>
      <w:r>
        <w:rPr>
          <w:rFonts w:hint="eastAsia"/>
          <w:sz w:val="30"/>
          <w:szCs w:val="30"/>
        </w:rPr>
        <w:t xml:space="preserve">二、招标文件</w:t>
      </w:r>
      <w:bookmarkEnd w:id="65"/>
      <w:r/>
      <w:bookmarkEnd w:id="66"/>
      <w:r/>
      <w:bookmarkEnd w:id="67"/>
      <w:r/>
      <w:bookmarkEnd w:id="68"/>
      <w:r/>
      <w:r/>
    </w:p>
    <w:p>
      <w:pPr>
        <w:pStyle w:val="680"/>
        <w:ind w:firstLine="422"/>
        <w:keepLines w:val="0"/>
        <w:keepNext w:val="0"/>
        <w:spacing w:before="0" w:after="0" w:line="500" w:lineRule="exact"/>
        <w:rPr>
          <w:rFonts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ascii="宋体" w:hAnsi="宋体"/>
          <w:sz w:val="24"/>
          <w:szCs w:val="24"/>
        </w:rPr>
      </w:pPr>
      <w:r>
        <w:rPr>
          <w:rFonts w:hint="eastAsia" w:ascii="宋体" w:hAnsi="宋体"/>
          <w:sz w:val="24"/>
          <w:szCs w:val="24"/>
        </w:rPr>
        <w:t xml:space="preserve">（2）投标人须知</w:t>
      </w:r>
      <w:r/>
    </w:p>
    <w:p>
      <w:pPr>
        <w:ind w:firstLine="480"/>
        <w:spacing w:line="500" w:lineRule="exact"/>
        <w:rPr>
          <w:rFonts w:ascii="宋体" w:hAnsi="宋体"/>
          <w:sz w:val="24"/>
          <w:szCs w:val="24"/>
        </w:rPr>
      </w:pPr>
      <w:r>
        <w:rPr>
          <w:rFonts w:hint="eastAsia" w:ascii="宋体" w:hAnsi="宋体"/>
          <w:sz w:val="24"/>
          <w:szCs w:val="24"/>
        </w:rPr>
        <w:t xml:space="preserve">（3）合同文本</w:t>
      </w:r>
      <w:r/>
    </w:p>
    <w:p>
      <w:pPr>
        <w:ind w:firstLine="480"/>
        <w:spacing w:line="500" w:lineRule="exact"/>
        <w:rPr>
          <w:rFonts w:ascii="宋体" w:hAnsi="宋体"/>
          <w:sz w:val="24"/>
          <w:szCs w:val="24"/>
        </w:rPr>
      </w:pPr>
      <w:r>
        <w:rPr>
          <w:rFonts w:hint="eastAsia" w:ascii="宋体" w:hAnsi="宋体"/>
          <w:sz w:val="24"/>
          <w:szCs w:val="24"/>
        </w:rPr>
        <w:t xml:space="preserve">（4）采购需求</w:t>
      </w:r>
      <w:r/>
    </w:p>
    <w:p>
      <w:pPr>
        <w:ind w:firstLine="480"/>
        <w:spacing w:line="5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ascii="宋体" w:hAnsi="宋体"/>
          <w:sz w:val="24"/>
          <w:szCs w:val="24"/>
        </w:rPr>
      </w:pPr>
      <w:r>
        <w:rPr>
          <w:rFonts w:hint="eastAsia" w:ascii="宋体" w:hAnsi="宋体"/>
          <w:sz w:val="24"/>
          <w:szCs w:val="24"/>
        </w:rPr>
        <w:t xml:space="preserve">（6）投标文件内容与格式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0"/>
        <w:ind w:firstLine="422"/>
        <w:keepLines w:val="0"/>
        <w:keepNext w:val="0"/>
        <w:spacing w:before="0" w:after="0" w:line="500" w:lineRule="exact"/>
        <w:rPr>
          <w:rFonts w:ascii="宋体" w:hAnsi="宋体" w:eastAsia="宋体"/>
          <w:bCs w:val="0"/>
        </w:rPr>
      </w:pPr>
      <w:r/>
      <w:bookmarkStart w:id="72" w:name="_Toc16938527"/>
      <w:r/>
      <w:bookmarkStart w:id="73" w:name="_Toc20823283"/>
      <w:r/>
      <w:bookmarkStart w:id="74" w:name="_Toc513029211"/>
      <w:r/>
      <w:bookmarkStart w:id="75" w:name="_Toc462564070"/>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ascii="宋体" w:hAnsi="宋体"/>
          <w:bCs/>
          <w:sz w:val="24"/>
          <w:szCs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80"/>
        <w:ind w:firstLine="422"/>
        <w:keepLines w:val="0"/>
        <w:keepNext w:val="0"/>
        <w:spacing w:before="0" w:after="0" w:line="500" w:lineRule="exact"/>
        <w:rPr>
          <w:rFonts w:ascii="宋体" w:hAnsi="宋体" w:eastAsia="宋体"/>
          <w:bCs w:val="0"/>
        </w:rPr>
      </w:pPr>
      <w:r/>
      <w:bookmarkStart w:id="76" w:name="_Toc462564071"/>
      <w:r/>
      <w:bookmarkStart w:id="77" w:name="_Toc20823284"/>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9"/>
        <w:ind w:firstLine="452"/>
        <w:keepLines w:val="0"/>
        <w:keepNext w:val="0"/>
        <w:spacing w:before="0" w:after="0" w:line="500" w:lineRule="exact"/>
        <w:rPr>
          <w:sz w:val="30"/>
          <w:szCs w:val="30"/>
        </w:rPr>
      </w:pPr>
      <w:r/>
      <w:bookmarkStart w:id="80" w:name="_Toc462564072"/>
      <w:r/>
      <w:bookmarkStart w:id="81" w:name="_Toc120614216"/>
      <w:r/>
      <w:bookmarkStart w:id="82" w:name="_Toc20823285"/>
      <w:r/>
      <w:bookmarkStart w:id="83" w:name="_Toc513029213"/>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680"/>
        <w:ind w:firstLine="422"/>
        <w:keepLines w:val="0"/>
        <w:keepNext w:val="0"/>
        <w:spacing w:before="0" w:after="0" w:line="500" w:lineRule="exact"/>
        <w:rPr>
          <w:rFonts w:ascii="宋体" w:hAnsi="宋体" w:eastAsia="宋体"/>
          <w:bCs w:val="0"/>
        </w:rPr>
      </w:pPr>
      <w:r/>
      <w:bookmarkStart w:id="85" w:name="_Toc20823286"/>
      <w:r/>
      <w:bookmarkStart w:id="86" w:name="_Toc462564073"/>
      <w:r/>
      <w:bookmarkStart w:id="87" w:name="_Toc16938530"/>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80"/>
        <w:ind w:firstLine="422"/>
        <w:keepLines w:val="0"/>
        <w:keepNext w:val="0"/>
        <w:spacing w:before="0" w:after="0" w:line="500" w:lineRule="exact"/>
        <w:rPr>
          <w:rFonts w:ascii="宋体" w:hAnsi="宋体" w:eastAsia="宋体"/>
          <w:bCs w:val="0"/>
        </w:rPr>
      </w:pPr>
      <w:r/>
      <w:bookmarkStart w:id="89" w:name="_Toc462564074"/>
      <w:r/>
      <w:bookmarkStart w:id="90" w:name="_Toc20823287"/>
      <w:r/>
      <w:bookmarkStart w:id="91" w:name="_Toc16938531"/>
      <w:r/>
      <w:bookmarkStart w:id="92" w:name="_Toc513029215"/>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u w:val="single"/>
        </w:rPr>
      </w:pPr>
      <w:r>
        <w:rPr>
          <w:rFonts w:hint="eastAsia" w:ascii="宋体" w:hAnsi="宋体"/>
          <w:b/>
          <w:sz w:val="24"/>
        </w:rPr>
        <w:t xml:space="preserve">上述《评标方法与评标标准》中技术部分不得有体现投标人身份的内容是指：</w:t>
      </w:r>
      <w:r/>
    </w:p>
    <w:p>
      <w:pPr>
        <w:ind w:firstLine="482"/>
        <w:spacing w:line="500" w:lineRule="exact"/>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ascii="宋体" w:hAnsi="宋体"/>
          <w:b/>
          <w:sz w:val="24"/>
        </w:rPr>
      </w:pPr>
      <w:r>
        <w:rPr>
          <w:rFonts w:hint="eastAsia" w:ascii="宋体" w:hAnsi="宋体"/>
          <w:b/>
          <w:sz w:val="24"/>
        </w:rPr>
        <w:t xml:space="preserve">10.4.4不得有其他体现投标人身份的内容。</w:t>
      </w:r>
      <w:r/>
    </w:p>
    <w:p>
      <w:pPr>
        <w:pStyle w:val="680"/>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513029219"/>
      <w:r/>
      <w:bookmarkStart w:id="97" w:name="_Toc14577357"/>
      <w:r/>
      <w:bookmarkStart w:id="98" w:name="_Toc49090509"/>
      <w:r/>
      <w:bookmarkStart w:id="99" w:name="_Toc14577354"/>
      <w:r/>
      <w:bookmarkStart w:id="100" w:name="_Toc513029216"/>
      <w:r/>
      <w:bookmarkStart w:id="101" w:name="_Toc49090507"/>
      <w:r/>
      <w:bookmarkStart w:id="102" w:name="_Toc513029237"/>
      <w:r/>
      <w:bookmarkStart w:id="103" w:name="_Toc16938553"/>
      <w:r/>
      <w:bookmarkStart w:id="104" w:name="_Toc20823309"/>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5" w:name="_Toc14577355"/>
      <w:r/>
      <w:bookmarkStart w:id="106"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80"/>
        <w:ind w:firstLine="422"/>
        <w:keepLines w:val="0"/>
        <w:keepNext w:val="0"/>
        <w:spacing w:before="0" w:after="0" w:line="500" w:lineRule="exact"/>
        <w:rPr>
          <w:rFonts w:hint="eastAsia" w:ascii="宋体" w:hAnsi="宋体" w:eastAsia="宋体"/>
          <w:bCs w:val="0"/>
        </w:rPr>
      </w:pPr>
      <w:r/>
      <w:bookmarkStart w:id="107" w:name="_Toc14577359"/>
      <w:r/>
      <w:bookmarkStart w:id="108"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7"/>
      <w:bookmarkEnd w:id="108"/>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5"/>
      <w:r/>
      <w:bookmarkEnd w:id="106"/>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9" w:name="_Hlt26954840"/>
      <w:r/>
      <w:bookmarkEnd w:id="109"/>
      <w:r>
        <w:rPr>
          <w:rFonts w:hint="eastAsia" w:ascii="宋体" w:hAnsi="宋体"/>
          <w:sz w:val="24"/>
        </w:rPr>
        <w:t xml:space="preserve">标人应按照招标文件规定格式填报</w:t>
      </w:r>
      <w:bookmarkStart w:id="110" w:name="_Hlt26670399"/>
      <w:r/>
      <w:bookmarkEnd w:id="110"/>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80"/>
        <w:ind w:firstLine="422"/>
        <w:keepLines w:val="0"/>
        <w:keepNext w:val="0"/>
        <w:spacing w:before="0" w:after="0" w:line="500" w:lineRule="exact"/>
        <w:rPr>
          <w:rFonts w:hint="eastAsia" w:ascii="宋体" w:hAnsi="宋体" w:eastAsia="宋体"/>
          <w:bCs w:val="0"/>
        </w:rPr>
      </w:pPr>
      <w:r/>
      <w:bookmarkStart w:id="111" w:name="_Hlt26954842"/>
      <w:r/>
      <w:bookmarkEnd w:id="111"/>
      <w:r/>
      <w:bookmarkStart w:id="112" w:name="_Hlt26670403"/>
      <w:r/>
      <w:bookmarkEnd w:id="112"/>
      <w:r/>
      <w:bookmarkStart w:id="113" w:name="_Hlt26954731"/>
      <w:r/>
      <w:bookmarkEnd w:id="113"/>
      <w:r/>
      <w:bookmarkStart w:id="114" w:name="_Hlt26668983"/>
      <w:r/>
      <w:bookmarkEnd w:id="114"/>
      <w:r/>
      <w:bookmarkStart w:id="115" w:name="_Hlt26670486"/>
      <w:r/>
      <w:bookmarkEnd w:id="115"/>
      <w:r/>
      <w:bookmarkStart w:id="116" w:name="_Hlt26954848"/>
      <w:r/>
      <w:bookmarkEnd w:id="116"/>
      <w:r/>
      <w:bookmarkStart w:id="117" w:name="_Hlt26954846"/>
      <w:r/>
      <w:bookmarkEnd w:id="117"/>
      <w:r/>
      <w:bookmarkStart w:id="118" w:name="_Hlt26670425"/>
      <w:r/>
      <w:bookmarkEnd w:id="118"/>
      <w:r/>
      <w:bookmarkStart w:id="119" w:name="_Hlt26954844"/>
      <w:r/>
      <w:bookmarkEnd w:id="119"/>
      <w:r/>
      <w:bookmarkStart w:id="120" w:name="_Hlt26670482"/>
      <w:r/>
      <w:bookmarkEnd w:id="120"/>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80"/>
        <w:ind w:firstLine="422"/>
        <w:keepLines w:val="0"/>
        <w:keepNext w:val="0"/>
        <w:spacing w:before="0" w:after="0" w:line="500" w:lineRule="exact"/>
        <w:rPr>
          <w:rFonts w:hint="eastAsia" w:ascii="宋体" w:hAnsi="宋体" w:eastAsia="宋体"/>
          <w:bCs w:val="0"/>
        </w:rPr>
      </w:pPr>
      <w:r/>
      <w:bookmarkStart w:id="121" w:name="_Hlt26954850"/>
      <w:r/>
      <w:bookmarkEnd w:id="121"/>
      <w:r/>
      <w:bookmarkStart w:id="122" w:name="_Hlt26954734"/>
      <w:r/>
      <w:bookmarkEnd w:id="122"/>
      <w:r/>
      <w:bookmarkStart w:id="123" w:name="_Hlt26670489"/>
      <w:r/>
      <w:bookmarkEnd w:id="123"/>
      <w:r/>
      <w:bookmarkStart w:id="124" w:name="_Toc14577360"/>
      <w:r/>
      <w:bookmarkStart w:id="125" w:name="_Toc49090511"/>
      <w:r>
        <w:rPr>
          <w:rFonts w:hint="eastAsia" w:ascii="宋体" w:hAnsi="宋体" w:eastAsia="宋体"/>
          <w:bCs w:val="0"/>
        </w:rPr>
        <w:t xml:space="preserve">15.投标有效期</w:t>
      </w:r>
      <w:bookmarkEnd w:id="124"/>
      <w:r/>
      <w:bookmarkEnd w:id="125"/>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9"/>
        <w:ind w:firstLine="452"/>
        <w:keepLines w:val="0"/>
        <w:keepNext w:val="0"/>
        <w:spacing w:before="0" w:after="0" w:line="500" w:lineRule="exact"/>
        <w:rPr>
          <w:rFonts w:hint="eastAsia"/>
          <w:sz w:val="30"/>
          <w:szCs w:val="30"/>
        </w:rPr>
      </w:pPr>
      <w:r/>
      <w:bookmarkStart w:id="126" w:name="_Hlt26954852"/>
      <w:r/>
      <w:bookmarkEnd w:id="126"/>
      <w:r/>
      <w:bookmarkStart w:id="127" w:name="_Hlt26954739"/>
      <w:r/>
      <w:bookmarkEnd w:id="127"/>
      <w:r/>
      <w:bookmarkStart w:id="128" w:name="_Toc120614217"/>
      <w:r/>
      <w:bookmarkStart w:id="129" w:name="_Toc513029224"/>
      <w:r/>
      <w:bookmarkStart w:id="130" w:name="_Toc16938540"/>
      <w:r/>
      <w:bookmarkStart w:id="131" w:name="_Toc20823296"/>
      <w:r>
        <w:rPr>
          <w:rFonts w:hint="eastAsia"/>
          <w:sz w:val="30"/>
          <w:szCs w:val="30"/>
        </w:rPr>
        <w:t xml:space="preserve">四、投标文件的递交</w:t>
      </w:r>
      <w:bookmarkEnd w:id="128"/>
      <w:r/>
      <w:bookmarkEnd w:id="129"/>
      <w:r/>
      <w:bookmarkEnd w:id="130"/>
      <w:r/>
      <w:bookmarkEnd w:id="131"/>
      <w:r/>
      <w:r/>
    </w:p>
    <w:p>
      <w:pPr>
        <w:pStyle w:val="680"/>
        <w:ind w:firstLine="422"/>
        <w:keepLines w:val="0"/>
        <w:keepNext w:val="0"/>
        <w:spacing w:before="0" w:after="0" w:line="500" w:lineRule="exact"/>
        <w:rPr>
          <w:rFonts w:hint="eastAsia" w:ascii="宋体" w:hAnsi="宋体" w:eastAsia="宋体"/>
          <w:bCs w:val="0"/>
        </w:rPr>
      </w:pPr>
      <w:r/>
      <w:bookmarkStart w:id="132" w:name="_Toc20823297"/>
      <w:r/>
      <w:bookmarkStart w:id="133" w:name="_Toc513029225"/>
      <w:r/>
      <w:bookmarkStart w:id="134" w:name="_Toc16938541"/>
      <w:r/>
      <w:bookmarkStart w:id="135" w:name="_Toc462564084"/>
      <w:r>
        <w:rPr>
          <w:rFonts w:hint="eastAsia" w:ascii="宋体" w:hAnsi="宋体" w:eastAsia="宋体"/>
          <w:bCs w:val="0"/>
        </w:rPr>
        <w:t xml:space="preserve">17.投标文件</w:t>
      </w:r>
      <w:bookmarkEnd w:id="132"/>
      <w:r/>
      <w:bookmarkEnd w:id="133"/>
      <w:r/>
      <w:bookmarkEnd w:id="134"/>
      <w:r/>
      <w:bookmarkEnd w:id="135"/>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91"/>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6" w:name="_Toc16938542"/>
      <w:r/>
      <w:bookmarkStart w:id="137" w:name="_Toc20823298"/>
      <w:r/>
      <w:bookmarkStart w:id="138" w:name="_Toc513029226"/>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6"/>
      <w:r/>
      <w:bookmarkEnd w:id="137"/>
      <w:r/>
      <w:bookmarkEnd w:id="138"/>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80"/>
        <w:ind w:firstLine="422"/>
        <w:keepLines w:val="0"/>
        <w:keepNext w:val="0"/>
        <w:spacing w:before="0" w:after="0" w:line="500" w:lineRule="exact"/>
        <w:rPr>
          <w:rFonts w:hint="eastAsia" w:ascii="宋体" w:hAnsi="宋体" w:eastAsia="宋体"/>
          <w:bCs w:val="0"/>
        </w:rPr>
      </w:pPr>
      <w:r/>
      <w:bookmarkStart w:id="139" w:name="_Toc513029227"/>
      <w:r/>
      <w:bookmarkStart w:id="140" w:name="_Toc20823299"/>
      <w:r/>
      <w:bookmarkStart w:id="141" w:name="_Toc16938543"/>
      <w:r>
        <w:rPr>
          <w:rFonts w:hint="eastAsia" w:ascii="宋体" w:hAnsi="宋体" w:eastAsia="宋体"/>
          <w:bCs w:val="0"/>
        </w:rPr>
        <w:t xml:space="preserve">19.投标文件</w:t>
      </w:r>
      <w:bookmarkEnd w:id="139"/>
      <w:r/>
      <w:bookmarkEnd w:id="140"/>
      <w:r/>
      <w:bookmarkEnd w:id="141"/>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80"/>
        <w:ind w:firstLine="422"/>
        <w:keepLines w:val="0"/>
        <w:keepNext w:val="0"/>
        <w:spacing w:before="0" w:after="0" w:line="500" w:lineRule="exact"/>
        <w:rPr>
          <w:rFonts w:hint="eastAsia" w:ascii="宋体" w:hAnsi="宋体" w:eastAsia="宋体"/>
          <w:bCs w:val="0"/>
        </w:rPr>
      </w:pPr>
      <w:r/>
      <w:bookmarkStart w:id="142" w:name="_Toc16938544"/>
      <w:r/>
      <w:bookmarkStart w:id="143" w:name="_Toc513029228"/>
      <w:r/>
      <w:bookmarkStart w:id="144" w:name="_Toc20823300"/>
      <w:r>
        <w:rPr>
          <w:rFonts w:hint="eastAsia" w:ascii="宋体" w:hAnsi="宋体" w:eastAsia="宋体"/>
          <w:bCs w:val="0"/>
        </w:rPr>
        <w:t xml:space="preserve">20.投标文件的撤回和修改</w:t>
      </w:r>
      <w:bookmarkEnd w:id="142"/>
      <w:r/>
      <w:bookmarkEnd w:id="143"/>
      <w:r/>
      <w:bookmarkEnd w:id="144"/>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9"/>
        <w:ind w:firstLine="452"/>
        <w:keepLines w:val="0"/>
        <w:keepNext w:val="0"/>
        <w:spacing w:before="0" w:after="0" w:line="500" w:lineRule="exact"/>
        <w:rPr>
          <w:rFonts w:hint="eastAsia"/>
          <w:sz w:val="30"/>
          <w:szCs w:val="30"/>
        </w:rPr>
      </w:pPr>
      <w:r/>
      <w:bookmarkStart w:id="145" w:name="_Toc16938545"/>
      <w:r/>
      <w:bookmarkStart w:id="146" w:name="_Toc120614218"/>
      <w:r/>
      <w:bookmarkStart w:id="147" w:name="_Toc20823301"/>
      <w:r/>
      <w:bookmarkStart w:id="148" w:name="_Toc513029229"/>
      <w:r>
        <w:rPr>
          <w:rFonts w:hint="eastAsia"/>
          <w:sz w:val="30"/>
          <w:szCs w:val="30"/>
        </w:rPr>
        <w:t xml:space="preserve">五、开标与评标</w:t>
      </w:r>
      <w:bookmarkEnd w:id="145"/>
      <w:r/>
      <w:bookmarkEnd w:id="146"/>
      <w:r/>
      <w:bookmarkEnd w:id="147"/>
      <w:r/>
      <w:bookmarkEnd w:id="148"/>
      <w:r/>
      <w:r/>
    </w:p>
    <w:p>
      <w:pPr>
        <w:pStyle w:val="680"/>
        <w:ind w:firstLine="422"/>
        <w:keepLines w:val="0"/>
        <w:keepNext w:val="0"/>
        <w:spacing w:before="0" w:after="0" w:line="500" w:lineRule="exact"/>
        <w:rPr>
          <w:rFonts w:hint="eastAsia" w:ascii="宋体" w:hAnsi="宋体" w:eastAsia="宋体"/>
          <w:bCs w:val="0"/>
        </w:rPr>
      </w:pPr>
      <w:r/>
      <w:bookmarkStart w:id="149" w:name="_Toc16938546"/>
      <w:r/>
      <w:bookmarkStart w:id="150" w:name="_Toc513029230"/>
      <w:r/>
      <w:bookmarkStart w:id="151" w:name="_Toc20823302"/>
      <w:r>
        <w:rPr>
          <w:rFonts w:hint="eastAsia" w:ascii="宋体" w:hAnsi="宋体" w:eastAsia="宋体"/>
          <w:bCs w:val="0"/>
        </w:rPr>
        <w:t xml:space="preserve">21.开标</w:t>
      </w:r>
      <w:bookmarkEnd w:id="149"/>
      <w:r/>
      <w:bookmarkEnd w:id="150"/>
      <w:r/>
      <w:bookmarkEnd w:id="151"/>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80"/>
        <w:ind w:firstLine="422"/>
        <w:keepLines w:val="0"/>
        <w:keepNext w:val="0"/>
        <w:spacing w:before="0" w:after="0" w:line="500" w:lineRule="exact"/>
        <w:rPr>
          <w:rFonts w:hint="eastAsia" w:ascii="宋体" w:hAnsi="宋体" w:eastAsia="宋体"/>
          <w:bCs w:val="0"/>
        </w:rPr>
      </w:pPr>
      <w:r/>
      <w:bookmarkStart w:id="152" w:name="_Toc513029231"/>
      <w:r/>
      <w:bookmarkStart w:id="153" w:name="_Toc20823303"/>
      <w:r/>
      <w:bookmarkStart w:id="154"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52"/>
      <w:bookmarkEnd w:id="153"/>
      <w:bookmarkEnd w:id="154"/>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80"/>
        <w:ind w:firstLine="422"/>
        <w:keepLines w:val="0"/>
        <w:keepNext w:val="0"/>
        <w:spacing w:before="0" w:after="0" w:line="500" w:lineRule="exact"/>
        <w:rPr>
          <w:rFonts w:hint="eastAsia" w:ascii="宋体" w:hAnsi="宋体" w:eastAsia="宋体"/>
          <w:bCs w:val="0"/>
        </w:rPr>
      </w:pPr>
      <w:r/>
      <w:bookmarkStart w:id="155" w:name="_Toc20823304"/>
      <w:r/>
      <w:bookmarkStart w:id="156" w:name="_Toc513029232"/>
      <w:r/>
      <w:bookmarkStart w:id="157" w:name="_Toc16938548"/>
      <w:r>
        <w:rPr>
          <w:rFonts w:hint="eastAsia" w:ascii="宋体" w:hAnsi="宋体" w:eastAsia="宋体"/>
          <w:bCs w:val="0"/>
        </w:rPr>
        <w:t xml:space="preserve">24.投标文件的澄清</w:t>
      </w:r>
      <w:bookmarkEnd w:id="155"/>
      <w:r/>
      <w:bookmarkEnd w:id="156"/>
      <w:r/>
      <w:bookmarkEnd w:id="157"/>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80"/>
        <w:ind w:firstLine="422"/>
        <w:keepLines w:val="0"/>
        <w:keepNext w:val="0"/>
        <w:spacing w:before="0" w:after="0" w:line="500" w:lineRule="exact"/>
        <w:rPr>
          <w:rFonts w:hint="eastAsia" w:ascii="宋体" w:hAnsi="宋体" w:eastAsia="宋体"/>
          <w:bCs w:val="0"/>
        </w:rPr>
      </w:pPr>
      <w:r/>
      <w:bookmarkStart w:id="158" w:name="_Toc513029233"/>
      <w:r/>
      <w:bookmarkStart w:id="159" w:name="_Toc16938549"/>
      <w:r/>
      <w:bookmarkStart w:id="160" w:name="_Toc20823305"/>
      <w:r>
        <w:rPr>
          <w:rFonts w:hint="eastAsia" w:ascii="宋体" w:hAnsi="宋体" w:eastAsia="宋体"/>
          <w:bCs w:val="0"/>
        </w:rPr>
        <w:t xml:space="preserve">25.对投标文件的初审</w:t>
      </w:r>
      <w:bookmarkEnd w:id="158"/>
      <w:r/>
      <w:bookmarkEnd w:id="159"/>
      <w:r/>
      <w:bookmarkEnd w:id="160"/>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highlight w:val="none"/>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w:t>
      </w:r>
      <w:r>
        <w:rPr>
          <w:rFonts w:hint="eastAsia" w:ascii="宋体" w:hAnsi="宋体"/>
          <w:bCs/>
          <w:sz w:val="24"/>
          <w:szCs w:val="24"/>
          <w:highlight w:val="none"/>
        </w:rPr>
        <w:t xml:space="preserve">”系统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61" w:name="_Toc20823306"/>
      <w:r/>
      <w:bookmarkStart w:id="162" w:name="_Toc16938550"/>
      <w:r/>
      <w:bookmarkStart w:id="163" w:name="_Toc513029234"/>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9"/>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8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61"/>
      <w:r/>
      <w:bookmarkEnd w:id="162"/>
      <w:r/>
      <w:bookmarkEnd w:id="163"/>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4" w:name="_Toc513029235"/>
      <w:r/>
      <w:bookmarkStart w:id="165" w:name="_Toc20823307"/>
      <w:r/>
      <w:bookmarkStart w:id="166"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9"/>
        <w:ind w:firstLine="452"/>
        <w:keepLines w:val="0"/>
        <w:keepNext w:val="0"/>
        <w:spacing w:before="0" w:after="0" w:line="500" w:lineRule="exact"/>
        <w:rPr>
          <w:rFonts w:hint="eastAsia"/>
          <w:sz w:val="30"/>
          <w:szCs w:val="30"/>
        </w:rPr>
      </w:pPr>
      <w:r/>
      <w:bookmarkStart w:id="167" w:name="_Toc120614219"/>
      <w:r>
        <w:rPr>
          <w:rFonts w:hint="eastAsia"/>
          <w:sz w:val="30"/>
          <w:szCs w:val="30"/>
        </w:rPr>
        <w:t xml:space="preserve">六、</w:t>
      </w:r>
      <w:bookmarkEnd w:id="164"/>
      <w:r/>
      <w:bookmarkEnd w:id="165"/>
      <w:r/>
      <w:bookmarkEnd w:id="166"/>
      <w:r>
        <w:rPr>
          <w:rFonts w:hint="eastAsia"/>
          <w:sz w:val="30"/>
          <w:szCs w:val="30"/>
        </w:rPr>
        <w:t xml:space="preserve">定标</w:t>
      </w:r>
      <w:bookmarkEnd w:id="167"/>
      <w:r/>
      <w:r/>
    </w:p>
    <w:p>
      <w:pPr>
        <w:pStyle w:val="680"/>
        <w:ind w:firstLine="422"/>
        <w:keepLines w:val="0"/>
        <w:keepNext w:val="0"/>
        <w:spacing w:before="0" w:after="0" w:line="500" w:lineRule="exact"/>
        <w:rPr>
          <w:rFonts w:hint="eastAsia" w:ascii="宋体" w:hAnsi="宋体" w:eastAsia="宋体"/>
          <w:bCs w:val="0"/>
        </w:rPr>
      </w:pPr>
      <w:r/>
      <w:bookmarkStart w:id="168" w:name="_Toc513029238"/>
      <w:r/>
      <w:bookmarkStart w:id="169" w:name="_Toc20823310"/>
      <w:r/>
      <w:bookmarkStart w:id="170" w:name="_Toc16938554"/>
      <w:r>
        <w:rPr>
          <w:rFonts w:hint="eastAsia" w:ascii="宋体" w:hAnsi="宋体" w:eastAsia="宋体"/>
          <w:bCs w:val="0"/>
        </w:rPr>
        <w:t xml:space="preserve">27</w:t>
      </w:r>
      <w:bookmarkEnd w:id="168"/>
      <w:r>
        <w:rPr>
          <w:rFonts w:hint="eastAsia" w:ascii="宋体" w:hAnsi="宋体" w:eastAsia="宋体"/>
          <w:bCs w:val="0"/>
          <w:lang w:eastAsia="zh-CN"/>
        </w:rPr>
        <w:t xml:space="preserve">.</w:t>
      </w:r>
      <w:r>
        <w:rPr>
          <w:rFonts w:hint="eastAsia" w:ascii="宋体" w:hAnsi="宋体" w:eastAsia="宋体"/>
          <w:bCs w:val="0"/>
        </w:rPr>
        <w:t xml:space="preserve">确定</w:t>
      </w:r>
      <w:bookmarkEnd w:id="169"/>
      <w:r/>
      <w:bookmarkEnd w:id="170"/>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71"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71"/>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9"/>
        <w:ind w:firstLine="452"/>
        <w:keepLines w:val="0"/>
        <w:keepNext w:val="0"/>
        <w:spacing w:before="0" w:after="0" w:line="500" w:lineRule="exact"/>
        <w:rPr>
          <w:rFonts w:hint="eastAsia"/>
          <w:sz w:val="30"/>
          <w:szCs w:val="30"/>
        </w:rPr>
      </w:pPr>
      <w:r/>
      <w:bookmarkStart w:id="172" w:name="_Toc120614220"/>
      <w:r/>
      <w:bookmarkStart w:id="173" w:name="_Toc20823308"/>
      <w:r/>
      <w:bookmarkStart w:id="174" w:name="_Toc16938552"/>
      <w:r/>
      <w:bookmarkStart w:id="175" w:name="_Toc513029236"/>
      <w:r>
        <w:rPr>
          <w:rFonts w:hint="eastAsia"/>
          <w:sz w:val="30"/>
          <w:szCs w:val="30"/>
        </w:rPr>
        <w:t xml:space="preserve">七、授予合同</w:t>
      </w:r>
      <w:bookmarkEnd w:id="172"/>
      <w:r/>
      <w:bookmarkEnd w:id="173"/>
      <w:bookmarkEnd w:id="174"/>
      <w:bookmarkEnd w:id="175"/>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02"/>
      <w:bookmarkEnd w:id="103"/>
      <w:bookmarkEnd w:id="104"/>
      <w:r/>
    </w:p>
    <w:p>
      <w:pPr>
        <w:jc w:val="center"/>
        <w:spacing w:line="500" w:lineRule="exact"/>
        <w:tabs>
          <w:tab w:val="left" w:pos="1440" w:leader="none"/>
        </w:tabs>
        <w:rPr>
          <w:rFonts w:ascii="黑体" w:hAnsi="黑体" w:eastAsia="黑体"/>
          <w:sz w:val="36"/>
          <w:szCs w:val="36"/>
        </w:rPr>
        <w:outlineLvl w:val="0"/>
      </w:pPr>
      <w:r/>
      <w:bookmarkStart w:id="176" w:name="_Toc20823314"/>
      <w:r/>
      <w:bookmarkStart w:id="177" w:name="_Toc513029242"/>
      <w:r/>
      <w:bookmarkStart w:id="178" w:name="_Toc479757207"/>
      <w:r/>
      <w:bookmarkStart w:id="179" w:name="_Toc120614221"/>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ascii="宋体" w:hAnsi="宋体"/>
          <w:bCs/>
          <w:sz w:val="24"/>
        </w:rPr>
      </w:pPr>
      <w:r/>
      <w:bookmarkStart w:id="181" w:name="_Toc16938559"/>
      <w:r/>
      <w:bookmarkStart w:id="182" w:name="_Toc513029243"/>
      <w:r/>
      <w:bookmarkStart w:id="183" w:name="_Toc20823315"/>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p>
    <w:p>
      <w:pPr>
        <w:pStyle w:val="701"/>
        <w:spacing w:line="400" w:lineRule="exact"/>
        <w:rPr>
          <w:rFonts w:hAnsi="宋体"/>
          <w:sz w:val="24"/>
          <w:szCs w:val="24"/>
        </w:rPr>
      </w:pPr>
      <w:r>
        <w:rPr>
          <w:rFonts w:hAnsi="宋体"/>
          <w:sz w:val="24"/>
          <w:szCs w:val="24"/>
        </w:rPr>
        <w:t xml:space="preserve">项目名称：                                       项目编号：</w:t>
      </w:r>
      <w:r/>
    </w:p>
    <w:p>
      <w:pPr>
        <w:pStyle w:val="701"/>
        <w:spacing w:line="400" w:lineRule="exact"/>
        <w:rPr>
          <w:rFonts w:hAnsi="宋体"/>
          <w:sz w:val="24"/>
          <w:szCs w:val="24"/>
        </w:rPr>
      </w:pPr>
      <w:r>
        <w:rPr>
          <w:rFonts w:hAnsi="宋体"/>
          <w:sz w:val="24"/>
          <w:szCs w:val="24"/>
        </w:rPr>
        <w:t xml:space="preserve">甲方：（买方、需方、采购人）_________</w:t>
      </w:r>
      <w:r/>
    </w:p>
    <w:p>
      <w:pPr>
        <w:pStyle w:val="701"/>
        <w:spacing w:line="400" w:lineRule="exact"/>
        <w:rPr>
          <w:rFonts w:hAnsi="宋体"/>
          <w:sz w:val="24"/>
          <w:szCs w:val="24"/>
        </w:rPr>
      </w:pPr>
      <w:r>
        <w:rPr>
          <w:rFonts w:hAnsi="宋体"/>
          <w:sz w:val="24"/>
          <w:szCs w:val="24"/>
        </w:rPr>
        <w:t xml:space="preserve">乙方：（卖方、供方、供应商）_________</w:t>
      </w:r>
      <w:r/>
    </w:p>
    <w:p>
      <w:pPr>
        <w:pStyle w:val="701"/>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ascii="宋体" w:hAnsi="宋体" w:cs="宋体"/>
          <w:color w:val="000000"/>
          <w:sz w:val="24"/>
        </w:rPr>
      </w:pPr>
      <w:r>
        <w:rPr>
          <w:rFonts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ascii="黑体" w:hAnsi="黑体" w:eastAsia="黑体"/>
          <w:sz w:val="30"/>
          <w:szCs w:val="30"/>
        </w:rPr>
      </w:pPr>
      <w:r/>
      <w:bookmarkStart w:id="191" w:name="_Toc26554093"/>
      <w:r/>
      <w:bookmarkStart w:id="192" w:name="_Toc49090575"/>
      <w:r>
        <w:rPr>
          <w:rFonts w:hint="eastAsia" w:ascii="黑体" w:hAnsi="黑体" w:eastAsia="黑体"/>
          <w:sz w:val="30"/>
          <w:szCs w:val="30"/>
        </w:rPr>
        <w:t xml:space="preserve">本项目属性：服务类项目</w:t>
      </w:r>
      <w:r/>
    </w:p>
    <w:p>
      <w:pPr>
        <w:ind w:firstLine="480"/>
        <w:jc w:val="left"/>
        <w:spacing w:line="360" w:lineRule="auto"/>
        <w:rPr>
          <w:rFonts w:ascii="宋体" w:hAnsi="宋体"/>
          <w:sz w:val="24"/>
          <w:szCs w:val="24"/>
        </w:rPr>
      </w:pPr>
      <w:r>
        <w:rPr>
          <w:rFonts w:hint="eastAsia" w:ascii="宋体" w:hAnsi="宋体"/>
          <w:sz w:val="24"/>
          <w:szCs w:val="24"/>
        </w:rPr>
        <w:t xml:space="preserve">投标人所投内容必须满足以下要求，不得有负偏离。</w:t>
      </w:r>
      <w:r/>
    </w:p>
    <w:p>
      <w:pPr>
        <w:ind w:firstLine="480"/>
        <w:spacing w:line="360" w:lineRule="auto"/>
        <w:rPr>
          <w:rFonts w:ascii="宋体" w:hAnsi="宋体"/>
          <w:bCs/>
          <w:sz w:val="24"/>
          <w:szCs w:val="24"/>
        </w:rPr>
      </w:pPr>
      <w:r>
        <w:rPr>
          <w:rFonts w:hint="eastAsia" w:ascii="宋体" w:hAnsi="宋体"/>
          <w:bCs/>
          <w:sz w:val="24"/>
          <w:szCs w:val="24"/>
        </w:rPr>
        <w:t xml:space="preserve">本项目标的物所属行业：物业管理</w:t>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1.项目基本情况</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1.1物业情况</w:t>
      </w:r>
      <w:r/>
    </w:p>
    <w:p>
      <w:pPr>
        <w:ind w:firstLine="482"/>
        <w:jc w:val="left"/>
        <w:spacing w:line="440" w:lineRule="exact"/>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鸿泰苑三区总建筑面积为250574.86平方米（其中包括商铺面积2088平方米），住宅32幢，65个单元，共计总户数2124套，51部电梯。</w:t>
      </w:r>
      <w:r/>
    </w:p>
    <w:tbl>
      <w:tblPr>
        <w:tblStyle w:val="687"/>
        <w:tblW w:w="8767" w:type="dxa"/>
        <w:jc w:val="center"/>
        <w:tblLayout w:type="fixed"/>
        <w:tblCellMar>
          <w:left w:w="15" w:type="dxa"/>
          <w:top w:w="15" w:type="dxa"/>
          <w:right w:w="15" w:type="dxa"/>
          <w:bottom w:w="15" w:type="dxa"/>
        </w:tblCellMar>
        <w:tblLook w:val="04A0" w:firstRow="1" w:lastRow="0" w:firstColumn="1" w:lastColumn="0" w:noHBand="0" w:noVBand="1"/>
      </w:tblPr>
      <w:tblGrid>
        <w:gridCol w:w="2843"/>
        <w:gridCol w:w="2994"/>
        <w:gridCol w:w="2930"/>
      </w:tblGrid>
      <w:tr>
        <w:trPr>
          <w:jc w:val="center"/>
          <w:trHeight w:val="345"/>
        </w:trPr>
        <w:tc>
          <w:tcPr>
            <w:gridSpan w:val="3"/>
            <w:tcBorders>
              <w:top w:val="single" w:color="000000" w:sz="4" w:space="0"/>
              <w:left w:val="single" w:color="000000" w:sz="4" w:space="0"/>
              <w:bottom w:val="single" w:color="000000" w:sz="4" w:space="0"/>
              <w:right w:val="single" w:color="000000" w:sz="4" w:space="0"/>
            </w:tcBorders>
            <w:tcW w:w="8767"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eastAsia="zh-CN"/>
              </w:rPr>
              <w:t xml:space="preserve">鸿泰苑三区</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vMerge w:val="restart"/>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建筑面积</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一期</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二期</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167524.86平方米</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80961平方米</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单元</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41</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幢数</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17</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户数（套）</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1296</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828</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未安置套（套）</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60</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物业用房（㎡）</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260</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门卫室（个）</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监控室（间）</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jc w:val="center"/>
          <w:trHeight w:val="301"/>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监控摄像头（个)</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142</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76</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地面车位（只）465</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190</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222</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地下停车位（692）</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720</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136</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消防箱（只)</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1145</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33</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地面消防栓（只)</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37</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8</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路灯（只)</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73</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41</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配电间（间）</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电信间（间）</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垃圾桶（只)</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80</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44</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绿化（㎡）</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22600</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20294</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化粪池（组）</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15</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天沟（只）</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48</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3</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电梯</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部</w:t>
            </w:r>
            <w:r>
              <w:rPr>
                <w:rFonts w:hint="eastAsia" w:ascii="宋体" w:hAnsi="宋体" w:cs="宋体"/>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48</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3</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生活水泵（只）</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消防泵（只）</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喷淋泵（只）</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污水泵（只）</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51</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3</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楼道内消防栓（个）</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1368</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33</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消防水箱（高层）</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生活水箱（高层）</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地下停车库面积</w:t>
            </w:r>
            <w:r/>
          </w:p>
        </w:tc>
        <w:tc>
          <w:tcPr>
            <w:tcBorders>
              <w:top w:val="single" w:color="000000" w:sz="4" w:space="0"/>
              <w:left w:val="single" w:color="000000" w:sz="4" w:space="0"/>
              <w:bottom w:val="single" w:color="000000" w:sz="4" w:space="0"/>
              <w:right w:val="single" w:color="000000" w:sz="4" w:space="0"/>
            </w:tcBorders>
            <w:tcW w:w="299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21000平方米</w:t>
            </w:r>
            <w:r/>
          </w:p>
        </w:tc>
        <w:tc>
          <w:tcPr>
            <w:tcBorders>
              <w:top w:val="single" w:color="000000" w:sz="4" w:space="0"/>
              <w:left w:val="single" w:color="000000" w:sz="4" w:space="0"/>
              <w:bottom w:val="single" w:color="000000" w:sz="4" w:space="0"/>
              <w:right w:val="single" w:color="000000" w:sz="4" w:space="0"/>
            </w:tcBorders>
            <w:tcW w:w="29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2100平方米</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843" w:type="dxa"/>
            <w:vAlign w:val="bottom"/>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15间商铺面积</w:t>
            </w:r>
            <w:r/>
          </w:p>
        </w:tc>
        <w:tc>
          <w:tcPr>
            <w:gridSpan w:val="2"/>
            <w:tcBorders>
              <w:top w:val="single" w:color="000000" w:sz="4" w:space="0"/>
              <w:left w:val="single" w:color="000000" w:sz="4" w:space="0"/>
              <w:bottom w:val="single" w:color="000000" w:sz="4" w:space="0"/>
              <w:right w:val="single" w:color="000000" w:sz="4" w:space="0"/>
            </w:tcBorders>
            <w:tcW w:w="5924" w:type="dxa"/>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2088平方米</w:t>
            </w:r>
            <w:r/>
          </w:p>
        </w:tc>
      </w:tr>
    </w:tbl>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 采购人提供供应商使用的场地、设施、设备、材料等。</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采购人可提供的办公室</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39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142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面积</w:t>
            </w:r>
            <w:r>
              <w:rPr>
                <w:rFonts w:hint="eastAsia" w:ascii="宋体" w:hAnsi="宋体" w:eastAsia="宋体" w:cs="宋体"/>
                <w:b w:val="0"/>
                <w:bCs w:val="0"/>
                <w:color w:val="auto"/>
                <w:spacing w:val="-1"/>
                <w:szCs w:val="21"/>
                <w:highlight w:val="none"/>
                <w:lang w:val="en-US" w:eastAsia="zh-CN"/>
              </w:rPr>
              <w:t xml:space="preserve">㎡</w:t>
            </w:r>
            <w:r/>
          </w:p>
        </w:tc>
        <w:tc>
          <w:tcPr>
            <w:tcW w:w="475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办公室内可用设施设备清单</w:t>
            </w:r>
            <w:r/>
          </w:p>
        </w:tc>
      </w:tr>
      <w:tr>
        <w:trPr/>
        <w:tc>
          <w:tcPr>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395" w:type="dxa"/>
            <w:vAlign w:val="top"/>
            <w:textDirection w:val="lrTb"/>
            <w:noWrap w:val="false"/>
          </w:tcPr>
          <w:p>
            <w:pPr>
              <w:jc w:val="center"/>
              <w:rPr>
                <w:rFonts w:ascii="微软雅黑" w:hAnsi="微软雅黑" w:eastAsia="微软雅黑" w:cs="微软雅黑"/>
                <w:b w:val="0"/>
                <w:bCs w:val="0"/>
                <w:color w:val="auto"/>
                <w:spacing w:val="-1"/>
                <w:sz w:val="21"/>
                <w:szCs w:val="21"/>
                <w:highlight w:val="none"/>
                <w:lang w:val="en-US" w:eastAsia="zh-CN" w:bidi="ar-SA"/>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425" w:type="dxa"/>
            <w:vAlign w:val="top"/>
            <w:textDirection w:val="lrTb"/>
            <w:noWrap w:val="false"/>
          </w:tcPr>
          <w:p>
            <w:pPr>
              <w:jc w:val="center"/>
              <w:rPr>
                <w:rFonts w:ascii="微软雅黑" w:hAnsi="微软雅黑" w:eastAsia="微软雅黑" w:cs="微软雅黑"/>
                <w:b w:val="0"/>
                <w:bCs w:val="0"/>
                <w:color w:val="auto"/>
                <w:spacing w:val="-1"/>
                <w:sz w:val="21"/>
                <w:szCs w:val="21"/>
                <w:highlight w:val="none"/>
                <w:lang w:val="en-US" w:eastAsia="zh-CN" w:bidi="ar-SA"/>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4753" w:type="dxa"/>
            <w:vAlign w:val="top"/>
            <w:textDirection w:val="lrTb"/>
            <w:noWrap w:val="false"/>
          </w:tcPr>
          <w:p>
            <w:pPr>
              <w:jc w:val="center"/>
              <w:rPr>
                <w:rFonts w:hint="eastAsia" w:ascii="微软雅黑" w:hAnsi="微软雅黑" w:eastAsia="微软雅黑" w:cs="微软雅黑"/>
                <w:b w:val="0"/>
                <w:bCs w:val="0"/>
                <w:color w:val="auto"/>
                <w:spacing w:val="-1"/>
                <w:sz w:val="21"/>
                <w:szCs w:val="21"/>
                <w:highlight w:val="none"/>
                <w:lang w:val="en-US" w:eastAsia="zh-CN" w:bidi="ar-SA"/>
              </w:rPr>
            </w:pPr>
            <w:r>
              <w:rPr>
                <w:rFonts w:hint="eastAsia" w:ascii="微软雅黑" w:hAnsi="微软雅黑" w:eastAsia="微软雅黑" w:cs="微软雅黑"/>
                <w:b w:val="0"/>
                <w:bCs w:val="0"/>
                <w:color w:val="auto"/>
                <w:spacing w:val="-1"/>
                <w:szCs w:val="21"/>
                <w:highlight w:val="none"/>
                <w:lang w:val="en-US" w:eastAsia="zh-CN"/>
              </w:rPr>
              <w:t xml:space="preserve">本项目的</w:t>
            </w:r>
            <w:r>
              <w:rPr>
                <w:rFonts w:hint="eastAsia" w:ascii="微软雅黑" w:hAnsi="微软雅黑" w:eastAsia="微软雅黑" w:cs="微软雅黑"/>
                <w:b w:val="0"/>
                <w:bCs w:val="0"/>
                <w:color w:val="auto"/>
                <w:spacing w:val="-1"/>
                <w:szCs w:val="21"/>
                <w:highlight w:val="none"/>
                <w:lang w:eastAsia="en-US"/>
              </w:rPr>
              <w:t xml:space="preserve">门卫室</w:t>
            </w:r>
            <w:r>
              <w:rPr>
                <w:rFonts w:hint="eastAsia" w:ascii="微软雅黑" w:hAnsi="微软雅黑" w:eastAsia="微软雅黑" w:cs="微软雅黑"/>
                <w:b w:val="0"/>
                <w:bCs w:val="0"/>
                <w:color w:val="auto"/>
                <w:spacing w:val="-1"/>
                <w:szCs w:val="21"/>
                <w:highlight w:val="none"/>
                <w:lang w:val="en-US" w:eastAsia="zh-CN"/>
              </w:rPr>
              <w:t xml:space="preserve">由采购人提供</w:t>
            </w:r>
            <w:r/>
          </w:p>
        </w:tc>
      </w:tr>
      <w:tr>
        <w:trPr/>
        <w:tc>
          <w:tcPr>
            <w:tcW w:w="948"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39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42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475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本项目的消、监控室由采购人提供</w:t>
            </w:r>
            <w:r/>
          </w:p>
        </w:tc>
      </w:tr>
      <w:tr>
        <w:trPr/>
        <w:tc>
          <w:tcPr>
            <w:tcW w:w="948"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3</w:t>
            </w:r>
            <w:r/>
          </w:p>
        </w:tc>
        <w:tc>
          <w:tcPr>
            <w:tcW w:w="139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42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260</w:t>
            </w:r>
            <w:r/>
          </w:p>
        </w:tc>
        <w:tc>
          <w:tcPr>
            <w:tcW w:w="475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本项目的物业管理用房及办公室由采购人提供</w:t>
            </w:r>
            <w:r/>
          </w:p>
        </w:tc>
      </w:tr>
    </w:tbl>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（2）采购人可提供的物业管理服务设备</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主要技术指标</w:t>
            </w:r>
            <w:r/>
          </w:p>
        </w:tc>
      </w:tr>
      <w:t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2135"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3051"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r>
    </w:tbl>
    <w:p>
      <w:pPr>
        <w:numPr>
          <w:ilvl w:val="0"/>
          <w:numId w:val="5"/>
        </w:num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采购人可提供的零星维修材料、低值易耗品</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jc w:val="left"/>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bCs/>
                <w:color w:val="auto"/>
                <w:spacing w:val="-1"/>
                <w:szCs w:val="21"/>
                <w:highlight w:val="none"/>
                <w:lang w:val="en-US" w:eastAsia="zh-CN"/>
              </w:rPr>
              <w:t xml:space="preserve">零星维修材料</w:t>
            </w:r>
            <w:r/>
          </w:p>
        </w:tc>
      </w:tr>
      <w:t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r>
      <w:t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63" w:type="dxa"/>
            <w:vAlign w:val="top"/>
            <w:textDirection w:val="lrTb"/>
            <w:noWrap w:val="false"/>
          </w:tcPr>
          <w:p>
            <w:pPr>
              <w:jc w:val="left"/>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r>
            <w:r/>
          </w:p>
        </w:tc>
        <w:tc>
          <w:tcPr>
            <w:tcW w:w="1140"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r>
      <w:tr>
        <w:trPr/>
        <w:tc>
          <w:tcPr>
            <w:gridSpan w:val="4"/>
            <w:tcW w:w="8519" w:type="dxa"/>
            <w:vAlign w:val="top"/>
            <w:textDirection w:val="lrTb"/>
            <w:noWrap w:val="false"/>
          </w:tcPr>
          <w:p>
            <w:pPr>
              <w:jc w:val="left"/>
              <w:rPr>
                <w:rFonts w:hint="eastAsia" w:ascii="微软雅黑" w:hAnsi="微软雅黑" w:eastAsia="微软雅黑" w:cs="微软雅黑"/>
                <w:b/>
                <w:bCs/>
                <w:color w:val="auto"/>
                <w:spacing w:val="-1"/>
                <w:szCs w:val="21"/>
                <w:highlight w:val="none"/>
                <w:lang w:val="en-US" w:eastAsia="zh-CN"/>
              </w:rPr>
            </w:pPr>
            <w:r>
              <w:rPr>
                <w:rFonts w:hint="eastAsia" w:ascii="微软雅黑" w:hAnsi="微软雅黑" w:eastAsia="微软雅黑" w:cs="微软雅黑"/>
                <w:b/>
                <w:bCs/>
                <w:color w:val="auto"/>
                <w:spacing w:val="-1"/>
                <w:szCs w:val="21"/>
                <w:highlight w:val="none"/>
                <w:lang w:val="en-US" w:eastAsia="zh-CN"/>
              </w:rPr>
              <w:t xml:space="preserve">低值易耗品</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r>
            <w:r/>
          </w:p>
        </w:tc>
        <w:tc>
          <w:tcPr>
            <w:tcW w:w="1140"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r>
    </w:tbl>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除</w:t>
      </w:r>
      <w:r>
        <w:rPr>
          <w:rFonts w:ascii="宋体" w:hAnsi="宋体" w:eastAsia="宋体"/>
          <w:color w:val="auto"/>
          <w:sz w:val="24"/>
          <w:szCs w:val="24"/>
          <w:highlight w:val="none"/>
        </w:rPr>
        <w:t xml:space="preserve">以上所列场地、设施、设备、材料外，与物业管理服务有关的其他场地、设施、设备、材料均由供应商承担。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numPr>
          <w:ilvl w:val="0"/>
          <w:numId w:val="6"/>
        </w:num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物业服务范围</w:t>
      </w:r>
      <w:r/>
    </w:p>
    <w:p>
      <w:pPr>
        <w:numPr>
          <w:ilvl w:val="0"/>
          <w:numId w:val="0"/>
        </w:numPr>
        <w:spacing w:line="360" w:lineRule="auto"/>
        <w:rPr>
          <w:rFonts w:ascii="宋体" w:hAnsi="宋体" w:eastAsia="宋体"/>
          <w:b/>
          <w:color w:val="auto"/>
          <w:sz w:val="24"/>
          <w:szCs w:val="24"/>
          <w:highlight w:val="none"/>
          <w:lang w:val="en-US"/>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物业管理（建筑物）</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2929"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明细</w:t>
            </w:r>
            <w:r/>
          </w:p>
        </w:tc>
        <w:tc>
          <w:tcPr>
            <w:tcW w:w="338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服务内容及标准</w:t>
            </w:r>
            <w:r/>
          </w:p>
        </w:tc>
      </w:tr>
      <w:tr>
        <w:trPr/>
        <w:tc>
          <w:tcPr>
            <w:tcW w:w="2211"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rPr>
              <w:t xml:space="preserve">鸿泰苑三区</w:t>
            </w:r>
            <w:r>
              <w:rPr>
                <w:rFonts w:hint="eastAsia" w:ascii="宋体" w:hAnsi="宋体" w:cs="宋体"/>
                <w:sz w:val="21"/>
                <w:szCs w:val="21"/>
                <w:highlight w:val="none"/>
                <w:lang w:val="en-US" w:eastAsia="zh-CN"/>
              </w:rPr>
              <w:t xml:space="preserve">小区</w:t>
            </w:r>
            <w:r>
              <w:rPr>
                <w:rFonts w:hint="eastAsia" w:ascii="宋体" w:hAnsi="宋体" w:cs="宋体"/>
                <w:color w:val="auto"/>
                <w:sz w:val="21"/>
                <w:szCs w:val="21"/>
                <w:highlight w:val="none"/>
                <w:lang w:val="en-US" w:eastAsia="zh-CN"/>
              </w:rPr>
              <w:t xml:space="preserve">建筑物部分</w:t>
            </w:r>
            <w:r/>
          </w:p>
        </w:tc>
        <w:tc>
          <w:tcPr>
            <w:tcW w:w="292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rPr>
              <w:t xml:space="preserve">鸿泰苑三区</w:t>
            </w:r>
            <w:r>
              <w:rPr>
                <w:rFonts w:hint="eastAsia" w:ascii="宋体" w:hAnsi="宋体" w:eastAsia="宋体" w:cs="宋体"/>
                <w:sz w:val="21"/>
                <w:szCs w:val="21"/>
                <w:highlight w:val="none"/>
                <w:lang w:val="en-US" w:eastAsia="zh-CN"/>
              </w:rPr>
              <w:t xml:space="preserve">小区</w:t>
            </w:r>
            <w:r>
              <w:rPr>
                <w:rFonts w:hint="eastAsia" w:ascii="宋体" w:hAnsi="宋体" w:eastAsia="宋体" w:cs="宋体"/>
                <w:color w:val="auto"/>
                <w:sz w:val="21"/>
                <w:szCs w:val="21"/>
                <w:highlight w:val="none"/>
                <w:lang w:val="en-US" w:eastAsia="zh-CN"/>
              </w:rPr>
              <w:t xml:space="preserve">总建筑面积</w:t>
            </w:r>
            <w:r>
              <w:rPr>
                <w:rFonts w:hint="eastAsia" w:ascii="宋体" w:hAnsi="宋体" w:eastAsia="宋体" w:cs="宋体"/>
                <w:sz w:val="21"/>
                <w:szCs w:val="21"/>
                <w:highlight w:val="none"/>
              </w:rPr>
              <w:t xml:space="preserve">250574.86</w:t>
            </w:r>
            <w:r>
              <w:rPr>
                <w:rFonts w:hint="eastAsia" w:ascii="宋体" w:hAnsi="宋体" w:eastAsia="宋体" w:cs="宋体"/>
                <w:color w:val="auto"/>
                <w:sz w:val="21"/>
                <w:szCs w:val="21"/>
                <w:highlight w:val="none"/>
                <w:lang w:eastAsia="zh-CN"/>
              </w:rPr>
              <w:t xml:space="preserve">平方米（其中包括商铺面积2088平方米），地下停车库面积</w:t>
            </w:r>
            <w:r>
              <w:rPr>
                <w:rFonts w:hint="eastAsia" w:ascii="宋体" w:hAnsi="宋体" w:eastAsia="宋体" w:cs="宋体"/>
                <w:color w:val="auto"/>
                <w:sz w:val="21"/>
                <w:szCs w:val="21"/>
                <w:highlight w:val="none"/>
                <w:lang w:val="en-US" w:eastAsia="zh-CN"/>
              </w:rPr>
              <w:t xml:space="preserve">23100平方米，</w:t>
            </w:r>
            <w:r>
              <w:rPr>
                <w:rFonts w:hint="eastAsia" w:ascii="宋体" w:hAnsi="宋体" w:eastAsia="宋体" w:cs="宋体"/>
                <w:color w:val="auto"/>
                <w:sz w:val="21"/>
                <w:szCs w:val="21"/>
                <w:highlight w:val="none"/>
                <w:lang w:eastAsia="zh-CN"/>
              </w:rPr>
              <w:t xml:space="preserve">户数</w:t>
            </w:r>
            <w:r>
              <w:rPr>
                <w:rFonts w:hint="eastAsia" w:ascii="宋体" w:hAnsi="宋体" w:eastAsia="宋体" w:cs="宋体"/>
                <w:sz w:val="21"/>
                <w:szCs w:val="21"/>
                <w:highlight w:val="none"/>
              </w:rPr>
              <w:t xml:space="preserve">2124</w:t>
            </w:r>
            <w:r>
              <w:rPr>
                <w:rFonts w:hint="eastAsia" w:ascii="宋体" w:hAnsi="宋体" w:eastAsia="宋体" w:cs="宋体"/>
                <w:sz w:val="21"/>
                <w:szCs w:val="21"/>
                <w:highlight w:val="none"/>
                <w:lang w:val="en-US" w:eastAsia="zh-CN"/>
              </w:rPr>
              <w:t xml:space="preserve">户</w:t>
            </w:r>
            <w:r>
              <w:rPr>
                <w:rFonts w:hint="eastAsia" w:ascii="宋体" w:hAnsi="宋体" w:eastAsia="宋体" w:cs="宋体"/>
                <w:color w:val="auto"/>
                <w:sz w:val="21"/>
                <w:szCs w:val="21"/>
                <w:highlight w:val="none"/>
                <w:lang w:eastAsia="zh-CN"/>
              </w:rPr>
              <w:t xml:space="preserve">，门卫室数量</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个，</w:t>
            </w:r>
            <w:r>
              <w:rPr>
                <w:rFonts w:hint="eastAsia" w:ascii="宋体" w:hAnsi="宋体" w:eastAsia="宋体" w:cs="宋体"/>
                <w:color w:val="auto"/>
                <w:sz w:val="21"/>
                <w:szCs w:val="21"/>
                <w:highlight w:val="none"/>
                <w:lang w:val="en-US" w:eastAsia="zh-CN"/>
              </w:rPr>
              <w:t xml:space="preserve">消</w:t>
            </w:r>
            <w:r>
              <w:rPr>
                <w:rFonts w:hint="eastAsia" w:ascii="宋体" w:hAnsi="宋体" w:eastAsia="宋体" w:cs="宋体"/>
                <w:color w:val="auto"/>
                <w:sz w:val="21"/>
                <w:szCs w:val="21"/>
                <w:highlight w:val="none"/>
                <w:lang w:eastAsia="zh-CN"/>
              </w:rPr>
              <w:t xml:space="preserve">监控室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间，</w:t>
            </w:r>
            <w:r>
              <w:rPr>
                <w:rFonts w:hint="eastAsia" w:ascii="宋体" w:hAnsi="宋体" w:eastAsia="宋体" w:cs="宋体"/>
                <w:color w:val="auto"/>
                <w:sz w:val="21"/>
                <w:szCs w:val="21"/>
                <w:highlight w:val="none"/>
                <w:lang w:val="en-US" w:eastAsia="zh-CN"/>
              </w:rPr>
              <w:t xml:space="preserve">电梯51部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其他具体明细详见“1.1物业情况”</w:t>
            </w:r>
            <w:r>
              <w:rPr>
                <w:rFonts w:hint="eastAsia" w:ascii="宋体" w:hAnsi="宋体" w:cs="宋体"/>
                <w:color w:val="auto"/>
                <w:sz w:val="21"/>
                <w:szCs w:val="21"/>
                <w:highlight w:val="none"/>
                <w:lang w:val="en-US" w:eastAsia="zh-CN"/>
              </w:rPr>
              <w:t xml:space="preserve">的建筑物部分</w:t>
            </w:r>
            <w:r>
              <w:rPr>
                <w:rFonts w:hint="eastAsia" w:ascii="宋体" w:hAnsi="宋体" w:eastAsia="宋体" w:cs="宋体"/>
                <w:color w:val="auto"/>
                <w:sz w:val="21"/>
                <w:szCs w:val="21"/>
                <w:highlight w:val="none"/>
                <w:lang w:val="en-US" w:eastAsia="zh-CN"/>
              </w:rPr>
              <w:t xml:space="preserve">。</w:t>
            </w:r>
            <w:r/>
          </w:p>
        </w:tc>
        <w:tc>
          <w:tcPr>
            <w:tcW w:w="3382" w:type="dxa"/>
            <w:vAlign w:val="top"/>
            <w:textDirection w:val="lrTb"/>
            <w:noWrap w:val="false"/>
          </w:tcPr>
          <w:p>
            <w:pPr>
              <w:keepLines w:val="0"/>
              <w:keepNext w:val="0"/>
              <w:pageBreakBefore w:val="0"/>
              <w:spacing w:line="240" w:lineRule="auto"/>
              <w:widowControl w:val="off"/>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参照</w:t>
            </w:r>
            <w:r>
              <w:rPr>
                <w:rFonts w:hint="eastAsia" w:ascii="宋体" w:hAnsi="宋体" w:eastAsia="宋体" w:cs="宋体"/>
                <w:b/>
                <w:bCs/>
                <w:color w:val="auto"/>
                <w:sz w:val="21"/>
                <w:szCs w:val="21"/>
                <w:highlight w:val="none"/>
              </w:rPr>
              <w:t xml:space="preserve">无锡市普通住宅物业服务等级三级标准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主要包括</w:t>
            </w:r>
            <w:r>
              <w:rPr>
                <w:rFonts w:hint="eastAsia" w:ascii="宋体" w:hAnsi="宋体" w:eastAsia="宋体" w:cs="宋体"/>
                <w:b/>
                <w:bCs/>
                <w:color w:val="auto"/>
                <w:sz w:val="21"/>
                <w:szCs w:val="21"/>
                <w:highlight w:val="none"/>
              </w:rPr>
              <w:t xml:space="preserve">鸿泰苑三区小区</w:t>
            </w:r>
            <w:r>
              <w:rPr>
                <w:rFonts w:hint="eastAsia" w:ascii="宋体" w:hAnsi="宋体" w:cs="宋体"/>
                <w:b/>
                <w:bCs/>
                <w:color w:val="auto"/>
                <w:sz w:val="21"/>
                <w:szCs w:val="21"/>
                <w:highlight w:val="none"/>
                <w:lang w:val="en-US" w:eastAsia="zh-CN"/>
              </w:rPr>
              <w:t xml:space="preserve">内建筑物的保安、保洁工作，以及</w:t>
            </w:r>
            <w:r>
              <w:rPr>
                <w:rFonts w:hint="eastAsia" w:ascii="宋体" w:hAnsi="宋体" w:eastAsia="宋体" w:cs="宋体"/>
                <w:b/>
                <w:bCs/>
                <w:color w:val="auto"/>
                <w:sz w:val="21"/>
                <w:szCs w:val="21"/>
                <w:highlight w:val="none"/>
              </w:rPr>
              <w:t xml:space="preserve">房屋和</w:t>
            </w:r>
            <w:r>
              <w:rPr>
                <w:rFonts w:hint="eastAsia" w:ascii="宋体" w:hAnsi="宋体" w:cs="宋体"/>
                <w:b/>
                <w:bCs/>
                <w:color w:val="auto"/>
                <w:sz w:val="21"/>
                <w:szCs w:val="21"/>
                <w:highlight w:val="none"/>
                <w:lang w:eastAsia="zh-CN"/>
              </w:rPr>
              <w:t xml:space="preserve">公用设施</w:t>
            </w:r>
            <w:r>
              <w:rPr>
                <w:rFonts w:hint="eastAsia" w:ascii="宋体" w:hAnsi="宋体" w:eastAsia="宋体" w:cs="宋体"/>
                <w:b/>
                <w:bCs/>
                <w:color w:val="auto"/>
                <w:sz w:val="21"/>
                <w:szCs w:val="21"/>
                <w:highlight w:val="none"/>
              </w:rPr>
              <w:t xml:space="preserve">设备的维修保养等工作</w:t>
            </w:r>
            <w:r>
              <w:rPr>
                <w:rFonts w:hint="eastAsia" w:ascii="宋体" w:hAnsi="宋体" w:cs="宋体"/>
                <w:b/>
                <w:bCs/>
                <w:color w:val="auto"/>
                <w:sz w:val="21"/>
                <w:szCs w:val="21"/>
                <w:highlight w:val="none"/>
                <w:lang w:eastAsia="zh-CN"/>
              </w:rPr>
              <w:t xml:space="preserve">。</w:t>
            </w:r>
            <w:r/>
          </w:p>
          <w:p>
            <w:pPr>
              <w:keepLines w:val="0"/>
              <w:keepNext w:val="0"/>
              <w:pageBreakBefore w:val="0"/>
              <w:spacing w:line="240" w:lineRule="auto"/>
              <w:widowControl w:val="off"/>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具体如下：</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保安工作包括但不限于：公共秩序维护、公共安全管理；门岗值守、秩序管理及巡查；车辆进出管理与疏导；机动车、非机动车的出入停放管理；日常安防监控管理、突发应急管理；协助相关部门做好紧急情况处置工作。</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保洁工作包括但不限于：</w:t>
            </w:r>
            <w:r>
              <w:rPr>
                <w:rFonts w:hint="eastAsia" w:ascii="宋体" w:hAnsi="宋体" w:cs="宋体"/>
                <w:color w:val="auto"/>
                <w:sz w:val="21"/>
                <w:szCs w:val="21"/>
                <w:highlight w:val="none"/>
                <w:lang w:val="en-US" w:eastAsia="zh-CN"/>
              </w:rPr>
              <w:t xml:space="preserve">建筑物范围内的</w:t>
            </w:r>
            <w:r>
              <w:rPr>
                <w:rFonts w:hint="eastAsia" w:ascii="宋体" w:hAnsi="宋体" w:eastAsia="宋体" w:cs="宋体"/>
                <w:color w:val="auto"/>
                <w:sz w:val="21"/>
                <w:szCs w:val="21"/>
                <w:highlight w:val="none"/>
              </w:rPr>
              <w:t xml:space="preserve">道路、场地的清洁；化粪池疏通；公共楼道、走廊、物业管理用房等室内门窗、地板、墙面、天棚等其他室内设施的保洁；屋面、露台（含沿街商铺露台）、地下室等公共场所的保洁；电梯、栏杆、扶手、消防栓箱、灯具等公共设施的保洁；公共部位玻璃及门窗的清洁。</w:t>
            </w:r>
            <w:r/>
          </w:p>
          <w:p>
            <w:pPr>
              <w:pStyle w:val="760"/>
              <w:numPr>
                <w:ilvl w:val="0"/>
                <w:numId w:val="0"/>
              </w:num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房屋和共用设施设备的</w:t>
            </w:r>
            <w:r>
              <w:rPr>
                <w:rFonts w:hint="eastAsia" w:ascii="宋体" w:hAnsi="宋体" w:cs="宋体"/>
                <w:color w:val="auto"/>
                <w:sz w:val="21"/>
                <w:szCs w:val="21"/>
                <w:highlight w:val="none"/>
                <w:lang w:val="en-US" w:eastAsia="zh-CN"/>
              </w:rPr>
              <w:t xml:space="preserve">维护保养</w:t>
            </w:r>
            <w:r>
              <w:rPr>
                <w:rFonts w:hint="eastAsia" w:ascii="宋体" w:hAnsi="宋体" w:eastAsia="宋体" w:cs="宋体"/>
                <w:color w:val="auto"/>
                <w:sz w:val="21"/>
                <w:szCs w:val="21"/>
                <w:highlight w:val="none"/>
              </w:rPr>
              <w:t xml:space="preserve">包括但不限于：</w:t>
            </w:r>
            <w:r>
              <w:rPr>
                <w:rFonts w:hint="eastAsia" w:ascii="宋体" w:hAnsi="宋体" w:cs="宋体"/>
                <w:color w:val="auto"/>
                <w:sz w:val="21"/>
                <w:szCs w:val="21"/>
                <w:highlight w:val="none"/>
                <w:lang w:val="en-US" w:eastAsia="zh-CN"/>
              </w:rPr>
              <w:t xml:space="preserve">建筑物内</w:t>
            </w:r>
            <w:r>
              <w:rPr>
                <w:rFonts w:hint="eastAsia" w:ascii="宋体" w:hAnsi="宋体" w:eastAsia="宋体" w:cs="宋体"/>
                <w:color w:val="auto"/>
                <w:sz w:val="21"/>
                <w:szCs w:val="21"/>
                <w:highlight w:val="none"/>
              </w:rPr>
              <w:t xml:space="preserve">公共部位</w:t>
            </w:r>
            <w:r>
              <w:rPr>
                <w:rFonts w:hint="eastAsia" w:ascii="宋体" w:hAnsi="宋体" w:cs="宋体"/>
                <w:color w:val="auto"/>
                <w:sz w:val="21"/>
                <w:szCs w:val="21"/>
                <w:highlight w:val="none"/>
                <w:lang w:val="en-US" w:eastAsia="zh-CN"/>
              </w:rPr>
              <w:t xml:space="preserve">的维护保养（如</w:t>
            </w:r>
            <w:r>
              <w:rPr>
                <w:rFonts w:hint="eastAsia" w:ascii="宋体" w:hAnsi="宋体" w:eastAsia="宋体" w:cs="宋体"/>
                <w:color w:val="auto"/>
                <w:sz w:val="21"/>
                <w:szCs w:val="21"/>
                <w:highlight w:val="none"/>
              </w:rPr>
              <w:t xml:space="preserve">门窗、场地、给排水设施、照明灯</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景观等）</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建筑物内</w:t>
            </w:r>
            <w:r>
              <w:rPr>
                <w:rFonts w:hint="eastAsia" w:ascii="宋体" w:hAnsi="宋体" w:eastAsia="宋体" w:cs="宋体"/>
                <w:color w:val="auto"/>
                <w:sz w:val="21"/>
                <w:szCs w:val="21"/>
                <w:highlight w:val="none"/>
              </w:rPr>
              <w:t xml:space="preserve">共用设施设备</w:t>
            </w:r>
            <w:r>
              <w:rPr>
                <w:rFonts w:hint="eastAsia" w:ascii="宋体" w:hAnsi="宋体" w:cs="宋体"/>
                <w:color w:val="auto"/>
                <w:sz w:val="21"/>
                <w:szCs w:val="21"/>
                <w:highlight w:val="none"/>
                <w:lang w:val="en-US" w:eastAsia="zh-CN"/>
              </w:rPr>
              <w:t xml:space="preserve">的维护保养、年检（如</w:t>
            </w:r>
            <w:r>
              <w:rPr>
                <w:rFonts w:hint="eastAsia" w:ascii="宋体" w:hAnsi="宋体" w:eastAsia="宋体" w:cs="宋体"/>
                <w:color w:val="auto"/>
                <w:sz w:val="21"/>
                <w:szCs w:val="21"/>
                <w:highlight w:val="none"/>
              </w:rPr>
              <w:t xml:space="preserve">电梯、消防、电力设施、</w:t>
            </w:r>
            <w:r>
              <w:rPr>
                <w:rFonts w:hint="eastAsia" w:ascii="宋体" w:hAnsi="宋体" w:cs="宋体"/>
                <w:color w:val="auto"/>
                <w:sz w:val="21"/>
                <w:szCs w:val="21"/>
                <w:highlight w:val="none"/>
                <w:lang w:val="en-US" w:eastAsia="zh-CN"/>
              </w:rPr>
              <w:t xml:space="preserve">弱电系统</w:t>
            </w:r>
            <w:r>
              <w:rPr>
                <w:rFonts w:hint="eastAsia" w:ascii="宋体" w:hAnsi="宋体" w:eastAsia="宋体" w:cs="宋体"/>
                <w:color w:val="auto"/>
                <w:sz w:val="21"/>
                <w:szCs w:val="21"/>
                <w:highlight w:val="none"/>
              </w:rPr>
              <w:t xml:space="preserve">等</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配套设施设备的零星维修和应急维修</w:t>
            </w:r>
            <w:r>
              <w:rPr>
                <w:rFonts w:hint="eastAsia" w:ascii="宋体" w:hAnsi="宋体" w:eastAsia="宋体" w:cs="宋体"/>
                <w:color w:val="auto"/>
                <w:sz w:val="21"/>
                <w:szCs w:val="21"/>
                <w:highlight w:val="none"/>
              </w:rPr>
              <w:t xml:space="preserve">。</w:t>
            </w:r>
            <w:r/>
          </w:p>
        </w:tc>
      </w:tr>
    </w:tbl>
    <w:p>
      <w:pPr>
        <w:numPr>
          <w:ilvl w:val="0"/>
          <w:numId w:val="0"/>
        </w:numPr>
        <w:spacing w:line="360" w:lineRule="auto"/>
        <w:rPr>
          <w:rFonts w:ascii="宋体" w:hAnsi="宋体" w:eastAsia="宋体"/>
          <w:b/>
          <w:color w:val="auto"/>
          <w:sz w:val="24"/>
          <w:szCs w:val="24"/>
          <w:highlight w:val="none"/>
          <w:lang w:val="en-US"/>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物业管理（室外）</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2929"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明细</w:t>
            </w:r>
            <w:r/>
          </w:p>
        </w:tc>
        <w:tc>
          <w:tcPr>
            <w:tcW w:w="338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服务内容及标准</w:t>
            </w:r>
            <w:r/>
          </w:p>
        </w:tc>
      </w:tr>
      <w:tr>
        <w:trPr/>
        <w:tc>
          <w:tcPr>
            <w:tcW w:w="2211"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rPr>
              <w:t xml:space="preserve">鸿泰苑三区</w:t>
            </w:r>
            <w:r>
              <w:rPr>
                <w:rFonts w:hint="eastAsia" w:ascii="宋体" w:hAnsi="宋体" w:cs="宋体"/>
                <w:sz w:val="21"/>
                <w:szCs w:val="21"/>
                <w:highlight w:val="none"/>
                <w:lang w:val="en-US" w:eastAsia="zh-CN"/>
              </w:rPr>
              <w:t xml:space="preserve">小区</w:t>
            </w:r>
            <w:r>
              <w:rPr>
                <w:rFonts w:hint="eastAsia" w:ascii="宋体" w:hAnsi="宋体" w:cs="宋体"/>
                <w:color w:val="auto"/>
                <w:sz w:val="21"/>
                <w:szCs w:val="21"/>
                <w:highlight w:val="none"/>
                <w:lang w:val="en-US" w:eastAsia="zh-CN"/>
              </w:rPr>
              <w:t xml:space="preserve">室外部分</w:t>
            </w:r>
            <w:r/>
          </w:p>
        </w:tc>
        <w:tc>
          <w:tcPr>
            <w:tcW w:w="292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rPr>
              <w:t xml:space="preserve">鸿泰苑三区</w:t>
            </w:r>
            <w:r>
              <w:rPr>
                <w:rFonts w:hint="eastAsia" w:ascii="宋体" w:hAnsi="宋体" w:eastAsia="宋体" w:cs="宋体"/>
                <w:sz w:val="21"/>
                <w:szCs w:val="21"/>
                <w:highlight w:val="none"/>
                <w:lang w:val="en-US" w:eastAsia="zh-CN"/>
              </w:rPr>
              <w:t xml:space="preserve">小区</w:t>
            </w:r>
            <w:r>
              <w:rPr>
                <w:rFonts w:hint="eastAsia" w:ascii="宋体" w:hAnsi="宋体" w:eastAsia="宋体" w:cs="宋体"/>
                <w:color w:val="auto"/>
                <w:sz w:val="21"/>
                <w:szCs w:val="21"/>
                <w:highlight w:val="none"/>
                <w:lang w:val="en-US" w:eastAsia="zh-CN"/>
              </w:rPr>
              <w:t xml:space="preserve">总建筑面积</w:t>
            </w:r>
            <w:r>
              <w:rPr>
                <w:rFonts w:hint="eastAsia" w:ascii="宋体" w:hAnsi="宋体" w:eastAsia="宋体" w:cs="宋体"/>
                <w:sz w:val="21"/>
                <w:szCs w:val="21"/>
                <w:highlight w:val="none"/>
              </w:rPr>
              <w:t xml:space="preserve">250574.86</w:t>
            </w:r>
            <w:r>
              <w:rPr>
                <w:rFonts w:hint="eastAsia" w:ascii="宋体" w:hAnsi="宋体" w:eastAsia="宋体" w:cs="宋体"/>
                <w:color w:val="auto"/>
                <w:sz w:val="21"/>
                <w:szCs w:val="21"/>
                <w:highlight w:val="none"/>
                <w:lang w:eastAsia="zh-CN"/>
              </w:rPr>
              <w:t xml:space="preserve">平方米（其中包括商铺面积2088平方米），绿化面积</w:t>
            </w:r>
            <w:r>
              <w:rPr>
                <w:rFonts w:hint="eastAsia" w:ascii="宋体" w:hAnsi="宋体" w:eastAsia="宋体" w:cs="宋体"/>
                <w:color w:val="auto"/>
                <w:sz w:val="21"/>
                <w:szCs w:val="21"/>
                <w:highlight w:val="none"/>
                <w:lang w:val="en-US" w:eastAsia="zh-CN"/>
              </w:rPr>
              <w:t xml:space="preserve">42894</w:t>
            </w:r>
            <w:r>
              <w:rPr>
                <w:rFonts w:hint="eastAsia" w:ascii="宋体" w:hAnsi="宋体" w:eastAsia="宋体" w:cs="宋体"/>
                <w:color w:val="auto"/>
                <w:sz w:val="21"/>
                <w:szCs w:val="21"/>
                <w:highlight w:val="none"/>
                <w:lang w:eastAsia="zh-CN"/>
              </w:rPr>
              <w:t xml:space="preserve">平方米，</w:t>
            </w:r>
            <w:r>
              <w:rPr>
                <w:rFonts w:hint="eastAsia" w:ascii="宋体" w:hAnsi="宋体" w:eastAsia="宋体" w:cs="宋体"/>
                <w:color w:val="auto"/>
                <w:sz w:val="21"/>
                <w:szCs w:val="21"/>
                <w:highlight w:val="none"/>
                <w:lang w:val="en-US" w:eastAsia="zh-CN"/>
              </w:rPr>
              <w:t xml:space="preserve">地面车位</w:t>
            </w:r>
            <w:r>
              <w:rPr>
                <w:rFonts w:hint="eastAsia" w:ascii="宋体" w:hAnsi="宋体" w:eastAsia="宋体" w:cs="宋体"/>
                <w:sz w:val="21"/>
                <w:szCs w:val="21"/>
                <w:highlight w:val="none"/>
              </w:rPr>
              <w:t xml:space="preserve">465</w:t>
            </w:r>
            <w:r>
              <w:rPr>
                <w:rFonts w:hint="eastAsia" w:ascii="宋体" w:hAnsi="宋体" w:eastAsia="宋体" w:cs="宋体"/>
                <w:sz w:val="21"/>
                <w:szCs w:val="21"/>
                <w:highlight w:val="none"/>
                <w:lang w:val="en-US" w:eastAsia="zh-CN"/>
              </w:rPr>
              <w:t xml:space="preserve">个</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其他具体明细详见“1.1物业情况”</w:t>
            </w:r>
            <w:r>
              <w:rPr>
                <w:rFonts w:hint="eastAsia" w:ascii="宋体" w:hAnsi="宋体" w:cs="宋体"/>
                <w:color w:val="auto"/>
                <w:sz w:val="21"/>
                <w:szCs w:val="21"/>
                <w:highlight w:val="none"/>
                <w:lang w:val="en-US" w:eastAsia="zh-CN"/>
              </w:rPr>
              <w:t xml:space="preserve">的室外部分</w:t>
            </w:r>
            <w:r>
              <w:rPr>
                <w:rFonts w:hint="eastAsia" w:ascii="宋体" w:hAnsi="宋体" w:eastAsia="宋体" w:cs="宋体"/>
                <w:color w:val="auto"/>
                <w:sz w:val="21"/>
                <w:szCs w:val="21"/>
                <w:highlight w:val="none"/>
                <w:lang w:val="en-US" w:eastAsia="zh-CN"/>
              </w:rPr>
              <w:t xml:space="preserve">。</w:t>
            </w:r>
            <w:r/>
          </w:p>
        </w:tc>
        <w:tc>
          <w:tcPr>
            <w:tcW w:w="3382" w:type="dxa"/>
            <w:vAlign w:val="top"/>
            <w:textDirection w:val="lrTb"/>
            <w:noWrap w:val="false"/>
          </w:tcPr>
          <w:p>
            <w:pPr>
              <w:keepLines w:val="0"/>
              <w:keepNext w:val="0"/>
              <w:pageBreakBefore w:val="0"/>
              <w:spacing w:line="24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参照无锡市普通住宅物业服务等级三级标准。主要包括鸿泰苑三区</w:t>
            </w:r>
            <w:r>
              <w:rPr>
                <w:rFonts w:hint="eastAsia" w:ascii="宋体" w:hAnsi="宋体" w:eastAsia="宋体" w:cs="宋体"/>
                <w:b/>
                <w:bCs/>
                <w:color w:val="auto"/>
                <w:sz w:val="21"/>
                <w:szCs w:val="21"/>
                <w:highlight w:val="none"/>
                <w:lang w:val="en-US" w:eastAsia="zh-CN"/>
              </w:rPr>
              <w:t xml:space="preserve">小区</w:t>
            </w:r>
            <w:r>
              <w:rPr>
                <w:rFonts w:hint="eastAsia" w:ascii="宋体" w:hAnsi="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（包括商铺）及小区各出入口至主干道两侧50米距离范围内</w:t>
            </w:r>
            <w:r>
              <w:rPr>
                <w:rFonts w:hint="eastAsia" w:ascii="宋体" w:hAnsi="宋体" w:cs="宋体"/>
                <w:b/>
                <w:bCs/>
                <w:color w:val="auto"/>
                <w:sz w:val="21"/>
                <w:szCs w:val="21"/>
                <w:highlight w:val="none"/>
                <w:lang w:val="en-US" w:eastAsia="zh-CN"/>
              </w:rPr>
              <w:t xml:space="preserve">室外</w:t>
            </w:r>
            <w:r>
              <w:rPr>
                <w:rFonts w:hint="eastAsia" w:ascii="宋体" w:hAnsi="宋体" w:eastAsia="宋体" w:cs="宋体"/>
                <w:b/>
                <w:bCs/>
                <w:color w:val="auto"/>
                <w:sz w:val="21"/>
                <w:szCs w:val="21"/>
                <w:highlight w:val="none"/>
              </w:rPr>
              <w:t xml:space="preserve">的所有和物业有关的工作，包括但不仅限于保安、保洁、绿化养护与管理、房屋和共用设施设备的维修保养等工作。</w:t>
            </w:r>
            <w:r/>
          </w:p>
          <w:p>
            <w:pPr>
              <w:pStyle w:val="760"/>
              <w:ind w:left="0" w:firstLine="0"/>
              <w:rPr>
                <w:rFonts w:hint="eastAsia"/>
                <w:highlight w:val="none"/>
              </w:rPr>
            </w:pPr>
            <w:r>
              <w:rPr>
                <w:rFonts w:hint="eastAsia"/>
                <w:highlight w:val="none"/>
              </w:rPr>
              <w:t xml:space="preserve">具体如下：</w:t>
            </w:r>
            <w:r/>
          </w:p>
          <w:p>
            <w:pPr>
              <w:pStyle w:val="760"/>
              <w:ind w:left="0" w:firstLine="0"/>
              <w:rPr>
                <w:rFonts w:hint="eastAsia"/>
                <w:highlight w:val="none"/>
              </w:rPr>
            </w:pPr>
            <w:r>
              <w:rPr>
                <w:rFonts w:hint="eastAsia"/>
                <w:highlight w:val="none"/>
              </w:rPr>
              <w:t xml:space="preserve">1、保安工作包括但不限于：公共秩序维护、公共安全管理；门岗值守、秩序管理及巡查；车辆进出管理与疏导；机动车、非机动车的出入停放管理；日常安防监控管理、突发应急管理；协助相关部门做好紧急情况处置工作。</w:t>
            </w:r>
            <w:r/>
          </w:p>
          <w:p>
            <w:pPr>
              <w:pStyle w:val="760"/>
              <w:ind w:left="0" w:firstLine="0"/>
              <w:rPr>
                <w:rFonts w:hint="eastAsia"/>
                <w:highlight w:val="none"/>
              </w:rPr>
            </w:pPr>
            <w:r>
              <w:rPr>
                <w:rFonts w:hint="eastAsia"/>
                <w:highlight w:val="none"/>
              </w:rPr>
              <w:t xml:space="preserve">2、保洁工作包括但不限于：服务范围内的室外道路、场地、雨水明沟、水池、灯具等其他室外设施的保洁；化粪池疏通；室外停车场等公共场地的保洁；垃圾清运（建筑垃圾由中标供应商收集到采购人指定地点，生活垃圾由中标供应商收集后自行处理出小区）；协助社区做好垃圾分类工作。</w:t>
            </w:r>
            <w:r/>
          </w:p>
          <w:p>
            <w:pPr>
              <w:pStyle w:val="760"/>
              <w:ind w:left="0" w:firstLine="0"/>
              <w:rPr>
                <w:rFonts w:hint="eastAsia"/>
                <w:highlight w:val="none"/>
              </w:rPr>
            </w:pPr>
            <w:r>
              <w:rPr>
                <w:rFonts w:hint="eastAsia"/>
                <w:highlight w:val="none"/>
              </w:rPr>
              <w:t xml:space="preserve">3、绿化养护与管理包括但不限于：乔木、灌木、绿篱、花坛、垂直绿化、草坪及绿地附属设施的保洁、淋水、除草、修剪、施肥、除虫害、植保等工作，要求按照无锡市市政园林局绿化管理的要求和标准进行三级管理。</w:t>
            </w:r>
            <w:r/>
          </w:p>
          <w:p>
            <w:pPr>
              <w:pStyle w:val="760"/>
              <w:ind w:left="0" w:firstLine="0"/>
              <w:rPr>
                <w:rFonts w:hint="eastAsia"/>
                <w:highlight w:val="none"/>
              </w:rPr>
            </w:pPr>
            <w:r>
              <w:rPr>
                <w:rFonts w:hint="eastAsia"/>
                <w:highlight w:val="none"/>
              </w:rPr>
              <w:t xml:space="preserve">4、房屋和共用设施设备的维护保养包括但不限于：室外公共部位的维护保养（如道路、场地、给排水设施、照明灯、景观等）；室外共用设施设备的维护保养、年检（如消防、电力设施、弱电系统等）；配套设施设备的零星维修和应急维修。</w:t>
            </w:r>
            <w:r/>
          </w:p>
        </w:tc>
      </w:tr>
    </w:tbl>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3.物业管理服务内容及标准</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3.1  基本服务</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序号</w:t>
            </w:r>
            <w:r/>
          </w:p>
        </w:tc>
        <w:tc>
          <w:tcPr>
            <w:tcW w:w="2638"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服务内容</w:t>
            </w:r>
            <w:r/>
          </w:p>
        </w:tc>
        <w:tc>
          <w:tcPr>
            <w:tcW w:w="4709"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服务标准</w:t>
            </w:r>
            <w:r/>
          </w:p>
        </w:tc>
      </w:tr>
      <w:t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1</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管理处设置</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1、小区内设置管理处。</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2、配置办公家具、接待前台、电话、电脑等办公设施及办公用品。</w:t>
            </w:r>
            <w:r/>
          </w:p>
        </w:tc>
      </w:tr>
      <w:t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2</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人员要求</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1、小区经理有相关物业管理工作经验。</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2、所有工作人员服装统一，挂牌上岗，仪表整洁规范。</w:t>
            </w:r>
            <w:r/>
          </w:p>
        </w:tc>
      </w:tr>
      <w:t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eastAsia="zh-CN"/>
              </w:rPr>
            </w:pPr>
            <w:r>
              <w:rPr>
                <w:rFonts w:hint="eastAsia" w:ascii="微软雅黑" w:hAnsi="微软雅黑" w:eastAsia="微软雅黑" w:cs="微软雅黑"/>
                <w:b w:val="0"/>
                <w:bCs w:val="0"/>
                <w:color w:val="auto"/>
                <w:spacing w:val="-1"/>
                <w:szCs w:val="21"/>
                <w:highlight w:val="none"/>
                <w:lang w:val="en-US" w:eastAsia="zh-CN"/>
              </w:rPr>
              <w:t xml:space="preserve">3</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服务时间</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管理处周一至周五每天8小时业务接待。</w:t>
            </w:r>
            <w:r/>
          </w:p>
        </w:tc>
      </w:tr>
      <w:t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4</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日常服务</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1、24小时受理业主或使用人报修。急修1小时内到现场处理，一般修理三天内完成（预约除外）。</w:t>
            </w:r>
            <w:r/>
          </w:p>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2、对业主或使用人的投诉在四天内答复处理。</w:t>
            </w:r>
            <w:r/>
          </w:p>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3、公示服务标准和收费标准，每年向业主公布财务状况一次，公共水电费能耗分摊每半年向业主公布一次。</w:t>
            </w:r>
            <w:r/>
          </w:p>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4、制定小区房屋装修申请、验收等装修管理制度，对不符合规定的行为、现象及时劝阻、制止或报告。</w:t>
            </w:r>
            <w:r/>
          </w:p>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5、建立业主档案、收费管理、设备管理等记录。</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6、能提供一种以上特约服务（有偿）和一种以上便民（无偿）服务；每年组织一次以上的社区活动。</w:t>
            </w:r>
            <w:r/>
          </w:p>
        </w:tc>
      </w:tr>
    </w:tbl>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  清洁管理服务</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序号</w:t>
            </w:r>
            <w:r/>
          </w:p>
        </w:tc>
        <w:tc>
          <w:tcPr>
            <w:tcW w:w="2638"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服务内容</w:t>
            </w:r>
            <w:r/>
          </w:p>
        </w:tc>
        <w:tc>
          <w:tcPr>
            <w:tcW w:w="4709"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服务标准</w:t>
            </w:r>
            <w:r/>
          </w:p>
        </w:tc>
      </w:tr>
      <w:t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1</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共用楼道保洁</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每周打扫1次各楼层通道和楼梯台阶、清洁1次楼梯扶手；楼梯间墙面、顶面每季度除尘1次。</w:t>
            </w:r>
            <w:r/>
          </w:p>
        </w:tc>
      </w:tr>
      <w:t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2</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电梯及电梯厅保洁</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每日清扫1次电梯轿厢，每周擦拭1次电梯门壁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每月对轿厢顶部清洁1次</w:t>
            </w:r>
            <w:r/>
          </w:p>
        </w:tc>
      </w:tr>
      <w:t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eastAsia="zh-CN"/>
              </w:rPr>
            </w:pPr>
            <w:r>
              <w:rPr>
                <w:rFonts w:hint="eastAsia" w:ascii="微软雅黑" w:hAnsi="微软雅黑" w:eastAsia="微软雅黑" w:cs="微软雅黑"/>
                <w:b w:val="0"/>
                <w:bCs w:val="0"/>
                <w:color w:val="auto"/>
                <w:spacing w:val="-1"/>
                <w:szCs w:val="21"/>
                <w:highlight w:val="none"/>
                <w:lang w:val="en-US" w:eastAsia="zh-CN"/>
              </w:rPr>
              <w:t xml:space="preserve">3</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共用卫生间保洁</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每日清洁2次，每周消杀1次</w:t>
            </w:r>
            <w:r/>
          </w:p>
        </w:tc>
      </w:tr>
      <w:t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4</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停车场、共用车库或车棚保洁</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每半月清扫1次车库，每半年进行1次地下室消杀工作</w:t>
            </w:r>
            <w:r/>
          </w:p>
        </w:tc>
      </w:tr>
      <w:t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5</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绿化带、道路保洁</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每日清扫1次</w:t>
            </w:r>
            <w:r/>
          </w:p>
        </w:tc>
      </w:tr>
      <w:t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6</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标识、宣传牌、信报箱保洁</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标识、宣传牌每周擦拭1次，雕塑、信报箱每季度擦拭1次</w:t>
            </w:r>
            <w:r/>
          </w:p>
        </w:tc>
      </w:tr>
      <w:t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7</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休闲、娱乐、健身设施</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每周清洁1次</w:t>
            </w:r>
            <w:r/>
          </w:p>
        </w:tc>
      </w:tr>
      <w:t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8</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垃圾桶、果皮箱</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垃圾每日收集1次，垃圾桶、果皮箱每月</w:t>
            </w:r>
            <w:r>
              <w:rPr>
                <w:rFonts w:hint="eastAsia" w:ascii="宋体" w:hAnsi="宋体" w:eastAsia="宋体" w:cs="宋体"/>
                <w:color w:val="auto"/>
                <w:szCs w:val="21"/>
                <w:highlight w:val="none"/>
                <w:lang w:eastAsia="zh-CN"/>
              </w:rPr>
              <w:t xml:space="preserve">擦拭</w:t>
            </w:r>
            <w:r>
              <w:rPr>
                <w:rFonts w:hint="eastAsia" w:ascii="宋体" w:hAnsi="宋体" w:eastAsia="宋体" w:cs="宋体"/>
                <w:color w:val="auto"/>
                <w:szCs w:val="21"/>
                <w:highlight w:val="none"/>
              </w:rPr>
              <w:t xml:space="preserve">2次</w:t>
            </w:r>
            <w:r/>
          </w:p>
        </w:tc>
      </w:tr>
      <w:t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9</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垃圾收集与处理</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小区内定点设置垃圾收集箱或点，每日定时清理1次；垃圾收集箱或点周围地面无散落垃圾、无异味，每月清洗1次。</w:t>
            </w:r>
            <w:r/>
          </w:p>
        </w:tc>
      </w:tr>
      <w:t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10</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卫生消杀</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灭鼠、灭蚊等每年至少进行2次</w:t>
            </w:r>
            <w:r/>
          </w:p>
        </w:tc>
      </w:tr>
      <w:t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11</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公共天台、屋顶</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每季清理1次，保持清洁、无垃圾</w:t>
            </w:r>
            <w:r/>
          </w:p>
        </w:tc>
      </w:tr>
    </w:tbl>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  房屋、共用设施、设备维护与管理</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1901"/>
        <w:gridCol w:w="5888"/>
      </w:tblGrid>
      <w:tr>
        <w:trPr/>
        <w:tc>
          <w:tcPr>
            <w:tcW w:w="733"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序号</w:t>
            </w:r>
            <w:r/>
          </w:p>
        </w:tc>
        <w:tc>
          <w:tcPr>
            <w:tcW w:w="1901"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服务内容</w:t>
            </w:r>
            <w:r/>
          </w:p>
        </w:tc>
        <w:tc>
          <w:tcPr>
            <w:tcW w:w="5888"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服务标准</w:t>
            </w:r>
            <w:r/>
          </w:p>
        </w:tc>
      </w:tr>
      <w:tr>
        <w:trPr/>
        <w:tc>
          <w:tcPr>
            <w:tcW w:w="733"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1</w:t>
            </w:r>
            <w:r/>
          </w:p>
        </w:tc>
        <w:tc>
          <w:tcPr>
            <w:tcW w:w="1901"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公共部位门窗</w:t>
            </w:r>
            <w:r/>
          </w:p>
        </w:tc>
        <w:tc>
          <w:tcPr>
            <w:tcW w:w="588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每月巡视楼内公共部位门窗，保持玻璃、门窗配件完好，门、窗开闭灵活并无异常声响。</w:t>
            </w:r>
            <w:r/>
          </w:p>
        </w:tc>
      </w:tr>
      <w:tr>
        <w:trPr/>
        <w:tc>
          <w:tcPr>
            <w:tcW w:w="733"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2</w:t>
            </w:r>
            <w:r/>
          </w:p>
        </w:tc>
        <w:tc>
          <w:tcPr>
            <w:tcW w:w="1901"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围墙</w:t>
            </w:r>
            <w:r/>
          </w:p>
        </w:tc>
        <w:tc>
          <w:tcPr>
            <w:tcW w:w="588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每季一次巡查围墙，发现损坏立即修复，保持围墙完好</w:t>
            </w:r>
            <w:r/>
          </w:p>
        </w:tc>
      </w:tr>
      <w:tr>
        <w:trPr/>
        <w:tc>
          <w:tcPr>
            <w:tcW w:w="733"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eastAsia="zh-CN"/>
              </w:rPr>
            </w:pPr>
            <w:r>
              <w:rPr>
                <w:rFonts w:hint="eastAsia" w:ascii="微软雅黑" w:hAnsi="微软雅黑" w:eastAsia="微软雅黑" w:cs="微软雅黑"/>
                <w:b w:val="0"/>
                <w:bCs w:val="0"/>
                <w:color w:val="auto"/>
                <w:spacing w:val="-1"/>
                <w:szCs w:val="21"/>
                <w:highlight w:val="none"/>
                <w:lang w:val="en-US" w:eastAsia="zh-CN"/>
              </w:rPr>
              <w:t xml:space="preserve">3</w:t>
            </w:r>
            <w:r/>
          </w:p>
        </w:tc>
        <w:tc>
          <w:tcPr>
            <w:tcW w:w="1901"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道路、场地等</w:t>
            </w:r>
            <w:r/>
          </w:p>
        </w:tc>
        <w:tc>
          <w:tcPr>
            <w:tcW w:w="588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每季一次巡查道路、路面、侧石、井盖等，发现损坏及时修复，保持路面无破损。</w:t>
            </w:r>
            <w:r/>
          </w:p>
        </w:tc>
      </w:tr>
      <w:t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4</w:t>
            </w:r>
            <w:r/>
          </w:p>
        </w:tc>
        <w:tc>
          <w:tcPr>
            <w:tcW w:w="1901"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排水设施</w:t>
            </w:r>
            <w:r/>
          </w:p>
        </w:tc>
        <w:tc>
          <w:tcPr>
            <w:tcW w:w="588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每季清扫1次排水明沟，每年对地下管井清理1次</w:t>
            </w:r>
            <w:r/>
          </w:p>
        </w:tc>
      </w:tr>
      <w:t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5</w:t>
            </w:r>
            <w:r/>
          </w:p>
        </w:tc>
        <w:tc>
          <w:tcPr>
            <w:tcW w:w="1901"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给水设施</w:t>
            </w:r>
            <w:r/>
          </w:p>
        </w:tc>
        <w:tc>
          <w:tcPr>
            <w:tcW w:w="588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饮用水水池</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箱</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每年清洗消毒1次、水质化验达标</w:t>
            </w:r>
            <w:r/>
          </w:p>
        </w:tc>
      </w:tr>
      <w:t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6</w:t>
            </w:r>
            <w:r/>
          </w:p>
        </w:tc>
        <w:tc>
          <w:tcPr>
            <w:tcW w:w="1901"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公共部位照明灯、景观灯等</w:t>
            </w:r>
            <w:r/>
          </w:p>
        </w:tc>
        <w:tc>
          <w:tcPr>
            <w:tcW w:w="588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保持灯具完好。</w:t>
            </w:r>
            <w:r/>
          </w:p>
        </w:tc>
      </w:tr>
      <w:t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7</w:t>
            </w:r>
            <w:r/>
          </w:p>
        </w:tc>
        <w:tc>
          <w:tcPr>
            <w:tcW w:w="1901"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消防设施设备</w:t>
            </w:r>
            <w:r/>
          </w:p>
        </w:tc>
        <w:tc>
          <w:tcPr>
            <w:tcW w:w="588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1、消防设施设备可随时启用，消防通道畅通</w:t>
            </w:r>
            <w:r/>
          </w:p>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2、每半年检查一次消防水带、阀杆处加注润滑油并</w:t>
            </w:r>
            <w:r>
              <w:rPr>
                <w:rFonts w:hint="eastAsia" w:ascii="宋体" w:hAnsi="宋体" w:eastAsia="宋体" w:cs="宋体"/>
                <w:color w:val="auto"/>
                <w:szCs w:val="21"/>
                <w:highlight w:val="none"/>
                <w:lang w:eastAsia="zh-CN"/>
              </w:rPr>
              <w:t xml:space="preserve">做</w:t>
            </w:r>
            <w:r>
              <w:rPr>
                <w:rFonts w:hint="eastAsia" w:ascii="宋体" w:hAnsi="宋体" w:eastAsia="宋体" w:cs="宋体"/>
                <w:color w:val="auto"/>
                <w:szCs w:val="21"/>
                <w:highlight w:val="none"/>
              </w:rPr>
              <w:t xml:space="preserve">一次放水检查。</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3、每月检查一次灭火器，临近失效立即更新或充压。</w:t>
            </w:r>
            <w:r/>
          </w:p>
        </w:tc>
      </w:tr>
      <w:t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8</w:t>
            </w:r>
            <w:r/>
          </w:p>
        </w:tc>
        <w:tc>
          <w:tcPr>
            <w:tcW w:w="1901"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其他设施</w:t>
            </w:r>
            <w:r/>
          </w:p>
        </w:tc>
        <w:tc>
          <w:tcPr>
            <w:tcW w:w="588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每月巡查1次小区房屋单元门、楼道、管线井道、机房以及</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共用设施设备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并及时维护保养，保证正常运行；小区主要道路及停车场交通标志齐全</w:t>
            </w:r>
            <w:r/>
          </w:p>
        </w:tc>
      </w:tr>
    </w:tbl>
    <w:p>
      <w:pPr>
        <w:ind w:firstLine="480"/>
        <w:spacing w:line="36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3.4 园林绿化养护与管理</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965"/>
        <w:gridCol w:w="5858"/>
      </w:tblGrid>
      <w:tr>
        <w:trPr/>
        <w:tc>
          <w:tcPr>
            <w:tcW w:w="699"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序号</w:t>
            </w:r>
            <w:r/>
          </w:p>
        </w:tc>
        <w:tc>
          <w:tcPr>
            <w:tcW w:w="196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服务内容</w:t>
            </w:r>
            <w:r/>
          </w:p>
        </w:tc>
        <w:tc>
          <w:tcPr>
            <w:tcW w:w="5858"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服务标准</w:t>
            </w:r>
            <w:r/>
          </w:p>
        </w:tc>
      </w:tr>
      <w:tr>
        <w:trPr/>
        <w:tc>
          <w:tcPr>
            <w:tcW w:w="699"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1</w:t>
            </w:r>
            <w:r/>
          </w:p>
        </w:tc>
        <w:tc>
          <w:tcPr>
            <w:tcW w:w="196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基本条件</w:t>
            </w:r>
            <w:r/>
          </w:p>
        </w:tc>
        <w:tc>
          <w:tcPr>
            <w:tcW w:w="585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乔灌木生长健壮，树冠完整；花灌木按时开花结果；球、篱、地被生长无缺枝、空挡。</w:t>
            </w:r>
            <w:r/>
          </w:p>
        </w:tc>
      </w:tr>
      <w:tr>
        <w:trPr/>
        <w:tc>
          <w:tcPr>
            <w:tcW w:w="699"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2</w:t>
            </w:r>
            <w:r/>
          </w:p>
        </w:tc>
        <w:tc>
          <w:tcPr>
            <w:tcW w:w="196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草坪、灌木类、花坛</w:t>
            </w:r>
            <w:r/>
          </w:p>
        </w:tc>
        <w:tc>
          <w:tcPr>
            <w:tcW w:w="585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成活率80%以上，每年修剪3次，除虫施肥每年1次</w:t>
            </w:r>
            <w:r/>
          </w:p>
        </w:tc>
      </w:tr>
      <w:tr>
        <w:trPr/>
        <w:tc>
          <w:tcPr>
            <w:tcW w:w="699"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eastAsia="zh-CN"/>
              </w:rPr>
            </w:pPr>
            <w:r>
              <w:rPr>
                <w:rFonts w:hint="eastAsia" w:ascii="微软雅黑" w:hAnsi="微软雅黑" w:eastAsia="微软雅黑" w:cs="微软雅黑"/>
                <w:b w:val="0"/>
                <w:bCs w:val="0"/>
                <w:color w:val="auto"/>
                <w:spacing w:val="-1"/>
                <w:szCs w:val="21"/>
                <w:highlight w:val="none"/>
                <w:lang w:val="en-US" w:eastAsia="zh-CN"/>
              </w:rPr>
              <w:t xml:space="preserve">3</w:t>
            </w:r>
            <w:r/>
          </w:p>
        </w:tc>
        <w:tc>
          <w:tcPr>
            <w:tcW w:w="196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乔木类</w:t>
            </w:r>
            <w:r/>
          </w:p>
        </w:tc>
        <w:tc>
          <w:tcPr>
            <w:tcW w:w="585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成活率80%以上，每年修剪1次，除虫施肥每年1次</w:t>
            </w:r>
            <w:r/>
          </w:p>
        </w:tc>
      </w:tr>
      <w:tr>
        <w:trPr/>
        <w:tc>
          <w:tcPr>
            <w:tcW w:w="699"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4</w:t>
            </w:r>
            <w:r/>
          </w:p>
        </w:tc>
        <w:tc>
          <w:tcPr>
            <w:tcW w:w="196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人工湖、喷水池</w:t>
            </w:r>
            <w:r/>
          </w:p>
        </w:tc>
        <w:tc>
          <w:tcPr>
            <w:tcW w:w="585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每季水面清捞1次</w:t>
            </w:r>
            <w:r/>
          </w:p>
        </w:tc>
      </w:tr>
      <w:tr>
        <w:trPr/>
        <w:tc>
          <w:tcPr>
            <w:tcW w:w="699"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5</w:t>
            </w:r>
            <w:r/>
          </w:p>
        </w:tc>
        <w:tc>
          <w:tcPr>
            <w:tcW w:w="196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景观小品</w:t>
            </w:r>
            <w:r/>
          </w:p>
        </w:tc>
        <w:tc>
          <w:tcPr>
            <w:tcW w:w="585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每半年清洁、整修1次</w:t>
            </w:r>
            <w:r/>
          </w:p>
        </w:tc>
      </w:tr>
    </w:tbl>
    <w:p>
      <w:pPr>
        <w:ind w:firstLine="480"/>
        <w:spacing w:line="360" w:lineRule="auto"/>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3.5  安全防范</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35"/>
        <w:gridCol w:w="5843"/>
      </w:tblGrid>
      <w:tr>
        <w:trPr/>
        <w:tc>
          <w:tcPr>
            <w:tcW w:w="644"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序号</w:t>
            </w:r>
            <w:r/>
          </w:p>
        </w:tc>
        <w:tc>
          <w:tcPr>
            <w:tcW w:w="203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服务内容</w:t>
            </w:r>
            <w:r/>
          </w:p>
        </w:tc>
        <w:tc>
          <w:tcPr>
            <w:tcW w:w="5843"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服务标准</w:t>
            </w:r>
            <w:r/>
          </w:p>
        </w:tc>
      </w:tr>
      <w:tr>
        <w:trPr/>
        <w:tc>
          <w:tcPr>
            <w:tcW w:w="644"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1</w:t>
            </w:r>
            <w:r/>
          </w:p>
        </w:tc>
        <w:tc>
          <w:tcPr>
            <w:tcW w:w="203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人员要求</w:t>
            </w:r>
            <w:r/>
          </w:p>
        </w:tc>
        <w:tc>
          <w:tcPr>
            <w:tcW w:w="5843"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1、专职保安人员，身体健康，工作认真负责并定期接受培训。</w:t>
            </w:r>
            <w:r/>
          </w:p>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2、能处理和应对小区公共秩序维护工作，能够熟悉、掌握各类刑事、治安案件和各类灾害事故的应急预案。</w:t>
            </w:r>
            <w:r/>
          </w:p>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3、上岗时</w:t>
            </w:r>
            <w:r>
              <w:rPr>
                <w:rFonts w:hint="eastAsia" w:ascii="宋体" w:hAnsi="宋体" w:eastAsia="宋体" w:cs="宋体"/>
                <w:color w:val="auto"/>
                <w:szCs w:val="21"/>
                <w:highlight w:val="none"/>
                <w:lang w:eastAsia="zh-CN"/>
              </w:rPr>
              <w:t xml:space="preserve">佩戴统一标志</w:t>
            </w:r>
            <w:r>
              <w:rPr>
                <w:rFonts w:hint="eastAsia" w:ascii="宋体" w:hAnsi="宋体" w:eastAsia="宋体" w:cs="宋体"/>
                <w:color w:val="auto"/>
                <w:szCs w:val="21"/>
                <w:highlight w:val="none"/>
              </w:rPr>
              <w:t xml:space="preserve">，穿戴统一制服，仪容仪表规范整齐。</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4、配备对讲装置。</w:t>
            </w:r>
            <w:r/>
          </w:p>
        </w:tc>
      </w:tr>
      <w:tr>
        <w:trPr/>
        <w:tc>
          <w:tcPr>
            <w:tcW w:w="644"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2</w:t>
            </w:r>
            <w:r/>
          </w:p>
        </w:tc>
        <w:tc>
          <w:tcPr>
            <w:tcW w:w="203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门岗</w:t>
            </w:r>
            <w:r/>
          </w:p>
        </w:tc>
        <w:tc>
          <w:tcPr>
            <w:tcW w:w="5843"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1、主出入口24 小时值班看守，并有详细交接班记录。</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2、对进出小区的车辆进行管理和疏导，保持出入口环境整洁、有序、道路畅通。</w:t>
            </w:r>
            <w:r/>
          </w:p>
        </w:tc>
      </w:tr>
      <w:tr>
        <w:trPr/>
        <w:tc>
          <w:tcPr>
            <w:tcW w:w="644"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eastAsia="zh-CN"/>
              </w:rPr>
            </w:pPr>
            <w:r>
              <w:rPr>
                <w:rFonts w:hint="eastAsia" w:ascii="微软雅黑" w:hAnsi="微软雅黑" w:eastAsia="微软雅黑" w:cs="微软雅黑"/>
                <w:b w:val="0"/>
                <w:bCs w:val="0"/>
                <w:color w:val="auto"/>
                <w:spacing w:val="-1"/>
                <w:szCs w:val="21"/>
                <w:highlight w:val="none"/>
                <w:lang w:val="en-US" w:eastAsia="zh-CN"/>
              </w:rPr>
              <w:t xml:space="preserve">3</w:t>
            </w:r>
            <w:r/>
          </w:p>
        </w:tc>
        <w:tc>
          <w:tcPr>
            <w:tcW w:w="203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巡逻岗</w:t>
            </w:r>
            <w:r/>
          </w:p>
        </w:tc>
        <w:tc>
          <w:tcPr>
            <w:tcW w:w="5843"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1、白天巡逻次数不少于四次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夜间重点部位巡逻二次，并有巡逻记录。</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2、在遇到突发事件时，采取必要措施并及时报告管理处和相关部门。</w:t>
            </w:r>
            <w:r/>
          </w:p>
        </w:tc>
      </w:tr>
      <w:tr>
        <w:trPr/>
        <w:tc>
          <w:tcPr>
            <w:tcW w:w="644"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4</w:t>
            </w:r>
            <w:r/>
          </w:p>
        </w:tc>
        <w:tc>
          <w:tcPr>
            <w:tcW w:w="203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技防设施和救助</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（监控岗）</w:t>
            </w:r>
            <w:r/>
          </w:p>
        </w:tc>
        <w:tc>
          <w:tcPr>
            <w:tcW w:w="5843"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1、小区主出入口、主干道应具备录像监控。</w:t>
            </w:r>
            <w:r/>
          </w:p>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2、监控中心接到报警信号后，保安人员应立即赶到现场进行处理。</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3、小区应有火警、水警、警情应急预案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并在监控中心控制室内悬挂。</w:t>
            </w:r>
            <w:r/>
          </w:p>
        </w:tc>
      </w:tr>
      <w:tr>
        <w:trPr/>
        <w:tc>
          <w:tcPr>
            <w:tcW w:w="644"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5</w:t>
            </w:r>
            <w:r/>
          </w:p>
        </w:tc>
        <w:tc>
          <w:tcPr>
            <w:tcW w:w="203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车辆管理</w:t>
            </w:r>
            <w:r/>
          </w:p>
        </w:tc>
        <w:tc>
          <w:tcPr>
            <w:tcW w:w="5843"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1、地面、墙面有简易标志。</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2、收费管理的车库内地面、墙面按车辆道路行驶要求设立标志牌，照明、</w:t>
            </w:r>
            <w:r>
              <w:rPr>
                <w:rFonts w:hint="eastAsia" w:ascii="宋体" w:hAnsi="宋体" w:eastAsia="宋体" w:cs="宋体"/>
                <w:color w:val="auto"/>
                <w:szCs w:val="21"/>
                <w:highlight w:val="none"/>
                <w:lang w:eastAsia="zh-CN"/>
              </w:rPr>
              <w:t xml:space="preserve">消防器材</w:t>
            </w:r>
            <w:r>
              <w:rPr>
                <w:rFonts w:hint="eastAsia" w:ascii="宋体" w:hAnsi="宋体" w:eastAsia="宋体" w:cs="宋体"/>
                <w:color w:val="auto"/>
                <w:szCs w:val="21"/>
                <w:highlight w:val="none"/>
              </w:rPr>
              <w:t xml:space="preserve">配置齐全。</w:t>
            </w:r>
            <w:r/>
          </w:p>
        </w:tc>
      </w:tr>
    </w:tbl>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4.供应商履行合同所需的设备</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根据项目实际需求，需要供应商提供作业设备（自有或租赁）用于物业管理服务的，可在下表中列出，举例如下：</w:t>
      </w:r>
      <w:r/>
    </w:p>
    <w:tbl>
      <w:tblPr>
        <w:tblStyle w:val="796"/>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序号</w:t>
            </w:r>
            <w:r/>
          </w:p>
        </w:tc>
        <w:tc>
          <w:tcPr>
            <w:tcW w:w="2552"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用途</w:t>
            </w:r>
            <w:r/>
          </w:p>
        </w:tc>
        <w:tc>
          <w:tcPr>
            <w:tcW w:w="3848" w:type="dxa"/>
            <w:vAlign w:val="top"/>
            <w:textDirection w:val="lrTb"/>
            <w:noWrap w:val="false"/>
          </w:tcPr>
          <w:p>
            <w:pP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zCs w:val="21"/>
                <w:highlight w:val="none"/>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单位</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1</w:t>
            </w:r>
            <w:r/>
          </w:p>
        </w:tc>
        <w:tc>
          <w:tcPr>
            <w:tcW w:w="2552" w:type="dxa"/>
            <w:vAlign w:val="top"/>
            <w:textDirection w:val="lrTb"/>
            <w:noWrap w:val="false"/>
          </w:tcPr>
          <w:p>
            <w:pPr>
              <w:pStyle w:val="795"/>
              <w:jc w:val="center"/>
              <w:rPr>
                <w:color w:val="auto"/>
                <w:highlight w:val="none"/>
              </w:rPr>
            </w:pPr>
            <w:r>
              <w:rPr>
                <w:color w:val="auto"/>
                <w:spacing w:val="-2"/>
                <w:highlight w:val="none"/>
              </w:rPr>
              <w:t xml:space="preserve">基本服务</w:t>
            </w:r>
            <w:r/>
          </w:p>
        </w:tc>
        <w:tc>
          <w:tcPr>
            <w:tcW w:w="3848" w:type="dxa"/>
            <w:vAlign w:val="top"/>
            <w:textDirection w:val="lrTb"/>
            <w:noWrap w:val="false"/>
          </w:tcPr>
          <w:p>
            <w:pPr>
              <w:pStyle w:val="795"/>
              <w:rPr>
                <w:rFonts w:hint="eastAsia" w:ascii="Calibri" w:hAnsi="Calibri" w:eastAsia="宋体" w:cs="Calibri"/>
                <w:color w:val="auto"/>
                <w:highlight w:val="none"/>
                <w:lang w:eastAsia="zh-CN"/>
              </w:rPr>
            </w:pPr>
            <w:r>
              <w:rPr>
                <w:rFonts w:hint="eastAsia"/>
                <w:color w:val="auto"/>
                <w:spacing w:val="-2"/>
                <w:highlight w:val="none"/>
                <w:lang w:val="en-US" w:eastAsia="zh-CN"/>
              </w:rPr>
              <w:t xml:space="preserve">/</w:t>
            </w:r>
            <w:r/>
          </w:p>
        </w:tc>
        <w:tc>
          <w:tcPr>
            <w:tcW w:w="992" w:type="dxa"/>
            <w:vAlign w:val="top"/>
            <w:textDirection w:val="lrTb"/>
            <w:noWrap w:val="false"/>
          </w:tcPr>
          <w:p>
            <w:pPr>
              <w:pStyle w:val="795"/>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795"/>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2</w:t>
            </w:r>
            <w:r/>
          </w:p>
        </w:tc>
        <w:tc>
          <w:tcPr>
            <w:tcW w:w="2552" w:type="dxa"/>
            <w:vAlign w:val="top"/>
            <w:textDirection w:val="lrTb"/>
            <w:noWrap w:val="false"/>
          </w:tcPr>
          <w:p>
            <w:pPr>
              <w:pStyle w:val="795"/>
              <w:jc w:val="center"/>
              <w:rPr>
                <w:color w:val="auto"/>
                <w:highlight w:val="none"/>
              </w:rPr>
            </w:pPr>
            <w:r>
              <w:rPr>
                <w:color w:val="auto"/>
                <w:spacing w:val="-1"/>
                <w:highlight w:val="none"/>
              </w:rPr>
              <w:t xml:space="preserve">房屋维修服务</w:t>
            </w:r>
            <w:r/>
          </w:p>
        </w:tc>
        <w:tc>
          <w:tcPr>
            <w:tcW w:w="3848" w:type="dxa"/>
            <w:vAlign w:val="top"/>
            <w:textDirection w:val="lrTb"/>
            <w:noWrap w:val="false"/>
          </w:tcPr>
          <w:p>
            <w:pPr>
              <w:pStyle w:val="795"/>
              <w:rPr>
                <w:color w:val="auto"/>
                <w:highlight w:val="none"/>
              </w:rPr>
            </w:pPr>
            <w:r>
              <w:rPr>
                <w:rFonts w:hint="eastAsia"/>
                <w:color w:val="auto"/>
                <w:spacing w:val="-2"/>
                <w:highlight w:val="none"/>
                <w:lang w:val="en-US" w:eastAsia="zh-CN"/>
              </w:rPr>
              <w:t xml:space="preserve">/</w:t>
            </w:r>
            <w:r/>
          </w:p>
        </w:tc>
        <w:tc>
          <w:tcPr>
            <w:tcW w:w="992" w:type="dxa"/>
            <w:vAlign w:val="top"/>
            <w:textDirection w:val="lrTb"/>
            <w:noWrap w:val="false"/>
          </w:tcPr>
          <w:p>
            <w:pPr>
              <w:pStyle w:val="795"/>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795"/>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3</w:t>
            </w:r>
            <w:r/>
          </w:p>
        </w:tc>
        <w:tc>
          <w:tcPr>
            <w:tcW w:w="2552" w:type="dxa"/>
            <w:vAlign w:val="top"/>
            <w:textDirection w:val="lrTb"/>
            <w:noWrap w:val="false"/>
          </w:tcPr>
          <w:p>
            <w:pPr>
              <w:pStyle w:val="795"/>
              <w:jc w:val="center"/>
              <w:rPr>
                <w:color w:val="auto"/>
                <w:highlight w:val="none"/>
                <w:lang w:eastAsia="zh-CN"/>
              </w:rPr>
            </w:pPr>
            <w:r>
              <w:rPr>
                <w:color w:val="auto"/>
                <w:spacing w:val="-2"/>
                <w:highlight w:val="none"/>
                <w:lang w:eastAsia="zh-CN"/>
              </w:rPr>
              <w:t xml:space="preserve">公用设施设备维护服务</w:t>
            </w:r>
            <w:r/>
          </w:p>
        </w:tc>
        <w:tc>
          <w:tcPr>
            <w:tcW w:w="3848" w:type="dxa"/>
            <w:vAlign w:val="top"/>
            <w:textDirection w:val="lrTb"/>
            <w:noWrap w:val="false"/>
          </w:tcPr>
          <w:p>
            <w:pPr>
              <w:pStyle w:val="795"/>
              <w:rPr>
                <w:color w:val="auto"/>
                <w:highlight w:val="none"/>
              </w:rPr>
            </w:pPr>
            <w:r>
              <w:rPr>
                <w:rFonts w:hint="eastAsia"/>
                <w:color w:val="auto"/>
                <w:spacing w:val="-2"/>
                <w:highlight w:val="none"/>
                <w:lang w:val="en-US" w:eastAsia="zh-CN"/>
              </w:rPr>
              <w:t xml:space="preserve">/</w:t>
            </w:r>
            <w:r/>
          </w:p>
        </w:tc>
        <w:tc>
          <w:tcPr>
            <w:tcW w:w="992" w:type="dxa"/>
            <w:vAlign w:val="top"/>
            <w:textDirection w:val="lrTb"/>
            <w:noWrap w:val="false"/>
          </w:tcPr>
          <w:p>
            <w:pPr>
              <w:pStyle w:val="795"/>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795"/>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4</w:t>
            </w:r>
            <w:r/>
          </w:p>
        </w:tc>
        <w:tc>
          <w:tcPr>
            <w:tcW w:w="2552" w:type="dxa"/>
            <w:vAlign w:val="top"/>
            <w:textDirection w:val="lrTb"/>
            <w:noWrap w:val="false"/>
          </w:tcPr>
          <w:p>
            <w:pPr>
              <w:pStyle w:val="795"/>
              <w:jc w:val="center"/>
              <w:rPr>
                <w:color w:val="auto"/>
                <w:highlight w:val="none"/>
              </w:rPr>
            </w:pPr>
            <w:r>
              <w:rPr>
                <w:color w:val="auto"/>
                <w:spacing w:val="-2"/>
                <w:highlight w:val="none"/>
              </w:rPr>
              <w:t xml:space="preserve">保洁服务</w:t>
            </w:r>
            <w:r/>
          </w:p>
        </w:tc>
        <w:tc>
          <w:tcPr>
            <w:tcW w:w="3848" w:type="dxa"/>
            <w:vAlign w:val="top"/>
            <w:textDirection w:val="lrTb"/>
            <w:noWrap w:val="false"/>
          </w:tcPr>
          <w:p>
            <w:pPr>
              <w:pStyle w:val="795"/>
              <w:rPr>
                <w:color w:val="auto"/>
                <w:highlight w:val="none"/>
              </w:rPr>
            </w:pPr>
            <w:r>
              <w:rPr>
                <w:rFonts w:hint="eastAsia"/>
                <w:color w:val="auto"/>
                <w:spacing w:val="-2"/>
                <w:highlight w:val="none"/>
                <w:lang w:val="en-US" w:eastAsia="zh-CN"/>
              </w:rPr>
              <w:t xml:space="preserve">/</w:t>
            </w:r>
            <w:r/>
          </w:p>
        </w:tc>
        <w:tc>
          <w:tcPr>
            <w:tcW w:w="992" w:type="dxa"/>
            <w:vAlign w:val="top"/>
            <w:textDirection w:val="lrTb"/>
            <w:noWrap w:val="false"/>
          </w:tcPr>
          <w:p>
            <w:pPr>
              <w:pStyle w:val="795"/>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795"/>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5</w:t>
            </w:r>
            <w:r/>
          </w:p>
        </w:tc>
        <w:tc>
          <w:tcPr>
            <w:tcW w:w="2552" w:type="dxa"/>
            <w:vAlign w:val="top"/>
            <w:textDirection w:val="lrTb"/>
            <w:noWrap w:val="false"/>
          </w:tcPr>
          <w:p>
            <w:pPr>
              <w:pStyle w:val="795"/>
              <w:jc w:val="center"/>
              <w:rPr>
                <w:color w:val="auto"/>
                <w:highlight w:val="none"/>
              </w:rPr>
            </w:pPr>
            <w:r>
              <w:rPr>
                <w:color w:val="auto"/>
                <w:spacing w:val="-2"/>
                <w:highlight w:val="none"/>
              </w:rPr>
              <w:t xml:space="preserve">绿化服务</w:t>
            </w:r>
            <w:r/>
          </w:p>
        </w:tc>
        <w:tc>
          <w:tcPr>
            <w:tcW w:w="3848" w:type="dxa"/>
            <w:vAlign w:val="top"/>
            <w:textDirection w:val="lrTb"/>
            <w:noWrap w:val="false"/>
          </w:tcPr>
          <w:p>
            <w:pPr>
              <w:pStyle w:val="795"/>
              <w:rPr>
                <w:color w:val="auto"/>
                <w:highlight w:val="none"/>
              </w:rPr>
            </w:pPr>
            <w:r>
              <w:rPr>
                <w:rFonts w:hint="eastAsia"/>
                <w:color w:val="auto"/>
                <w:spacing w:val="-2"/>
                <w:highlight w:val="none"/>
                <w:lang w:val="en-US" w:eastAsia="zh-CN"/>
              </w:rPr>
              <w:t xml:space="preserve">/</w:t>
            </w:r>
            <w:r/>
          </w:p>
        </w:tc>
        <w:tc>
          <w:tcPr>
            <w:tcW w:w="992" w:type="dxa"/>
            <w:vAlign w:val="top"/>
            <w:textDirection w:val="lrTb"/>
            <w:noWrap w:val="false"/>
          </w:tcPr>
          <w:p>
            <w:pPr>
              <w:pStyle w:val="795"/>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795"/>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6</w:t>
            </w:r>
            <w:r/>
          </w:p>
        </w:tc>
        <w:tc>
          <w:tcPr>
            <w:tcW w:w="2552" w:type="dxa"/>
            <w:vAlign w:val="top"/>
            <w:textDirection w:val="lrTb"/>
            <w:noWrap w:val="false"/>
          </w:tcPr>
          <w:p>
            <w:pPr>
              <w:pStyle w:val="795"/>
              <w:jc w:val="center"/>
              <w:rPr>
                <w:color w:val="auto"/>
                <w:highlight w:val="none"/>
              </w:rPr>
            </w:pPr>
            <w:r>
              <w:rPr>
                <w:color w:val="auto"/>
                <w:spacing w:val="-2"/>
                <w:highlight w:val="none"/>
              </w:rPr>
              <w:t xml:space="preserve">保安服务</w:t>
            </w:r>
            <w:r/>
          </w:p>
        </w:tc>
        <w:tc>
          <w:tcPr>
            <w:tcW w:w="3848" w:type="dxa"/>
            <w:vAlign w:val="top"/>
            <w:textDirection w:val="lrTb"/>
            <w:noWrap w:val="false"/>
          </w:tcPr>
          <w:p>
            <w:pPr>
              <w:pStyle w:val="795"/>
              <w:rPr>
                <w:color w:val="auto"/>
                <w:highlight w:val="none"/>
              </w:rPr>
            </w:pPr>
            <w:r>
              <w:rPr>
                <w:rFonts w:hint="eastAsia"/>
                <w:color w:val="auto"/>
                <w:spacing w:val="-3"/>
                <w:highlight w:val="none"/>
                <w:lang w:val="en-US" w:eastAsia="zh-CN"/>
              </w:rPr>
              <w:t xml:space="preserve">/</w:t>
            </w:r>
            <w:r/>
          </w:p>
        </w:tc>
        <w:tc>
          <w:tcPr>
            <w:tcW w:w="992" w:type="dxa"/>
            <w:vAlign w:val="top"/>
            <w:textDirection w:val="lrTb"/>
            <w:noWrap w:val="false"/>
          </w:tcPr>
          <w:p>
            <w:pPr>
              <w:pStyle w:val="795"/>
              <w:rPr>
                <w:rFonts w:ascii="Calibri" w:hAnsi="Calibri" w:eastAsia="Calibri" w:cs="Calibri"/>
                <w:color w:val="auto"/>
                <w:szCs w:val="21"/>
                <w:highlight w:val="none"/>
                <w:lang w:eastAsia="en-US"/>
              </w:rPr>
            </w:pPr>
            <w:r>
              <w:rPr>
                <w:rFonts w:hint="eastAsia"/>
                <w:color w:val="auto"/>
                <w:spacing w:val="-3"/>
                <w:highlight w:val="none"/>
                <w:lang w:val="en-US" w:eastAsia="zh-CN"/>
              </w:rPr>
              <w:t xml:space="preserve">/</w:t>
            </w:r>
            <w:r/>
          </w:p>
        </w:tc>
        <w:tc>
          <w:tcPr>
            <w:tcW w:w="993" w:type="dxa"/>
            <w:vAlign w:val="top"/>
            <w:textDirection w:val="lrTb"/>
            <w:noWrap w:val="false"/>
          </w:tcPr>
          <w:p>
            <w:pPr>
              <w:pStyle w:val="795"/>
              <w:rPr>
                <w:color w:val="auto"/>
                <w:highlight w:val="none"/>
              </w:rPr>
            </w:pPr>
            <w:r>
              <w:rPr>
                <w:rFonts w:hint="eastAsia"/>
                <w:color w:val="auto"/>
                <w:spacing w:val="-3"/>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7</w:t>
            </w:r>
            <w:r/>
          </w:p>
        </w:tc>
        <w:tc>
          <w:tcPr>
            <w:tcW w:w="2552" w:type="dxa"/>
            <w:vAlign w:val="top"/>
            <w:textDirection w:val="lrTb"/>
            <w:noWrap w:val="false"/>
          </w:tcPr>
          <w:p>
            <w:pPr>
              <w:pStyle w:val="795"/>
              <w:jc w:val="center"/>
              <w:rPr>
                <w:color w:val="auto"/>
                <w:highlight w:val="none"/>
              </w:rPr>
            </w:pPr>
            <w:r>
              <w:rPr>
                <w:color w:val="auto"/>
                <w:spacing w:val="-1"/>
                <w:highlight w:val="none"/>
              </w:rPr>
              <w:t xml:space="preserve">会议服务</w:t>
            </w:r>
            <w:r/>
          </w:p>
        </w:tc>
        <w:tc>
          <w:tcPr>
            <w:tcW w:w="3848" w:type="dxa"/>
            <w:vAlign w:val="top"/>
            <w:textDirection w:val="lrTb"/>
            <w:noWrap w:val="false"/>
          </w:tcPr>
          <w:p>
            <w:pPr>
              <w:pStyle w:val="795"/>
              <w:rPr>
                <w:color w:val="auto"/>
                <w:highlight w:val="none"/>
              </w:rPr>
            </w:pPr>
            <w:r>
              <w:rPr>
                <w:rFonts w:hint="eastAsia"/>
                <w:color w:val="auto"/>
                <w:spacing w:val="-2"/>
                <w:highlight w:val="none"/>
                <w:lang w:val="en-US" w:eastAsia="zh-CN"/>
              </w:rPr>
              <w:t xml:space="preserve">/</w:t>
            </w:r>
            <w:r/>
          </w:p>
        </w:tc>
        <w:tc>
          <w:tcPr>
            <w:tcW w:w="992" w:type="dxa"/>
            <w:vAlign w:val="top"/>
            <w:textDirection w:val="lrTb"/>
            <w:noWrap w:val="false"/>
          </w:tcPr>
          <w:p>
            <w:pPr>
              <w:pStyle w:val="795"/>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795"/>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2552" w:type="dxa"/>
            <w:vAlign w:val="top"/>
            <w:textDirection w:val="lrTb"/>
            <w:noWrap w:val="false"/>
          </w:tcPr>
          <w:p>
            <w:pPr>
              <w:pStyle w:val="795"/>
              <w:jc w:val="center"/>
              <w:rPr>
                <w:rFonts w:hint="eastAsia" w:eastAsia="宋体"/>
                <w:color w:val="auto"/>
                <w:spacing w:val="-1"/>
                <w:highlight w:val="none"/>
                <w:lang w:eastAsia="zh-CN"/>
              </w:rPr>
            </w:pPr>
            <w:r>
              <w:rPr>
                <w:rFonts w:hint="eastAsia" w:eastAsia="宋体"/>
                <w:color w:val="auto"/>
                <w:spacing w:val="-1"/>
                <w:highlight w:val="none"/>
                <w:lang w:eastAsia="zh-CN"/>
              </w:rPr>
              <w:t xml:space="preserve">……</w:t>
            </w:r>
            <w:r/>
          </w:p>
        </w:tc>
        <w:tc>
          <w:tcPr>
            <w:tcW w:w="3848" w:type="dxa"/>
            <w:vAlign w:val="top"/>
            <w:textDirection w:val="lrTb"/>
            <w:noWrap w:val="false"/>
          </w:tcPr>
          <w:p>
            <w:pPr>
              <w:pStyle w:val="795"/>
              <w:rPr>
                <w:rFonts w:hint="eastAsia" w:eastAsia="宋体"/>
                <w:color w:val="auto"/>
                <w:spacing w:val="-2"/>
                <w:highlight w:val="none"/>
                <w:lang w:eastAsia="zh-CN"/>
              </w:rPr>
            </w:pPr>
            <w:r>
              <w:rPr>
                <w:rFonts w:hint="eastAsia" w:eastAsia="宋体"/>
                <w:color w:val="auto"/>
                <w:spacing w:val="-2"/>
                <w:highlight w:val="none"/>
                <w:lang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993" w:type="dxa"/>
            <w:vAlign w:val="top"/>
            <w:textDirection w:val="lrTb"/>
            <w:noWrap w:val="false"/>
          </w:tcPr>
          <w:p>
            <w:pPr>
              <w:pStyle w:val="795"/>
              <w:jc w:val="center"/>
              <w:rPr>
                <w:color w:val="auto"/>
                <w:highlight w:val="none"/>
              </w:rPr>
            </w:pPr>
            <w:r>
              <w:rPr>
                <w:color w:val="auto"/>
                <w:highlight w:val="none"/>
              </w:rPr>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2552" w:type="dxa"/>
            <w:vAlign w:val="top"/>
            <w:textDirection w:val="lrTb"/>
            <w:noWrap w:val="false"/>
          </w:tcPr>
          <w:p>
            <w:pPr>
              <w:pStyle w:val="795"/>
              <w:jc w:val="center"/>
              <w:rPr>
                <w:rFonts w:hint="eastAsia" w:eastAsia="宋体"/>
                <w:color w:val="auto"/>
                <w:spacing w:val="-1"/>
                <w:highlight w:val="none"/>
                <w:lang w:eastAsia="zh-CN"/>
              </w:rPr>
            </w:pPr>
            <w:r>
              <w:rPr>
                <w:rFonts w:hint="eastAsia" w:eastAsia="宋体"/>
                <w:color w:val="auto"/>
                <w:spacing w:val="-1"/>
                <w:highlight w:val="none"/>
                <w:lang w:eastAsia="zh-CN"/>
              </w:rPr>
            </w:r>
            <w:r/>
          </w:p>
        </w:tc>
        <w:tc>
          <w:tcPr>
            <w:tcW w:w="3848" w:type="dxa"/>
            <w:vAlign w:val="top"/>
            <w:textDirection w:val="lrTb"/>
            <w:noWrap w:val="false"/>
          </w:tcPr>
          <w:p>
            <w:pPr>
              <w:pStyle w:val="795"/>
              <w:rPr>
                <w:rFonts w:hint="eastAsia" w:eastAsia="宋体"/>
                <w:color w:val="auto"/>
                <w:spacing w:val="-2"/>
                <w:highlight w:val="none"/>
                <w:lang w:eastAsia="zh-CN"/>
              </w:rPr>
            </w:pPr>
            <w:r>
              <w:rPr>
                <w:rFonts w:hint="eastAsia" w:eastAsia="宋体"/>
                <w:color w:val="auto"/>
                <w:spacing w:val="-2"/>
                <w:highlight w:val="none"/>
                <w:lang w:eastAsia="zh-CN"/>
              </w:rPr>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993" w:type="dxa"/>
            <w:vAlign w:val="top"/>
            <w:textDirection w:val="lrTb"/>
            <w:noWrap w:val="false"/>
          </w:tcPr>
          <w:p>
            <w:pPr>
              <w:pStyle w:val="795"/>
              <w:jc w:val="center"/>
              <w:rPr>
                <w:color w:val="auto"/>
                <w:highlight w:val="none"/>
              </w:rPr>
            </w:pPr>
            <w:r>
              <w:rPr>
                <w:color w:val="auto"/>
                <w:highlight w:val="none"/>
              </w:rPr>
            </w:r>
            <w:r/>
          </w:p>
        </w:tc>
      </w:tr>
    </w:tbl>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注：采购人已无偿提供的作业设备，或准备放置评分项中作考察的，不在此重复要求。</w:t>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numPr>
          <w:ilvl w:val="0"/>
          <w:numId w:val="7"/>
        </w:num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物业管理服务人员需求</w:t>
      </w:r>
      <w:r/>
    </w:p>
    <w:p>
      <w:pPr>
        <w:numPr>
          <w:ilvl w:val="0"/>
          <w:numId w:val="0"/>
        </w:num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本项目</w:t>
      </w:r>
      <w:r>
        <w:rPr>
          <w:rFonts w:hint="eastAsia" w:ascii="宋体" w:hAnsi="宋体" w:eastAsia="宋体"/>
          <w:color w:val="auto"/>
          <w:sz w:val="24"/>
          <w:szCs w:val="24"/>
          <w:highlight w:val="none"/>
        </w:rPr>
        <w:t xml:space="preserve">人员配置总数不少于</w:t>
      </w:r>
      <w:r>
        <w:rPr>
          <w:rFonts w:hint="eastAsia" w:ascii="宋体" w:hAnsi="宋体"/>
          <w:color w:val="auto"/>
          <w:sz w:val="24"/>
          <w:szCs w:val="24"/>
          <w:highlight w:val="none"/>
          <w:lang w:val="en-US" w:eastAsia="zh-CN"/>
        </w:rPr>
        <w:t xml:space="preserve">48</w:t>
      </w:r>
      <w:r>
        <w:rPr>
          <w:rFonts w:hint="eastAsia" w:ascii="宋体" w:hAnsi="宋体" w:eastAsia="宋体"/>
          <w:color w:val="auto"/>
          <w:sz w:val="24"/>
          <w:szCs w:val="24"/>
          <w:highlight w:val="none"/>
        </w:rPr>
        <w:t xml:space="preserve">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本项目允许配置按国家规定可不缴纳社保的人员</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该类人员最高不超过项目总配置人数的</w:t>
      </w: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20</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none"/>
          <w:lang w:val="en-US" w:eastAsia="zh-CN"/>
        </w:rPr>
        <w:t xml:space="preserve">。</w:t>
      </w:r>
      <w:r>
        <w:rPr>
          <w:rFonts w:hint="eastAsia" w:ascii="宋体" w:hAnsi="宋体" w:eastAsia="宋体"/>
          <w:b/>
          <w:bCs/>
          <w:color w:val="auto"/>
          <w:sz w:val="24"/>
          <w:szCs w:val="24"/>
          <w:highlight w:val="none"/>
        </w:rPr>
        <w:t xml:space="preserve">（若所填人员有属于“按国家规定可不缴纳社保的人员”的，则该类人员须提供相关证明材料（如退休证明、符合国家政策的补贴证明等）扫描件，否则作无效投标文件处理）</w:t>
      </w:r>
      <w:r/>
    </w:p>
    <w:tbl>
      <w:tblPr>
        <w:tblStyle w:val="796"/>
        <w:tblW w:w="94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780"/>
        <w:gridCol w:w="6809"/>
      </w:tblGrid>
      <w:tr>
        <w:trPr>
          <w:jc w:val="center"/>
          <w:trHeight w:val="889"/>
        </w:trPr>
        <w:tc>
          <w:tcPr>
            <w:tcW w:w="870" w:type="dxa"/>
            <w:vAlign w:val="center"/>
            <w:textDirection w:val="lrTb"/>
            <w:noWrap w:val="false"/>
          </w:tcPr>
          <w:p>
            <w:pPr>
              <w:jc w:val="center"/>
              <w:rPr>
                <w:rFonts w:ascii="微软雅黑" w:hAnsi="微软雅黑" w:eastAsia="微软雅黑" w:cs="微软雅黑"/>
                <w:color w:val="auto"/>
                <w:szCs w:val="21"/>
                <w:highlight w:val="none"/>
                <w:lang w:eastAsia="en-US"/>
              </w:rPr>
            </w:pPr>
            <w:r>
              <w:rPr>
                <w:rFonts w:hint="eastAsia" w:ascii="宋体" w:hAnsi="宋体" w:cs="微软雅黑"/>
                <w:b/>
                <w:bCs/>
                <w:color w:val="auto"/>
                <w:spacing w:val="-1"/>
                <w:szCs w:val="21"/>
                <w:highlight w:val="none"/>
                <w:lang w:eastAsia="zh-CN"/>
              </w:rPr>
              <w:t xml:space="preserve">类别</w:t>
            </w:r>
            <w:r/>
          </w:p>
        </w:tc>
        <w:tc>
          <w:tcPr>
            <w:tcW w:w="975" w:type="dxa"/>
            <w:vAlign w:val="center"/>
            <w:textDirection w:val="lrTb"/>
            <w:noWrap w:val="false"/>
          </w:tcPr>
          <w:p>
            <w:pPr>
              <w:jc w:val="center"/>
              <w:rPr>
                <w:rFonts w:ascii="微软雅黑" w:hAnsi="微软雅黑" w:eastAsia="微软雅黑" w:cs="微软雅黑"/>
                <w:color w:val="auto"/>
                <w:szCs w:val="21"/>
                <w:highlight w:val="none"/>
                <w:lang w:eastAsia="en-US"/>
              </w:rPr>
            </w:pPr>
            <w:r>
              <w:rPr>
                <w:rFonts w:hint="eastAsia" w:ascii="宋体" w:hAnsi="宋体" w:cs="微软雅黑"/>
                <w:b/>
                <w:bCs/>
                <w:color w:val="auto"/>
                <w:spacing w:val="-1"/>
                <w:szCs w:val="21"/>
                <w:highlight w:val="none"/>
                <w:lang w:eastAsia="zh-CN"/>
              </w:rPr>
              <w:t xml:space="preserve">岗位</w:t>
            </w:r>
            <w:r/>
          </w:p>
        </w:tc>
        <w:tc>
          <w:tcPr>
            <w:tcW w:w="780" w:type="dxa"/>
            <w:vAlign w:val="center"/>
            <w:textDirection w:val="lrTb"/>
            <w:noWrap w:val="false"/>
          </w:tcPr>
          <w:p>
            <w:pPr>
              <w:jc w:val="center"/>
              <w:rPr>
                <w:rFonts w:ascii="微软雅黑" w:hAnsi="微软雅黑" w:eastAsia="微软雅黑" w:cs="微软雅黑"/>
                <w:color w:val="auto"/>
                <w:szCs w:val="21"/>
                <w:highlight w:val="none"/>
                <w:lang w:eastAsia="en-US"/>
              </w:rPr>
            </w:pPr>
            <w:r>
              <w:rPr>
                <w:rFonts w:hint="eastAsia" w:ascii="宋体" w:hAnsi="宋体" w:cs="微软雅黑"/>
                <w:b/>
                <w:bCs/>
                <w:color w:val="auto"/>
                <w:szCs w:val="21"/>
                <w:highlight w:val="none"/>
                <w:lang w:eastAsia="zh-CN"/>
              </w:rPr>
              <w:t xml:space="preserve">人数</w:t>
            </w:r>
            <w:r/>
          </w:p>
        </w:tc>
        <w:tc>
          <w:tcPr>
            <w:tcW w:w="6809" w:type="dxa"/>
            <w:vAlign w:val="center"/>
            <w:textDirection w:val="lrTb"/>
            <w:noWrap w:val="false"/>
          </w:tcPr>
          <w:p>
            <w:pPr>
              <w:jc w:val="center"/>
              <w:rPr>
                <w:rFonts w:ascii="微软雅黑" w:hAnsi="微软雅黑" w:eastAsia="微软雅黑" w:cs="微软雅黑"/>
                <w:color w:val="auto"/>
                <w:szCs w:val="21"/>
                <w:highlight w:val="none"/>
                <w:lang w:eastAsia="en-US"/>
              </w:rPr>
            </w:pPr>
            <w:r>
              <w:rPr>
                <w:rFonts w:hint="eastAsia" w:ascii="宋体" w:hAnsi="宋体" w:cs="微软雅黑"/>
                <w:b/>
                <w:bCs/>
                <w:color w:val="auto"/>
                <w:spacing w:val="-1"/>
                <w:szCs w:val="21"/>
                <w:highlight w:val="none"/>
                <w:lang w:eastAsia="zh-CN"/>
              </w:rPr>
              <w:t xml:space="preserve">备注</w:t>
            </w:r>
            <w:r/>
          </w:p>
        </w:tc>
      </w:tr>
      <w:tr>
        <w:trPr>
          <w:jc w:val="center"/>
          <w:trHeight w:val="90"/>
        </w:trPr>
        <w:tc>
          <w:tcPr>
            <w:tcW w:w="870" w:type="dxa"/>
            <w:vAlign w:val="center"/>
            <w:vMerge w:val="restart"/>
            <w:textDirection w:val="lrTb"/>
            <w:noWrap w:val="false"/>
          </w:tcPr>
          <w:p>
            <w:pPr>
              <w:pStyle w:val="795"/>
              <w:jc w:val="center"/>
              <w:rPr>
                <w:b/>
                <w:bCs/>
                <w:color w:val="auto"/>
                <w:highlight w:val="none"/>
              </w:rPr>
            </w:pPr>
            <w:r>
              <w:rPr>
                <w:b/>
                <w:bCs/>
                <w:color w:val="auto"/>
                <w:highlight w:val="none"/>
              </w:rPr>
              <w:t xml:space="preserve">管理</w:t>
            </w:r>
            <w:r/>
          </w:p>
        </w:tc>
        <w:tc>
          <w:tcPr>
            <w:tcW w:w="975" w:type="dxa"/>
            <w:vAlign w:val="center"/>
            <w:textDirection w:val="lrTb"/>
            <w:noWrap w:val="false"/>
          </w:tcPr>
          <w:p>
            <w:pPr>
              <w:pStyle w:val="795"/>
              <w:jc w:val="center"/>
              <w:rPr>
                <w:rFonts w:ascii="Calibri" w:hAnsi="Calibri" w:eastAsia="Calibri" w:cs="Calibri"/>
                <w:b/>
                <w:bCs/>
                <w:color w:val="auto"/>
                <w:highlight w:val="none"/>
              </w:rPr>
            </w:pPr>
            <w:r>
              <w:rPr>
                <w:rFonts w:hint="eastAsia" w:ascii="Calibri" w:hAnsi="Calibri" w:eastAsia="Calibri" w:cs="Calibri"/>
                <w:b/>
                <w:bCs/>
                <w:color w:val="auto"/>
                <w:highlight w:val="none"/>
              </w:rPr>
              <w:t xml:space="preserve">物业经理</w:t>
            </w:r>
            <w:r/>
          </w:p>
        </w:tc>
        <w:tc>
          <w:tcPr>
            <w:tcW w:w="780" w:type="dxa"/>
            <w:vAlign w:val="center"/>
            <w:textDirection w:val="lrTb"/>
            <w:noWrap w:val="false"/>
          </w:tcPr>
          <w:p>
            <w:pPr>
              <w:jc w:val="center"/>
              <w:rPr>
                <w:rFonts w:ascii="Calibri" w:hAnsi="Calibri" w:cs="Calibri"/>
                <w:b/>
                <w:bCs/>
                <w:color w:val="auto"/>
                <w:szCs w:val="21"/>
                <w:highlight w:val="none"/>
                <w:lang w:eastAsia="zh-CN"/>
              </w:rPr>
            </w:pPr>
            <w:r>
              <w:rPr>
                <w:rFonts w:hint="eastAsia" w:ascii="Calibri" w:hAnsi="Calibri" w:cs="Calibri"/>
                <w:b/>
                <w:bCs/>
                <w:color w:val="auto"/>
                <w:szCs w:val="21"/>
                <w:highlight w:val="none"/>
                <w:lang w:eastAsia="zh-CN"/>
              </w:rPr>
              <w:t xml:space="preserve">1</w:t>
            </w:r>
            <w:r/>
          </w:p>
        </w:tc>
        <w:tc>
          <w:tcPr>
            <w:tcW w:w="6809" w:type="dxa"/>
            <w:vAlign w:val="center"/>
            <w:textDirection w:val="lrTb"/>
            <w:noWrap w:val="false"/>
          </w:tcPr>
          <w:p>
            <w:pPr>
              <w:pStyle w:val="795"/>
              <w:jc w:val="both"/>
              <w:rPr>
                <w:rFonts w:hint="eastAsia"/>
                <w:color w:val="auto"/>
                <w:highlight w:val="none"/>
                <w:lang w:eastAsia="zh-CN"/>
              </w:rPr>
            </w:pPr>
            <w:r>
              <w:rPr>
                <w:rFonts w:hint="eastAsia"/>
                <w:b/>
                <w:bCs/>
                <w:color w:val="auto"/>
                <w:highlight w:val="none"/>
                <w:lang w:val="en-US" w:eastAsia="zh-CN"/>
              </w:rPr>
              <w:t xml:space="preserve">1、基本要求：</w:t>
            </w:r>
            <w:r>
              <w:rPr>
                <w:rFonts w:hint="eastAsia"/>
                <w:b/>
                <w:bCs/>
                <w:color w:val="auto"/>
                <w:highlight w:val="none"/>
              </w:rPr>
              <w:t xml:space="preserve">男女不限</w:t>
            </w:r>
            <w:r>
              <w:rPr>
                <w:rFonts w:hint="eastAsia"/>
                <w:b/>
                <w:bCs/>
                <w:color w:val="auto"/>
                <w:highlight w:val="none"/>
                <w:lang w:eastAsia="zh-CN"/>
              </w:rPr>
              <w:t xml:space="preserve">，</w:t>
            </w:r>
            <w:r>
              <w:rPr>
                <w:rFonts w:hint="eastAsia"/>
                <w:b/>
                <w:bCs/>
                <w:color w:val="auto"/>
                <w:highlight w:val="none"/>
                <w:lang w:val="en-US" w:eastAsia="zh-CN"/>
              </w:rPr>
              <w:t xml:space="preserve">年龄要求25</w:t>
            </w:r>
            <w:r>
              <w:rPr>
                <w:rFonts w:hint="eastAsia"/>
                <w:b/>
                <w:bCs/>
                <w:color w:val="auto"/>
                <w:highlight w:val="none"/>
                <w:lang w:eastAsia="zh-CN"/>
              </w:rPr>
              <w:t xml:space="preserve">-</w:t>
            </w:r>
            <w:r>
              <w:rPr>
                <w:rFonts w:hint="eastAsia"/>
                <w:b/>
                <w:bCs/>
                <w:color w:val="auto"/>
                <w:highlight w:val="none"/>
                <w:lang w:val="en-US" w:eastAsia="zh-CN"/>
              </w:rPr>
              <w:t xml:space="preserve">55</w:t>
            </w:r>
            <w:r>
              <w:rPr>
                <w:rFonts w:hint="eastAsia"/>
                <w:b/>
                <w:bCs/>
                <w:color w:val="auto"/>
                <w:highlight w:val="none"/>
                <w:lang w:eastAsia="zh-CN"/>
              </w:rPr>
              <w:t xml:space="preserve">周岁</w:t>
            </w:r>
            <w:r>
              <w:rPr>
                <w:rFonts w:hint="eastAsia"/>
                <w:color w:val="auto"/>
                <w:highlight w:val="none"/>
                <w:lang w:eastAsia="zh-CN"/>
              </w:rPr>
              <w:t xml:space="preserve">。本项目的物业负责人不能任意更换，如确需更换，应取得甲方书面认可，并且更换的新的物业经理的要求不低于原负责人。</w:t>
            </w:r>
            <w:r/>
          </w:p>
          <w:p>
            <w:pPr>
              <w:pStyle w:val="795"/>
              <w:jc w:val="both"/>
              <w:rPr>
                <w:rFonts w:hint="eastAsia"/>
                <w:b/>
                <w:bCs/>
                <w:color w:val="auto"/>
                <w:highlight w:val="none"/>
                <w:lang w:eastAsia="zh-CN"/>
              </w:rPr>
            </w:pPr>
            <w:r>
              <w:rPr>
                <w:rFonts w:hint="eastAsia"/>
                <w:b/>
                <w:bCs/>
                <w:color w:val="auto"/>
                <w:highlight w:val="none"/>
                <w:lang w:val="en-US" w:eastAsia="zh-CN"/>
              </w:rPr>
              <w:t xml:space="preserve">2、</w:t>
            </w:r>
            <w:r>
              <w:rPr>
                <w:rFonts w:hint="eastAsia"/>
                <w:b/>
                <w:bCs/>
                <w:color w:val="auto"/>
                <w:highlight w:val="none"/>
                <w:lang w:eastAsia="zh-CN"/>
              </w:rPr>
              <w:t xml:space="preserve">岗位职责：</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）主持物业管理人员的招聘、面试工作，具备相当的组织管理能力；</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）领导项目物业管理团队做好物业竣工前施工现场及租售处的物业管理，能够为物业管理人员提供日常培训；</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）定期与委托方代表展开前期物业工作会议；主持制订、完善物业管理规章制度及流程；</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lang w:eastAsia="zh-CN"/>
              </w:rPr>
              <w:t xml:space="preserve">）协助选择合适的物业保险及其他需要外包的物业管理服务供应商；协助物业管理费标准的确定；</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5</w:t>
            </w:r>
            <w:r>
              <w:rPr>
                <w:rFonts w:hint="eastAsia"/>
                <w:color w:val="auto"/>
                <w:highlight w:val="none"/>
                <w:lang w:eastAsia="zh-CN"/>
              </w:rPr>
              <w:t xml:space="preserve">）主持做好物业单元验收、交接工作及主持做好单元交付使用工作；</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6</w:t>
            </w:r>
            <w:r>
              <w:rPr>
                <w:rFonts w:hint="eastAsia"/>
                <w:color w:val="auto"/>
                <w:highlight w:val="none"/>
                <w:lang w:eastAsia="zh-CN"/>
              </w:rPr>
              <w:t xml:space="preserve">）领导项目物业管理团队做好物业的二次装修、保安、清洁、工程设施维护保养等日常管理服务；</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7</w:t>
            </w:r>
            <w:r>
              <w:rPr>
                <w:rFonts w:hint="eastAsia"/>
                <w:color w:val="auto"/>
                <w:highlight w:val="none"/>
                <w:lang w:eastAsia="zh-CN"/>
              </w:rPr>
              <w:t xml:space="preserve">）定期主持业主对物业服务之满意度调查，并能够根据反馈，在提供给业主的服务项目及质量上，不断提高；</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8</w:t>
            </w:r>
            <w:r>
              <w:rPr>
                <w:rFonts w:hint="eastAsia"/>
                <w:color w:val="auto"/>
                <w:highlight w:val="none"/>
                <w:lang w:eastAsia="zh-CN"/>
              </w:rPr>
              <w:t xml:space="preserve">）具备良好的沟通协调能力，能够与委托方、业主保持良好的关系；</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9</w:t>
            </w:r>
            <w:r>
              <w:rPr>
                <w:rFonts w:hint="eastAsia"/>
                <w:color w:val="auto"/>
                <w:highlight w:val="none"/>
                <w:lang w:eastAsia="zh-CN"/>
              </w:rPr>
              <w:t xml:space="preserve">）协助统筹物管的人事及财务管理，能够良好执行年度财务预算计划；</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10</w:t>
            </w:r>
            <w:r>
              <w:rPr>
                <w:rFonts w:hint="eastAsia"/>
                <w:color w:val="auto"/>
                <w:highlight w:val="none"/>
                <w:lang w:eastAsia="zh-CN"/>
              </w:rPr>
              <w:t xml:space="preserve">）对外推广物业的优质服务和管理形象；能够不断完善物管制度及管理体系，并对物业管理人员提供定期培训。</w:t>
            </w:r>
            <w:r/>
          </w:p>
          <w:p>
            <w:pPr>
              <w:pStyle w:val="795"/>
              <w:jc w:val="both"/>
              <w:rPr>
                <w:rFonts w:hint="eastAsia"/>
                <w:b/>
                <w:bCs/>
                <w:color w:val="auto"/>
                <w:highlight w:val="none"/>
                <w:lang w:eastAsia="zh-CN"/>
              </w:rPr>
            </w:pPr>
            <w:r>
              <w:rPr>
                <w:rFonts w:hint="eastAsia"/>
                <w:b/>
                <w:bCs/>
                <w:color w:val="auto"/>
                <w:highlight w:val="none"/>
                <w:lang w:val="en-US" w:eastAsia="zh-CN"/>
              </w:rPr>
              <w:t xml:space="preserve">3、</w:t>
            </w:r>
            <w:r>
              <w:rPr>
                <w:rFonts w:hint="eastAsia"/>
                <w:b/>
                <w:bCs/>
                <w:color w:val="auto"/>
                <w:highlight w:val="none"/>
                <w:lang w:eastAsia="zh-CN"/>
              </w:rPr>
              <w:t xml:space="preserve">岗位要求：</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）全面参与安置房小区客户服务工作，解决安置房小区企业投诉，协调企业客服工作，成为安置房小区客服工作第一责任人，工作电话为客服第一热线；</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）建立并监督执行适合安置房小区、物业管理、物业使用人的操作流程；</w:t>
            </w:r>
            <w:r/>
          </w:p>
          <w:p>
            <w:pPr>
              <w:pStyle w:val="795"/>
              <w:jc w:val="both"/>
              <w:rPr>
                <w:rFonts w:hint="eastAsia" w:eastAsia="宋体"/>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）每周或每月提出一项安置房小区物业不完善的事项，进行重点解决，需在事项解决前详细列出具体工作计划、方案、措施、完成时间、落实责任人；</w:t>
            </w:r>
            <w:r/>
          </w:p>
        </w:tc>
      </w:tr>
      <w:tr>
        <w:trPr>
          <w:jc w:val="center"/>
          <w:trHeight w:val="888"/>
        </w:trPr>
        <w:tc>
          <w:tcPr>
            <w:tcW w:w="870" w:type="dxa"/>
            <w:vAlign w:val="top"/>
            <w:vMerge w:val="continue"/>
            <w:textDirection w:val="lrTb"/>
            <w:noWrap w:val="false"/>
          </w:tcPr>
          <w:p>
            <w:pPr>
              <w:pStyle w:val="795"/>
              <w:jc w:val="center"/>
              <w:rPr>
                <w:color w:val="auto"/>
                <w:highlight w:val="none"/>
              </w:rPr>
            </w:pPr>
            <w:r>
              <w:rPr>
                <w:color w:val="auto"/>
                <w:highlight w:val="none"/>
              </w:rPr>
            </w:r>
            <w:r/>
          </w:p>
        </w:tc>
        <w:tc>
          <w:tcPr>
            <w:tcW w:w="975" w:type="dxa"/>
            <w:vAlign w:val="center"/>
            <w:textDirection w:val="lrTb"/>
            <w:noWrap w:val="false"/>
          </w:tcPr>
          <w:p>
            <w:pPr>
              <w:pStyle w:val="795"/>
              <w:jc w:val="center"/>
              <w:rPr>
                <w:rFonts w:hint="eastAsia" w:ascii="Calibri" w:hAnsi="Calibri" w:eastAsia="宋体" w:cs="Calibri"/>
                <w:b/>
                <w:bCs/>
                <w:color w:val="auto"/>
                <w:highlight w:val="none"/>
                <w:lang w:val="en-US" w:eastAsia="zh-CN"/>
              </w:rPr>
            </w:pPr>
            <w:r>
              <w:rPr>
                <w:rFonts w:hint="eastAsia" w:ascii="宋体" w:hAnsi="宋体"/>
                <w:b/>
                <w:bCs/>
                <w:sz w:val="24"/>
                <w:szCs w:val="24"/>
                <w:highlight w:val="none"/>
              </w:rPr>
              <w:t xml:space="preserve">副经理</w:t>
            </w:r>
            <w:r/>
          </w:p>
        </w:tc>
        <w:tc>
          <w:tcPr>
            <w:tcW w:w="780" w:type="dxa"/>
            <w:vAlign w:val="center"/>
            <w:textDirection w:val="lrTb"/>
            <w:noWrap w:val="false"/>
          </w:tcPr>
          <w:p>
            <w:pPr>
              <w:jc w:val="center"/>
              <w:rPr>
                <w:rFonts w:hint="default" w:cs="Calibri"/>
                <w:b/>
                <w:bCs/>
                <w:color w:val="auto"/>
                <w:szCs w:val="21"/>
                <w:highlight w:val="none"/>
                <w:lang w:val="en-US" w:eastAsia="zh-CN"/>
              </w:rPr>
            </w:pPr>
            <w:r>
              <w:rPr>
                <w:rFonts w:hint="eastAsia" w:cs="Calibri"/>
                <w:b/>
                <w:bCs/>
                <w:color w:val="auto"/>
                <w:szCs w:val="21"/>
                <w:highlight w:val="none"/>
                <w:lang w:val="en-US" w:eastAsia="zh-CN"/>
              </w:rPr>
              <w:t xml:space="preserve">1</w:t>
            </w:r>
            <w:r/>
          </w:p>
        </w:tc>
        <w:tc>
          <w:tcPr>
            <w:tcW w:w="6809" w:type="dxa"/>
            <w:vAlign w:val="center"/>
            <w:textDirection w:val="lrTb"/>
            <w:noWrap w:val="false"/>
          </w:tcPr>
          <w:p>
            <w:pPr>
              <w:jc w:val="both"/>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1、基本要求：</w:t>
            </w:r>
            <w:r>
              <w:rPr>
                <w:rFonts w:hint="eastAsia" w:ascii="宋体" w:hAnsi="宋体" w:eastAsia="宋体" w:cs="宋体"/>
                <w:b/>
                <w:bCs/>
                <w:color w:val="auto"/>
                <w:sz w:val="21"/>
                <w:szCs w:val="21"/>
                <w:highlight w:val="none"/>
                <w:lang w:val="en-US" w:eastAsia="en-US" w:bidi="ar-SA"/>
              </w:rPr>
              <w:t xml:space="preserve">男女不限</w:t>
            </w:r>
            <w:r>
              <w:rPr>
                <w:rFonts w:hint="eastAsia" w:ascii="宋体" w:hAnsi="宋体" w:eastAsia="宋体" w:cs="宋体"/>
                <w:b/>
                <w:bCs/>
                <w:color w:val="auto"/>
                <w:sz w:val="21"/>
                <w:szCs w:val="21"/>
                <w:highlight w:val="none"/>
                <w:lang w:val="en-US" w:eastAsia="zh-CN" w:bidi="ar-SA"/>
              </w:rPr>
              <w:t xml:space="preserve">，年龄要求25-</w:t>
            </w:r>
            <w:r>
              <w:rPr>
                <w:rFonts w:hint="eastAsia" w:ascii="宋体" w:hAnsi="宋体" w:cs="宋体"/>
                <w:b/>
                <w:bCs/>
                <w:color w:val="auto"/>
                <w:sz w:val="21"/>
                <w:szCs w:val="21"/>
                <w:highlight w:val="none"/>
                <w:lang w:val="en-US" w:eastAsia="zh-CN" w:bidi="ar-SA"/>
              </w:rPr>
              <w:t xml:space="preserve">55</w:t>
            </w:r>
            <w:r>
              <w:rPr>
                <w:rFonts w:hint="eastAsia" w:ascii="宋体" w:hAnsi="宋体" w:eastAsia="宋体" w:cs="宋体"/>
                <w:b/>
                <w:bCs/>
                <w:color w:val="auto"/>
                <w:sz w:val="21"/>
                <w:szCs w:val="21"/>
                <w:highlight w:val="none"/>
                <w:lang w:val="en-US" w:eastAsia="zh-CN" w:bidi="ar-SA"/>
              </w:rPr>
              <w:t xml:space="preserve">周岁</w:t>
            </w:r>
            <w:r/>
          </w:p>
          <w:p>
            <w:pPr>
              <w:pStyle w:val="795"/>
              <w:numPr>
                <w:ilvl w:val="0"/>
                <w:numId w:val="0"/>
              </w:numPr>
              <w:jc w:val="both"/>
              <w:rPr>
                <w:rFonts w:hint="eastAsia"/>
                <w:b w:val="0"/>
                <w:bCs w:val="0"/>
                <w:color w:val="auto"/>
                <w:highlight w:val="none"/>
                <w:lang w:val="en-US" w:eastAsia="zh-CN"/>
              </w:rPr>
            </w:pPr>
            <w:r>
              <w:rPr>
                <w:rFonts w:hint="eastAsia" w:ascii="宋体" w:hAnsi="宋体" w:eastAsia="宋体" w:cs="宋体"/>
                <w:b/>
                <w:bCs/>
                <w:color w:val="auto"/>
                <w:sz w:val="21"/>
                <w:szCs w:val="21"/>
                <w:highlight w:val="none"/>
                <w:lang w:val="en-US" w:eastAsia="zh-CN" w:bidi="ar-SA"/>
              </w:rPr>
              <w:t xml:space="preserve">2、岗位职责与要求：</w:t>
            </w:r>
            <w:r>
              <w:rPr>
                <w:rFonts w:hint="eastAsia" w:ascii="宋体" w:hAnsi="宋体" w:eastAsia="宋体" w:cs="宋体"/>
                <w:b w:val="0"/>
                <w:bCs w:val="0"/>
                <w:color w:val="auto"/>
                <w:sz w:val="21"/>
                <w:szCs w:val="21"/>
                <w:highlight w:val="none"/>
                <w:lang w:val="en-US" w:eastAsia="zh-CN" w:bidi="ar-SA"/>
              </w:rPr>
              <w:t xml:space="preserve">协助项目经理完成相应工作</w:t>
            </w:r>
            <w:r/>
          </w:p>
        </w:tc>
      </w:tr>
      <w:tr>
        <w:trPr>
          <w:jc w:val="center"/>
          <w:trHeight w:val="2989"/>
        </w:trPr>
        <w:tc>
          <w:tcPr>
            <w:tcW w:w="870" w:type="dxa"/>
            <w:vAlign w:val="top"/>
            <w:vMerge w:val="continue"/>
            <w:textDirection w:val="lrTb"/>
            <w:noWrap w:val="false"/>
          </w:tcPr>
          <w:p>
            <w:pPr>
              <w:pStyle w:val="795"/>
              <w:jc w:val="center"/>
              <w:rPr>
                <w:color w:val="auto"/>
                <w:highlight w:val="none"/>
              </w:rPr>
            </w:pPr>
            <w:r>
              <w:rPr>
                <w:color w:val="auto"/>
                <w:highlight w:val="none"/>
              </w:rPr>
            </w:r>
            <w:r/>
          </w:p>
        </w:tc>
        <w:tc>
          <w:tcPr>
            <w:tcW w:w="975" w:type="dxa"/>
            <w:vAlign w:val="center"/>
            <w:textDirection w:val="lrTb"/>
            <w:noWrap w:val="false"/>
          </w:tcPr>
          <w:p>
            <w:pPr>
              <w:pStyle w:val="795"/>
              <w:jc w:val="center"/>
              <w:rPr>
                <w:rFonts w:hint="eastAsia" w:ascii="Calibri" w:hAnsi="Calibri" w:cs="Calibri"/>
                <w:b/>
                <w:bCs/>
                <w:color w:val="auto"/>
                <w:highlight w:val="none"/>
                <w:lang w:val="en-US" w:eastAsia="zh-CN"/>
              </w:rPr>
            </w:pPr>
            <w:r>
              <w:rPr>
                <w:rFonts w:hint="eastAsia" w:ascii="Calibri" w:hAnsi="Calibri" w:cs="Calibri"/>
                <w:b/>
                <w:bCs/>
                <w:color w:val="auto"/>
                <w:highlight w:val="none"/>
                <w:lang w:val="en-US" w:eastAsia="zh-CN"/>
              </w:rPr>
              <w:t xml:space="preserve">客服</w:t>
            </w:r>
            <w:r/>
          </w:p>
        </w:tc>
        <w:tc>
          <w:tcPr>
            <w:tcW w:w="780" w:type="dxa"/>
            <w:vAlign w:val="center"/>
            <w:textDirection w:val="lrTb"/>
            <w:noWrap w:val="false"/>
          </w:tcPr>
          <w:p>
            <w:pPr>
              <w:jc w:val="center"/>
              <w:rPr>
                <w:rFonts w:cs="Calibri"/>
                <w:b/>
                <w:bCs/>
                <w:color w:val="auto"/>
                <w:szCs w:val="21"/>
                <w:highlight w:val="none"/>
                <w:lang w:val="en-US" w:eastAsia="zh-CN"/>
              </w:rPr>
            </w:pPr>
            <w:r>
              <w:rPr>
                <w:rFonts w:hint="eastAsia" w:cs="Calibri"/>
                <w:b/>
                <w:bCs/>
                <w:color w:val="auto"/>
                <w:szCs w:val="21"/>
                <w:highlight w:val="none"/>
                <w:lang w:val="en-US" w:eastAsia="zh-CN"/>
              </w:rPr>
              <w:t xml:space="preserve">2</w:t>
            </w:r>
            <w:r/>
          </w:p>
        </w:tc>
        <w:tc>
          <w:tcPr>
            <w:tcW w:w="6809" w:type="dxa"/>
            <w:vAlign w:val="center"/>
            <w:vMerge w:val="restart"/>
            <w:textDirection w:val="lrTb"/>
            <w:noWrap w:val="false"/>
          </w:tcPr>
          <w:p>
            <w:pPr>
              <w:pStyle w:val="795"/>
              <w:jc w:val="both"/>
              <w:rPr>
                <w:rFonts w:hint="eastAsia"/>
                <w:b/>
                <w:bCs/>
                <w:color w:val="auto"/>
                <w:highlight w:val="none"/>
                <w:lang w:eastAsia="zh-CN"/>
              </w:rPr>
            </w:pPr>
            <w:r>
              <w:rPr>
                <w:rFonts w:hint="eastAsia"/>
                <w:b/>
                <w:bCs/>
                <w:color w:val="auto"/>
                <w:highlight w:val="none"/>
                <w:lang w:val="en-US" w:eastAsia="zh-CN"/>
              </w:rPr>
              <w:t xml:space="preserve">1、基本要求：</w:t>
            </w:r>
            <w:r>
              <w:rPr>
                <w:rFonts w:hint="eastAsia"/>
                <w:b/>
                <w:bCs/>
                <w:color w:val="auto"/>
                <w:highlight w:val="none"/>
              </w:rPr>
              <w:t xml:space="preserve">男女不限</w:t>
            </w:r>
            <w:r>
              <w:rPr>
                <w:rFonts w:hint="eastAsia"/>
                <w:b/>
                <w:bCs/>
                <w:color w:val="auto"/>
                <w:highlight w:val="none"/>
                <w:lang w:eastAsia="zh-CN"/>
              </w:rPr>
              <w:t xml:space="preserve">，</w:t>
            </w:r>
            <w:r>
              <w:rPr>
                <w:rFonts w:hint="eastAsia"/>
                <w:b/>
                <w:bCs/>
                <w:color w:val="auto"/>
                <w:highlight w:val="none"/>
                <w:lang w:val="en-US" w:eastAsia="zh-CN"/>
              </w:rPr>
              <w:t xml:space="preserve">年龄要求</w:t>
            </w:r>
            <w:r>
              <w:rPr>
                <w:rFonts w:hint="eastAsia" w:ascii="宋体" w:hAnsi="宋体" w:eastAsia="宋体" w:cs="宋体"/>
                <w:b/>
                <w:bCs/>
                <w:color w:val="auto"/>
                <w:sz w:val="21"/>
                <w:szCs w:val="21"/>
                <w:highlight w:val="none"/>
                <w:lang w:val="en-US" w:eastAsia="zh-CN" w:bidi="ar-SA"/>
              </w:rPr>
              <w:t xml:space="preserve">25-</w:t>
            </w:r>
            <w:r>
              <w:rPr>
                <w:rFonts w:hint="eastAsia" w:ascii="宋体" w:hAnsi="宋体" w:cs="宋体"/>
                <w:b/>
                <w:bCs/>
                <w:color w:val="auto"/>
                <w:sz w:val="21"/>
                <w:szCs w:val="21"/>
                <w:highlight w:val="none"/>
                <w:lang w:val="en-US" w:eastAsia="zh-CN" w:bidi="ar-SA"/>
              </w:rPr>
              <w:t xml:space="preserve">55</w:t>
            </w:r>
            <w:r>
              <w:rPr>
                <w:rFonts w:hint="eastAsia"/>
                <w:b/>
                <w:bCs/>
                <w:color w:val="auto"/>
                <w:highlight w:val="none"/>
                <w:lang w:eastAsia="zh-CN"/>
              </w:rPr>
              <w:t xml:space="preserve">周岁</w:t>
            </w:r>
            <w:r/>
          </w:p>
          <w:p>
            <w:pPr>
              <w:pStyle w:val="795"/>
              <w:jc w:val="both"/>
              <w:rPr>
                <w:rFonts w:hint="eastAsia"/>
                <w:b/>
                <w:bCs/>
                <w:color w:val="auto"/>
                <w:highlight w:val="none"/>
                <w:lang w:val="en-US" w:eastAsia="zh-CN"/>
              </w:rPr>
            </w:pPr>
            <w:r>
              <w:rPr>
                <w:rFonts w:hint="eastAsia"/>
                <w:b/>
                <w:bCs/>
                <w:color w:val="auto"/>
                <w:highlight w:val="none"/>
                <w:lang w:val="en-US" w:eastAsia="zh-CN"/>
              </w:rPr>
              <w:t xml:space="preserve">2、岗位职责与要求：</w:t>
            </w:r>
            <w:r/>
          </w:p>
          <w:p>
            <w:pPr>
              <w:pStyle w:val="795"/>
              <w:jc w:val="both"/>
              <w:rPr>
                <w:rFonts w:hint="eastAsia"/>
                <w:b w:val="0"/>
                <w:bCs w:val="0"/>
                <w:color w:val="auto"/>
                <w:highlight w:val="none"/>
                <w:lang w:val="en-US" w:eastAsia="zh-CN"/>
              </w:rPr>
            </w:pPr>
            <w:r>
              <w:rPr>
                <w:rFonts w:hint="eastAsia"/>
                <w:b w:val="0"/>
                <w:bCs w:val="0"/>
                <w:color w:val="auto"/>
                <w:highlight w:val="none"/>
                <w:lang w:val="en-US" w:eastAsia="zh-CN"/>
              </w:rPr>
              <w:t xml:space="preserve">（1）熟悉物业公司各项管理制度、收费标准及其他部门的工作职能，工作范围。</w:t>
            </w:r>
            <w:r/>
          </w:p>
          <w:p>
            <w:pPr>
              <w:pStyle w:val="795"/>
              <w:jc w:val="both"/>
              <w:rPr>
                <w:rFonts w:hint="eastAsia"/>
                <w:b w:val="0"/>
                <w:bCs w:val="0"/>
                <w:color w:val="auto"/>
                <w:highlight w:val="none"/>
                <w:lang w:val="en-US" w:eastAsia="zh-CN"/>
              </w:rPr>
            </w:pPr>
            <w:r>
              <w:rPr>
                <w:rFonts w:hint="eastAsia"/>
                <w:b w:val="0"/>
                <w:bCs w:val="0"/>
                <w:color w:val="auto"/>
                <w:highlight w:val="none"/>
                <w:lang w:val="en-US" w:eastAsia="zh-CN"/>
              </w:rPr>
              <w:t xml:space="preserve">（2）熟悉小区环境及各种配套设施的公共设施的位置，各楼宇的外观结构、单元户数、入住率等楼宇的综合情况。</w:t>
            </w:r>
            <w:r/>
          </w:p>
          <w:p>
            <w:pPr>
              <w:pStyle w:val="795"/>
              <w:jc w:val="both"/>
              <w:rPr>
                <w:rFonts w:hint="eastAsia"/>
                <w:b w:val="0"/>
                <w:bCs w:val="0"/>
                <w:color w:val="auto"/>
                <w:highlight w:val="none"/>
                <w:lang w:val="en-US" w:eastAsia="zh-CN"/>
              </w:rPr>
            </w:pPr>
            <w:r>
              <w:rPr>
                <w:rFonts w:hint="eastAsia"/>
                <w:b w:val="0"/>
                <w:bCs w:val="0"/>
                <w:color w:val="auto"/>
                <w:highlight w:val="none"/>
                <w:lang w:val="en-US" w:eastAsia="zh-CN"/>
              </w:rPr>
              <w:t xml:space="preserve">（3）与住户保持良好的关系，定期开展回访工作，向住户解释说明物业公司的有关管理工作细则、管理公约、住户手册等，能灵活正确运用国家有关的法律法规和公司的有关规定，巧妙地处理好每件事情维护公司的利益和声誉。</w:t>
            </w:r>
            <w:r/>
          </w:p>
          <w:p>
            <w:pPr>
              <w:pStyle w:val="795"/>
              <w:jc w:val="both"/>
              <w:rPr>
                <w:rFonts w:hint="eastAsia"/>
                <w:b w:val="0"/>
                <w:bCs w:val="0"/>
                <w:color w:val="auto"/>
                <w:highlight w:val="none"/>
                <w:lang w:val="en-US" w:eastAsia="zh-CN"/>
              </w:rPr>
            </w:pPr>
            <w:r>
              <w:rPr>
                <w:rFonts w:hint="eastAsia"/>
                <w:b w:val="0"/>
                <w:bCs w:val="0"/>
                <w:color w:val="auto"/>
                <w:highlight w:val="none"/>
                <w:lang w:val="en-US" w:eastAsia="zh-CN"/>
              </w:rPr>
              <w:t xml:space="preserve">（4）全面负责收楼及收楼后的遗留工程以及日常维护保养工程的跟进完成，受理业主在保修期内的房屋维保修事项，及时联系相关主管部门处理。</w:t>
            </w:r>
            <w:r/>
          </w:p>
          <w:p>
            <w:pPr>
              <w:pStyle w:val="795"/>
              <w:jc w:val="both"/>
              <w:rPr>
                <w:rFonts w:hint="eastAsia"/>
                <w:b w:val="0"/>
                <w:bCs w:val="0"/>
                <w:color w:val="auto"/>
                <w:highlight w:val="none"/>
                <w:lang w:val="en-US" w:eastAsia="zh-CN"/>
              </w:rPr>
            </w:pPr>
            <w:r>
              <w:rPr>
                <w:rFonts w:hint="eastAsia"/>
                <w:b w:val="0"/>
                <w:bCs w:val="0"/>
                <w:color w:val="auto"/>
                <w:highlight w:val="none"/>
                <w:lang w:val="en-US" w:eastAsia="zh-CN"/>
              </w:rPr>
              <w:t xml:space="preserve">（5）受理前台传达的工作信息，接受住户提出的投诉或服务要求及时到现场实地了解，经有效分析后转交相关主管部门跟进处理。</w:t>
            </w:r>
            <w:r/>
          </w:p>
          <w:p>
            <w:pPr>
              <w:pStyle w:val="795"/>
              <w:jc w:val="both"/>
              <w:rPr>
                <w:rFonts w:hint="eastAsia"/>
                <w:b w:val="0"/>
                <w:bCs w:val="0"/>
                <w:color w:val="auto"/>
                <w:highlight w:val="none"/>
                <w:lang w:val="en-US" w:eastAsia="zh-CN"/>
              </w:rPr>
            </w:pPr>
            <w:r>
              <w:rPr>
                <w:rFonts w:hint="eastAsia"/>
                <w:b w:val="0"/>
                <w:bCs w:val="0"/>
                <w:color w:val="auto"/>
                <w:highlight w:val="none"/>
                <w:lang w:val="en-US" w:eastAsia="zh-CN"/>
              </w:rPr>
              <w:t xml:space="preserve">（6）起草对住户发出的温馨提示、通知、通告等文件，督促各部门通告按序张告及归档，包括文本格式、定期拆撕等，</w:t>
            </w:r>
            <w:r/>
          </w:p>
          <w:p>
            <w:pPr>
              <w:pStyle w:val="795"/>
              <w:jc w:val="both"/>
              <w:rPr>
                <w:rFonts w:hint="eastAsia"/>
                <w:b w:val="0"/>
                <w:bCs w:val="0"/>
                <w:color w:val="auto"/>
                <w:highlight w:val="none"/>
                <w:lang w:val="en-US" w:eastAsia="zh-CN"/>
              </w:rPr>
            </w:pPr>
            <w:r>
              <w:rPr>
                <w:rFonts w:hint="eastAsia"/>
                <w:b w:val="0"/>
                <w:bCs w:val="0"/>
                <w:color w:val="auto"/>
                <w:highlight w:val="none"/>
                <w:lang w:val="en-US" w:eastAsia="zh-CN"/>
              </w:rPr>
              <w:t xml:space="preserve">（7）全面负责各区车位管理工作。更新各区车位表及变更资料催缴车位费。现场了解各区车位租赁情况，跟踪喷牌、擦牌等工作情况，处理有关漏费、欠费逃费等问题。</w:t>
            </w:r>
            <w:r/>
          </w:p>
          <w:p>
            <w:pPr>
              <w:pStyle w:val="795"/>
              <w:jc w:val="both"/>
              <w:rPr>
                <w:rFonts w:hint="eastAsia"/>
                <w:b w:val="0"/>
                <w:bCs w:val="0"/>
                <w:color w:val="auto"/>
                <w:highlight w:val="none"/>
                <w:lang w:val="en-US" w:eastAsia="zh-CN"/>
              </w:rPr>
            </w:pPr>
            <w:r>
              <w:rPr>
                <w:rFonts w:hint="eastAsia"/>
                <w:b w:val="0"/>
                <w:bCs w:val="0"/>
                <w:color w:val="auto"/>
                <w:highlight w:val="none"/>
                <w:lang w:val="en-US" w:eastAsia="zh-CN"/>
              </w:rPr>
              <w:t xml:space="preserve">（8）负责协助保安部、工程部处理突发事件，并及时上报上级领导。</w:t>
            </w:r>
            <w:r/>
          </w:p>
          <w:p>
            <w:pPr>
              <w:pStyle w:val="795"/>
              <w:jc w:val="both"/>
              <w:rPr>
                <w:rFonts w:hint="eastAsia"/>
                <w:b w:val="0"/>
                <w:bCs w:val="0"/>
                <w:color w:val="auto"/>
                <w:highlight w:val="none"/>
                <w:lang w:val="en-US" w:eastAsia="zh-CN"/>
              </w:rPr>
            </w:pPr>
            <w:r>
              <w:rPr>
                <w:rFonts w:hint="eastAsia"/>
                <w:b w:val="0"/>
                <w:bCs w:val="0"/>
                <w:color w:val="auto"/>
                <w:highlight w:val="none"/>
                <w:lang w:val="en-US" w:eastAsia="zh-CN"/>
              </w:rPr>
              <w:t xml:space="preserve">（9）协助组织、开展社区文化活动和宣传工作</w:t>
            </w:r>
            <w:r/>
          </w:p>
          <w:p>
            <w:pPr>
              <w:pStyle w:val="795"/>
              <w:jc w:val="both"/>
              <w:rPr>
                <w:color w:val="auto"/>
                <w:highlight w:val="none"/>
                <w:lang w:val="en-US"/>
              </w:rPr>
            </w:pPr>
            <w:r>
              <w:rPr>
                <w:rFonts w:hint="eastAsia"/>
                <w:b w:val="0"/>
                <w:bCs w:val="0"/>
                <w:color w:val="auto"/>
                <w:highlight w:val="none"/>
                <w:lang w:val="en-US" w:eastAsia="zh-CN"/>
              </w:rPr>
              <w:t xml:space="preserve">（10）执行上级所指派的其他工作。</w:t>
            </w:r>
            <w:r/>
          </w:p>
        </w:tc>
      </w:tr>
      <w:tr>
        <w:trPr>
          <w:jc w:val="center"/>
          <w:trHeight w:val="610"/>
        </w:trPr>
        <w:tc>
          <w:tcPr>
            <w:tcW w:w="870" w:type="dxa"/>
            <w:vAlign w:val="top"/>
            <w:vMerge w:val="continue"/>
            <w:textDirection w:val="lrTb"/>
            <w:noWrap w:val="false"/>
          </w:tcPr>
          <w:p>
            <w:pPr>
              <w:jc w:val="center"/>
              <w:rPr>
                <w:color w:val="auto"/>
                <w:highlight w:val="none"/>
              </w:rPr>
            </w:pPr>
            <w:r>
              <w:rPr>
                <w:color w:val="auto"/>
                <w:highlight w:val="none"/>
              </w:rPr>
            </w:r>
            <w:r/>
          </w:p>
        </w:tc>
        <w:tc>
          <w:tcPr>
            <w:tcW w:w="975" w:type="dxa"/>
            <w:vAlign w:val="center"/>
            <w:textDirection w:val="lrTb"/>
            <w:noWrap w:val="false"/>
          </w:tcPr>
          <w:p>
            <w:pPr>
              <w:jc w:val="center"/>
              <w:rPr>
                <w:rFonts w:hint="eastAsia" w:ascii="Calibri" w:hAnsi="Calibri" w:cs="Calibri"/>
                <w:b/>
                <w:bCs/>
                <w:color w:val="auto"/>
                <w:highlight w:val="none"/>
                <w:lang w:val="en-US" w:eastAsia="zh-CN"/>
              </w:rPr>
            </w:pPr>
            <w:r>
              <w:rPr>
                <w:rFonts w:hint="eastAsia" w:ascii="Calibri" w:hAnsi="Calibri" w:cs="Calibri"/>
                <w:b/>
                <w:bCs/>
                <w:color w:val="auto"/>
                <w:highlight w:val="none"/>
                <w:lang w:val="en-US" w:eastAsia="zh-CN"/>
              </w:rPr>
              <w:t xml:space="preserve">管家</w:t>
            </w:r>
            <w:r/>
          </w:p>
        </w:tc>
        <w:tc>
          <w:tcPr>
            <w:tcW w:w="780" w:type="dxa"/>
            <w:vAlign w:val="center"/>
            <w:textDirection w:val="lrTb"/>
            <w:noWrap w:val="false"/>
          </w:tcPr>
          <w:p>
            <w:pPr>
              <w:jc w:val="center"/>
              <w:rPr>
                <w:rFonts w:hint="eastAsia" w:ascii="Calibri" w:hAnsi="Calibri" w:cs="Calibri"/>
                <w:b/>
                <w:bCs/>
                <w:color w:val="auto"/>
                <w:highlight w:val="none"/>
                <w:lang w:val="en-US" w:eastAsia="zh-CN"/>
              </w:rPr>
            </w:pPr>
            <w:r>
              <w:rPr>
                <w:rFonts w:hint="eastAsia" w:cs="Calibri"/>
                <w:b/>
                <w:bCs/>
                <w:color w:val="auto"/>
                <w:highlight w:val="none"/>
                <w:lang w:val="en-US" w:eastAsia="zh-CN"/>
              </w:rPr>
              <w:t xml:space="preserve">1</w:t>
            </w:r>
            <w:r/>
          </w:p>
        </w:tc>
        <w:tc>
          <w:tcPr>
            <w:tcW w:w="6809" w:type="dxa"/>
            <w:vAlign w:val="center"/>
            <w:vMerge w:val="continue"/>
            <w:textDirection w:val="lrTb"/>
            <w:noWrap w:val="false"/>
          </w:tcPr>
          <w:p>
            <w:pPr>
              <w:jc w:val="center"/>
              <w:rPr>
                <w:rFonts w:hint="eastAsia" w:ascii="Calibri" w:hAnsi="Calibri" w:cs="Calibri"/>
                <w:b/>
                <w:bCs/>
                <w:color w:val="auto"/>
                <w:highlight w:val="none"/>
                <w:lang w:val="en-US" w:eastAsia="zh-CN"/>
              </w:rPr>
            </w:pPr>
            <w:r>
              <w:rPr>
                <w:rFonts w:hint="eastAsia" w:ascii="Calibri" w:hAnsi="Calibri" w:cs="Calibri"/>
                <w:b/>
                <w:bCs/>
                <w:color w:val="auto"/>
                <w:highlight w:val="none"/>
                <w:lang w:val="en-US" w:eastAsia="zh-CN"/>
              </w:rPr>
            </w:r>
            <w:r/>
          </w:p>
        </w:tc>
      </w:tr>
      <w:tr>
        <w:trPr>
          <w:jc w:val="center"/>
          <w:trHeight w:val="1134"/>
        </w:trPr>
        <w:tc>
          <w:tcPr>
            <w:tcW w:w="870" w:type="dxa"/>
            <w:vAlign w:val="center"/>
            <w:vMerge w:val="restart"/>
            <w:textDirection w:val="lrTb"/>
            <w:noWrap w:val="false"/>
          </w:tcPr>
          <w:p>
            <w:pPr>
              <w:pStyle w:val="795"/>
              <w:jc w:val="center"/>
              <w:rPr>
                <w:rFonts w:eastAsia="宋体"/>
                <w:b/>
                <w:bCs/>
                <w:color w:val="auto"/>
                <w:highlight w:val="none"/>
                <w:lang w:val="en-US" w:eastAsia="zh-CN"/>
              </w:rPr>
            </w:pPr>
            <w:r>
              <w:rPr>
                <w:rFonts w:hint="eastAsia"/>
                <w:b/>
                <w:bCs/>
                <w:color w:val="auto"/>
                <w:highlight w:val="none"/>
                <w:lang w:val="en-US" w:eastAsia="zh-CN"/>
              </w:rPr>
              <w:t xml:space="preserve">秩序维护</w:t>
            </w:r>
            <w:r/>
          </w:p>
        </w:tc>
        <w:tc>
          <w:tcPr>
            <w:tcW w:w="975" w:type="dxa"/>
            <w:vAlign w:val="center"/>
            <w:textDirection w:val="lrTb"/>
            <w:noWrap w:val="false"/>
          </w:tcPr>
          <w:p>
            <w:pPr>
              <w:pStyle w:val="795"/>
              <w:jc w:val="center"/>
              <w:rPr>
                <w:rFonts w:eastAsia="宋体"/>
                <w:b/>
                <w:bCs/>
                <w:color w:val="auto"/>
                <w:highlight w:val="none"/>
                <w:lang w:val="en-US" w:eastAsia="zh-CN"/>
              </w:rPr>
            </w:pPr>
            <w:r>
              <w:rPr>
                <w:rFonts w:hint="eastAsia"/>
                <w:b/>
                <w:bCs/>
                <w:color w:val="auto"/>
                <w:highlight w:val="none"/>
                <w:lang w:val="en-US" w:eastAsia="zh-CN"/>
              </w:rPr>
              <w:t xml:space="preserve">保安队长</w:t>
            </w:r>
            <w:r/>
          </w:p>
        </w:tc>
        <w:tc>
          <w:tcPr>
            <w:tcW w:w="780" w:type="dxa"/>
            <w:vAlign w:val="center"/>
            <w:textDirection w:val="lrTb"/>
            <w:noWrap w:val="false"/>
          </w:tcPr>
          <w:p>
            <w:pPr>
              <w:jc w:val="center"/>
              <w:rPr>
                <w:rFonts w:hint="eastAsia" w:ascii="Calibri" w:hAnsi="Calibri" w:eastAsia="宋体" w:cs="Calibri"/>
                <w:b/>
                <w:bCs/>
                <w:color w:val="auto"/>
                <w:szCs w:val="21"/>
                <w:highlight w:val="none"/>
                <w:lang w:val="en-US" w:eastAsia="zh-CN"/>
              </w:rPr>
            </w:pPr>
            <w:r>
              <w:rPr>
                <w:rFonts w:hint="eastAsia" w:eastAsia="宋体" w:cs="Calibri"/>
                <w:b/>
                <w:bCs/>
                <w:color w:val="auto"/>
                <w:szCs w:val="21"/>
                <w:highlight w:val="none"/>
                <w:lang w:val="en-US" w:eastAsia="zh-CN"/>
              </w:rPr>
              <w:t xml:space="preserve">1</w:t>
            </w:r>
            <w:r/>
          </w:p>
        </w:tc>
        <w:tc>
          <w:tcPr>
            <w:tcW w:w="6809" w:type="dxa"/>
            <w:vAlign w:val="center"/>
            <w:vMerge w:val="restart"/>
            <w:textDirection w:val="lrTb"/>
            <w:noWrap w:val="false"/>
          </w:tcPr>
          <w:p>
            <w:pPr>
              <w:pStyle w:val="795"/>
              <w:jc w:val="both"/>
              <w:rPr>
                <w:rFonts w:hint="eastAsia"/>
                <w:b/>
                <w:bCs/>
                <w:color w:val="auto"/>
                <w:highlight w:val="none"/>
                <w:lang w:val="en-US" w:eastAsia="zh-CN"/>
              </w:rPr>
            </w:pPr>
            <w:r>
              <w:rPr>
                <w:rFonts w:hint="eastAsia"/>
                <w:b/>
                <w:bCs/>
                <w:color w:val="auto"/>
                <w:highlight w:val="none"/>
                <w:lang w:val="en-US" w:eastAsia="zh-CN"/>
              </w:rPr>
              <w:t xml:space="preserve">1、基本要求：</w:t>
            </w:r>
            <w:r/>
          </w:p>
          <w:p>
            <w:pPr>
              <w:pStyle w:val="795"/>
              <w:jc w:val="both"/>
              <w:rPr>
                <w:rFonts w:hint="eastAsia"/>
                <w:b/>
                <w:bCs/>
                <w:color w:val="auto"/>
                <w:highlight w:val="none"/>
                <w:lang w:val="en-US" w:eastAsia="zh-CN"/>
              </w:rPr>
            </w:pPr>
            <w:r>
              <w:rPr>
                <w:rFonts w:hint="eastAsia"/>
                <w:b/>
                <w:bCs/>
                <w:color w:val="auto"/>
                <w:highlight w:val="none"/>
                <w:lang w:val="en-US" w:eastAsia="zh-CN"/>
              </w:rPr>
              <w:t xml:space="preserve">保安队长、保安巡逻、门岗：</w:t>
            </w:r>
            <w:r>
              <w:rPr>
                <w:rFonts w:hint="eastAsia"/>
                <w:b/>
                <w:bCs/>
                <w:color w:val="auto"/>
                <w:highlight w:val="none"/>
              </w:rPr>
              <w:t xml:space="preserve">男女不限</w:t>
            </w:r>
            <w:r>
              <w:rPr>
                <w:rFonts w:hint="eastAsia"/>
                <w:b/>
                <w:bCs/>
                <w:color w:val="auto"/>
                <w:highlight w:val="none"/>
                <w:lang w:eastAsia="zh-CN"/>
              </w:rPr>
              <w:t xml:space="preserve">，</w:t>
            </w:r>
            <w:r>
              <w:rPr>
                <w:rFonts w:hint="eastAsia"/>
                <w:b/>
                <w:bCs/>
                <w:color w:val="auto"/>
                <w:highlight w:val="none"/>
                <w:lang w:val="en-US" w:eastAsia="zh-CN"/>
              </w:rPr>
              <w:t xml:space="preserve">男性年龄要求25-65</w:t>
            </w:r>
            <w:r>
              <w:rPr>
                <w:rFonts w:hint="eastAsia"/>
                <w:b/>
                <w:bCs/>
                <w:color w:val="auto"/>
                <w:highlight w:val="none"/>
                <w:lang w:eastAsia="zh-CN"/>
              </w:rPr>
              <w:t xml:space="preserve">周岁</w:t>
            </w:r>
            <w:r>
              <w:rPr>
                <w:rFonts w:hint="eastAsia"/>
                <w:b/>
                <w:bCs/>
                <w:color w:val="auto"/>
                <w:highlight w:val="none"/>
                <w:lang w:val="en-US" w:eastAsia="zh-CN"/>
              </w:rPr>
              <w:t xml:space="preserve">，女性年龄要求25-60</w:t>
            </w:r>
            <w:r>
              <w:rPr>
                <w:rFonts w:hint="eastAsia"/>
                <w:b/>
                <w:bCs/>
                <w:color w:val="auto"/>
                <w:highlight w:val="none"/>
                <w:lang w:eastAsia="zh-CN"/>
              </w:rPr>
              <w:t xml:space="preserve">周岁；</w:t>
            </w:r>
            <w:r/>
          </w:p>
          <w:p>
            <w:pPr>
              <w:pStyle w:val="795"/>
              <w:jc w:val="both"/>
              <w:rPr>
                <w:rFonts w:hint="eastAsia"/>
                <w:b/>
                <w:bCs/>
                <w:color w:val="auto"/>
                <w:highlight w:val="none"/>
                <w:lang w:eastAsia="zh-CN"/>
              </w:rPr>
            </w:pPr>
            <w:r>
              <w:rPr>
                <w:rFonts w:hint="eastAsia"/>
                <w:b/>
                <w:bCs/>
                <w:color w:val="auto"/>
                <w:highlight w:val="none"/>
                <w:lang w:val="en-US" w:eastAsia="zh-CN"/>
              </w:rPr>
              <w:t xml:space="preserve">消、监控人员：男女不限，年龄要求25-60周岁</w:t>
            </w:r>
            <w:r>
              <w:rPr>
                <w:rFonts w:hint="eastAsia"/>
                <w:b/>
                <w:bCs/>
                <w:color w:val="auto"/>
                <w:highlight w:val="none"/>
                <w:lang w:eastAsia="zh-CN"/>
              </w:rPr>
              <w:t xml:space="preserve">；</w:t>
            </w:r>
            <w:r/>
          </w:p>
          <w:p>
            <w:pPr>
              <w:pStyle w:val="795"/>
              <w:jc w:val="both"/>
              <w:rPr>
                <w:rFonts w:hint="eastAsia"/>
                <w:b/>
                <w:bCs/>
                <w:color w:val="auto"/>
                <w:highlight w:val="none"/>
                <w:lang w:eastAsia="zh-CN"/>
              </w:rPr>
            </w:pPr>
            <w:r>
              <w:rPr>
                <w:rFonts w:hint="eastAsia"/>
                <w:b/>
                <w:bCs/>
                <w:color w:val="auto"/>
                <w:highlight w:val="none"/>
                <w:lang w:val="en-US" w:eastAsia="zh-CN"/>
              </w:rPr>
              <w:t xml:space="preserve">2、</w:t>
            </w:r>
            <w:r>
              <w:rPr>
                <w:rFonts w:hint="eastAsia"/>
                <w:b/>
                <w:bCs/>
                <w:color w:val="auto"/>
                <w:highlight w:val="none"/>
                <w:lang w:eastAsia="zh-CN"/>
              </w:rPr>
              <w:t xml:space="preserve">岗位职责：</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）负责治安防范、安全保卫和消防管理工作；</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）负责把守大门，礼貌接待问询。主动热情为各类业主提供便利服务，诸如提携物品、备好打气筒、代招出租车等；</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）严格核对外来人员务工者，遇访客登记或征得业主的同意后方能进入；大宗物品搬运出，须办理物品出门手续，经业主认可方能放行；</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lang w:eastAsia="zh-CN"/>
              </w:rPr>
              <w:t xml:space="preserve">）维护道路和停车库秩序，保持道路畅通，制止车辆违规停放和乱卸货物的行为；加强巡逻，发现可疑迹象，要跟踪盘查，并及时报告主管领导，采取有效措施确保平安，巡逻中发现的其他问题，应做好记录，及时通知有关人员解决；</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5</w:t>
            </w:r>
            <w:r>
              <w:rPr>
                <w:rFonts w:hint="eastAsia"/>
                <w:color w:val="auto"/>
                <w:highlight w:val="none"/>
                <w:lang w:eastAsia="zh-CN"/>
              </w:rPr>
              <w:t xml:space="preserve">）定期测试消防设施，参加消防演练；遇突发事件，须按规定的程序，负责执行本职范围内的工作；</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6</w:t>
            </w:r>
            <w:r>
              <w:rPr>
                <w:rFonts w:hint="eastAsia"/>
                <w:color w:val="auto"/>
                <w:highlight w:val="none"/>
                <w:lang w:eastAsia="zh-CN"/>
              </w:rPr>
              <w:t xml:space="preserve">）熟悉业主情况，与业主建立友好关系，及时反馈业主的意见和要求；</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7</w:t>
            </w:r>
            <w:r>
              <w:rPr>
                <w:rFonts w:hint="eastAsia"/>
                <w:color w:val="auto"/>
                <w:highlight w:val="none"/>
                <w:lang w:eastAsia="zh-CN"/>
              </w:rPr>
              <w:t xml:space="preserve">）对改进管理处工作提出建议；监督检查二次装修有无违规行为，施工人员是否有证；</w:t>
            </w:r>
            <w:r/>
          </w:p>
          <w:p>
            <w:pPr>
              <w:pStyle w:val="795"/>
              <w:jc w:val="both"/>
              <w:rPr>
                <w:rFonts w:hint="eastAsia"/>
                <w:b/>
                <w:bCs/>
                <w:color w:val="auto"/>
                <w:highlight w:val="none"/>
                <w:lang w:eastAsia="zh-CN"/>
              </w:rPr>
            </w:pPr>
            <w:r>
              <w:rPr>
                <w:rFonts w:hint="eastAsia"/>
                <w:b/>
                <w:bCs/>
                <w:color w:val="auto"/>
                <w:highlight w:val="none"/>
                <w:lang w:val="en-US" w:eastAsia="zh-CN"/>
              </w:rPr>
              <w:t xml:space="preserve">3、</w:t>
            </w:r>
            <w:r>
              <w:rPr>
                <w:rFonts w:hint="eastAsia"/>
                <w:b/>
                <w:bCs/>
                <w:color w:val="auto"/>
                <w:highlight w:val="none"/>
                <w:lang w:eastAsia="zh-CN"/>
              </w:rPr>
              <w:t xml:space="preserve">岗位要求：</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）门岗保安岗位要求：</w:t>
            </w:r>
            <w:r/>
          </w:p>
          <w:p>
            <w:pPr>
              <w:pStyle w:val="795"/>
              <w:jc w:val="both"/>
              <w:rPr>
                <w:rFonts w:hint="eastAsia"/>
                <w:color w:val="auto"/>
                <w:highlight w:val="none"/>
                <w:lang w:eastAsia="zh-CN"/>
              </w:rPr>
            </w:pPr>
            <w:r>
              <w:rPr>
                <w:rFonts w:hint="eastAsia"/>
                <w:color w:val="auto"/>
                <w:highlight w:val="none"/>
                <w:lang w:eastAsia="zh-CN"/>
              </w:rPr>
              <w:t xml:space="preserve">①自身条件：性别：男，视力良好、外表端正，初中以上文化，普通话良好，沟通良好；</w:t>
            </w:r>
            <w:r/>
          </w:p>
          <w:p>
            <w:pPr>
              <w:pStyle w:val="795"/>
              <w:jc w:val="both"/>
              <w:rPr>
                <w:rFonts w:hint="eastAsia"/>
                <w:color w:val="auto"/>
                <w:highlight w:val="none"/>
                <w:lang w:eastAsia="zh-CN"/>
              </w:rPr>
            </w:pPr>
            <w:r>
              <w:rPr>
                <w:rFonts w:hint="eastAsia"/>
                <w:color w:val="auto"/>
                <w:highlight w:val="none"/>
                <w:lang w:eastAsia="zh-CN"/>
              </w:rPr>
              <w:t xml:space="preserve">②主动热情帮助安置房小区及安置房小区企业做好协助工作：比如小件物品的搬运工作等；</w:t>
            </w:r>
            <w:r/>
          </w:p>
          <w:p>
            <w:pPr>
              <w:pStyle w:val="795"/>
              <w:jc w:val="both"/>
              <w:rPr>
                <w:rFonts w:hint="eastAsia"/>
                <w:color w:val="auto"/>
                <w:highlight w:val="none"/>
                <w:lang w:eastAsia="zh-CN"/>
              </w:rPr>
            </w:pPr>
            <w:r>
              <w:rPr>
                <w:rFonts w:hint="eastAsia"/>
                <w:color w:val="auto"/>
                <w:highlight w:val="none"/>
                <w:lang w:eastAsia="zh-CN"/>
              </w:rPr>
              <w:t xml:space="preserve">③熟悉安置房小区领导、安置房小区工作人员、企业领导以及他们的日常工作方式；</w:t>
            </w:r>
            <w:r/>
          </w:p>
          <w:p>
            <w:pPr>
              <w:pStyle w:val="795"/>
              <w:jc w:val="both"/>
              <w:rPr>
                <w:rFonts w:hint="eastAsia"/>
                <w:color w:val="auto"/>
                <w:highlight w:val="none"/>
                <w:lang w:eastAsia="zh-CN"/>
              </w:rPr>
            </w:pPr>
            <w:r>
              <w:rPr>
                <w:rFonts w:hint="eastAsia"/>
                <w:color w:val="auto"/>
                <w:highlight w:val="none"/>
                <w:lang w:eastAsia="zh-CN"/>
              </w:rPr>
              <w:t xml:space="preserve">④按标准着装、仪表整洁端正；</w:t>
            </w:r>
            <w:r/>
          </w:p>
          <w:p>
            <w:pPr>
              <w:pStyle w:val="795"/>
              <w:jc w:val="both"/>
              <w:rPr>
                <w:rFonts w:hint="eastAsia"/>
                <w:color w:val="auto"/>
                <w:highlight w:val="none"/>
                <w:lang w:eastAsia="zh-CN"/>
              </w:rPr>
            </w:pPr>
            <w:r>
              <w:rPr>
                <w:rFonts w:hint="eastAsia"/>
                <w:color w:val="auto"/>
                <w:highlight w:val="none"/>
                <w:lang w:eastAsia="zh-CN"/>
              </w:rPr>
              <w:t xml:space="preserve">⑤上下班、开门敬礼，用文明礼貌语言。大门开关准确及时、灵活操作。</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）巡逻保安岗位要求：</w:t>
            </w:r>
            <w:r/>
          </w:p>
          <w:p>
            <w:pPr>
              <w:pStyle w:val="795"/>
              <w:jc w:val="both"/>
              <w:rPr>
                <w:rFonts w:hint="eastAsia"/>
                <w:color w:val="auto"/>
                <w:highlight w:val="none"/>
                <w:lang w:eastAsia="zh-CN"/>
              </w:rPr>
            </w:pPr>
            <w:r>
              <w:rPr>
                <w:rFonts w:hint="eastAsia"/>
                <w:color w:val="auto"/>
                <w:highlight w:val="none"/>
                <w:lang w:eastAsia="zh-CN"/>
              </w:rPr>
              <w:t xml:space="preserve">①按标准着装、仪表整洁端正；</w:t>
            </w:r>
            <w:r/>
          </w:p>
          <w:p>
            <w:pPr>
              <w:pStyle w:val="795"/>
              <w:jc w:val="both"/>
              <w:rPr>
                <w:rFonts w:hint="eastAsia"/>
                <w:color w:val="auto"/>
                <w:highlight w:val="none"/>
                <w:lang w:eastAsia="zh-CN"/>
              </w:rPr>
            </w:pPr>
            <w:r>
              <w:rPr>
                <w:rFonts w:hint="eastAsia"/>
                <w:color w:val="auto"/>
                <w:highlight w:val="none"/>
                <w:lang w:eastAsia="zh-CN"/>
              </w:rPr>
              <w:t xml:space="preserve">②具备独立公共秩序维护工作能力，能掌握发生事件，事故等应急预案的基本要求和处理方法；</w:t>
            </w:r>
            <w:r/>
          </w:p>
          <w:p>
            <w:pPr>
              <w:pStyle w:val="795"/>
              <w:jc w:val="both"/>
              <w:rPr>
                <w:color w:val="auto"/>
                <w:highlight w:val="none"/>
              </w:rPr>
            </w:pPr>
            <w:r>
              <w:rPr>
                <w:rFonts w:hint="eastAsia"/>
                <w:color w:val="auto"/>
                <w:highlight w:val="none"/>
                <w:lang w:eastAsia="zh-CN"/>
              </w:rPr>
              <w:t xml:space="preserve">③巡逻要点：一轻（走路说话要轻）；二望（对被检查场所仔细看，认真查，靠眼睛观察实现所及范围的情况）；三听（靠耳朵来听有没有异常的声音，及时发现异常的源头）；五摸（用手去摸各个门锁是否正常关闭，发现各类问题按有关规定及时处理），发现任何非正常情况，应该立即报告上级并做好记录。</w:t>
            </w:r>
            <w:r/>
          </w:p>
        </w:tc>
      </w:tr>
      <w:tr>
        <w:trPr>
          <w:jc w:val="center"/>
          <w:trHeight w:val="1134"/>
        </w:trPr>
        <w:tc>
          <w:tcPr>
            <w:tcW w:w="870" w:type="dxa"/>
            <w:vAlign w:val="center"/>
            <w:vMerge w:val="continue"/>
            <w:textDirection w:val="lrTb"/>
            <w:noWrap w:val="false"/>
          </w:tcPr>
          <w:p>
            <w:pPr>
              <w:pStyle w:val="795"/>
              <w:jc w:val="center"/>
              <w:rPr>
                <w:b/>
                <w:bCs/>
                <w:color w:val="auto"/>
                <w:highlight w:val="none"/>
              </w:rPr>
            </w:pPr>
            <w:r>
              <w:rPr>
                <w:b/>
                <w:bCs/>
                <w:color w:val="auto"/>
                <w:highlight w:val="none"/>
              </w:rPr>
            </w:r>
            <w:r/>
          </w:p>
        </w:tc>
        <w:tc>
          <w:tcPr>
            <w:tcW w:w="975" w:type="dxa"/>
            <w:vAlign w:val="center"/>
            <w:textDirection w:val="lrTb"/>
            <w:noWrap w:val="false"/>
          </w:tcPr>
          <w:p>
            <w:pPr>
              <w:pStyle w:val="795"/>
              <w:jc w:val="center"/>
              <w:rPr>
                <w:rFonts w:hint="default"/>
                <w:b/>
                <w:bCs/>
                <w:color w:val="auto"/>
                <w:highlight w:val="none"/>
                <w:lang w:val="en-US" w:eastAsia="zh-CN"/>
              </w:rPr>
            </w:pPr>
            <w:r>
              <w:rPr>
                <w:rFonts w:hint="eastAsia"/>
                <w:b/>
                <w:bCs/>
                <w:color w:val="auto"/>
                <w:highlight w:val="none"/>
                <w:lang w:val="en-US" w:eastAsia="zh-CN"/>
              </w:rPr>
              <w:t xml:space="preserve">保安巡逻</w:t>
            </w:r>
            <w:r/>
          </w:p>
        </w:tc>
        <w:tc>
          <w:tcPr>
            <w:tcW w:w="780" w:type="dxa"/>
            <w:vAlign w:val="center"/>
            <w:textDirection w:val="lrTb"/>
            <w:noWrap w:val="false"/>
          </w:tcPr>
          <w:p>
            <w:pPr>
              <w:jc w:val="center"/>
              <w:rPr>
                <w:rFonts w:hint="default" w:cs="Calibri"/>
                <w:b/>
                <w:bCs/>
                <w:color w:val="auto"/>
                <w:szCs w:val="21"/>
                <w:highlight w:val="none"/>
                <w:lang w:val="en-US" w:eastAsia="zh-CN"/>
              </w:rPr>
            </w:pPr>
            <w:r>
              <w:rPr>
                <w:rFonts w:hint="eastAsia" w:cs="Calibri"/>
                <w:b/>
                <w:bCs/>
                <w:color w:val="auto"/>
                <w:szCs w:val="21"/>
                <w:highlight w:val="none"/>
                <w:lang w:val="en-US" w:eastAsia="zh-CN"/>
              </w:rPr>
              <w:t xml:space="preserve">5</w:t>
            </w:r>
            <w:r/>
          </w:p>
        </w:tc>
        <w:tc>
          <w:tcPr>
            <w:tcW w:w="6809" w:type="dxa"/>
            <w:vAlign w:val="center"/>
            <w:vMerge w:val="continue"/>
            <w:textDirection w:val="lrTb"/>
            <w:noWrap w:val="false"/>
          </w:tcPr>
          <w:p>
            <w:pPr>
              <w:pStyle w:val="795"/>
              <w:jc w:val="both"/>
              <w:rPr>
                <w:color w:val="auto"/>
                <w:highlight w:val="none"/>
              </w:rPr>
            </w:pPr>
            <w:r>
              <w:rPr>
                <w:color w:val="auto"/>
                <w:highlight w:val="none"/>
              </w:rPr>
            </w:r>
            <w:r/>
          </w:p>
        </w:tc>
      </w:tr>
      <w:tr>
        <w:trPr>
          <w:jc w:val="center"/>
          <w:trHeight w:val="1134"/>
        </w:trPr>
        <w:tc>
          <w:tcPr>
            <w:tcW w:w="870" w:type="dxa"/>
            <w:vAlign w:val="center"/>
            <w:vMerge w:val="continue"/>
            <w:textDirection w:val="lrTb"/>
            <w:noWrap w:val="false"/>
          </w:tcPr>
          <w:p>
            <w:pPr>
              <w:pStyle w:val="795"/>
              <w:jc w:val="center"/>
              <w:rPr>
                <w:b/>
                <w:bCs/>
                <w:color w:val="auto"/>
                <w:highlight w:val="none"/>
              </w:rPr>
            </w:pPr>
            <w:r>
              <w:rPr>
                <w:b/>
                <w:bCs/>
                <w:color w:val="auto"/>
                <w:highlight w:val="none"/>
              </w:rPr>
            </w:r>
            <w:r/>
          </w:p>
        </w:tc>
        <w:tc>
          <w:tcPr>
            <w:tcW w:w="975" w:type="dxa"/>
            <w:vAlign w:val="center"/>
            <w:textDirection w:val="lrTb"/>
            <w:noWrap w:val="false"/>
          </w:tcPr>
          <w:p>
            <w:pPr>
              <w:pStyle w:val="795"/>
              <w:jc w:val="center"/>
              <w:rPr>
                <w:rFonts w:hint="default" w:eastAsia="宋体"/>
                <w:b/>
                <w:bCs/>
                <w:color w:val="auto"/>
                <w:highlight w:val="none"/>
                <w:lang w:val="en-US" w:eastAsia="zh-CN"/>
              </w:rPr>
            </w:pPr>
            <w:r>
              <w:rPr>
                <w:rFonts w:hint="eastAsia"/>
                <w:b/>
                <w:bCs/>
                <w:color w:val="auto"/>
                <w:highlight w:val="none"/>
                <w:lang w:val="en-US" w:eastAsia="zh-CN"/>
              </w:rPr>
              <w:t xml:space="preserve">门岗</w:t>
            </w:r>
            <w:r/>
          </w:p>
        </w:tc>
        <w:tc>
          <w:tcPr>
            <w:tcW w:w="780" w:type="dxa"/>
            <w:vAlign w:val="center"/>
            <w:textDirection w:val="lrTb"/>
            <w:noWrap w:val="false"/>
          </w:tcPr>
          <w:p>
            <w:pPr>
              <w:jc w:val="center"/>
              <w:rPr>
                <w:rFonts w:hint="default" w:eastAsia="宋体" w:cs="Calibri"/>
                <w:b/>
                <w:bCs/>
                <w:color w:val="auto"/>
                <w:szCs w:val="21"/>
                <w:highlight w:val="none"/>
                <w:lang w:val="en-US" w:eastAsia="zh-CN"/>
              </w:rPr>
            </w:pPr>
            <w:r>
              <w:rPr>
                <w:rFonts w:hint="eastAsia" w:cs="Calibri"/>
                <w:b/>
                <w:bCs/>
                <w:color w:val="auto"/>
                <w:szCs w:val="21"/>
                <w:highlight w:val="none"/>
                <w:lang w:val="en-US" w:eastAsia="zh-CN"/>
              </w:rPr>
              <w:t xml:space="preserve">12</w:t>
            </w:r>
            <w:r/>
          </w:p>
        </w:tc>
        <w:tc>
          <w:tcPr>
            <w:tcW w:w="6809" w:type="dxa"/>
            <w:vAlign w:val="center"/>
            <w:vMerge w:val="continue"/>
            <w:textDirection w:val="lrTb"/>
            <w:noWrap w:val="false"/>
          </w:tcPr>
          <w:p>
            <w:pPr>
              <w:pStyle w:val="795"/>
              <w:jc w:val="both"/>
              <w:rPr>
                <w:color w:val="auto"/>
                <w:highlight w:val="none"/>
              </w:rPr>
            </w:pPr>
            <w:r>
              <w:rPr>
                <w:color w:val="auto"/>
                <w:highlight w:val="none"/>
              </w:rPr>
            </w:r>
            <w:r/>
          </w:p>
        </w:tc>
      </w:tr>
      <w:tr>
        <w:trPr>
          <w:jc w:val="center"/>
          <w:trHeight w:val="346"/>
        </w:trPr>
        <w:tc>
          <w:tcPr>
            <w:tcW w:w="870" w:type="dxa"/>
            <w:vAlign w:val="center"/>
            <w:vMerge w:val="continue"/>
            <w:textDirection w:val="lrTb"/>
            <w:noWrap w:val="false"/>
          </w:tcPr>
          <w:p>
            <w:pPr>
              <w:jc w:val="center"/>
              <w:rPr>
                <w:color w:val="auto"/>
                <w:highlight w:val="none"/>
              </w:rPr>
            </w:pPr>
            <w:r>
              <w:rPr>
                <w:color w:val="auto"/>
                <w:highlight w:val="none"/>
              </w:rPr>
            </w:r>
            <w:r/>
          </w:p>
        </w:tc>
        <w:tc>
          <w:tcPr>
            <w:tcW w:w="975" w:type="dxa"/>
            <w:vAlign w:val="center"/>
            <w:textDirection w:val="lrTb"/>
            <w:noWrap w:val="false"/>
          </w:tcPr>
          <w:p>
            <w:pPr>
              <w:jc w:val="center"/>
              <w:rPr>
                <w:rFonts w:hint="eastAsia"/>
                <w:b/>
                <w:bCs/>
                <w:color w:val="auto"/>
                <w:highlight w:val="none"/>
              </w:rPr>
            </w:pPr>
            <w:r>
              <w:rPr>
                <w:rFonts w:hint="eastAsia"/>
                <w:b/>
                <w:bCs/>
                <w:color w:val="auto"/>
                <w:highlight w:val="none"/>
                <w:lang w:val="en-US" w:eastAsia="zh-CN"/>
              </w:rPr>
              <w:t xml:space="preserve">消、监控人员</w:t>
            </w:r>
            <w:r/>
          </w:p>
        </w:tc>
        <w:tc>
          <w:tcPr>
            <w:tcW w:w="780" w:type="dxa"/>
            <w:vAlign w:val="center"/>
            <w:textDirection w:val="lrTb"/>
            <w:noWrap w:val="false"/>
          </w:tcPr>
          <w:p>
            <w:pPr>
              <w:jc w:val="center"/>
              <w:rPr>
                <w:rFonts w:hint="eastAsia" w:eastAsia="宋体"/>
                <w:b/>
                <w:bCs/>
                <w:color w:val="auto"/>
                <w:highlight w:val="none"/>
                <w:lang w:eastAsia="zh-CN"/>
              </w:rPr>
            </w:pPr>
            <w:r>
              <w:rPr>
                <w:rFonts w:hint="eastAsia"/>
                <w:b/>
                <w:bCs/>
                <w:color w:val="auto"/>
                <w:highlight w:val="none"/>
                <w:lang w:val="en-US" w:eastAsia="zh-CN"/>
              </w:rPr>
              <w:t xml:space="preserve">3</w:t>
            </w:r>
            <w:r/>
          </w:p>
        </w:tc>
        <w:tc>
          <w:tcPr>
            <w:tcW w:w="6809" w:type="dxa"/>
            <w:vAlign w:val="center"/>
            <w:vMerge w:val="continue"/>
            <w:textDirection w:val="lrTb"/>
            <w:noWrap w:val="false"/>
          </w:tcPr>
          <w:p>
            <w:pPr>
              <w:jc w:val="center"/>
              <w:rPr>
                <w:rFonts w:hint="eastAsia"/>
                <w:b/>
                <w:bCs/>
                <w:color w:val="auto"/>
                <w:highlight w:val="none"/>
              </w:rPr>
            </w:pPr>
            <w:r>
              <w:rPr>
                <w:rFonts w:hint="eastAsia"/>
                <w:b/>
                <w:bCs/>
                <w:color w:val="auto"/>
                <w:highlight w:val="none"/>
              </w:rPr>
            </w:r>
            <w:r/>
          </w:p>
        </w:tc>
      </w:tr>
      <w:tr>
        <w:trPr>
          <w:jc w:val="center"/>
          <w:trHeight w:val="1362"/>
        </w:trPr>
        <w:tc>
          <w:tcPr>
            <w:tcW w:w="870" w:type="dxa"/>
            <w:vAlign w:val="center"/>
            <w:vMerge w:val="restart"/>
            <w:textDirection w:val="lrTb"/>
            <w:noWrap w:val="false"/>
          </w:tcPr>
          <w:p>
            <w:pPr>
              <w:pStyle w:val="795"/>
              <w:jc w:val="center"/>
              <w:rPr>
                <w:rFonts w:eastAsia="宋体"/>
                <w:b/>
                <w:bCs/>
                <w:color w:val="auto"/>
                <w:highlight w:val="none"/>
                <w:lang w:val="en-US" w:eastAsia="zh-CN"/>
              </w:rPr>
            </w:pPr>
            <w:r>
              <w:rPr>
                <w:rFonts w:hint="eastAsia"/>
                <w:b/>
                <w:bCs/>
                <w:color w:val="auto"/>
                <w:highlight w:val="none"/>
                <w:lang w:val="en-US" w:eastAsia="zh-CN"/>
              </w:rPr>
              <w:t xml:space="preserve">保洁服务</w:t>
            </w:r>
            <w:r/>
          </w:p>
        </w:tc>
        <w:tc>
          <w:tcPr>
            <w:tcW w:w="975" w:type="dxa"/>
            <w:vAlign w:val="center"/>
            <w:textDirection w:val="lrTb"/>
            <w:noWrap w:val="false"/>
          </w:tcPr>
          <w:p>
            <w:pPr>
              <w:pStyle w:val="795"/>
              <w:jc w:val="center"/>
              <w:rPr>
                <w:b/>
                <w:bCs/>
                <w:color w:val="auto"/>
                <w:highlight w:val="none"/>
              </w:rPr>
            </w:pPr>
            <w:r>
              <w:rPr>
                <w:rFonts w:hint="eastAsia"/>
                <w:b/>
                <w:bCs/>
                <w:color w:val="auto"/>
                <w:highlight w:val="none"/>
              </w:rPr>
              <w:t xml:space="preserve">保洁班长</w:t>
            </w:r>
            <w:r/>
          </w:p>
        </w:tc>
        <w:tc>
          <w:tcPr>
            <w:tcW w:w="780" w:type="dxa"/>
            <w:vAlign w:val="center"/>
            <w:textDirection w:val="lrTb"/>
            <w:noWrap w:val="false"/>
          </w:tcPr>
          <w:p>
            <w:pPr>
              <w:jc w:val="center"/>
              <w:rPr>
                <w:rFonts w:hint="eastAsia" w:ascii="Calibri" w:hAnsi="Calibri" w:eastAsia="宋体" w:cs="Calibri"/>
                <w:b/>
                <w:bCs/>
                <w:color w:val="auto"/>
                <w:szCs w:val="21"/>
                <w:highlight w:val="none"/>
                <w:lang w:val="en-US" w:eastAsia="zh-CN"/>
              </w:rPr>
            </w:pPr>
            <w:r>
              <w:rPr>
                <w:rFonts w:hint="eastAsia" w:cs="Calibri"/>
                <w:b/>
                <w:bCs/>
                <w:color w:val="auto"/>
                <w:szCs w:val="21"/>
                <w:highlight w:val="none"/>
                <w:lang w:val="en-US" w:eastAsia="zh-CN"/>
              </w:rPr>
              <w:t xml:space="preserve">1</w:t>
            </w:r>
            <w:r/>
          </w:p>
        </w:tc>
        <w:tc>
          <w:tcPr>
            <w:tcW w:w="6809" w:type="dxa"/>
            <w:vAlign w:val="center"/>
            <w:vMerge w:val="restart"/>
            <w:textDirection w:val="lrTb"/>
            <w:noWrap w:val="false"/>
          </w:tcPr>
          <w:p>
            <w:pPr>
              <w:pStyle w:val="795"/>
              <w:numPr>
                <w:ilvl w:val="0"/>
                <w:numId w:val="8"/>
              </w:numPr>
              <w:jc w:val="both"/>
              <w:rPr>
                <w:rFonts w:hint="eastAsia"/>
                <w:b/>
                <w:bCs/>
                <w:color w:val="auto"/>
                <w:highlight w:val="none"/>
                <w:lang w:eastAsia="zh-CN"/>
              </w:rPr>
            </w:pPr>
            <w:r>
              <w:rPr>
                <w:rFonts w:hint="eastAsia"/>
                <w:b/>
                <w:bCs/>
                <w:color w:val="auto"/>
                <w:highlight w:val="none"/>
                <w:lang w:val="en-US" w:eastAsia="zh-CN"/>
              </w:rPr>
              <w:t xml:space="preserve">基本要求：</w:t>
            </w:r>
            <w:r>
              <w:rPr>
                <w:rFonts w:hint="eastAsia"/>
                <w:b/>
                <w:bCs/>
                <w:color w:val="auto"/>
                <w:highlight w:val="none"/>
              </w:rPr>
              <w:t xml:space="preserve">男女不限</w:t>
            </w:r>
            <w:r>
              <w:rPr>
                <w:rFonts w:hint="eastAsia"/>
                <w:b/>
                <w:bCs/>
                <w:color w:val="auto"/>
                <w:highlight w:val="none"/>
                <w:lang w:eastAsia="zh-CN"/>
              </w:rPr>
              <w:t xml:space="preserve">，</w:t>
            </w:r>
            <w:r>
              <w:rPr>
                <w:rFonts w:hint="eastAsia"/>
                <w:b/>
                <w:bCs/>
                <w:color w:val="auto"/>
                <w:highlight w:val="none"/>
                <w:lang w:val="en-US" w:eastAsia="zh-CN"/>
              </w:rPr>
              <w:t xml:space="preserve">男性年龄要求25-65</w:t>
            </w:r>
            <w:r>
              <w:rPr>
                <w:rFonts w:hint="eastAsia"/>
                <w:b/>
                <w:bCs/>
                <w:color w:val="auto"/>
                <w:highlight w:val="none"/>
                <w:lang w:eastAsia="zh-CN"/>
              </w:rPr>
              <w:t xml:space="preserve">周岁</w:t>
            </w:r>
            <w:r>
              <w:rPr>
                <w:rFonts w:hint="eastAsia"/>
                <w:b/>
                <w:bCs/>
                <w:color w:val="auto"/>
                <w:highlight w:val="none"/>
                <w:lang w:val="en-US" w:eastAsia="zh-CN"/>
              </w:rPr>
              <w:t xml:space="preserve">，女性年龄要求25-60</w:t>
            </w:r>
            <w:r>
              <w:rPr>
                <w:rFonts w:hint="eastAsia"/>
                <w:b/>
                <w:bCs/>
                <w:color w:val="auto"/>
                <w:highlight w:val="none"/>
                <w:lang w:eastAsia="zh-CN"/>
              </w:rPr>
              <w:t xml:space="preserve">周岁。</w:t>
            </w:r>
            <w:r/>
          </w:p>
          <w:p>
            <w:pPr>
              <w:pStyle w:val="795"/>
              <w:numPr>
                <w:ilvl w:val="0"/>
                <w:numId w:val="0"/>
              </w:numPr>
              <w:jc w:val="both"/>
              <w:rPr>
                <w:rFonts w:hint="eastAsia"/>
                <w:b/>
                <w:bCs/>
                <w:color w:val="auto"/>
                <w:highlight w:val="none"/>
                <w:lang w:eastAsia="zh-CN"/>
              </w:rPr>
            </w:pPr>
            <w:r>
              <w:rPr>
                <w:rFonts w:hint="eastAsia"/>
                <w:b/>
                <w:bCs/>
                <w:color w:val="auto"/>
                <w:highlight w:val="none"/>
                <w:lang w:val="en-US" w:eastAsia="zh-CN"/>
              </w:rPr>
              <w:t xml:space="preserve">2、</w:t>
            </w:r>
            <w:r>
              <w:rPr>
                <w:rFonts w:hint="eastAsia"/>
                <w:b/>
                <w:bCs/>
                <w:color w:val="auto"/>
                <w:highlight w:val="none"/>
                <w:lang w:eastAsia="zh-CN"/>
              </w:rPr>
              <w:t xml:space="preserve">岗位职责：</w:t>
            </w:r>
            <w:r/>
          </w:p>
          <w:p>
            <w:pPr>
              <w:pStyle w:val="795"/>
              <w:jc w:val="both"/>
              <w:rPr>
                <w:rFonts w:hint="eastAsia"/>
                <w:color w:val="auto"/>
                <w:highlight w:val="none"/>
                <w:lang w:eastAsia="zh-CN"/>
              </w:rPr>
            </w:pPr>
            <w:r>
              <w:rPr>
                <w:rFonts w:hint="eastAsia"/>
                <w:color w:val="auto"/>
                <w:highlight w:val="none"/>
                <w:lang w:eastAsia="zh-CN"/>
              </w:rPr>
              <w:t xml:space="preserve">负责物业管理范围内公共部位和公共设施的保洁；负责物业管理范围内装饰材料的定期专业养护；负责物业管理范围内垃圾的收集，</w:t>
            </w:r>
            <w:r>
              <w:rPr>
                <w:rFonts w:hint="eastAsia"/>
                <w:color w:val="auto"/>
                <w:highlight w:val="none"/>
                <w:lang w:val="en-US" w:eastAsia="zh-CN"/>
              </w:rPr>
              <w:t xml:space="preserve">协助社区做好垃圾分类</w:t>
            </w:r>
            <w:r>
              <w:rPr>
                <w:rFonts w:hint="eastAsia"/>
                <w:color w:val="auto"/>
                <w:highlight w:val="none"/>
                <w:lang w:eastAsia="zh-CN"/>
              </w:rPr>
              <w:t xml:space="preserve">；负责洗手间的保洁和物品的更换；负责洗手间内装饰材料的专业养护；负责物业管理范围内每日的环境消毒、病虫害防治。</w:t>
            </w:r>
            <w:r/>
          </w:p>
          <w:p>
            <w:pPr>
              <w:pStyle w:val="795"/>
              <w:jc w:val="both"/>
              <w:rPr>
                <w:rFonts w:hint="eastAsia"/>
                <w:b/>
                <w:bCs/>
                <w:color w:val="auto"/>
                <w:highlight w:val="none"/>
                <w:lang w:eastAsia="zh-CN"/>
              </w:rPr>
            </w:pPr>
            <w:r>
              <w:rPr>
                <w:rFonts w:hint="eastAsia"/>
                <w:b/>
                <w:bCs/>
                <w:color w:val="auto"/>
                <w:highlight w:val="none"/>
                <w:lang w:val="en-US" w:eastAsia="zh-CN"/>
              </w:rPr>
              <w:t xml:space="preserve">3、</w:t>
            </w:r>
            <w:r>
              <w:rPr>
                <w:rFonts w:hint="eastAsia"/>
                <w:b/>
                <w:bCs/>
                <w:color w:val="auto"/>
                <w:highlight w:val="none"/>
                <w:lang w:eastAsia="zh-CN"/>
              </w:rPr>
              <w:t xml:space="preserve">岗位要求：</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）着装仪表：上岗时按规定的方式和位置佩戴工作牌，制服穿着统一整齐，工作鞋要洗刷干净；</w:t>
            </w:r>
            <w:r/>
          </w:p>
          <w:p>
            <w:pPr>
              <w:pStyle w:val="795"/>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）保洁工作时间安排，尽量做到不影响安置房小区工作人员工作；</w:t>
            </w:r>
            <w:r/>
          </w:p>
          <w:p>
            <w:pPr>
              <w:pStyle w:val="795"/>
              <w:jc w:val="both"/>
              <w:rPr>
                <w:color w:val="auto"/>
                <w:highlight w:val="none"/>
                <w:lang w:val="en-US"/>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）重点区域重点对待。</w:t>
            </w:r>
            <w:r/>
          </w:p>
        </w:tc>
      </w:tr>
      <w:tr>
        <w:trPr>
          <w:jc w:val="center"/>
          <w:trHeight w:val="1829"/>
        </w:trPr>
        <w:tc>
          <w:tcPr>
            <w:tcW w:w="870" w:type="dxa"/>
            <w:vAlign w:val="center"/>
            <w:vMerge w:val="continue"/>
            <w:textDirection w:val="lrTb"/>
            <w:noWrap w:val="false"/>
          </w:tcPr>
          <w:p>
            <w:pPr>
              <w:pStyle w:val="795"/>
              <w:jc w:val="center"/>
              <w:rPr>
                <w:b/>
                <w:bCs/>
                <w:color w:val="auto"/>
                <w:highlight w:val="none"/>
              </w:rPr>
            </w:pPr>
            <w:r>
              <w:rPr>
                <w:b/>
                <w:bCs/>
                <w:color w:val="auto"/>
                <w:highlight w:val="none"/>
              </w:rPr>
            </w:r>
            <w:r/>
          </w:p>
        </w:tc>
        <w:tc>
          <w:tcPr>
            <w:tcW w:w="975" w:type="dxa"/>
            <w:vAlign w:val="center"/>
            <w:textDirection w:val="lrTb"/>
            <w:noWrap w:val="false"/>
          </w:tcPr>
          <w:p>
            <w:pPr>
              <w:pStyle w:val="795"/>
              <w:jc w:val="center"/>
              <w:rPr>
                <w:rFonts w:hint="eastAsia" w:eastAsia="宋体"/>
                <w:b/>
                <w:bCs/>
                <w:color w:val="auto"/>
                <w:highlight w:val="none"/>
                <w:lang w:val="en-US" w:eastAsia="zh-CN"/>
              </w:rPr>
            </w:pPr>
            <w:r>
              <w:rPr>
                <w:rFonts w:hint="eastAsia" w:eastAsia="宋体"/>
                <w:b/>
                <w:bCs/>
                <w:color w:val="auto"/>
                <w:highlight w:val="none"/>
                <w:lang w:val="en-US" w:eastAsia="zh-CN"/>
              </w:rPr>
              <w:t xml:space="preserve">保洁员</w:t>
            </w:r>
            <w:r/>
          </w:p>
        </w:tc>
        <w:tc>
          <w:tcPr>
            <w:tcW w:w="780" w:type="dxa"/>
            <w:vAlign w:val="center"/>
            <w:textDirection w:val="lrTb"/>
            <w:noWrap w:val="false"/>
          </w:tcPr>
          <w:p>
            <w:pPr>
              <w:jc w:val="center"/>
              <w:rPr>
                <w:rFonts w:hint="default" w:cs="Calibri"/>
                <w:b/>
                <w:bCs/>
                <w:color w:val="auto"/>
                <w:szCs w:val="21"/>
                <w:highlight w:val="none"/>
                <w:lang w:val="en-US" w:eastAsia="zh-CN"/>
              </w:rPr>
            </w:pPr>
            <w:r>
              <w:rPr>
                <w:rFonts w:hint="eastAsia" w:cs="Calibri"/>
                <w:b/>
                <w:bCs/>
                <w:color w:val="auto"/>
                <w:szCs w:val="21"/>
                <w:highlight w:val="none"/>
                <w:lang w:val="en-US" w:eastAsia="zh-CN"/>
              </w:rPr>
              <w:t xml:space="preserve">15</w:t>
            </w:r>
            <w:r/>
          </w:p>
        </w:tc>
        <w:tc>
          <w:tcPr>
            <w:tcW w:w="6809" w:type="dxa"/>
            <w:vAlign w:val="center"/>
            <w:vMerge w:val="continue"/>
            <w:textDirection w:val="lrTb"/>
            <w:noWrap w:val="false"/>
          </w:tcPr>
          <w:p>
            <w:pPr>
              <w:pStyle w:val="795"/>
              <w:jc w:val="both"/>
              <w:rPr>
                <w:color w:val="auto"/>
                <w:highlight w:val="none"/>
              </w:rPr>
            </w:pPr>
            <w:r>
              <w:rPr>
                <w:color w:val="auto"/>
                <w:highlight w:val="none"/>
              </w:rPr>
            </w:r>
            <w:r/>
          </w:p>
        </w:tc>
      </w:tr>
      <w:tr>
        <w:trPr>
          <w:jc w:val="center"/>
          <w:trHeight w:val="90"/>
        </w:trPr>
        <w:tc>
          <w:tcPr>
            <w:tcW w:w="870" w:type="dxa"/>
            <w:vAlign w:val="center"/>
            <w:textDirection w:val="lrTb"/>
            <w:noWrap w:val="false"/>
          </w:tcPr>
          <w:p>
            <w:pPr>
              <w:pStyle w:val="795"/>
              <w:jc w:val="center"/>
              <w:rPr>
                <w:rFonts w:eastAsia="宋体"/>
                <w:b/>
                <w:bCs/>
                <w:color w:val="auto"/>
                <w:highlight w:val="none"/>
                <w:lang w:val="en-US" w:eastAsia="zh-CN"/>
              </w:rPr>
            </w:pPr>
            <w:r>
              <w:rPr>
                <w:rFonts w:hint="eastAsia"/>
                <w:b/>
                <w:bCs/>
                <w:color w:val="auto"/>
                <w:highlight w:val="none"/>
                <w:lang w:val="en-US" w:eastAsia="zh-CN"/>
              </w:rPr>
              <w:t xml:space="preserve">绿化养护服务</w:t>
            </w:r>
            <w:r/>
          </w:p>
        </w:tc>
        <w:tc>
          <w:tcPr>
            <w:tcW w:w="975" w:type="dxa"/>
            <w:vAlign w:val="center"/>
            <w:textDirection w:val="lrTb"/>
            <w:noWrap w:val="false"/>
          </w:tcPr>
          <w:p>
            <w:pPr>
              <w:pStyle w:val="795"/>
              <w:jc w:val="center"/>
              <w:rPr>
                <w:rFonts w:eastAsia="宋体"/>
                <w:b/>
                <w:bCs/>
                <w:color w:val="auto"/>
                <w:highlight w:val="none"/>
                <w:lang w:val="en-US" w:eastAsia="zh-CN"/>
              </w:rPr>
            </w:pPr>
            <w:r>
              <w:rPr>
                <w:rFonts w:hint="eastAsia"/>
                <w:b/>
                <w:bCs/>
                <w:color w:val="auto"/>
                <w:highlight w:val="none"/>
                <w:lang w:val="en-US" w:eastAsia="zh-CN"/>
              </w:rPr>
              <w:t xml:space="preserve">绿化人员</w:t>
            </w:r>
            <w:r/>
          </w:p>
        </w:tc>
        <w:tc>
          <w:tcPr>
            <w:tcW w:w="780" w:type="dxa"/>
            <w:vAlign w:val="center"/>
            <w:textDirection w:val="lrTb"/>
            <w:noWrap w:val="false"/>
          </w:tcPr>
          <w:p>
            <w:pPr>
              <w:jc w:val="center"/>
              <w:rPr>
                <w:rFonts w:hint="eastAsia" w:ascii="Calibri" w:hAnsi="Calibri" w:eastAsia="宋体" w:cs="Calibri"/>
                <w:b/>
                <w:bCs/>
                <w:color w:val="auto"/>
                <w:szCs w:val="21"/>
                <w:highlight w:val="none"/>
                <w:lang w:val="en-US" w:eastAsia="zh-CN"/>
              </w:rPr>
            </w:pPr>
            <w:r>
              <w:rPr>
                <w:rFonts w:hint="eastAsia" w:cs="Calibri"/>
                <w:b/>
                <w:bCs/>
                <w:color w:val="auto"/>
                <w:szCs w:val="21"/>
                <w:highlight w:val="none"/>
                <w:lang w:val="en-US" w:eastAsia="zh-CN"/>
              </w:rPr>
              <w:t xml:space="preserve">3</w:t>
            </w:r>
            <w:r/>
          </w:p>
        </w:tc>
        <w:tc>
          <w:tcPr>
            <w:tcW w:w="6809" w:type="dxa"/>
            <w:vAlign w:val="center"/>
            <w:textDirection w:val="lrTb"/>
            <w:noWrap w:val="false"/>
          </w:tcPr>
          <w:p>
            <w:pPr>
              <w:pStyle w:val="795"/>
              <w:jc w:val="both"/>
              <w:rPr>
                <w:rFonts w:hint="eastAsia"/>
                <w:b/>
                <w:bCs/>
                <w:color w:val="auto"/>
                <w:highlight w:val="none"/>
                <w:lang w:eastAsia="zh-CN"/>
              </w:rPr>
            </w:pPr>
            <w:r>
              <w:rPr>
                <w:rFonts w:hint="eastAsia"/>
                <w:b/>
                <w:bCs/>
                <w:color w:val="auto"/>
                <w:highlight w:val="none"/>
                <w:lang w:val="en-US" w:eastAsia="zh-CN"/>
              </w:rPr>
              <w:t xml:space="preserve">1、基本要求：</w:t>
            </w:r>
            <w:r>
              <w:rPr>
                <w:rFonts w:hint="eastAsia"/>
                <w:b/>
                <w:bCs/>
                <w:color w:val="auto"/>
                <w:highlight w:val="none"/>
              </w:rPr>
              <w:t xml:space="preserve">男女不限</w:t>
            </w:r>
            <w:r>
              <w:rPr>
                <w:rFonts w:hint="eastAsia"/>
                <w:b/>
                <w:bCs/>
                <w:color w:val="auto"/>
                <w:highlight w:val="none"/>
                <w:lang w:eastAsia="zh-CN"/>
              </w:rPr>
              <w:t xml:space="preserve">，</w:t>
            </w:r>
            <w:r>
              <w:rPr>
                <w:rFonts w:hint="eastAsia"/>
                <w:b/>
                <w:bCs/>
                <w:color w:val="auto"/>
                <w:highlight w:val="none"/>
                <w:lang w:val="en-US" w:eastAsia="zh-CN"/>
              </w:rPr>
              <w:t xml:space="preserve">年龄要求25-60</w:t>
            </w:r>
            <w:r>
              <w:rPr>
                <w:rFonts w:hint="eastAsia"/>
                <w:b/>
                <w:bCs/>
                <w:color w:val="auto"/>
                <w:highlight w:val="none"/>
                <w:lang w:eastAsia="zh-CN"/>
              </w:rPr>
              <w:t xml:space="preserve">周岁</w:t>
            </w:r>
            <w:r/>
          </w:p>
          <w:p>
            <w:pPr>
              <w:pStyle w:val="795"/>
              <w:jc w:val="both"/>
              <w:rPr>
                <w:rFonts w:hint="eastAsia"/>
                <w:b/>
                <w:bCs/>
                <w:color w:val="auto"/>
                <w:highlight w:val="none"/>
                <w:lang w:val="en-US" w:eastAsia="zh-CN"/>
              </w:rPr>
            </w:pPr>
            <w:r>
              <w:rPr>
                <w:rFonts w:hint="eastAsia"/>
                <w:b/>
                <w:bCs/>
                <w:color w:val="auto"/>
                <w:highlight w:val="none"/>
                <w:lang w:val="en-US" w:eastAsia="zh-CN"/>
              </w:rPr>
              <w:t xml:space="preserve">2、岗位职责与要求：</w:t>
            </w:r>
            <w:r/>
          </w:p>
          <w:p>
            <w:pPr>
              <w:pStyle w:val="795"/>
              <w:jc w:val="both"/>
              <w:rPr>
                <w:rFonts w:hint="eastAsia"/>
                <w:b w:val="0"/>
                <w:bCs w:val="0"/>
                <w:color w:val="auto"/>
                <w:highlight w:val="none"/>
                <w:lang w:val="en-US" w:eastAsia="zh-CN"/>
              </w:rPr>
            </w:pPr>
            <w:r>
              <w:rPr>
                <w:rFonts w:hint="eastAsia"/>
                <w:b w:val="0"/>
                <w:bCs w:val="0"/>
                <w:color w:val="auto"/>
                <w:highlight w:val="none"/>
                <w:lang w:val="en-US" w:eastAsia="zh-CN"/>
              </w:rPr>
              <w:t xml:space="preserve">（1）负责物业内部的绿化区域的管理和维护，包括植物的繁育、养护、病虫害防治，以及园林设施的维护和改造。具体工作包括修剪、浇水、施肥、病虫害防治等操作，确保绿化区域的整洁和美观。</w:t>
            </w:r>
            <w:r/>
          </w:p>
          <w:p>
            <w:pPr>
              <w:pStyle w:val="795"/>
              <w:jc w:val="both"/>
              <w:rPr>
                <w:rFonts w:hint="eastAsia"/>
                <w:b w:val="0"/>
                <w:bCs w:val="0"/>
                <w:color w:val="auto"/>
                <w:highlight w:val="none"/>
                <w:lang w:val="en-US" w:eastAsia="zh-CN"/>
              </w:rPr>
            </w:pPr>
            <w:r>
              <w:rPr>
                <w:rFonts w:hint="eastAsia"/>
                <w:b w:val="0"/>
                <w:bCs w:val="0"/>
                <w:color w:val="auto"/>
                <w:highlight w:val="none"/>
                <w:lang w:val="en-US" w:eastAsia="zh-CN"/>
              </w:rPr>
              <w:t xml:space="preserve">（2）定期对植物进行修剪、除杂草、浇水、施肥、病虫害防治等工作。</w:t>
            </w:r>
            <w:r/>
          </w:p>
          <w:p>
            <w:pPr>
              <w:pStyle w:val="795"/>
              <w:jc w:val="both"/>
              <w:rPr>
                <w:rFonts w:hint="eastAsia"/>
                <w:b w:val="0"/>
                <w:bCs w:val="0"/>
                <w:color w:val="auto"/>
                <w:highlight w:val="none"/>
                <w:lang w:val="en-US" w:eastAsia="zh-CN"/>
              </w:rPr>
            </w:pPr>
            <w:r>
              <w:rPr>
                <w:rFonts w:hint="eastAsia"/>
                <w:b w:val="0"/>
                <w:bCs w:val="0"/>
                <w:color w:val="auto"/>
                <w:highlight w:val="none"/>
                <w:lang w:val="en-US" w:eastAsia="zh-CN"/>
              </w:rPr>
              <w:t xml:space="preserve">（3）负责维护和修理绿化区域内的草坪、花坛、喷泉、灯光等园林设施设备，确保其正常运行‌。</w:t>
            </w:r>
            <w:r/>
          </w:p>
          <w:p>
            <w:pPr>
              <w:pStyle w:val="795"/>
              <w:jc w:val="both"/>
              <w:rPr>
                <w:rFonts w:hint="eastAsia"/>
                <w:b w:val="0"/>
                <w:bCs w:val="0"/>
                <w:color w:val="auto"/>
                <w:highlight w:val="none"/>
                <w:lang w:val="en-US" w:eastAsia="zh-CN"/>
              </w:rPr>
            </w:pPr>
            <w:r>
              <w:rPr>
                <w:rFonts w:hint="eastAsia"/>
                <w:b w:val="0"/>
                <w:bCs w:val="0"/>
                <w:color w:val="auto"/>
                <w:highlight w:val="none"/>
                <w:lang w:val="en-US" w:eastAsia="zh-CN"/>
              </w:rPr>
              <w:t xml:space="preserve">（4）负责绿化工具和材料的发放、保管，合理控制消耗，确保工具和材料的合理使用‌。</w:t>
            </w:r>
            <w:r/>
          </w:p>
          <w:p>
            <w:pPr>
              <w:pStyle w:val="795"/>
              <w:jc w:val="both"/>
              <w:rPr>
                <w:rFonts w:hint="eastAsia"/>
                <w:b w:val="0"/>
                <w:bCs w:val="0"/>
                <w:color w:val="auto"/>
                <w:highlight w:val="none"/>
                <w:lang w:val="en-US" w:eastAsia="zh-CN"/>
              </w:rPr>
            </w:pPr>
            <w:r>
              <w:rPr>
                <w:rFonts w:hint="eastAsia"/>
                <w:b w:val="0"/>
                <w:bCs w:val="0"/>
                <w:color w:val="auto"/>
                <w:highlight w:val="none"/>
                <w:lang w:val="en-US" w:eastAsia="zh-CN"/>
              </w:rPr>
              <w:t xml:space="preserve">（5）在大风大雨时期，做好劳力组织、物资材料准备等工作，及时发现并处理树木倒伏、树枝折断等险情‌。</w:t>
            </w:r>
            <w:r/>
          </w:p>
          <w:p>
            <w:pPr>
              <w:pStyle w:val="795"/>
              <w:jc w:val="both"/>
              <w:rPr>
                <w:b w:val="0"/>
                <w:bCs w:val="0"/>
                <w:color w:val="auto"/>
                <w:highlight w:val="none"/>
                <w:lang w:val="en-US"/>
              </w:rPr>
            </w:pPr>
            <w:r>
              <w:rPr>
                <w:rFonts w:hint="eastAsia"/>
                <w:b w:val="0"/>
                <w:bCs w:val="0"/>
                <w:color w:val="auto"/>
                <w:highlight w:val="none"/>
                <w:lang w:val="en-US" w:eastAsia="zh-CN"/>
              </w:rPr>
              <w:t xml:space="preserve">（6）执行上级所指派的其他工作。‌</w:t>
            </w:r>
            <w:r/>
          </w:p>
        </w:tc>
      </w:tr>
      <w:tr>
        <w:trPr>
          <w:jc w:val="center"/>
          <w:trHeight w:val="907"/>
        </w:trPr>
        <w:tc>
          <w:tcPr>
            <w:tcW w:w="870" w:type="dxa"/>
            <w:vAlign w:val="center"/>
            <w:textDirection w:val="lrTb"/>
            <w:noWrap w:val="false"/>
          </w:tcPr>
          <w:p>
            <w:pPr>
              <w:pStyle w:val="795"/>
              <w:jc w:val="center"/>
              <w:rPr>
                <w:rFonts w:eastAsia="宋体"/>
                <w:b/>
                <w:bCs/>
                <w:color w:val="auto"/>
                <w:spacing w:val="-1"/>
                <w:highlight w:val="none"/>
                <w:lang w:val="en-US" w:eastAsia="zh-CN"/>
              </w:rPr>
            </w:pPr>
            <w:r>
              <w:rPr>
                <w:rFonts w:hint="eastAsia"/>
                <w:b/>
                <w:bCs/>
                <w:color w:val="auto"/>
                <w:spacing w:val="-1"/>
                <w:highlight w:val="none"/>
                <w:lang w:val="en-US" w:eastAsia="zh-CN"/>
              </w:rPr>
              <w:t xml:space="preserve">工程（水电）</w:t>
            </w:r>
            <w:r/>
          </w:p>
        </w:tc>
        <w:tc>
          <w:tcPr>
            <w:tcW w:w="975" w:type="dxa"/>
            <w:vAlign w:val="center"/>
            <w:textDirection w:val="lrTb"/>
            <w:noWrap w:val="false"/>
          </w:tcPr>
          <w:p>
            <w:pPr>
              <w:jc w:val="center"/>
              <w:rPr>
                <w:rFonts w:hint="eastAsia" w:eastAsia="宋体"/>
                <w:b/>
                <w:bCs/>
                <w:color w:val="auto"/>
                <w:spacing w:val="-2"/>
                <w:highlight w:val="none"/>
                <w:lang w:eastAsia="zh-CN"/>
              </w:rPr>
            </w:pPr>
            <w:r>
              <w:rPr>
                <w:rFonts w:hint="eastAsia" w:eastAsia="宋体"/>
                <w:b/>
                <w:bCs/>
                <w:color w:val="auto"/>
                <w:spacing w:val="-2"/>
                <w:highlight w:val="none"/>
                <w:lang w:eastAsia="zh-CN"/>
              </w:rPr>
              <w:t xml:space="preserve">工程</w:t>
            </w:r>
            <w:r>
              <w:rPr>
                <w:rFonts w:hint="eastAsia"/>
                <w:b/>
                <w:bCs/>
                <w:color w:val="auto"/>
                <w:spacing w:val="-2"/>
                <w:highlight w:val="none"/>
                <w:lang w:val="en-US" w:eastAsia="zh-CN"/>
              </w:rPr>
              <w:t xml:space="preserve">人员</w:t>
            </w:r>
            <w:r/>
          </w:p>
        </w:tc>
        <w:tc>
          <w:tcPr>
            <w:tcW w:w="780" w:type="dxa"/>
            <w:vAlign w:val="center"/>
            <w:textDirection w:val="lrTb"/>
            <w:noWrap w:val="false"/>
          </w:tcPr>
          <w:p>
            <w:pPr>
              <w:jc w:val="center"/>
              <w:rPr>
                <w:rFonts w:hint="eastAsia" w:eastAsia="宋体"/>
                <w:b/>
                <w:bCs/>
                <w:color w:val="auto"/>
                <w:spacing w:val="-2"/>
                <w:highlight w:val="none"/>
                <w:lang w:eastAsia="zh-CN"/>
              </w:rPr>
            </w:pPr>
            <w:r>
              <w:rPr>
                <w:rFonts w:hint="eastAsia"/>
                <w:b/>
                <w:bCs/>
                <w:color w:val="auto"/>
                <w:spacing w:val="-2"/>
                <w:highlight w:val="none"/>
                <w:lang w:val="en-US" w:eastAsia="zh-CN"/>
              </w:rPr>
              <w:t xml:space="preserve">3</w:t>
            </w:r>
            <w:r/>
          </w:p>
        </w:tc>
        <w:tc>
          <w:tcPr>
            <w:tcW w:w="6809" w:type="dxa"/>
            <w:vAlign w:val="center"/>
            <w:textDirection w:val="lrTb"/>
            <w:noWrap w:val="false"/>
          </w:tcPr>
          <w:p>
            <w:pPr>
              <w:pStyle w:val="795"/>
              <w:jc w:val="both"/>
              <w:rPr>
                <w:rFonts w:hint="eastAsia"/>
                <w:color w:val="auto"/>
                <w:highlight w:val="none"/>
                <w:lang w:val="en-US" w:eastAsia="zh-CN"/>
              </w:rPr>
            </w:pPr>
            <w:r>
              <w:rPr>
                <w:rFonts w:hint="eastAsia"/>
                <w:b/>
                <w:bCs/>
                <w:color w:val="auto"/>
                <w:highlight w:val="none"/>
                <w:lang w:val="en-US" w:eastAsia="zh-CN"/>
              </w:rPr>
              <w:t xml:space="preserve">1、基本要求：含1名工程主管。</w:t>
            </w:r>
            <w:r>
              <w:rPr>
                <w:rFonts w:hint="eastAsia"/>
                <w:b/>
                <w:bCs/>
                <w:color w:val="auto"/>
                <w:highlight w:val="none"/>
              </w:rPr>
              <w:t xml:space="preserve">男女不限</w:t>
            </w:r>
            <w:r>
              <w:rPr>
                <w:rFonts w:hint="eastAsia"/>
                <w:b/>
                <w:bCs/>
                <w:color w:val="auto"/>
                <w:highlight w:val="none"/>
                <w:lang w:eastAsia="zh-CN"/>
              </w:rPr>
              <w:t xml:space="preserve">，</w:t>
            </w:r>
            <w:r>
              <w:rPr>
                <w:rFonts w:hint="eastAsia"/>
                <w:b/>
                <w:bCs/>
                <w:color w:val="auto"/>
                <w:highlight w:val="none"/>
                <w:lang w:val="en-US" w:eastAsia="zh-CN"/>
              </w:rPr>
              <w:t xml:space="preserve">年龄要求25-60</w:t>
            </w:r>
            <w:r>
              <w:rPr>
                <w:rFonts w:hint="eastAsia"/>
                <w:b/>
                <w:bCs/>
                <w:color w:val="auto"/>
                <w:highlight w:val="none"/>
                <w:lang w:eastAsia="zh-CN"/>
              </w:rPr>
              <w:t xml:space="preserve">周岁</w:t>
            </w:r>
            <w:r/>
          </w:p>
          <w:p>
            <w:pPr>
              <w:pStyle w:val="795"/>
              <w:jc w:val="both"/>
              <w:rPr>
                <w:rFonts w:hint="eastAsia"/>
                <w:b/>
                <w:bCs/>
                <w:color w:val="auto"/>
                <w:highlight w:val="none"/>
                <w:lang w:val="en-US" w:eastAsia="zh-CN"/>
              </w:rPr>
            </w:pPr>
            <w:r>
              <w:rPr>
                <w:rFonts w:hint="eastAsia"/>
                <w:b/>
                <w:bCs/>
                <w:color w:val="auto"/>
                <w:highlight w:val="none"/>
                <w:lang w:val="en-US" w:eastAsia="zh-CN"/>
              </w:rPr>
              <w:t xml:space="preserve">2、岗位职责与要求：</w:t>
            </w:r>
            <w:r/>
          </w:p>
          <w:p>
            <w:pPr>
              <w:pStyle w:val="795"/>
              <w:jc w:val="both"/>
              <w:rPr>
                <w:rFonts w:hint="eastAsia"/>
                <w:color w:val="auto"/>
                <w:highlight w:val="none"/>
                <w:lang w:val="en-US" w:eastAsia="zh-CN"/>
              </w:rPr>
            </w:pPr>
            <w:r>
              <w:rPr>
                <w:rFonts w:hint="eastAsia"/>
                <w:color w:val="auto"/>
                <w:highlight w:val="none"/>
                <w:lang w:val="en-US" w:eastAsia="zh-CN"/>
              </w:rPr>
              <w:t xml:space="preserve">（1）负责对设施及设备的接收工作，熟悉各项设备、设施。</w:t>
            </w:r>
            <w:r/>
          </w:p>
          <w:p>
            <w:pPr>
              <w:pStyle w:val="795"/>
              <w:jc w:val="both"/>
              <w:rPr>
                <w:rFonts w:hint="eastAsia"/>
                <w:color w:val="auto"/>
                <w:highlight w:val="none"/>
                <w:lang w:val="en-US" w:eastAsia="zh-CN"/>
              </w:rPr>
            </w:pPr>
            <w:r>
              <w:rPr>
                <w:rFonts w:hint="eastAsia"/>
                <w:color w:val="auto"/>
                <w:highlight w:val="none"/>
                <w:lang w:val="en-US" w:eastAsia="zh-CN"/>
              </w:rPr>
              <w:t xml:space="preserve">（2）负责工程部人员的选配和管理；负责工程部员工的专业技术培训工作，提高工程部人员的职业道德，专业技能和服务意识；</w:t>
            </w:r>
            <w:r/>
          </w:p>
          <w:p>
            <w:pPr>
              <w:pStyle w:val="795"/>
              <w:jc w:val="both"/>
              <w:rPr>
                <w:rFonts w:hint="eastAsia"/>
                <w:color w:val="auto"/>
                <w:highlight w:val="none"/>
                <w:lang w:val="en-US" w:eastAsia="zh-CN"/>
              </w:rPr>
            </w:pPr>
            <w:r>
              <w:rPr>
                <w:rFonts w:hint="eastAsia"/>
                <w:color w:val="auto"/>
                <w:highlight w:val="none"/>
                <w:lang w:val="en-US" w:eastAsia="zh-CN"/>
              </w:rPr>
              <w:t xml:space="preserve">（3）负责监督公用设施、设备的正常运行工作，并负责计划的审定；负责监督公用设施设备的维护保养、安全检查的计划的审定；</w:t>
            </w:r>
            <w:r/>
          </w:p>
          <w:p>
            <w:pPr>
              <w:pStyle w:val="795"/>
              <w:jc w:val="both"/>
              <w:rPr>
                <w:rFonts w:hint="eastAsia"/>
                <w:color w:val="auto"/>
                <w:highlight w:val="none"/>
                <w:lang w:val="en-US" w:eastAsia="zh-CN"/>
              </w:rPr>
            </w:pPr>
            <w:r>
              <w:rPr>
                <w:rFonts w:hint="eastAsia"/>
                <w:color w:val="auto"/>
                <w:highlight w:val="none"/>
                <w:lang w:val="en-US" w:eastAsia="zh-CN"/>
              </w:rPr>
              <w:t xml:space="preserve">（4）完善工程部的各项规章制度，并报上级批准实施；负责制定工程部的低值易耗品、物料、固定资产的每月采购计划，并报管理处审批，协同采购；</w:t>
            </w:r>
            <w:r/>
          </w:p>
          <w:p>
            <w:pPr>
              <w:pStyle w:val="795"/>
              <w:jc w:val="both"/>
              <w:rPr>
                <w:rFonts w:hint="eastAsia"/>
                <w:color w:val="auto"/>
                <w:highlight w:val="none"/>
                <w:lang w:val="en-US" w:eastAsia="zh-CN"/>
              </w:rPr>
            </w:pPr>
            <w:r>
              <w:rPr>
                <w:rFonts w:hint="eastAsia"/>
                <w:color w:val="auto"/>
                <w:highlight w:val="none"/>
                <w:lang w:val="en-US" w:eastAsia="zh-CN"/>
              </w:rPr>
              <w:t xml:space="preserve">（5）组织并参与设备的大检修，负责制定设备大检修计划并监督实施；定期召开工程部例会，布置、协调工程部内部各项事务；</w:t>
            </w:r>
            <w:r/>
          </w:p>
          <w:p>
            <w:pPr>
              <w:pStyle w:val="795"/>
              <w:jc w:val="both"/>
              <w:rPr>
                <w:color w:val="auto"/>
                <w:highlight w:val="none"/>
                <w:lang w:val="en-US"/>
              </w:rPr>
            </w:pPr>
            <w:r>
              <w:rPr>
                <w:rFonts w:hint="eastAsia"/>
                <w:color w:val="auto"/>
                <w:highlight w:val="none"/>
                <w:lang w:val="en-US" w:eastAsia="zh-CN"/>
              </w:rPr>
              <w:t xml:space="preserve">（6）负责外包服务合同的接洽，并报管理处审批；负责物业使用人对工程部工作的投诉处理，回访；负责工程部不合格服务的处理、纠正和预防措施的实施，跟踪检查等。</w:t>
            </w:r>
            <w:r/>
          </w:p>
        </w:tc>
      </w:tr>
      <w:tr>
        <w:trPr>
          <w:jc w:val="center"/>
          <w:trHeight w:val="527"/>
        </w:trPr>
        <w:tc>
          <w:tcPr>
            <w:gridSpan w:val="2"/>
            <w:tcW w:w="1845" w:type="dxa"/>
            <w:vAlign w:val="center"/>
            <w:textDirection w:val="lrTb"/>
            <w:noWrap w:val="false"/>
          </w:tcPr>
          <w:p>
            <w:pPr>
              <w:pStyle w:val="795"/>
              <w:jc w:val="center"/>
              <w:rPr>
                <w:rFonts w:hint="eastAsia" w:eastAsia="宋体"/>
                <w:b/>
                <w:bCs w:val="0"/>
                <w:color w:val="auto"/>
                <w:spacing w:val="-2"/>
                <w:highlight w:val="none"/>
                <w:lang w:eastAsia="zh-CN"/>
              </w:rPr>
            </w:pPr>
            <w:r>
              <w:rPr>
                <w:rFonts w:hint="eastAsia" w:eastAsia="宋体"/>
                <w:b/>
                <w:bCs w:val="0"/>
                <w:color w:val="auto"/>
                <w:spacing w:val="-2"/>
                <w:highlight w:val="none"/>
                <w:lang w:eastAsia="zh-CN"/>
              </w:rPr>
              <w:t xml:space="preserve">人员总数</w:t>
            </w:r>
            <w:r/>
          </w:p>
        </w:tc>
        <w:tc>
          <w:tcPr>
            <w:tcW w:w="780" w:type="dxa"/>
            <w:vAlign w:val="center"/>
            <w:textDirection w:val="lrTb"/>
            <w:noWrap w:val="false"/>
          </w:tcPr>
          <w:p>
            <w:pPr>
              <w:jc w:val="center"/>
              <w:rPr>
                <w:rFonts w:hint="default" w:ascii="Calibri" w:hAnsi="Calibri" w:eastAsia="宋体" w:cs="Calibri"/>
                <w:b/>
                <w:bCs w:val="0"/>
                <w:color w:val="auto"/>
                <w:szCs w:val="21"/>
                <w:highlight w:val="none"/>
                <w:lang w:val="en-US" w:eastAsia="zh-CN"/>
              </w:rPr>
            </w:pPr>
            <w:r>
              <w:rPr>
                <w:rFonts w:hint="eastAsia" w:cs="Calibri"/>
                <w:b/>
                <w:bCs w:val="0"/>
                <w:color w:val="auto"/>
                <w:szCs w:val="21"/>
                <w:highlight w:val="none"/>
                <w:lang w:val="en-US" w:eastAsia="zh-CN"/>
              </w:rPr>
              <w:t xml:space="preserve">48</w:t>
            </w:r>
            <w:r/>
          </w:p>
        </w:tc>
        <w:tc>
          <w:tcPr>
            <w:tcW w:w="6809" w:type="dxa"/>
            <w:vAlign w:val="center"/>
            <w:textDirection w:val="lrTb"/>
            <w:noWrap w:val="false"/>
          </w:tcPr>
          <w:p>
            <w:pPr>
              <w:pStyle w:val="795"/>
              <w:jc w:val="center"/>
              <w:rPr>
                <w:color w:val="auto"/>
                <w:highlight w:val="none"/>
              </w:rPr>
            </w:pPr>
            <w:r>
              <w:rPr>
                <w:color w:val="auto"/>
                <w:highlight w:val="none"/>
              </w:rPr>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备注：人员由中标人统一管理，依法签订劳动合同，工资</w:t>
      </w:r>
      <w:r>
        <w:rPr>
          <w:rFonts w:hint="eastAsia" w:ascii="宋体" w:hAnsi="宋体" w:eastAsia="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rPr>
        <w:t xml:space="preserve">社会保险费须按国家、省、市的相关规定发放</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缴纳，</w:t>
      </w:r>
      <w:r>
        <w:rPr>
          <w:rFonts w:hint="eastAsia" w:ascii="宋体" w:hAnsi="宋体" w:eastAsia="宋体" w:cs="宋体"/>
          <w:b/>
          <w:bCs/>
          <w:color w:val="auto"/>
          <w:sz w:val="24"/>
          <w:szCs w:val="24"/>
          <w:highlight w:val="none"/>
        </w:rPr>
        <w:t xml:space="preserve">所有员工必须按照有关规定发放各项福利及津贴。投标时提供以上人员身份证（正、反面）扫描件上传系统，否则作无</w:t>
      </w:r>
      <w:r>
        <w:rPr>
          <w:rFonts w:hint="eastAsia" w:ascii="宋体" w:hAnsi="宋体" w:eastAsia="宋体" w:cs="宋体"/>
          <w:b/>
          <w:bCs/>
          <w:color w:val="auto"/>
          <w:sz w:val="24"/>
          <w:szCs w:val="24"/>
          <w:highlight w:val="none"/>
          <w:lang w:eastAsia="zh-CN"/>
        </w:rPr>
        <w:t xml:space="preserve">效投</w:t>
      </w:r>
      <w:r>
        <w:rPr>
          <w:rFonts w:hint="eastAsia" w:ascii="宋体" w:hAnsi="宋体" w:eastAsia="宋体" w:cs="宋体"/>
          <w:b/>
          <w:bCs/>
          <w:color w:val="auto"/>
          <w:sz w:val="24"/>
          <w:szCs w:val="24"/>
          <w:highlight w:val="none"/>
        </w:rPr>
        <w:t xml:space="preserve">标处理。</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w:t>
      </w:r>
      <w:r>
        <w:rPr>
          <w:rFonts w:hint="eastAsia" w:ascii="宋体" w:hAnsi="宋体" w:eastAsia="宋体"/>
          <w:color w:val="auto"/>
          <w:sz w:val="24"/>
          <w:szCs w:val="24"/>
          <w:highlight w:val="none"/>
          <w:lang w:eastAsia="zh-CN"/>
        </w:rPr>
        <w:t xml:space="preserve">按照</w:t>
      </w:r>
      <w:r>
        <w:rPr>
          <w:rFonts w:hint="eastAsia" w:ascii="宋体" w:hAnsi="宋体" w:eastAsia="宋体"/>
          <w:color w:val="auto"/>
          <w:sz w:val="24"/>
          <w:szCs w:val="24"/>
          <w:highlight w:val="none"/>
        </w:rPr>
        <w:t xml:space="preserve">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t xml:space="preserve">6.验收标准与要求</w:t>
      </w:r>
      <w:r/>
    </w:p>
    <w:p>
      <w:pPr>
        <w:ind w:firstLine="480"/>
        <w:spacing w:line="360" w:lineRule="auto"/>
        <w:rPr>
          <w:rFonts w:ascii="宋体" w:hAnsi="宋体" w:eastAsia="宋体"/>
          <w:b w:val="0"/>
          <w:bCs/>
          <w:color w:val="auto"/>
          <w:sz w:val="24"/>
          <w:szCs w:val="24"/>
          <w:highlight w:val="none"/>
          <w:lang w:val="en-US" w:eastAsia="zh-CN"/>
        </w:rPr>
      </w:pPr>
      <w:r>
        <w:rPr>
          <w:rFonts w:ascii="宋体" w:hAnsi="宋体" w:eastAsia="宋体"/>
          <w:b w:val="0"/>
          <w:bCs/>
          <w:color w:val="auto"/>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ascii="宋体" w:hAnsi="宋体" w:eastAsia="宋体"/>
          <w:b w:val="0"/>
          <w:bCs/>
          <w:color w:val="auto"/>
          <w:sz w:val="24"/>
          <w:szCs w:val="24"/>
          <w:highlight w:val="none"/>
          <w:lang w:val="en-US" w:eastAsia="zh-CN"/>
        </w:rPr>
      </w:pPr>
      <w:r>
        <w:rPr>
          <w:rFonts w:ascii="宋体" w:hAnsi="宋体" w:eastAsia="宋体"/>
          <w:b w:val="0"/>
          <w:bCs/>
          <w:color w:val="auto"/>
          <w:sz w:val="24"/>
          <w:szCs w:val="24"/>
          <w:highlight w:val="none"/>
          <w:lang w:val="en-US" w:eastAsia="zh-CN"/>
        </w:rPr>
        <w:t xml:space="preserve">要求</w:t>
      </w:r>
      <w:r>
        <w:rPr>
          <w:rFonts w:hint="eastAsia" w:ascii="宋体" w:hAnsi="宋体" w:eastAsia="宋体"/>
          <w:b w:val="0"/>
          <w:bCs/>
          <w:color w:val="auto"/>
          <w:sz w:val="24"/>
          <w:szCs w:val="24"/>
          <w:highlight w:val="none"/>
          <w:lang w:val="en-US" w:eastAsia="zh-CN"/>
        </w:rPr>
        <w:t xml:space="preserve">如下（具体考核内容以所在社区实施为准）</w:t>
      </w:r>
      <w:r>
        <w:rPr>
          <w:rFonts w:ascii="宋体" w:hAnsi="宋体" w:eastAsia="宋体"/>
          <w:b w:val="0"/>
          <w:bCs/>
          <w:color w:val="auto"/>
          <w:sz w:val="24"/>
          <w:szCs w:val="24"/>
          <w:highlight w:val="none"/>
          <w:lang w:val="en-US" w:eastAsia="zh-CN"/>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考核方式</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按照季度考核的方式进行，季度考核实行分项打分确定成绩。</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考核内容  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社区考核（100分）。由所在社区按照《鸿山街道物业服务企业物业管理工作考评表》，结合平时工作配合开展情况进行考核打分。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）具体考核工作由社区按月按照物管办制定的考核标准《鸿山街道物业服务企业物业管理工作考评表》对中标单位进行考核，季度考核综合得分按照月度考核（社区牵头）的平均分计算</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6.3考核加减分原则</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街道物管办根据小区管理情况对季度考核实行加、减分项。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加分项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获区级书面通报表扬奖励的加2分，市级加3分，省级加5分，获得市优小区加5分，省优小区加10分，省宜居小区加15分。</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其他应加分项由社区和街道物管办核准并报相关领导确定</w:t>
      </w:r>
      <w:r>
        <w:rPr>
          <w:rFonts w:hint="eastAsia" w:ascii="宋体" w:hAnsi="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）减分项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①被区级及以上书面通报或检查曝光的小区减5分，市级减8分，省级减15分</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②当月因物业原因有效投诉满八条且整改不到位的双倍进行减分。</w:t>
      </w:r>
      <w:r/>
    </w:p>
    <w:p>
      <w:pPr>
        <w:ind w:firstLine="480"/>
        <w:jc w:val="left"/>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③当月考评结束各社区应及时向物业公司提出整改建议并交街道物管报备，如相关物业公司不配合整改或拖延整改，次月考评时社区可提供相关佐证由物管办核准后按此项扣分的双倍进行减分。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④由物业公司管理不善，发生重大安全事故的减20分</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其他应减分项由社区和街道物管办核准并报相关领导确定</w:t>
      </w:r>
      <w:r>
        <w:rPr>
          <w:rFonts w:hint="eastAsia" w:ascii="宋体" w:hAnsi="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w:t>
      </w:r>
      <w:r>
        <w:rPr>
          <w:rFonts w:hint="eastAsia" w:ascii="宋体" w:hAnsi="宋体" w:eastAsia="宋体" w:cs="宋体"/>
          <w:color w:val="auto"/>
          <w:sz w:val="24"/>
          <w:szCs w:val="24"/>
          <w:highlight w:val="none"/>
        </w:rPr>
        <w:t xml:space="preserve">考核结果运用</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季度考核分数90以上不减免服务费（含90分）；90分以下（不含90分），每分减免0.04元/㎡·季度；70分以下，第一次减免相应服务费并约谈法人，第二次减免相应服务费并终止合同。</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每季度结算外包物业费，对服务费用进行减免，并附考核分数及奖扣金额明细。</w:t>
      </w:r>
      <w:r/>
    </w:p>
    <w:p>
      <w:pPr>
        <w:pStyle w:val="799"/>
        <w:jc w:val="center"/>
        <w:spacing w:line="560" w:lineRule="exact"/>
        <w:rPr>
          <w:rFonts w:ascii="方正仿宋_GBK" w:eastAsia="方正仿宋_GBK" w:cs="Times New Roman"/>
          <w:b/>
          <w:bCs/>
          <w:color w:val="auto"/>
          <w:sz w:val="36"/>
          <w:szCs w:val="36"/>
          <w:highlight w:val="none"/>
        </w:rPr>
      </w:pPr>
      <w:r>
        <w:rPr>
          <w:rFonts w:ascii="方正仿宋_GBK" w:eastAsia="方正仿宋_GBK" w:cs="Times New Roman"/>
          <w:b/>
          <w:bCs/>
          <w:color w:val="auto"/>
          <w:sz w:val="36"/>
          <w:szCs w:val="36"/>
          <w:highlight w:val="none"/>
        </w:rPr>
      </w:r>
      <w:r/>
    </w:p>
    <w:p>
      <w:pPr>
        <w:pStyle w:val="799"/>
        <w:jc w:val="center"/>
        <w:spacing w:line="560" w:lineRule="exact"/>
        <w:rPr>
          <w:rFonts w:ascii="方正仿宋_GBK" w:eastAsia="方正仿宋_GBK" w:cs="Times New Roman"/>
          <w:b/>
          <w:bCs/>
          <w:color w:val="auto"/>
          <w:sz w:val="36"/>
          <w:szCs w:val="36"/>
          <w:highlight w:val="none"/>
        </w:rPr>
      </w:pPr>
      <w:r>
        <w:rPr>
          <w:rFonts w:ascii="方正仿宋_GBK" w:eastAsia="方正仿宋_GBK" w:cs="Times New Roman"/>
          <w:b/>
          <w:bCs/>
          <w:color w:val="auto"/>
          <w:sz w:val="36"/>
          <w:szCs w:val="36"/>
          <w:highlight w:val="none"/>
        </w:rPr>
        <w:t xml:space="preserve">《鸿山街道物业服务企业物业管理工作考评表》</w:t>
      </w:r>
      <w:r/>
    </w:p>
    <w:p>
      <w:pPr>
        <w:ind w:firstLine="240"/>
        <w:jc w:val="left"/>
        <w:rPr>
          <w:rFonts w:hint="eastAsia"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 xml:space="preserve"> </w:t>
      </w:r>
      <w:r>
        <w:rPr>
          <w:rFonts w:ascii="仿宋_GB2312" w:hAnsi="仿宋_GB2312" w:eastAsia="仿宋_GB2312" w:cs="仿宋_GB2312"/>
          <w:color w:val="auto"/>
          <w:sz w:val="24"/>
          <w:highlight w:val="none"/>
          <w:shd w:val="clear" w:color="auto" w:fill="ffffff"/>
        </w:rPr>
        <w:t xml:space="preserve">   小区名称：</w:t>
      </w:r>
      <w:r>
        <w:rPr>
          <w:rFonts w:hint="eastAsia" w:ascii="仿宋_GB2312" w:hAnsi="仿宋_GB2312" w:eastAsia="仿宋_GB2312" w:cs="仿宋_GB2312"/>
          <w:color w:val="auto"/>
          <w:sz w:val="24"/>
          <w:highlight w:val="none"/>
          <w:shd w:val="clear" w:color="auto" w:fill="ffffff"/>
        </w:rPr>
        <w:t xml:space="preserve"> </w:t>
      </w:r>
      <w:r>
        <w:rPr>
          <w:rFonts w:ascii="仿宋_GB2312" w:hAnsi="仿宋_GB2312" w:eastAsia="仿宋_GB2312" w:cs="仿宋_GB2312"/>
          <w:color w:val="auto"/>
          <w:sz w:val="24"/>
          <w:highlight w:val="none"/>
          <w:shd w:val="clear" w:color="auto" w:fill="ffffff"/>
        </w:rPr>
        <w:t xml:space="preserve">                                 考核季度：</w:t>
      </w:r>
      <w:r/>
    </w:p>
    <w:p>
      <w:pPr>
        <w:ind w:firstLine="720"/>
        <w:jc w:val="left"/>
        <w:rPr>
          <w:rFonts w:hint="eastAsia"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 xml:space="preserve">物业服务企业名称：                          考评得分：</w:t>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781"/>
        <w:gridCol w:w="2096"/>
        <w:gridCol w:w="753"/>
        <w:gridCol w:w="2340"/>
        <w:gridCol w:w="900"/>
        <w:gridCol w:w="878"/>
      </w:tblGrid>
      <w:tr>
        <w:trPr>
          <w:jc w:val="center"/>
          <w:trHeight w:val="322"/>
        </w:trPr>
        <w:tc>
          <w:tcPr>
            <w:tcW w:w="774"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类别</w:t>
            </w:r>
            <w:r/>
          </w:p>
        </w:tc>
        <w:tc>
          <w:tcPr>
            <w:tcW w:w="781"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小类</w:t>
            </w:r>
            <w:r/>
          </w:p>
        </w:tc>
        <w:tc>
          <w:tcPr>
            <w:tcW w:w="2096"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考核内容</w:t>
            </w:r>
            <w:r/>
          </w:p>
        </w:tc>
        <w:tc>
          <w:tcPr>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分值</w:t>
            </w:r>
            <w:r/>
          </w:p>
        </w:tc>
        <w:tc>
          <w:tcPr>
            <w:tcW w:w="234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扣分内容</w:t>
            </w:r>
            <w:r/>
          </w:p>
        </w:tc>
        <w:tc>
          <w:tcPr>
            <w:tcW w:w="90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得分</w:t>
            </w:r>
            <w:r/>
          </w:p>
        </w:tc>
        <w:tc>
          <w:tcPr>
            <w:tcW w:w="878"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备注</w:t>
            </w:r>
            <w:r/>
          </w:p>
        </w:tc>
      </w:tr>
      <w:tr>
        <w:trPr>
          <w:jc w:val="center"/>
          <w:trHeight w:val="90"/>
        </w:trPr>
        <w:tc>
          <w:tcPr>
            <w:tcW w:w="774" w:type="dxa"/>
            <w:vMerge w:val="restart"/>
            <w:textDirection w:val="tbRlV"/>
            <w:noWrap w:val="false"/>
          </w:tcPr>
          <w:p>
            <w:pPr>
              <w:ind w:left="113" w:right="113"/>
              <w:jc w:val="center"/>
              <w:spacing w:after="0" w:line="240" w:lineRule="auto"/>
              <w:widowControl/>
              <w:rPr>
                <w:rFonts w:hint="eastAsia" w:ascii="仿宋_GB2312" w:hAnsi="宋体" w:eastAsia="仿宋_GB2312" w:cs="仿宋_GB2312"/>
                <w:color w:val="auto"/>
                <w:sz w:val="18"/>
                <w:szCs w:val="18"/>
                <w:highlight w:val="none"/>
              </w:rPr>
            </w:pPr>
            <w:r>
              <w:rPr>
                <w:rFonts w:hint="eastAsia" w:ascii="仿宋_GB2312" w:hAnsi="宋体" w:eastAsia="仿宋_GB2312" w:cs="仿宋_GB2312"/>
                <w:color w:val="auto"/>
                <w:sz w:val="20"/>
                <w:szCs w:val="21"/>
                <w:highlight w:val="none"/>
              </w:rPr>
              <w:t xml:space="preserve">物  业  管  理  住  宅  小  区  现  场  管  理</w:t>
            </w:r>
            <w:r/>
          </w:p>
        </w:tc>
        <w:tc>
          <w:tcPr>
            <w:tcW w:w="781" w:type="dxa"/>
            <w:vAlign w:val="center"/>
            <w:vMerge w:val="restart"/>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公  共  环  境  管  理（50</w:t>
            </w:r>
            <w:r>
              <w:rPr>
                <w:rFonts w:ascii="仿宋_GB2312" w:hAnsi="宋体" w:eastAsia="仿宋_GB2312" w:cs="仿宋_GB2312"/>
                <w:color w:val="auto"/>
                <w:sz w:val="20"/>
                <w:szCs w:val="21"/>
                <w:highlight w:val="none"/>
              </w:rPr>
              <w:t xml:space="preserve"> 分</w:t>
            </w:r>
            <w:r>
              <w:rPr>
                <w:rFonts w:hint="eastAsia" w:ascii="仿宋_GB2312" w:hAnsi="宋体" w:eastAsia="仿宋_GB2312" w:cs="仿宋_GB2312"/>
                <w:color w:val="auto"/>
                <w:sz w:val="20"/>
                <w:szCs w:val="21"/>
                <w:highlight w:val="none"/>
              </w:rPr>
              <w:t xml:space="preserve">）</w:t>
            </w:r>
            <w:r/>
          </w:p>
        </w:tc>
        <w:tc>
          <w:tcPr>
            <w:tcW w:w="2096"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户外公共区域环境整洁。无暴露生活垃圾或建筑垃圾；建筑装潢垃圾临时堆放管理规范，临时堆放点围挡规范，无满溢现象；无杂物乱堆放、无乱牵乱挂；保洁管理规范，垃圾及时清运，地面、绿化带无乱扔垃圾。</w:t>
            </w:r>
            <w:r/>
          </w:p>
        </w:tc>
        <w:tc>
          <w:tcPr>
            <w:tcMar>
              <w:left w:w="0" w:type="dxa"/>
              <w:top w:w="0" w:type="dxa"/>
              <w:right w:w="0" w:type="dxa"/>
              <w:bottom w:w="0" w:type="dxa"/>
            </w:tcMar>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1</w:t>
            </w:r>
            <w:r>
              <w:rPr>
                <w:rFonts w:hint="eastAsia" w:ascii="仿宋_GB2312" w:hAnsi="宋体" w:eastAsia="仿宋_GB2312" w:cs="仿宋_GB2312"/>
                <w:color w:val="auto"/>
                <w:sz w:val="20"/>
                <w:szCs w:val="21"/>
                <w:highlight w:val="none"/>
              </w:rPr>
              <w:t xml:space="preserve">0</w:t>
            </w:r>
            <w:r/>
          </w:p>
        </w:tc>
        <w:tc>
          <w:tcPr>
            <w:tcW w:w="2340" w:type="dxa"/>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(1)小区内垃圾成堆、杂物堆放、建筑垃圾无管控，堆放严重的。（发现一处扣1分）</w:t>
            </w:r>
            <w:r/>
          </w:p>
          <w:p>
            <w:pP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(2)有零星垃圾、落地包（地面或绿地）。（发现一处扣</w:t>
            </w:r>
            <w:r>
              <w:rPr>
                <w:rFonts w:ascii="仿宋_GB2312" w:hAnsi="宋体" w:eastAsia="仿宋_GB2312" w:cs="仿宋_GB2312"/>
                <w:color w:val="auto"/>
                <w:sz w:val="20"/>
                <w:szCs w:val="21"/>
                <w:highlight w:val="none"/>
              </w:rPr>
              <w:t xml:space="preserve">1</w:t>
            </w:r>
            <w:r>
              <w:rPr>
                <w:rFonts w:hint="eastAsia" w:ascii="仿宋_GB2312" w:hAnsi="宋体" w:eastAsia="仿宋_GB2312" w:cs="仿宋_GB2312"/>
                <w:color w:val="auto"/>
                <w:sz w:val="20"/>
                <w:szCs w:val="21"/>
                <w:highlight w:val="none"/>
              </w:rPr>
              <w:t xml:space="preserve">分）</w:t>
            </w:r>
            <w:r/>
          </w:p>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(3)小区内有乱牵挂、乱晾晒的。（发现一处扣</w:t>
            </w:r>
            <w:r>
              <w:rPr>
                <w:rFonts w:ascii="仿宋_GB2312" w:hAnsi="宋体" w:eastAsia="仿宋_GB2312" w:cs="仿宋_GB2312"/>
                <w:color w:val="auto"/>
                <w:sz w:val="20"/>
                <w:szCs w:val="21"/>
                <w:highlight w:val="none"/>
              </w:rPr>
              <w:t xml:space="preserve">1</w:t>
            </w:r>
            <w:r>
              <w:rPr>
                <w:rFonts w:hint="eastAsia" w:ascii="仿宋_GB2312" w:hAnsi="宋体" w:eastAsia="仿宋_GB2312" w:cs="仿宋_GB2312"/>
                <w:color w:val="auto"/>
                <w:sz w:val="20"/>
                <w:szCs w:val="21"/>
                <w:highlight w:val="none"/>
              </w:rPr>
              <w:t xml:space="preserve">分)</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900" w:type="dxa"/>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878" w:type="dxa"/>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r>
      <w:tr>
        <w:trPr>
          <w:jc w:val="center"/>
          <w:trHeight w:val="1510"/>
        </w:trPr>
        <w:tc>
          <w:tcPr>
            <w:tcW w:w="774" w:type="dxa"/>
            <w:vMerge w:val="continue"/>
            <w:textDirection w:val="tbRlV"/>
            <w:noWrap w:val="false"/>
          </w:tcPr>
          <w:p>
            <w:pPr>
              <w:ind w:left="113" w:right="113"/>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781" w:type="dxa"/>
            <w:vAlign w:val="center"/>
            <w:vMerge w:val="continue"/>
            <w:textDirection w:val="tbRlV"/>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2096"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设置合理合规的垃圾收集房和协助社区做好垃圾分类工作。垃圾分类房内外整洁。</w:t>
            </w:r>
            <w:r/>
          </w:p>
        </w:tc>
        <w:tc>
          <w:tcPr>
            <w:tcMar>
              <w:left w:w="0" w:type="dxa"/>
              <w:top w:w="0" w:type="dxa"/>
              <w:right w:w="0" w:type="dxa"/>
              <w:bottom w:w="0" w:type="dxa"/>
            </w:tcMar>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5</w:t>
            </w:r>
            <w:r/>
          </w:p>
        </w:tc>
        <w:tc>
          <w:tcPr>
            <w:tcW w:w="2340" w:type="dxa"/>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垃圾分类房内外不整洁，发现一处扣1分</w:t>
            </w:r>
            <w:r>
              <w:rPr>
                <w:rFonts w:ascii="仿宋_GB2312" w:hAnsi="宋体" w:eastAsia="仿宋_GB2312" w:cs="仿宋_GB2312"/>
                <w:color w:val="auto"/>
                <w:sz w:val="20"/>
                <w:szCs w:val="21"/>
                <w:highlight w:val="none"/>
              </w:rPr>
              <w:t xml:space="preserve">。</w:t>
            </w:r>
            <w:r/>
          </w:p>
        </w:tc>
        <w:tc>
          <w:tcPr>
            <w:tcW w:w="900" w:type="dxa"/>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878" w:type="dxa"/>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r>
      <w:tr>
        <w:trPr>
          <w:jc w:val="center"/>
          <w:trHeight w:val="1991"/>
        </w:trPr>
        <w:tc>
          <w:tcPr>
            <w:tcW w:w="774" w:type="dxa"/>
            <w:vMerge w:val="continue"/>
            <w:textDirection w:val="tbRlV"/>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781" w:type="dxa"/>
            <w:vMerge w:val="continue"/>
            <w:textDirection w:val="tbRlV"/>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2096"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道路、管线等公共设施完好；建筑物外立面完好整洁；电线电缆等设施安装管理规范，各类线缆排列不凌乱。</w:t>
            </w:r>
            <w:r/>
          </w:p>
        </w:tc>
        <w:tc>
          <w:tcPr>
            <w:tcMar>
              <w:left w:w="0" w:type="dxa"/>
              <w:top w:w="0" w:type="dxa"/>
              <w:right w:w="0" w:type="dxa"/>
              <w:bottom w:w="0" w:type="dxa"/>
            </w:tcMar>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5</w:t>
            </w:r>
            <w:r/>
          </w:p>
        </w:tc>
        <w:tc>
          <w:tcPr>
            <w:tcW w:w="2340"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(1)道路破损，未及时修复。（发现一处扣</w:t>
            </w:r>
            <w:r>
              <w:rPr>
                <w:rFonts w:ascii="仿宋_GB2312" w:hAnsi="宋体" w:eastAsia="仿宋_GB2312" w:cs="仿宋_GB2312"/>
                <w:color w:val="auto"/>
                <w:sz w:val="20"/>
                <w:szCs w:val="21"/>
                <w:highlight w:val="none"/>
              </w:rPr>
              <w:t xml:space="preserve">0.5</w:t>
            </w:r>
            <w:r>
              <w:rPr>
                <w:rFonts w:hint="eastAsia" w:ascii="仿宋_GB2312" w:hAnsi="宋体" w:eastAsia="仿宋_GB2312" w:cs="仿宋_GB2312"/>
                <w:color w:val="auto"/>
                <w:sz w:val="20"/>
                <w:szCs w:val="21"/>
                <w:highlight w:val="none"/>
              </w:rPr>
              <w:t xml:space="preserve">分）</w:t>
            </w:r>
            <w:r/>
          </w:p>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(2)建筑外立面及公共设施有“三乱”小广告、飞线充电、线缆凌乱情形。（发现一处扣</w:t>
            </w:r>
            <w:r>
              <w:rPr>
                <w:rFonts w:ascii="仿宋_GB2312" w:hAnsi="宋体" w:eastAsia="仿宋_GB2312" w:cs="仿宋_GB2312"/>
                <w:color w:val="auto"/>
                <w:sz w:val="20"/>
                <w:szCs w:val="21"/>
                <w:highlight w:val="none"/>
              </w:rPr>
              <w:t xml:space="preserve">1</w:t>
            </w:r>
            <w:r>
              <w:rPr>
                <w:rFonts w:hint="eastAsia" w:ascii="仿宋_GB2312" w:hAnsi="宋体" w:eastAsia="仿宋_GB2312" w:cs="仿宋_GB2312"/>
                <w:color w:val="auto"/>
                <w:sz w:val="20"/>
                <w:szCs w:val="21"/>
                <w:highlight w:val="none"/>
              </w:rPr>
              <w:t xml:space="preserve">分）</w:t>
            </w:r>
            <w:r/>
          </w:p>
        </w:tc>
        <w:tc>
          <w:tcPr>
            <w:tcW w:w="900" w:type="dxa"/>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878" w:type="dxa"/>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r>
      <w:tr>
        <w:trPr>
          <w:jc w:val="center"/>
          <w:trHeight w:val="1468"/>
        </w:trPr>
        <w:tc>
          <w:tcPr>
            <w:tcW w:w="774" w:type="dxa"/>
            <w:vAlign w:val="center"/>
            <w:vMerge w:val="continue"/>
            <w:textDirection w:val="tbRlV"/>
            <w:noWrap w:val="false"/>
          </w:tcPr>
          <w:p>
            <w:pPr>
              <w:ind w:left="113" w:right="113"/>
              <w:jc w:val="center"/>
              <w:spacing w:after="0" w:line="240" w:lineRule="auto"/>
              <w:widowControl/>
              <w:rPr>
                <w:rFonts w:hint="eastAsia" w:ascii="仿宋_GB2312" w:hAnsi="宋体" w:eastAsia="仿宋_GB2312" w:cs="仿宋_GB2312"/>
                <w:color w:val="auto"/>
                <w:sz w:val="18"/>
                <w:szCs w:val="18"/>
                <w:highlight w:val="none"/>
              </w:rPr>
            </w:pPr>
            <w:r>
              <w:rPr>
                <w:rFonts w:hint="eastAsia" w:ascii="仿宋_GB2312" w:hAnsi="宋体" w:eastAsia="仿宋_GB2312" w:cs="仿宋_GB2312"/>
                <w:color w:val="auto"/>
                <w:sz w:val="18"/>
                <w:szCs w:val="18"/>
                <w:highlight w:val="none"/>
              </w:rPr>
            </w:r>
            <w:r/>
          </w:p>
        </w:tc>
        <w:tc>
          <w:tcPr>
            <w:tcW w:w="781" w:type="dxa"/>
            <w:vAlign w:val="center"/>
            <w:vMerge w:val="continue"/>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2096"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小区内绿化定期养护，树木无死株和严重病害；草坪无大面积空秃。</w:t>
            </w:r>
            <w:r/>
          </w:p>
        </w:tc>
        <w:tc>
          <w:tcPr>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10</w:t>
            </w:r>
            <w:r/>
          </w:p>
        </w:tc>
        <w:tc>
          <w:tcPr>
            <w:tcW w:w="2340"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(1)小区内绿化有枯死现象。(发现一处扣</w:t>
            </w:r>
            <w:r>
              <w:rPr>
                <w:rFonts w:ascii="仿宋_GB2312" w:hAnsi="宋体" w:eastAsia="仿宋_GB2312" w:cs="仿宋_GB2312"/>
                <w:color w:val="auto"/>
                <w:sz w:val="20"/>
                <w:szCs w:val="21"/>
                <w:highlight w:val="none"/>
              </w:rPr>
              <w:t xml:space="preserve">1</w:t>
            </w:r>
            <w:r>
              <w:rPr>
                <w:rFonts w:hint="eastAsia" w:ascii="仿宋_GB2312" w:hAnsi="宋体" w:eastAsia="仿宋_GB2312" w:cs="仿宋_GB2312"/>
                <w:color w:val="auto"/>
                <w:sz w:val="20"/>
                <w:szCs w:val="21"/>
                <w:highlight w:val="none"/>
              </w:rPr>
              <w:t xml:space="preserve">分)</w:t>
            </w:r>
            <w:r/>
          </w:p>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(2)小区绿地被破坏占绿毁绿种菜现象。(发现一处扣</w:t>
            </w:r>
            <w:r>
              <w:rPr>
                <w:rFonts w:ascii="仿宋_GB2312" w:hAnsi="宋体" w:eastAsia="仿宋_GB2312" w:cs="仿宋_GB2312"/>
                <w:color w:val="auto"/>
                <w:sz w:val="20"/>
                <w:szCs w:val="21"/>
                <w:highlight w:val="none"/>
              </w:rPr>
              <w:t xml:space="preserve">1</w:t>
            </w:r>
            <w:r>
              <w:rPr>
                <w:rFonts w:hint="eastAsia" w:ascii="仿宋_GB2312" w:hAnsi="宋体" w:eastAsia="仿宋_GB2312" w:cs="仿宋_GB2312"/>
                <w:color w:val="auto"/>
                <w:sz w:val="20"/>
                <w:szCs w:val="21"/>
                <w:highlight w:val="none"/>
              </w:rPr>
              <w:t xml:space="preserve">分)</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90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878"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r>
      <w:tr>
        <w:trPr>
          <w:jc w:val="center"/>
          <w:trHeight w:val="549"/>
        </w:trPr>
        <w:tc>
          <w:tcPr>
            <w:tcW w:w="774" w:type="dxa"/>
            <w:vAlign w:val="center"/>
            <w:vMerge w:val="continue"/>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781" w:type="dxa"/>
            <w:vAlign w:val="center"/>
            <w:vMerge w:val="continue"/>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2096"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楼道定期清理保洁，无废沙发、垃圾、三乱和乱堆放杂物、车辆乱停放。地下车库、架空层干净整洁，无堆放、无积水、无车辆乱停放。</w:t>
            </w:r>
            <w:r/>
          </w:p>
        </w:tc>
        <w:tc>
          <w:tcPr>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20</w:t>
            </w:r>
            <w:r/>
          </w:p>
        </w:tc>
        <w:tc>
          <w:tcPr>
            <w:tcW w:w="234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楼道内、架空层、地下车库垃圾未清理、乱堆放、车辆乱停放。（发现一处扣</w:t>
            </w:r>
            <w:r>
              <w:rPr>
                <w:rFonts w:ascii="仿宋_GB2312" w:hAnsi="宋体" w:eastAsia="仿宋_GB2312" w:cs="仿宋_GB2312"/>
                <w:color w:val="auto"/>
                <w:sz w:val="20"/>
                <w:szCs w:val="21"/>
                <w:highlight w:val="none"/>
              </w:rPr>
              <w:t xml:space="preserve">1</w:t>
            </w:r>
            <w:r>
              <w:rPr>
                <w:rFonts w:hint="eastAsia" w:ascii="仿宋_GB2312" w:hAnsi="宋体" w:eastAsia="仿宋_GB2312" w:cs="仿宋_GB2312"/>
                <w:color w:val="auto"/>
                <w:sz w:val="20"/>
                <w:szCs w:val="21"/>
                <w:highlight w:val="none"/>
              </w:rPr>
              <w:t xml:space="preserve">分）</w:t>
            </w:r>
            <w:r/>
          </w:p>
        </w:tc>
        <w:tc>
          <w:tcPr>
            <w:tcW w:w="90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878"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r>
      <w:tr>
        <w:trPr>
          <w:jc w:val="center"/>
          <w:trHeight w:val="481"/>
        </w:trPr>
        <w:tc>
          <w:tcPr>
            <w:tcW w:w="774" w:type="dxa"/>
            <w:vAlign w:val="center"/>
            <w:vMerge w:val="restart"/>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物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业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管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理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住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宅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小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区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现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场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管</w:t>
            </w:r>
            <w:r/>
          </w:p>
          <w:p>
            <w:pPr>
              <w:jc w:val="center"/>
              <w:spacing w:after="0" w:line="240" w:lineRule="auto"/>
              <w:widowControl/>
              <w:rPr>
                <w:rFonts w:hint="eastAsia" w:ascii="仿宋_GB2312" w:hAnsi="宋体" w:eastAsia="仿宋_GB2312" w:cs="仿宋_GB2312"/>
                <w:color w:val="auto"/>
                <w:sz w:val="18"/>
                <w:szCs w:val="18"/>
                <w:highlight w:val="none"/>
              </w:rPr>
            </w:pPr>
            <w:r>
              <w:rPr>
                <w:rFonts w:hint="eastAsia" w:ascii="仿宋_GB2312" w:hAnsi="宋体" w:eastAsia="仿宋_GB2312" w:cs="仿宋_GB2312"/>
                <w:color w:val="auto"/>
                <w:sz w:val="20"/>
                <w:szCs w:val="21"/>
                <w:highlight w:val="none"/>
              </w:rPr>
              <w:t xml:space="preserve">      理  </w:t>
            </w:r>
            <w:r/>
          </w:p>
        </w:tc>
        <w:tc>
          <w:tcPr>
            <w:tcW w:w="781"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小类</w:t>
            </w:r>
            <w:r/>
          </w:p>
        </w:tc>
        <w:tc>
          <w:tcPr>
            <w:tcW w:w="2096"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考核内容</w:t>
            </w:r>
            <w:r/>
          </w:p>
        </w:tc>
        <w:tc>
          <w:tcPr>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分值</w:t>
            </w:r>
            <w:r/>
          </w:p>
        </w:tc>
        <w:tc>
          <w:tcPr>
            <w:tcW w:w="234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扣分内容</w:t>
            </w:r>
            <w:r/>
          </w:p>
        </w:tc>
        <w:tc>
          <w:tcPr>
            <w:tcW w:w="90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得分</w:t>
            </w:r>
            <w:r/>
          </w:p>
        </w:tc>
        <w:tc>
          <w:tcPr>
            <w:tcW w:w="878"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备注</w:t>
            </w:r>
            <w:r/>
          </w:p>
        </w:tc>
      </w:tr>
      <w:tr>
        <w:trPr>
          <w:jc w:val="center"/>
          <w:trHeight w:val="1865"/>
        </w:trPr>
        <w:tc>
          <w:tcPr>
            <w:tcW w:w="774" w:type="dxa"/>
            <w:vAlign w:val="center"/>
            <w:vMerge w:val="continue"/>
            <w:textDirection w:val="lrTb"/>
            <w:noWrap w:val="false"/>
          </w:tcPr>
          <w:p>
            <w:pPr>
              <w:jc w:val="center"/>
              <w:spacing w:after="0" w:line="240" w:lineRule="auto"/>
              <w:widowControl/>
              <w:rPr>
                <w:rFonts w:hint="eastAsia" w:ascii="仿宋_GB2312" w:hAnsi="宋体" w:eastAsia="仿宋_GB2312" w:cs="仿宋_GB2312"/>
                <w:color w:val="auto"/>
                <w:sz w:val="18"/>
                <w:szCs w:val="18"/>
                <w:highlight w:val="none"/>
              </w:rPr>
            </w:pPr>
            <w:r>
              <w:rPr>
                <w:rFonts w:hint="eastAsia" w:ascii="仿宋_GB2312" w:hAnsi="宋体" w:eastAsia="仿宋_GB2312" w:cs="仿宋_GB2312"/>
                <w:color w:val="auto"/>
                <w:sz w:val="18"/>
                <w:szCs w:val="18"/>
                <w:highlight w:val="none"/>
              </w:rPr>
            </w:r>
            <w:r/>
          </w:p>
        </w:tc>
        <w:tc>
          <w:tcPr>
            <w:tcW w:w="781" w:type="dxa"/>
            <w:vAlign w:val="center"/>
            <w:vMerge w:val="restart"/>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小  区  秩  序  和  防  范（1</w:t>
            </w:r>
            <w:r>
              <w:rPr>
                <w:rFonts w:ascii="仿宋_GB2312" w:hAnsi="宋体" w:eastAsia="仿宋_GB2312" w:cs="仿宋_GB2312"/>
                <w:color w:val="auto"/>
                <w:sz w:val="20"/>
                <w:szCs w:val="21"/>
                <w:highlight w:val="none"/>
              </w:rPr>
              <w:t xml:space="preserve">5分</w:t>
            </w:r>
            <w:r>
              <w:rPr>
                <w:rFonts w:hint="eastAsia" w:ascii="仿宋_GB2312" w:hAnsi="宋体" w:eastAsia="仿宋_GB2312" w:cs="仿宋_GB2312"/>
                <w:color w:val="auto"/>
                <w:sz w:val="20"/>
                <w:szCs w:val="21"/>
                <w:highlight w:val="none"/>
              </w:rPr>
              <w:t xml:space="preserve">）</w:t>
            </w:r>
            <w:r/>
          </w:p>
        </w:tc>
        <w:tc>
          <w:tcPr>
            <w:tcW w:w="2096"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小区内消防通道畅通，门岗、车库正常使用。监控室有专人24小时值班，人证合一，值班记录完整，视频监控设备完好。督促第三方电梯维保单位，对电梯维修、维保及保持电梯正常使用。</w:t>
            </w:r>
            <w:r/>
          </w:p>
        </w:tc>
        <w:tc>
          <w:tcPr>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5</w:t>
            </w:r>
            <w:r/>
          </w:p>
        </w:tc>
        <w:tc>
          <w:tcPr>
            <w:tcW w:w="2340"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(1)视频监控设施损坏。没有整改或者整改计划的。(发现一处扣0.5分)</w:t>
            </w:r>
            <w:r/>
          </w:p>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(2)门岗无专人值班，脱岗、离岗、睡觉。(发现一处扣2分)</w:t>
            </w:r>
            <w:r/>
          </w:p>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 (</w:t>
            </w:r>
            <w:r>
              <w:rPr>
                <w:rFonts w:ascii="仿宋_GB2312" w:hAnsi="宋体" w:eastAsia="仿宋_GB2312" w:cs="仿宋_GB2312"/>
                <w:color w:val="auto"/>
                <w:sz w:val="20"/>
                <w:szCs w:val="21"/>
                <w:highlight w:val="none"/>
              </w:rPr>
              <w:t xml:space="preserve">3</w:t>
            </w:r>
            <w:r>
              <w:rPr>
                <w:rFonts w:hint="eastAsia" w:ascii="仿宋_GB2312" w:hAnsi="宋体" w:eastAsia="仿宋_GB2312" w:cs="仿宋_GB2312"/>
                <w:color w:val="auto"/>
                <w:sz w:val="20"/>
                <w:szCs w:val="21"/>
                <w:highlight w:val="none"/>
              </w:rPr>
              <w:t xml:space="preserve">)监控室无人值班，无值班记录，人证不合。(发现一处扣1分)</w:t>
            </w:r>
            <w:r/>
          </w:p>
          <w:p>
            <w:pPr>
              <w:jc w:val="left"/>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w:t>
            </w:r>
            <w:r>
              <w:rPr>
                <w:rFonts w:hint="eastAsia" w:ascii="仿宋_GB2312" w:hAnsi="宋体" w:eastAsia="仿宋_GB2312" w:cs="仿宋_GB2312"/>
                <w:color w:val="auto"/>
                <w:sz w:val="20"/>
                <w:szCs w:val="21"/>
                <w:highlight w:val="none"/>
              </w:rPr>
              <w:t xml:space="preserve">4</w:t>
            </w:r>
            <w:r>
              <w:rPr>
                <w:rFonts w:ascii="仿宋_GB2312" w:hAnsi="宋体" w:eastAsia="仿宋_GB2312" w:cs="仿宋_GB2312"/>
                <w:color w:val="auto"/>
                <w:sz w:val="20"/>
                <w:szCs w:val="21"/>
                <w:highlight w:val="none"/>
              </w:rPr>
              <w:t xml:space="preserve">）电梯未及时维修、维保，</w:t>
            </w:r>
            <w:r>
              <w:rPr>
                <w:rFonts w:hint="eastAsia" w:ascii="仿宋_GB2312" w:hAnsi="宋体" w:eastAsia="仿宋_GB2312" w:cs="仿宋_GB2312"/>
                <w:color w:val="auto"/>
                <w:sz w:val="20"/>
                <w:szCs w:val="21"/>
                <w:highlight w:val="none"/>
              </w:rPr>
              <w:t xml:space="preserve">影响</w:t>
            </w:r>
            <w:r>
              <w:rPr>
                <w:rFonts w:ascii="仿宋_GB2312" w:hAnsi="宋体" w:eastAsia="仿宋_GB2312" w:cs="仿宋_GB2312"/>
                <w:color w:val="auto"/>
                <w:sz w:val="20"/>
                <w:szCs w:val="21"/>
                <w:highlight w:val="none"/>
              </w:rPr>
              <w:t xml:space="preserve">正常使用的。（发现一次扣</w:t>
            </w:r>
            <w:r>
              <w:rPr>
                <w:rFonts w:hint="eastAsia" w:ascii="仿宋_GB2312" w:hAnsi="宋体" w:eastAsia="仿宋_GB2312" w:cs="仿宋_GB2312"/>
                <w:color w:val="auto"/>
                <w:sz w:val="20"/>
                <w:szCs w:val="21"/>
                <w:highlight w:val="none"/>
              </w:rPr>
              <w:t xml:space="preserve">1分</w:t>
            </w:r>
            <w:r>
              <w:rPr>
                <w:rFonts w:ascii="仿宋_GB2312" w:hAnsi="宋体" w:eastAsia="仿宋_GB2312" w:cs="仿宋_GB2312"/>
                <w:color w:val="auto"/>
                <w:sz w:val="20"/>
                <w:szCs w:val="21"/>
                <w:highlight w:val="none"/>
              </w:rPr>
              <w:t xml:space="preserve">）</w:t>
            </w:r>
            <w:r/>
          </w:p>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90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878"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r>
      <w:tr>
        <w:trPr>
          <w:jc w:val="center"/>
          <w:trHeight w:val="90"/>
        </w:trPr>
        <w:tc>
          <w:tcPr>
            <w:tcBorders>
              <w:bottom w:val="single" w:color="auto" w:sz="4" w:space="0"/>
            </w:tcBorders>
            <w:tcW w:w="774" w:type="dxa"/>
            <w:vAlign w:val="center"/>
            <w:vMerge w:val="continue"/>
            <w:textDirection w:val="lrTb"/>
            <w:noWrap w:val="false"/>
          </w:tcPr>
          <w:p>
            <w:pPr>
              <w:jc w:val="center"/>
              <w:spacing w:after="0" w:line="240" w:lineRule="auto"/>
              <w:widowControl/>
              <w:rPr>
                <w:rFonts w:hint="eastAsia" w:ascii="仿宋_GB2312" w:hAnsi="宋体" w:eastAsia="仿宋_GB2312" w:cs="仿宋_GB2312"/>
                <w:color w:val="auto"/>
                <w:sz w:val="18"/>
                <w:szCs w:val="18"/>
                <w:highlight w:val="none"/>
              </w:rPr>
            </w:pPr>
            <w:r>
              <w:rPr>
                <w:rFonts w:hint="eastAsia" w:ascii="仿宋_GB2312" w:hAnsi="宋体" w:eastAsia="仿宋_GB2312" w:cs="仿宋_GB2312"/>
                <w:color w:val="auto"/>
                <w:sz w:val="18"/>
                <w:szCs w:val="18"/>
                <w:highlight w:val="none"/>
              </w:rPr>
            </w:r>
            <w:r/>
          </w:p>
        </w:tc>
        <w:tc>
          <w:tcPr>
            <w:tcW w:w="781" w:type="dxa"/>
            <w:vAlign w:val="center"/>
            <w:vMerge w:val="continue"/>
            <w:textDirection w:val="tbRlV"/>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2096"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小区内无违法违章搭建、秩序良好，无车辆乱停乱放，无飞线充电，无占道经营等现象。严禁破坏原有房屋结构的</w:t>
            </w:r>
            <w:r>
              <w:rPr>
                <w:rFonts w:hint="eastAsia" w:ascii="仿宋_GB2312" w:hAnsi="宋体" w:eastAsia="仿宋_GB2312" w:cs="仿宋_GB2312"/>
                <w:color w:val="auto"/>
                <w:sz w:val="20"/>
                <w:szCs w:val="21"/>
                <w:highlight w:val="none"/>
                <w:lang w:eastAsia="zh-CN"/>
              </w:rPr>
              <w:t xml:space="preserve">群租</w:t>
            </w:r>
            <w:r>
              <w:rPr>
                <w:rFonts w:hint="eastAsia" w:ascii="仿宋_GB2312" w:hAnsi="宋体" w:eastAsia="仿宋_GB2312" w:cs="仿宋_GB2312"/>
                <w:color w:val="auto"/>
                <w:sz w:val="20"/>
                <w:szCs w:val="21"/>
                <w:highlight w:val="none"/>
              </w:rPr>
              <w:t xml:space="preserve">现象，有专人巡查巡视。</w:t>
            </w:r>
            <w:r/>
          </w:p>
        </w:tc>
        <w:tc>
          <w:tcPr>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10</w:t>
            </w:r>
            <w:r/>
          </w:p>
        </w:tc>
        <w:tc>
          <w:tcPr>
            <w:tcW w:w="2340"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（1）小区内新增违建现象未及时制止并上报。（发现一处扣1分）</w:t>
            </w:r>
            <w:r/>
          </w:p>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（2）小区内停车秩序混乱，车辆乱停乱放。（发现一处扣</w:t>
            </w:r>
            <w:r>
              <w:rPr>
                <w:rFonts w:ascii="仿宋_GB2312" w:hAnsi="宋体" w:eastAsia="仿宋_GB2312" w:cs="仿宋_GB2312"/>
                <w:color w:val="auto"/>
                <w:sz w:val="20"/>
                <w:szCs w:val="21"/>
                <w:highlight w:val="none"/>
              </w:rPr>
              <w:t xml:space="preserve">1</w:t>
            </w:r>
            <w:r>
              <w:rPr>
                <w:rFonts w:hint="eastAsia" w:ascii="仿宋_GB2312" w:hAnsi="宋体" w:eastAsia="仿宋_GB2312" w:cs="仿宋_GB2312"/>
                <w:color w:val="auto"/>
                <w:sz w:val="20"/>
                <w:szCs w:val="21"/>
                <w:highlight w:val="none"/>
              </w:rPr>
              <w:t xml:space="preserve">分）</w:t>
            </w:r>
            <w:r/>
          </w:p>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（3）小区内有占道经营等现象堵塞消防通道。（发现一处扣1分）</w:t>
            </w:r>
            <w:r/>
          </w:p>
          <w:p>
            <w:pPr>
              <w:jc w:val="left"/>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w:t>
            </w:r>
            <w:r>
              <w:rPr>
                <w:rFonts w:hint="eastAsia" w:ascii="仿宋_GB2312" w:hAnsi="宋体" w:eastAsia="仿宋_GB2312" w:cs="仿宋_GB2312"/>
                <w:color w:val="auto"/>
                <w:sz w:val="20"/>
                <w:szCs w:val="21"/>
                <w:highlight w:val="none"/>
              </w:rPr>
              <w:t xml:space="preserve">4</w:t>
            </w:r>
            <w:r>
              <w:rPr>
                <w:rFonts w:ascii="仿宋_GB2312" w:hAnsi="宋体" w:eastAsia="仿宋_GB2312" w:cs="仿宋_GB2312"/>
                <w:color w:val="auto"/>
                <w:sz w:val="20"/>
                <w:szCs w:val="21"/>
                <w:highlight w:val="none"/>
              </w:rPr>
              <w:t xml:space="preserve">）发现有破坏原有房屋结构的群租房。</w:t>
            </w:r>
            <w:r/>
          </w:p>
          <w:p>
            <w:pPr>
              <w:jc w:val="left"/>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（发现一处扣</w:t>
            </w:r>
            <w:r>
              <w:rPr>
                <w:rFonts w:hint="eastAsia" w:ascii="仿宋_GB2312" w:hAnsi="宋体" w:eastAsia="仿宋_GB2312" w:cs="仿宋_GB2312"/>
                <w:color w:val="auto"/>
                <w:sz w:val="20"/>
                <w:szCs w:val="21"/>
                <w:highlight w:val="none"/>
              </w:rPr>
              <w:t xml:space="preserve">1分</w:t>
            </w:r>
            <w:r>
              <w:rPr>
                <w:rFonts w:ascii="仿宋_GB2312" w:hAnsi="宋体" w:eastAsia="仿宋_GB2312" w:cs="仿宋_GB2312"/>
                <w:color w:val="auto"/>
                <w:sz w:val="20"/>
                <w:szCs w:val="21"/>
                <w:highlight w:val="none"/>
              </w:rPr>
              <w:t xml:space="preserve">）</w:t>
            </w:r>
            <w:r/>
          </w:p>
        </w:tc>
        <w:tc>
          <w:tcPr>
            <w:tcW w:w="90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878"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r>
      <w:tr>
        <w:trPr>
          <w:jc w:val="center"/>
          <w:trHeight w:val="432"/>
        </w:trPr>
        <w:tc>
          <w:tcPr>
            <w:tcBorders>
              <w:bottom w:val="none" w:color="000000" w:sz="4" w:space="0"/>
            </w:tcBorders>
            <w:tcW w:w="774"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781"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小类</w:t>
            </w:r>
            <w:r/>
          </w:p>
        </w:tc>
        <w:tc>
          <w:tcPr>
            <w:tcW w:w="2096"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考核内容</w:t>
            </w:r>
            <w:r/>
          </w:p>
        </w:tc>
        <w:tc>
          <w:tcPr>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分值</w:t>
            </w:r>
            <w:r/>
          </w:p>
        </w:tc>
        <w:tc>
          <w:tcPr>
            <w:tcW w:w="234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扣分内容</w:t>
            </w:r>
            <w:r/>
          </w:p>
        </w:tc>
        <w:tc>
          <w:tcPr>
            <w:tcW w:w="90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得分</w:t>
            </w:r>
            <w:r/>
          </w:p>
        </w:tc>
        <w:tc>
          <w:tcPr>
            <w:tcW w:w="878"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备注</w:t>
            </w:r>
            <w:r/>
          </w:p>
        </w:tc>
      </w:tr>
      <w:tr>
        <w:trPr>
          <w:jc w:val="center"/>
          <w:trHeight w:val="2152"/>
        </w:trPr>
        <w:tc>
          <w:tcPr>
            <w:tcBorders>
              <w:top w:val="none" w:color="000000" w:sz="4" w:space="0"/>
            </w:tcBorders>
            <w:tcW w:w="774" w:type="dxa"/>
            <w:vAlign w:val="center"/>
            <w:vMerge w:val="restart"/>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物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业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管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理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住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宅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小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区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现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场  </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管</w:t>
            </w:r>
            <w:r/>
          </w:p>
          <w:p>
            <w:pPr>
              <w:jc w:val="center"/>
              <w:spacing w:after="0" w:line="240" w:lineRule="auto"/>
              <w:widowControl/>
              <w:rPr>
                <w:rFonts w:hint="eastAsia" w:ascii="仿宋_GB2312" w:hAnsi="宋体" w:eastAsia="仿宋_GB2312" w:cs="仿宋_GB2312"/>
                <w:color w:val="auto"/>
                <w:sz w:val="18"/>
                <w:szCs w:val="18"/>
                <w:highlight w:val="none"/>
              </w:rPr>
            </w:pPr>
            <w:r>
              <w:rPr>
                <w:rFonts w:hint="eastAsia" w:ascii="仿宋_GB2312" w:hAnsi="宋体" w:eastAsia="仿宋_GB2312" w:cs="仿宋_GB2312"/>
                <w:color w:val="auto"/>
                <w:sz w:val="20"/>
                <w:szCs w:val="21"/>
                <w:highlight w:val="none"/>
              </w:rPr>
              <w:t xml:space="preserve">      理</w:t>
            </w:r>
            <w:r/>
          </w:p>
        </w:tc>
        <w:tc>
          <w:tcPr>
            <w:tcW w:w="781" w:type="dxa"/>
            <w:vAlign w:val="center"/>
            <w:vMerge w:val="restart"/>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管  理  服  务</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（1</w:t>
            </w:r>
            <w:r>
              <w:rPr>
                <w:rFonts w:hint="eastAsia" w:ascii="仿宋_GB2312" w:hAnsi="宋体" w:eastAsia="仿宋_GB2312" w:cs="仿宋_GB2312"/>
                <w:color w:val="auto"/>
                <w:sz w:val="20"/>
                <w:szCs w:val="21"/>
                <w:highlight w:val="none"/>
                <w:lang w:val="en-US" w:eastAsia="zh-CN"/>
              </w:rPr>
              <w:t xml:space="preserve">9</w:t>
            </w:r>
            <w:r>
              <w:rPr>
                <w:rFonts w:ascii="仿宋_GB2312" w:hAnsi="宋体" w:eastAsia="仿宋_GB2312" w:cs="仿宋_GB2312"/>
                <w:color w:val="auto"/>
                <w:sz w:val="20"/>
                <w:szCs w:val="21"/>
                <w:highlight w:val="none"/>
              </w:rPr>
              <w:t xml:space="preserve">分</w:t>
            </w:r>
            <w:r>
              <w:rPr>
                <w:rFonts w:hint="eastAsia" w:ascii="仿宋_GB2312" w:hAnsi="宋体" w:eastAsia="仿宋_GB2312" w:cs="仿宋_GB2312"/>
                <w:color w:val="auto"/>
                <w:sz w:val="20"/>
                <w:szCs w:val="21"/>
                <w:highlight w:val="none"/>
              </w:rPr>
              <w:t xml:space="preserve">）</w:t>
            </w:r>
            <w:r/>
          </w:p>
        </w:tc>
        <w:tc>
          <w:tcPr>
            <w:tcW w:w="2096"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小区服务人员队伍配备到位。项目经理有两年以上物业管理经验并持证上岗。物业人必须服装统一，挂牌上岗，仪表整洁规范，服务热情。</w:t>
            </w:r>
            <w:r/>
          </w:p>
        </w:tc>
        <w:tc>
          <w:tcPr>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5</w:t>
            </w:r>
            <w:r/>
          </w:p>
        </w:tc>
        <w:tc>
          <w:tcPr>
            <w:tcW w:w="2340"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(1)服务人员配备不到位扣1分。</w:t>
            </w:r>
            <w:r/>
          </w:p>
          <w:p>
            <w:pPr>
              <w:jc w:val="left"/>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w:t>
            </w:r>
            <w:r>
              <w:rPr>
                <w:rFonts w:hint="eastAsia" w:ascii="仿宋_GB2312" w:hAnsi="宋体" w:eastAsia="仿宋_GB2312" w:cs="仿宋_GB2312"/>
                <w:color w:val="auto"/>
                <w:sz w:val="20"/>
                <w:szCs w:val="21"/>
                <w:highlight w:val="none"/>
              </w:rPr>
              <w:t xml:space="preserve">2</w:t>
            </w:r>
            <w:r>
              <w:rPr>
                <w:rFonts w:ascii="仿宋_GB2312" w:hAnsi="宋体" w:eastAsia="仿宋_GB2312" w:cs="仿宋_GB2312"/>
                <w:color w:val="auto"/>
                <w:sz w:val="20"/>
                <w:szCs w:val="21"/>
                <w:highlight w:val="none"/>
              </w:rPr>
              <w:t xml:space="preserve">）无物业经理上岗证扣</w:t>
            </w:r>
            <w:r>
              <w:rPr>
                <w:rFonts w:hint="eastAsia" w:ascii="仿宋_GB2312" w:hAnsi="宋体" w:eastAsia="仿宋_GB2312" w:cs="仿宋_GB2312"/>
                <w:color w:val="auto"/>
                <w:sz w:val="20"/>
                <w:szCs w:val="21"/>
                <w:highlight w:val="none"/>
              </w:rPr>
              <w:t xml:space="preserve">5分。</w:t>
            </w:r>
            <w:r/>
          </w:p>
          <w:p>
            <w:pPr>
              <w:jc w:val="left"/>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w:t>
            </w:r>
            <w:r>
              <w:rPr>
                <w:rFonts w:hint="eastAsia" w:ascii="仿宋_GB2312" w:hAnsi="宋体" w:eastAsia="仿宋_GB2312" w:cs="仿宋_GB2312"/>
                <w:color w:val="auto"/>
                <w:sz w:val="20"/>
                <w:szCs w:val="21"/>
                <w:highlight w:val="none"/>
              </w:rPr>
              <w:t xml:space="preserve">3</w:t>
            </w:r>
            <w:r>
              <w:rPr>
                <w:rFonts w:ascii="仿宋_GB2312" w:hAnsi="宋体" w:eastAsia="仿宋_GB2312" w:cs="仿宋_GB2312"/>
                <w:color w:val="auto"/>
                <w:sz w:val="20"/>
                <w:szCs w:val="21"/>
                <w:highlight w:val="none"/>
              </w:rPr>
              <w:t xml:space="preserve">）服装不统一、未挂牌上岗扣</w:t>
            </w:r>
            <w:r>
              <w:rPr>
                <w:rFonts w:hint="eastAsia" w:ascii="仿宋_GB2312" w:hAnsi="宋体" w:eastAsia="仿宋_GB2312" w:cs="仿宋_GB2312"/>
                <w:color w:val="auto"/>
                <w:sz w:val="20"/>
                <w:szCs w:val="21"/>
                <w:highlight w:val="none"/>
              </w:rPr>
              <w:t xml:space="preserve">0</w:t>
            </w:r>
            <w:r>
              <w:rPr>
                <w:rFonts w:ascii="仿宋_GB2312" w:hAnsi="宋体" w:eastAsia="仿宋_GB2312" w:cs="仿宋_GB2312"/>
                <w:color w:val="auto"/>
                <w:sz w:val="20"/>
                <w:szCs w:val="21"/>
                <w:highlight w:val="none"/>
              </w:rPr>
              <w:t xml:space="preserve">.5分</w:t>
            </w:r>
            <w:r/>
          </w:p>
        </w:tc>
        <w:tc>
          <w:tcPr>
            <w:tcW w:w="90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878"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r>
      <w:tr>
        <w:trPr>
          <w:jc w:val="center"/>
          <w:trHeight w:val="2836"/>
        </w:trPr>
        <w:tc>
          <w:tcPr>
            <w:tcW w:w="774" w:type="dxa"/>
            <w:vAlign w:val="center"/>
            <w:vMerge w:val="continue"/>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781" w:type="dxa"/>
            <w:vAlign w:val="center"/>
            <w:vMerge w:val="continue"/>
            <w:textDirection w:val="tbRlV"/>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2096"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小区内公示物业服务内容，收费标准及物业服务收费收支情况，服务承诺和服务电话。每半年公示一次物业服务收支情况。各项管理制度</w:t>
            </w:r>
            <w:r>
              <w:rPr>
                <w:rFonts w:hint="eastAsia" w:ascii="仿宋_GB2312" w:hAnsi="宋体" w:eastAsia="仿宋_GB2312" w:cs="仿宋_GB2312"/>
                <w:color w:val="auto"/>
                <w:sz w:val="20"/>
                <w:szCs w:val="21"/>
                <w:highlight w:val="none"/>
                <w:lang w:eastAsia="zh-CN"/>
              </w:rPr>
              <w:t xml:space="preserve">台账健全</w:t>
            </w:r>
            <w:r>
              <w:rPr>
                <w:rFonts w:hint="eastAsia" w:ascii="仿宋_GB2312" w:hAnsi="宋体" w:eastAsia="仿宋_GB2312" w:cs="仿宋_GB2312"/>
                <w:color w:val="auto"/>
                <w:sz w:val="20"/>
                <w:szCs w:val="21"/>
                <w:highlight w:val="none"/>
              </w:rPr>
              <w:t xml:space="preserve">，并上墙公布，建立健全一户一档资料。有突发事件应急处理预案。</w:t>
            </w:r>
            <w:r/>
          </w:p>
        </w:tc>
        <w:tc>
          <w:tcPr>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2</w:t>
            </w:r>
            <w:r/>
          </w:p>
        </w:tc>
        <w:tc>
          <w:tcPr>
            <w:tcW w:w="2340"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w:t>
            </w:r>
            <w:r>
              <w:rPr>
                <w:rFonts w:hint="eastAsia" w:ascii="仿宋_GB2312" w:hAnsi="宋体" w:eastAsia="仿宋_GB2312" w:cs="仿宋_GB2312"/>
                <w:color w:val="auto"/>
                <w:sz w:val="20"/>
                <w:szCs w:val="21"/>
                <w:highlight w:val="none"/>
              </w:rPr>
              <w:t xml:space="preserve">1</w:t>
            </w:r>
            <w:r>
              <w:rPr>
                <w:rFonts w:ascii="仿宋_GB2312" w:hAnsi="宋体" w:eastAsia="仿宋_GB2312" w:cs="仿宋_GB2312"/>
                <w:color w:val="auto"/>
                <w:sz w:val="20"/>
                <w:szCs w:val="21"/>
                <w:highlight w:val="none"/>
              </w:rPr>
              <w:t xml:space="preserve">）</w:t>
            </w:r>
            <w:r>
              <w:rPr>
                <w:rFonts w:hint="eastAsia" w:ascii="仿宋_GB2312" w:hAnsi="宋体" w:eastAsia="仿宋_GB2312" w:cs="仿宋_GB2312"/>
                <w:color w:val="auto"/>
                <w:sz w:val="20"/>
                <w:szCs w:val="21"/>
                <w:highlight w:val="none"/>
              </w:rPr>
              <w:t xml:space="preserve">公示内容少1项扣0.5分。</w:t>
            </w:r>
            <w:r/>
          </w:p>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(2)制度</w:t>
            </w:r>
            <w:r>
              <w:rPr>
                <w:rFonts w:hint="eastAsia" w:ascii="仿宋_GB2312" w:hAnsi="宋体" w:eastAsia="仿宋_GB2312" w:cs="仿宋_GB2312"/>
                <w:color w:val="auto"/>
                <w:sz w:val="20"/>
                <w:szCs w:val="21"/>
                <w:highlight w:val="none"/>
                <w:lang w:eastAsia="zh-CN"/>
              </w:rPr>
              <w:t xml:space="preserve">台账不健全</w:t>
            </w:r>
            <w:r>
              <w:rPr>
                <w:rFonts w:hint="eastAsia" w:ascii="仿宋_GB2312" w:hAnsi="宋体" w:eastAsia="仿宋_GB2312" w:cs="仿宋_GB2312"/>
                <w:color w:val="auto"/>
                <w:sz w:val="20"/>
                <w:szCs w:val="21"/>
                <w:highlight w:val="none"/>
              </w:rPr>
              <w:t xml:space="preserve">一项扣0.5分。</w:t>
            </w:r>
            <w:r/>
          </w:p>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 </w:t>
            </w:r>
            <w:r/>
          </w:p>
        </w:tc>
        <w:tc>
          <w:tcPr>
            <w:tcW w:w="90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878"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r>
      <w:tr>
        <w:trPr>
          <w:jc w:val="center"/>
          <w:trHeight w:val="1470"/>
        </w:trPr>
        <w:tc>
          <w:tcPr>
            <w:tcW w:w="774" w:type="dxa"/>
            <w:vAlign w:val="center"/>
            <w:vMerge w:val="continue"/>
            <w:textDirection w:val="lrTb"/>
            <w:noWrap w:val="false"/>
          </w:tcPr>
          <w:p>
            <w:pPr>
              <w:jc w:val="center"/>
              <w:spacing w:after="0" w:line="240" w:lineRule="auto"/>
              <w:widowControl/>
              <w:rPr>
                <w:rFonts w:hint="eastAsia" w:ascii="仿宋_GB2312" w:hAnsi="宋体" w:eastAsia="仿宋_GB2312" w:cs="仿宋_GB2312"/>
                <w:color w:val="auto"/>
                <w:sz w:val="18"/>
                <w:szCs w:val="18"/>
                <w:highlight w:val="none"/>
              </w:rPr>
            </w:pPr>
            <w:r>
              <w:rPr>
                <w:rFonts w:hint="eastAsia" w:ascii="仿宋_GB2312" w:hAnsi="宋体" w:eastAsia="仿宋_GB2312" w:cs="仿宋_GB2312"/>
                <w:color w:val="auto"/>
                <w:sz w:val="18"/>
                <w:szCs w:val="18"/>
                <w:highlight w:val="none"/>
              </w:rPr>
            </w:r>
            <w:r/>
          </w:p>
        </w:tc>
        <w:tc>
          <w:tcPr>
            <w:tcW w:w="781" w:type="dxa"/>
            <w:vAlign w:val="center"/>
            <w:vMerge w:val="continue"/>
            <w:textDirection w:val="tbRlV"/>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2096"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完成街道、社区安排、交办工作（创文、创卫、防疫、防汛、垃圾分类、小区市容环境卫生整治行动、消防安全整改、按时参加</w:t>
            </w:r>
            <w:r>
              <w:rPr>
                <w:rFonts w:hint="eastAsia" w:ascii="仿宋_GB2312" w:hAnsi="宋体" w:eastAsia="仿宋_GB2312" w:cs="仿宋_GB2312"/>
                <w:color w:val="auto"/>
                <w:sz w:val="20"/>
                <w:szCs w:val="21"/>
                <w:highlight w:val="none"/>
                <w:lang w:eastAsia="zh-CN"/>
              </w:rPr>
              <w:t xml:space="preserve">会议</w:t>
            </w:r>
            <w:r>
              <w:rPr>
                <w:rFonts w:hint="eastAsia" w:ascii="仿宋_GB2312" w:hAnsi="宋体" w:eastAsia="仿宋_GB2312" w:cs="仿宋_GB2312"/>
                <w:color w:val="auto"/>
                <w:sz w:val="20"/>
                <w:szCs w:val="21"/>
                <w:highlight w:val="none"/>
              </w:rPr>
              <w:t xml:space="preserve">、按照要求及时报送数据等）；及时整改媒体曝光问题、居民投诉等。</w:t>
            </w:r>
            <w:r/>
          </w:p>
        </w:tc>
        <w:tc>
          <w:tcPr>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5</w:t>
            </w:r>
            <w:r/>
          </w:p>
        </w:tc>
        <w:tc>
          <w:tcPr>
            <w:tcW w:w="234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（1）未按时完成街道及社区安排、交办的相关工作一次扣2分；</w:t>
            </w:r>
            <w:r/>
          </w:p>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（2）被媒体曝光、居民投诉等未整改一次扣1分。</w:t>
            </w:r>
            <w:r/>
          </w:p>
        </w:tc>
        <w:tc>
          <w:tcPr>
            <w:tcW w:w="90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878"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r>
      <w:tr>
        <w:trPr>
          <w:jc w:val="center"/>
          <w:trHeight w:val="2487"/>
        </w:trPr>
        <w:tc>
          <w:tcPr>
            <w:tcBorders>
              <w:bottom w:val="single" w:color="auto" w:sz="4" w:space="0"/>
            </w:tcBorders>
            <w:tcW w:w="774" w:type="dxa"/>
            <w:vAlign w:val="center"/>
            <w:vMerge w:val="continue"/>
            <w:textDirection w:val="lrTb"/>
            <w:noWrap w:val="false"/>
          </w:tcPr>
          <w:p>
            <w:pPr>
              <w:jc w:val="center"/>
              <w:spacing w:after="0" w:line="240" w:lineRule="auto"/>
              <w:widowControl/>
              <w:rPr>
                <w:rFonts w:hint="eastAsia" w:ascii="仿宋_GB2312" w:hAnsi="宋体" w:eastAsia="仿宋_GB2312" w:cs="仿宋_GB2312"/>
                <w:color w:val="auto"/>
                <w:sz w:val="18"/>
                <w:szCs w:val="18"/>
                <w:highlight w:val="none"/>
              </w:rPr>
            </w:pPr>
            <w:r>
              <w:rPr>
                <w:rFonts w:hint="eastAsia" w:ascii="仿宋_GB2312" w:hAnsi="宋体" w:eastAsia="仿宋_GB2312" w:cs="仿宋_GB2312"/>
                <w:color w:val="auto"/>
                <w:sz w:val="18"/>
                <w:szCs w:val="18"/>
                <w:highlight w:val="none"/>
              </w:rPr>
            </w:r>
            <w:r/>
          </w:p>
        </w:tc>
        <w:tc>
          <w:tcPr>
            <w:tcW w:w="781" w:type="dxa"/>
            <w:vAlign w:val="center"/>
            <w:vMerge w:val="continue"/>
            <w:textDirection w:val="tbRlV"/>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2096"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小区设置物业管理站，周一至周五8小时业务</w:t>
            </w:r>
            <w:r>
              <w:rPr>
                <w:rFonts w:hint="eastAsia" w:ascii="仿宋_GB2312" w:hAnsi="宋体" w:eastAsia="仿宋_GB2312" w:cs="仿宋_GB2312"/>
                <w:color w:val="auto"/>
                <w:sz w:val="20"/>
                <w:szCs w:val="21"/>
                <w:highlight w:val="none"/>
                <w:lang w:eastAsia="zh-CN"/>
              </w:rPr>
              <w:t xml:space="preserve">接待</w:t>
            </w:r>
            <w:r>
              <w:rPr>
                <w:rFonts w:hint="eastAsia" w:ascii="仿宋_GB2312" w:hAnsi="宋体" w:eastAsia="仿宋_GB2312" w:cs="仿宋_GB2312"/>
                <w:color w:val="auto"/>
                <w:sz w:val="20"/>
                <w:szCs w:val="21"/>
                <w:highlight w:val="none"/>
              </w:rPr>
              <w:t xml:space="preserve">，设立2</w:t>
            </w:r>
            <w:r>
              <w:rPr>
                <w:rFonts w:ascii="仿宋_GB2312" w:hAnsi="宋体" w:eastAsia="仿宋_GB2312" w:cs="仿宋_GB2312"/>
                <w:color w:val="auto"/>
                <w:sz w:val="20"/>
                <w:szCs w:val="21"/>
                <w:highlight w:val="none"/>
              </w:rPr>
              <w:t xml:space="preserve">4小时值班服务电话，有完整的保修维修和回访记录。</w:t>
            </w:r>
            <w:r>
              <w:rPr>
                <w:rFonts w:hint="eastAsia" w:ascii="仿宋_GB2312" w:hAnsi="宋体" w:eastAsia="仿宋_GB2312" w:cs="仿宋_GB2312"/>
                <w:color w:val="auto"/>
                <w:sz w:val="20"/>
                <w:szCs w:val="21"/>
                <w:highlight w:val="none"/>
              </w:rPr>
              <w:t xml:space="preserve">及时处理业主的合理诉求，无打骂业主等恶劣行为，小区无因物业管理而引起的群体性事件发生。</w:t>
            </w:r>
            <w:r/>
          </w:p>
        </w:tc>
        <w:tc>
          <w:tcPr>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7</w:t>
            </w:r>
            <w:r/>
          </w:p>
        </w:tc>
        <w:tc>
          <w:tcPr>
            <w:tcW w:w="2340"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（1）无维修、维修回访记录扣1分。</w:t>
            </w:r>
            <w:r/>
          </w:p>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（2）未及时处理投诉、发生物业管理而引起群体性事件一次扣1分。</w:t>
            </w:r>
            <w:r/>
          </w:p>
        </w:tc>
        <w:tc>
          <w:tcPr>
            <w:tcW w:w="90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W w:w="878"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r>
      <w:tr>
        <w:trPr>
          <w:jc w:val="center"/>
          <w:trHeight w:val="630"/>
        </w:trPr>
        <w:tc>
          <w:tcPr>
            <w:tcBorders>
              <w:bottom w:val="none" w:color="000000" w:sz="4" w:space="0"/>
            </w:tcBorders>
            <w:tcW w:w="774"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Borders>
              <w:bottom w:val="single" w:color="auto" w:sz="4" w:space="0"/>
            </w:tcBorders>
            <w:tcW w:w="781"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小类</w:t>
            </w:r>
            <w:r/>
          </w:p>
        </w:tc>
        <w:tc>
          <w:tcPr>
            <w:tcW w:w="2096"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考核内容</w:t>
            </w:r>
            <w:r/>
          </w:p>
        </w:tc>
        <w:tc>
          <w:tcPr>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分值</w:t>
            </w:r>
            <w:r/>
          </w:p>
        </w:tc>
        <w:tc>
          <w:tcPr>
            <w:tcW w:w="234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扣分内容</w:t>
            </w:r>
            <w:r/>
          </w:p>
        </w:tc>
        <w:tc>
          <w:tcPr>
            <w:tcW w:w="90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得分</w:t>
            </w:r>
            <w:r/>
          </w:p>
        </w:tc>
        <w:tc>
          <w:tcPr>
            <w:tcW w:w="878"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备注</w:t>
            </w:r>
            <w:r/>
          </w:p>
        </w:tc>
      </w:tr>
      <w:tr>
        <w:trPr>
          <w:jc w:val="center"/>
          <w:trHeight w:val="1562"/>
        </w:trPr>
        <w:tc>
          <w:tcPr>
            <w:tcBorders>
              <w:top w:val="none" w:color="000000" w:sz="4" w:space="0"/>
              <w:bottom w:val="single" w:color="auto" w:sz="4" w:space="0"/>
            </w:tcBorders>
            <w:tcW w:w="774"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精细化</w:t>
            </w:r>
            <w:r/>
          </w:p>
        </w:tc>
        <w:tc>
          <w:tcPr>
            <w:tcBorders>
              <w:bottom w:val="single" w:color="auto" w:sz="4" w:space="0"/>
            </w:tcBorders>
            <w:tcW w:w="781"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投诉处理</w:t>
            </w:r>
            <w:r>
              <w:rPr>
                <w:rFonts w:ascii="仿宋_GB2312" w:hAnsi="宋体" w:eastAsia="仿宋_GB2312" w:cs="仿宋_GB2312"/>
                <w:color w:val="auto"/>
                <w:sz w:val="20"/>
                <w:szCs w:val="21"/>
                <w:highlight w:val="none"/>
              </w:rPr>
              <w:t xml:space="preserve">（</w:t>
            </w:r>
            <w:r>
              <w:rPr>
                <w:rFonts w:hint="eastAsia" w:ascii="仿宋_GB2312" w:hAnsi="宋体" w:eastAsia="仿宋_GB2312" w:cs="仿宋_GB2312"/>
                <w:color w:val="auto"/>
                <w:sz w:val="20"/>
                <w:szCs w:val="21"/>
                <w:highlight w:val="none"/>
              </w:rPr>
              <w:t xml:space="preserve">8</w:t>
            </w:r>
            <w:r>
              <w:rPr>
                <w:rFonts w:ascii="仿宋_GB2312" w:hAnsi="宋体" w:eastAsia="仿宋_GB2312" w:cs="仿宋_GB2312"/>
                <w:color w:val="auto"/>
                <w:sz w:val="20"/>
                <w:szCs w:val="21"/>
                <w:highlight w:val="none"/>
              </w:rPr>
              <w:t xml:space="preserve">分）</w:t>
            </w:r>
            <w:r/>
          </w:p>
        </w:tc>
        <w:tc>
          <w:tcPr>
            <w:tcBorders>
              <w:bottom w:val="single" w:color="auto" w:sz="4" w:space="0"/>
            </w:tcBorders>
            <w:tcW w:w="2096"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投诉处理</w:t>
            </w:r>
            <w:r/>
          </w:p>
        </w:tc>
        <w:tc>
          <w:tcPr>
            <w:tcBorders>
              <w:bottom w:val="single" w:color="auto" w:sz="4" w:space="0"/>
            </w:tcBorders>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8</w:t>
            </w:r>
            <w:r/>
          </w:p>
        </w:tc>
        <w:tc>
          <w:tcPr>
            <w:tcBorders>
              <w:bottom w:val="single" w:color="auto" w:sz="4" w:space="0"/>
            </w:tcBorders>
            <w:tcW w:w="234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因物业公司原因导致12345有效投诉或者其他方式投诉的，有一次扣1分</w:t>
            </w:r>
            <w:r/>
          </w:p>
        </w:tc>
        <w:tc>
          <w:tcPr>
            <w:tcBorders>
              <w:bottom w:val="single" w:color="auto" w:sz="4" w:space="0"/>
            </w:tcBorders>
            <w:tcW w:w="90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Borders>
              <w:bottom w:val="single" w:color="auto" w:sz="4" w:space="0"/>
            </w:tcBorders>
            <w:tcW w:w="878"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r>
      <w:tr>
        <w:trPr>
          <w:jc w:val="center"/>
          <w:trHeight w:val="1979"/>
        </w:trPr>
        <w:tc>
          <w:tcPr>
            <w:tcBorders>
              <w:bottom w:val="single" w:color="auto" w:sz="4" w:space="0"/>
            </w:tcBorders>
            <w:tcW w:w="774"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Borders>
              <w:bottom w:val="single" w:color="auto" w:sz="4" w:space="0"/>
            </w:tcBorders>
            <w:tcW w:w="781"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满意度测评（</w:t>
            </w:r>
            <w:r>
              <w:rPr>
                <w:rFonts w:hint="eastAsia" w:ascii="仿宋_GB2312" w:hAnsi="宋体" w:eastAsia="仿宋_GB2312" w:cs="仿宋_GB2312"/>
                <w:color w:val="auto"/>
                <w:sz w:val="20"/>
                <w:szCs w:val="21"/>
                <w:highlight w:val="none"/>
              </w:rPr>
              <w:t xml:space="preserve">8</w:t>
            </w:r>
            <w:r>
              <w:rPr>
                <w:rFonts w:ascii="仿宋_GB2312" w:hAnsi="宋体" w:eastAsia="仿宋_GB2312" w:cs="仿宋_GB2312"/>
                <w:color w:val="auto"/>
                <w:sz w:val="20"/>
                <w:szCs w:val="21"/>
                <w:highlight w:val="none"/>
              </w:rPr>
              <w:t xml:space="preserve">分）</w:t>
            </w:r>
            <w:r/>
          </w:p>
        </w:tc>
        <w:tc>
          <w:tcPr>
            <w:tcBorders>
              <w:bottom w:val="single" w:color="auto" w:sz="4" w:space="0"/>
            </w:tcBorders>
            <w:tcW w:w="2096"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随机抽取小区居民进行测评，各小区不少于</w:t>
            </w:r>
            <w:r>
              <w:rPr>
                <w:rFonts w:hint="eastAsia" w:ascii="仿宋_GB2312" w:hAnsi="宋体" w:eastAsia="仿宋_GB2312" w:cs="仿宋_GB2312"/>
                <w:color w:val="auto"/>
                <w:sz w:val="20"/>
                <w:szCs w:val="21"/>
                <w:highlight w:val="none"/>
              </w:rPr>
              <w:t xml:space="preserve">2</w:t>
            </w:r>
            <w:r>
              <w:rPr>
                <w:rFonts w:ascii="仿宋_GB2312" w:hAnsi="宋体" w:eastAsia="仿宋_GB2312" w:cs="仿宋_GB2312"/>
                <w:color w:val="auto"/>
                <w:sz w:val="20"/>
                <w:szCs w:val="21"/>
                <w:highlight w:val="none"/>
              </w:rPr>
              <w:t xml:space="preserve">0人，居民满意度</w:t>
            </w:r>
            <w:r>
              <w:rPr>
                <w:rFonts w:hint="eastAsia" w:ascii="仿宋_GB2312" w:hAnsi="宋体" w:eastAsia="仿宋_GB2312" w:cs="仿宋_GB2312"/>
                <w:color w:val="auto"/>
                <w:sz w:val="20"/>
                <w:szCs w:val="21"/>
                <w:highlight w:val="none"/>
              </w:rPr>
              <w:t xml:space="preserve">9</w:t>
            </w:r>
            <w:r>
              <w:rPr>
                <w:rFonts w:ascii="仿宋_GB2312" w:hAnsi="宋体" w:eastAsia="仿宋_GB2312" w:cs="仿宋_GB2312"/>
                <w:color w:val="auto"/>
                <w:sz w:val="20"/>
                <w:szCs w:val="21"/>
                <w:highlight w:val="none"/>
              </w:rPr>
              <w:t xml:space="preserve">0%以上。</w:t>
            </w:r>
            <w:r/>
          </w:p>
        </w:tc>
        <w:tc>
          <w:tcPr>
            <w:tcBorders>
              <w:bottom w:val="single" w:color="auto" w:sz="4" w:space="0"/>
            </w:tcBorders>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8</w:t>
            </w:r>
            <w:r/>
          </w:p>
        </w:tc>
        <w:tc>
          <w:tcPr>
            <w:tcBorders>
              <w:bottom w:val="single" w:color="auto" w:sz="4" w:space="0"/>
            </w:tcBorders>
            <w:tcW w:w="234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每下降</w:t>
            </w:r>
            <w:r>
              <w:rPr>
                <w:rFonts w:hint="eastAsia" w:ascii="仿宋_GB2312" w:hAnsi="宋体" w:eastAsia="仿宋_GB2312" w:cs="仿宋_GB2312"/>
                <w:color w:val="auto"/>
                <w:sz w:val="20"/>
                <w:szCs w:val="21"/>
                <w:highlight w:val="none"/>
              </w:rPr>
              <w:t xml:space="preserve">5</w:t>
            </w:r>
            <w:r>
              <w:rPr>
                <w:rFonts w:ascii="仿宋_GB2312" w:hAnsi="宋体" w:eastAsia="仿宋_GB2312" w:cs="仿宋_GB2312"/>
                <w:color w:val="auto"/>
                <w:sz w:val="20"/>
                <w:szCs w:val="21"/>
                <w:highlight w:val="none"/>
              </w:rPr>
              <w:t xml:space="preserve">%，扣</w:t>
            </w:r>
            <w:r>
              <w:rPr>
                <w:rFonts w:hint="eastAsia" w:ascii="仿宋_GB2312" w:hAnsi="宋体" w:eastAsia="仿宋_GB2312" w:cs="仿宋_GB2312"/>
                <w:color w:val="auto"/>
                <w:sz w:val="20"/>
                <w:szCs w:val="21"/>
                <w:highlight w:val="none"/>
              </w:rPr>
              <w:t xml:space="preserve">0</w:t>
            </w:r>
            <w:r>
              <w:rPr>
                <w:rFonts w:ascii="仿宋_GB2312" w:hAnsi="宋体" w:eastAsia="仿宋_GB2312" w:cs="仿宋_GB2312"/>
                <w:color w:val="auto"/>
                <w:sz w:val="20"/>
                <w:szCs w:val="21"/>
                <w:highlight w:val="none"/>
              </w:rPr>
              <w:t xml:space="preserve">.5分，低于</w:t>
            </w:r>
            <w:r>
              <w:rPr>
                <w:rFonts w:hint="eastAsia" w:ascii="仿宋_GB2312" w:hAnsi="宋体" w:eastAsia="仿宋_GB2312" w:cs="仿宋_GB2312"/>
                <w:color w:val="auto"/>
                <w:sz w:val="20"/>
                <w:szCs w:val="21"/>
                <w:highlight w:val="none"/>
              </w:rPr>
              <w:t xml:space="preserve">6</w:t>
            </w:r>
            <w:r>
              <w:rPr>
                <w:rFonts w:ascii="仿宋_GB2312" w:hAnsi="宋体" w:eastAsia="仿宋_GB2312" w:cs="仿宋_GB2312"/>
                <w:color w:val="auto"/>
                <w:sz w:val="20"/>
                <w:szCs w:val="21"/>
                <w:highlight w:val="none"/>
              </w:rPr>
              <w:t xml:space="preserve">0%，不得分。</w:t>
            </w:r>
            <w:r/>
          </w:p>
        </w:tc>
        <w:tc>
          <w:tcPr>
            <w:tcBorders>
              <w:bottom w:val="single" w:color="auto" w:sz="4" w:space="0"/>
            </w:tcBorders>
            <w:tcW w:w="90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Borders>
              <w:bottom w:val="single" w:color="auto" w:sz="4" w:space="0"/>
            </w:tcBorders>
            <w:tcW w:w="878"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r>
      <w:tr>
        <w:trPr>
          <w:jc w:val="center"/>
          <w:trHeight w:val="691"/>
        </w:trPr>
        <w:tc>
          <w:tcPr>
            <w:tcBorders>
              <w:right w:val="none" w:color="000000" w:sz="4" w:space="0"/>
            </w:tcBorders>
            <w:tcW w:w="774"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Borders>
              <w:left w:val="none" w:color="000000" w:sz="4" w:space="0"/>
              <w:right w:val="none" w:color="000000" w:sz="4" w:space="0"/>
            </w:tcBorders>
            <w:tcW w:w="781" w:type="dxa"/>
            <w:vAlign w:val="center"/>
            <w:textDirection w:val="tbRlV"/>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Borders>
              <w:left w:val="none" w:color="000000" w:sz="4" w:space="0"/>
              <w:right w:val="none" w:color="000000" w:sz="4" w:space="0"/>
            </w:tcBorders>
            <w:tcW w:w="2096"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加分项：</w:t>
            </w:r>
            <w:r>
              <w:rPr>
                <w:rFonts w:hint="eastAsia" w:ascii="仿宋_GB2312" w:hAnsi="宋体" w:eastAsia="仿宋_GB2312" w:cs="仿宋_GB2312"/>
                <w:color w:val="auto"/>
                <w:sz w:val="20"/>
                <w:szCs w:val="21"/>
                <w:highlight w:val="none"/>
                <w:u w:val="single"/>
              </w:rPr>
              <w:t xml:space="preserve"> </w:t>
            </w:r>
            <w:r>
              <w:rPr>
                <w:rFonts w:ascii="仿宋_GB2312" w:hAnsi="宋体" w:eastAsia="仿宋_GB2312" w:cs="仿宋_GB2312"/>
                <w:color w:val="auto"/>
                <w:sz w:val="20"/>
                <w:szCs w:val="21"/>
                <w:highlight w:val="none"/>
                <w:u w:val="single"/>
              </w:rPr>
              <w:t xml:space="preserve">    </w:t>
            </w:r>
            <w:r>
              <w:rPr>
                <w:rFonts w:ascii="仿宋_GB2312" w:hAnsi="宋体" w:eastAsia="仿宋_GB2312" w:cs="仿宋_GB2312"/>
                <w:color w:val="auto"/>
                <w:sz w:val="20"/>
                <w:szCs w:val="21"/>
                <w:highlight w:val="none"/>
              </w:rPr>
              <w:t xml:space="preserve">分</w:t>
            </w:r>
            <w:r/>
          </w:p>
        </w:tc>
        <w:tc>
          <w:tcPr>
            <w:tcBorders>
              <w:left w:val="none" w:color="000000" w:sz="4" w:space="0"/>
            </w:tcBorders>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Borders>
              <w:right w:val="none" w:color="000000" w:sz="4" w:space="0"/>
            </w:tcBorders>
            <w:tcW w:w="2340"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t xml:space="preserve">加分理由：</w:t>
            </w:r>
            <w:r/>
          </w:p>
        </w:tc>
        <w:tc>
          <w:tcPr>
            <w:tcBorders>
              <w:left w:val="none" w:color="000000" w:sz="4" w:space="0"/>
              <w:right w:val="none" w:color="000000" w:sz="4" w:space="0"/>
            </w:tcBorders>
            <w:tcW w:w="90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Borders>
              <w:left w:val="none" w:color="000000" w:sz="4" w:space="0"/>
            </w:tcBorders>
            <w:tcW w:w="878"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r>
      <w:tr>
        <w:trPr>
          <w:jc w:val="center"/>
          <w:trHeight w:val="691"/>
        </w:trPr>
        <w:tc>
          <w:tcPr>
            <w:tcBorders>
              <w:bottom w:val="single" w:color="auto" w:sz="4" w:space="0"/>
              <w:right w:val="none" w:color="000000" w:sz="4" w:space="0"/>
            </w:tcBorders>
            <w:tcW w:w="774"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Borders>
              <w:left w:val="none" w:color="000000" w:sz="4" w:space="0"/>
              <w:bottom w:val="single" w:color="auto" w:sz="4" w:space="0"/>
              <w:right w:val="none" w:color="000000" w:sz="4" w:space="0"/>
            </w:tcBorders>
            <w:tcW w:w="781" w:type="dxa"/>
            <w:vAlign w:val="center"/>
            <w:textDirection w:val="tbRlV"/>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Borders>
              <w:left w:val="none" w:color="000000" w:sz="4" w:space="0"/>
              <w:bottom w:val="single" w:color="auto" w:sz="4" w:space="0"/>
              <w:right w:val="none" w:color="000000" w:sz="4" w:space="0"/>
            </w:tcBorders>
            <w:tcW w:w="2096"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减分项：</w:t>
            </w:r>
            <w:r>
              <w:rPr>
                <w:rFonts w:hint="eastAsia" w:ascii="仿宋_GB2312" w:hAnsi="宋体" w:eastAsia="仿宋_GB2312" w:cs="仿宋_GB2312"/>
                <w:color w:val="auto"/>
                <w:sz w:val="20"/>
                <w:szCs w:val="21"/>
                <w:highlight w:val="none"/>
                <w:u w:val="single"/>
              </w:rPr>
              <w:t xml:space="preserve"> </w:t>
            </w:r>
            <w:r>
              <w:rPr>
                <w:rFonts w:ascii="仿宋_GB2312" w:hAnsi="宋体" w:eastAsia="仿宋_GB2312" w:cs="仿宋_GB2312"/>
                <w:color w:val="auto"/>
                <w:sz w:val="20"/>
                <w:szCs w:val="21"/>
                <w:highlight w:val="none"/>
                <w:u w:val="single"/>
              </w:rPr>
              <w:t xml:space="preserve">    </w:t>
            </w:r>
            <w:r>
              <w:rPr>
                <w:rFonts w:ascii="仿宋_GB2312" w:hAnsi="宋体" w:eastAsia="仿宋_GB2312" w:cs="仿宋_GB2312"/>
                <w:color w:val="auto"/>
                <w:sz w:val="20"/>
                <w:szCs w:val="21"/>
                <w:highlight w:val="none"/>
              </w:rPr>
              <w:t xml:space="preserve">分</w:t>
            </w:r>
            <w:r/>
          </w:p>
        </w:tc>
        <w:tc>
          <w:tcPr>
            <w:tcBorders>
              <w:left w:val="none" w:color="000000" w:sz="4" w:space="0"/>
              <w:bottom w:val="single" w:color="auto" w:sz="4" w:space="0"/>
            </w:tcBorders>
            <w:tcW w:w="753"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Borders>
              <w:bottom w:val="single" w:color="auto" w:sz="4" w:space="0"/>
              <w:right w:val="none" w:color="000000" w:sz="4" w:space="0"/>
            </w:tcBorders>
            <w:tcW w:w="2340" w:type="dxa"/>
            <w:vAlign w:val="center"/>
            <w:textDirection w:val="lrTb"/>
            <w:noWrap w:val="false"/>
          </w:tcPr>
          <w:p>
            <w:pPr>
              <w:jc w:val="left"/>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减分理由：</w:t>
            </w:r>
            <w:r/>
          </w:p>
        </w:tc>
        <w:tc>
          <w:tcPr>
            <w:tcBorders>
              <w:left w:val="none" w:color="000000" w:sz="4" w:space="0"/>
              <w:bottom w:val="single" w:color="auto" w:sz="4" w:space="0"/>
              <w:right w:val="none" w:color="000000" w:sz="4" w:space="0"/>
            </w:tcBorders>
            <w:tcW w:w="900"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c>
          <w:tcPr>
            <w:tcBorders>
              <w:left w:val="none" w:color="000000" w:sz="4" w:space="0"/>
              <w:bottom w:val="single" w:color="auto" w:sz="4" w:space="0"/>
            </w:tcBorders>
            <w:tcW w:w="878"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tc>
      </w:tr>
      <w:tr>
        <w:trPr>
          <w:jc w:val="center"/>
          <w:trHeight w:val="691"/>
        </w:trPr>
        <w:tc>
          <w:tcPr>
            <w:gridSpan w:val="7"/>
            <w:tcBorders>
              <w:bottom w:val="single" w:color="auto" w:sz="4" w:space="0"/>
            </w:tcBorders>
            <w:tcW w:w="8522" w:type="dxa"/>
            <w:vAlign w:val="center"/>
            <w:textDirection w:val="lrTb"/>
            <w:noWrap w:val="false"/>
          </w:tcPr>
          <w:p>
            <w:pPr>
              <w:jc w:val="center"/>
              <w:spacing w:after="0" w:line="240" w:lineRule="auto"/>
              <w:widowControl/>
              <w:rPr>
                <w:rFonts w:hint="eastAsia" w:ascii="仿宋_GB2312" w:hAnsi="宋体" w:eastAsia="仿宋_GB2312" w:cs="仿宋_GB2312"/>
                <w:color w:val="auto"/>
                <w:sz w:val="20"/>
                <w:szCs w:val="21"/>
                <w:highlight w:val="none"/>
              </w:rPr>
            </w:pPr>
            <w:r>
              <w:rPr>
                <w:rFonts w:ascii="仿宋_GB2312" w:hAnsi="宋体" w:eastAsia="仿宋_GB2312" w:cs="仿宋_GB2312"/>
                <w:color w:val="auto"/>
                <w:sz w:val="20"/>
                <w:szCs w:val="21"/>
                <w:highlight w:val="none"/>
              </w:rPr>
              <w:t xml:space="preserve">项目总得分：</w:t>
            </w:r>
            <w:r>
              <w:rPr>
                <w:rFonts w:hint="eastAsia" w:ascii="仿宋_GB2312" w:hAnsi="宋体" w:eastAsia="仿宋_GB2312" w:cs="仿宋_GB2312"/>
                <w:color w:val="auto"/>
                <w:sz w:val="20"/>
                <w:szCs w:val="21"/>
                <w:highlight w:val="none"/>
                <w:u w:val="single"/>
              </w:rPr>
              <w:t xml:space="preserve"> </w:t>
            </w:r>
            <w:r>
              <w:rPr>
                <w:rFonts w:ascii="仿宋_GB2312" w:hAnsi="宋体" w:eastAsia="仿宋_GB2312" w:cs="仿宋_GB2312"/>
                <w:color w:val="auto"/>
                <w:sz w:val="20"/>
                <w:szCs w:val="21"/>
                <w:highlight w:val="none"/>
                <w:u w:val="single"/>
              </w:rPr>
              <w:t xml:space="preserve">    </w:t>
            </w:r>
            <w:r>
              <w:rPr>
                <w:rFonts w:ascii="仿宋_GB2312" w:hAnsi="宋体" w:eastAsia="仿宋_GB2312" w:cs="仿宋_GB2312"/>
                <w:color w:val="auto"/>
                <w:sz w:val="20"/>
                <w:szCs w:val="21"/>
                <w:highlight w:val="none"/>
              </w:rPr>
              <w:t xml:space="preserve">分</w:t>
            </w:r>
            <w:r/>
          </w:p>
        </w:tc>
      </w:tr>
      <w:tr>
        <w:trPr>
          <w:jc w:val="center"/>
          <w:trHeight w:val="691"/>
        </w:trPr>
        <w:tc>
          <w:tcPr>
            <w:gridSpan w:val="7"/>
            <w:tcBorders>
              <w:top w:val="single" w:color="auto" w:sz="4" w:space="0"/>
              <w:left w:val="none" w:color="000000" w:sz="4" w:space="0"/>
              <w:bottom w:val="none" w:color="000000" w:sz="4" w:space="0"/>
              <w:right w:val="none" w:color="000000" w:sz="4" w:space="0"/>
            </w:tcBorders>
            <w:tcW w:w="8522" w:type="dxa"/>
            <w:vAlign w:val="center"/>
            <w:textDirection w:val="lrTb"/>
            <w:noWrap w:val="false"/>
          </w:tcPr>
          <w:p>
            <w:pP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spacing w:after="0" w:line="240" w:lineRule="auto"/>
              <w:widowControl/>
              <w:rPr>
                <w:rFonts w:hint="eastAsia" w:ascii="仿宋_GB2312" w:hAnsi="宋体" w:eastAsia="仿宋_GB2312" w:cs="仿宋_GB2312"/>
                <w:color w:val="auto"/>
                <w:sz w:val="20"/>
                <w:szCs w:val="21"/>
                <w:highlight w:val="none"/>
              </w:rPr>
            </w:pPr>
            <w:r>
              <w:rPr>
                <w:rFonts w:hint="eastAsia" w:ascii="仿宋_GB2312" w:hAnsi="宋体" w:eastAsia="仿宋_GB2312" w:cs="仿宋_GB2312"/>
                <w:color w:val="auto"/>
                <w:sz w:val="20"/>
                <w:szCs w:val="21"/>
                <w:highlight w:val="none"/>
              </w:rPr>
            </w:r>
            <w:r/>
          </w:p>
          <w:p>
            <w:pPr>
              <w:spacing w:after="0" w:line="240" w:lineRule="auto"/>
              <w:widowControl/>
              <w:rPr>
                <w:rFonts w:hint="eastAsia" w:ascii="仿宋_GB2312" w:hAnsi="宋体" w:eastAsia="仿宋_GB2312" w:cs="仿宋_GB2312"/>
                <w:b/>
                <w:color w:val="auto"/>
                <w:sz w:val="20"/>
                <w:szCs w:val="21"/>
                <w:highlight w:val="none"/>
              </w:rPr>
            </w:pPr>
            <w:r>
              <w:rPr>
                <w:rFonts w:ascii="仿宋_GB2312" w:hAnsi="宋体" w:eastAsia="仿宋_GB2312" w:cs="仿宋_GB2312"/>
                <w:b/>
                <w:color w:val="auto"/>
                <w:sz w:val="20"/>
                <w:szCs w:val="21"/>
                <w:highlight w:val="none"/>
              </w:rPr>
              <w:t xml:space="preserve">考核人员：</w:t>
            </w:r>
            <w:r>
              <w:rPr>
                <w:rFonts w:hint="eastAsia" w:ascii="仿宋_GB2312" w:hAnsi="宋体" w:eastAsia="仿宋_GB2312" w:cs="仿宋_GB2312"/>
                <w:b/>
                <w:color w:val="auto"/>
                <w:sz w:val="20"/>
                <w:szCs w:val="21"/>
                <w:highlight w:val="none"/>
              </w:rPr>
              <w:t xml:space="preserve"> </w:t>
            </w:r>
            <w:r>
              <w:rPr>
                <w:rFonts w:ascii="仿宋_GB2312" w:hAnsi="宋体" w:eastAsia="仿宋_GB2312" w:cs="仿宋_GB2312"/>
                <w:b/>
                <w:color w:val="auto"/>
                <w:sz w:val="20"/>
                <w:szCs w:val="21"/>
                <w:highlight w:val="none"/>
              </w:rPr>
              <w:t xml:space="preserve">                                                日期：</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物业管理人员考核标准及要求：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物业经理要求：拟派物业经理中标后须常驻本项目现场，不得兼任</w:t>
      </w:r>
      <w:r>
        <w:rPr>
          <w:rFonts w:hint="eastAsia" w:ascii="宋体" w:hAnsi="宋体" w:eastAsia="宋体" w:cs="宋体"/>
          <w:color w:val="auto"/>
          <w:sz w:val="24"/>
          <w:szCs w:val="24"/>
          <w:highlight w:val="none"/>
          <w:lang w:eastAsia="zh-CN"/>
        </w:rPr>
        <w:t xml:space="preserve">其他物业</w:t>
      </w:r>
      <w:r>
        <w:rPr>
          <w:rFonts w:hint="eastAsia" w:ascii="宋体" w:hAnsi="宋体" w:eastAsia="宋体" w:cs="宋体"/>
          <w:color w:val="auto"/>
          <w:sz w:val="24"/>
          <w:szCs w:val="24"/>
          <w:highlight w:val="none"/>
        </w:rPr>
        <w:t xml:space="preserve">经理。如果乙方未经甲方同意，更换已选定的物业经理，须向甲方支付违约金人民币壹拾万元/人次（￥100，000）。</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中标方所派驻所有人员不得缺岗，缺编一人罚款按照五人工资标准进行核算，并扣10分处理。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业主违反合同的约定，使中标人未完成规定管理目标，中标人有权要求业主在一定期限内解决，逾期未解决的，中标人有权终止合同，造成中标人经济损失的，业主给予中标人经济赔偿。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中标人违反合同的约定，未能达到约定的管理目标，业主有权要求中标人限期整改，逾期未整改的，业主有权终止合同，造成业主经济损失的，中标人应给予业主赔偿。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现场物管人员迟到、早退的，责令当事人限期改正：中标人应承担50-200元／人／次违约金。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现场物管人员睡岗的，中标人应承担50-200元／人／次违约金。现场物管人员脱岗的，中标人应承担100-300元／人／次违约金。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现场物管人员发生责任事故或造成不良社会影响的，由中标人对当事人进行调换处理，中标人并承担5000元／人／次违约金。构成犯罪的，除有关机关依法追究当事人和直接责任人员的刑事责任：中标人还应承担10000元/人/次违约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做好宣传警示工作，安排固定劝导员劝导居民有序定时定点投放，如遇区级主管部门考核不通过，中标人应承担1000-3000元／次违约金处罚。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管理小区获得省优的，一次性奖励20万元，获得市优的，一次性奖励10万元。管理小区一年内获得一次区级书面通报表扬奖励</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一次性奖励2万元，二次获得的一次性奖励5万元，三次获得的一次性奖励10万元。获得市级书面通报表扬奖励的一次奖励5万元，二次获得的一次性奖励10万元。管理小区一年内一次</w:t>
      </w:r>
      <w:r>
        <w:rPr>
          <w:rFonts w:hint="eastAsia" w:ascii="宋体" w:hAnsi="宋体" w:eastAsia="宋体" w:cs="宋体"/>
          <w:color w:val="auto"/>
          <w:sz w:val="24"/>
          <w:szCs w:val="24"/>
          <w:highlight w:val="none"/>
          <w:lang w:val="en-US" w:eastAsia="zh-CN"/>
        </w:rPr>
        <w:t xml:space="preserve">获得</w:t>
      </w:r>
      <w:r>
        <w:rPr>
          <w:rFonts w:hint="eastAsia" w:ascii="宋体" w:hAnsi="宋体" w:eastAsia="宋体" w:cs="宋体"/>
          <w:color w:val="auto"/>
          <w:sz w:val="24"/>
          <w:szCs w:val="24"/>
          <w:highlight w:val="none"/>
        </w:rPr>
        <w:t xml:space="preserve">区级及以上书面通报或检查曝光的扣款5万元，二次获得的扣款20万元，三次获得的直接解除合同。</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如果发现有违法搭建，中标的物业公司要及时制止并在第一时间告知所属社区，并采取一定的措施。并在甲方规定的时间内拆除，如不及时拆除，有一处违法搭建扣除物业费5000元</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注：以上罚款皆从当季的物业费中直接扣除。</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6.7合同解除</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如有下列情形之一，采购人将按法律程序进行处理：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（1）因管理服务不到位，出现较大安全事故，造成社会影响的；</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（2）住户对物业服务出现群体性投诉、上访，而得不到有效解决，造成社区不稳定因素的；</w:t>
      </w:r>
      <w:r/>
    </w:p>
    <w:p>
      <w:pPr>
        <w:ind w:firstLine="480"/>
        <w:spacing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（3）年终业主满意度低于60%的。</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.其他要求</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 </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.1以下相关费用由供应商承担： </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本项目</w:t>
      </w:r>
      <w:r>
        <w:rPr>
          <w:rFonts w:hint="eastAsia" w:ascii="宋体" w:hAnsi="宋体" w:eastAsia="宋体"/>
          <w:color w:val="auto"/>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p>
    <w:p>
      <w:pPr>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b/>
          <w:bCs/>
          <w:color w:val="auto"/>
          <w:sz w:val="24"/>
          <w:szCs w:val="24"/>
          <w:highlight w:val="none"/>
          <w:lang w:val="en-US" w:eastAsia="zh-CN"/>
        </w:rPr>
        <w:t xml:space="preserve">（1）物业管理的维护和保养：</w:t>
      </w:r>
      <w:r>
        <w:rPr>
          <w:rFonts w:hint="default" w:ascii="宋体" w:hAnsi="宋体" w:eastAsia="宋体"/>
          <w:color w:val="auto"/>
          <w:sz w:val="24"/>
          <w:szCs w:val="24"/>
          <w:highlight w:val="none"/>
          <w:lang w:val="en-US" w:eastAsia="zh-CN"/>
        </w:rPr>
        <w:t xml:space="preserve">按照无锡市行业修理规范标准，凡属房屋基础性、结构性的维修外，维修费用由承包方承担（中标单位入驻前存在的原有问题除外）。对已维修、维保的项目内容（质量）必须符合规范要求，费用由中标方承担。（具体以街道实施办法为准）：</w:t>
      </w:r>
      <w:r/>
    </w:p>
    <w:p>
      <w:pPr>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b/>
          <w:bCs/>
          <w:color w:val="auto"/>
          <w:sz w:val="24"/>
          <w:szCs w:val="24"/>
          <w:highlight w:val="none"/>
          <w:lang w:val="en-US" w:eastAsia="zh-CN"/>
        </w:rPr>
        <w:t xml:space="preserve">（2）物业费用有关说明：</w:t>
      </w:r>
      <w:r>
        <w:rPr>
          <w:rFonts w:hint="default" w:ascii="宋体" w:hAnsi="宋体" w:eastAsia="宋体"/>
          <w:color w:val="auto"/>
          <w:sz w:val="24"/>
          <w:szCs w:val="24"/>
          <w:highlight w:val="none"/>
          <w:lang w:val="en-US" w:eastAsia="zh-CN"/>
        </w:rPr>
        <w:t xml:space="preserve">物业费包括但不限于安置小区公共服务费；绿化养护费；卫生保洁所需的工具、耗材（包括保洁车）；秩序维护人员所需的统一着装（着保安服、系武装带，戴保安帽）及安全护卫工具和警用器材；房屋和共用设施设备的维护保养费用；公共电能耗及公共水能耗费；垃圾分类（政策）服务；国家法定节假日（元旦、春节、 清明、“五一”、端午、“十一”、中秋）加班费及高温期间高温岗位高温费；工具和各类</w:t>
      </w:r>
      <w:r>
        <w:rPr>
          <w:rFonts w:hint="default" w:ascii="宋体" w:hAnsi="宋体" w:eastAsia="宋体"/>
          <w:color w:val="auto"/>
          <w:sz w:val="24"/>
          <w:szCs w:val="24"/>
          <w:highlight w:val="none"/>
          <w:lang w:val="en-US" w:eastAsia="zh-CN"/>
        </w:rPr>
        <w:t xml:space="preserve">耗材费用；人员工资、各类社保基金、人员管理成本以及人员意外成本、福利津贴费等法定费用；与报价相关的采购人的各种免费维保条件（请各投标人自行与采购人联系、了解）；所应承担的税收等相关费用；以及合同包含的所有风险、责任等采购文件已提到和采购文件虽未提到的但应该包括的完成本项目所产生的一切费用。投标人报价时应充分考虑服务期内所有可能影响到的因素（包括人员最低工资政策性调整），一旦投标结束最终中标，总价将包定（每平方米每月的综合单价将固定），不予调整。如发生漏、缺、少项，都将被认为是中标人的报价让利行为，损失自负。</w:t>
      </w:r>
      <w:r/>
    </w:p>
    <w:p>
      <w:pPr>
        <w:ind w:firstLine="480"/>
        <w:spacing w:line="360" w:lineRule="auto"/>
        <w:rPr>
          <w:rFonts w:hint="default" w:ascii="宋体" w:hAnsi="宋体" w:eastAsia="宋体"/>
          <w:b/>
          <w:bCs/>
          <w:color w:val="auto"/>
          <w:sz w:val="24"/>
          <w:szCs w:val="24"/>
          <w:highlight w:val="none"/>
          <w:lang w:val="en-US" w:eastAsia="zh-CN"/>
        </w:rPr>
      </w:pPr>
      <w:r>
        <w:rPr>
          <w:rFonts w:hint="default" w:ascii="宋体" w:hAnsi="宋体" w:eastAsia="宋体"/>
          <w:b/>
          <w:bCs/>
          <w:color w:val="auto"/>
          <w:sz w:val="24"/>
          <w:szCs w:val="24"/>
          <w:highlight w:val="none"/>
          <w:lang w:val="en-US" w:eastAsia="zh-CN"/>
        </w:rPr>
        <w:t xml:space="preserve">以上费用须严格按国家、省、市相关最新政策规定和本项目招标的要求计算并报出，否则作无效投标处理。</w:t>
      </w:r>
      <w:r/>
    </w:p>
    <w:p>
      <w:pPr>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 xml:space="preserve">7.2物业公司按照物价部门核定的标准做好对小区内非拆迁安置户（包括外来租住户和房屋买卖户）、商业店面用房的物业管理费和停车费等小区公共收益的收取工作，做到规范文明操作、应收尽收。收费总额的分配比例不得低于90%。</w:t>
      </w:r>
      <w:r/>
    </w:p>
    <w:p>
      <w:pPr>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 xml:space="preserve">7.3物业服务费由中标人每月出具当地税务正规发票按实结算。经区相关部门审核批准后，对已经上市交易的房屋的物业费收缴工作由中标单位负责。</w:t>
      </w:r>
      <w:r/>
    </w:p>
    <w:p>
      <w:pPr>
        <w:ind w:firstLine="480"/>
        <w:rPr>
          <w:rFonts w:ascii="宋体"/>
          <w:sz w:val="24"/>
        </w:rPr>
      </w:pPr>
      <w:r>
        <w:rPr>
          <w:rFonts w:hint="default" w:ascii="宋体" w:hAnsi="宋体" w:eastAsia="宋体"/>
          <w:color w:val="auto"/>
          <w:sz w:val="24"/>
          <w:szCs w:val="24"/>
          <w:highlight w:val="none"/>
          <w:lang w:val="en-US" w:eastAsia="zh-CN"/>
        </w:rPr>
        <w:t xml:space="preserve">7.4配合社区做好所管区域内城市精细化长效管理、外来人员管理、房屋租赁管理、汛期防汛、小区各类创建、文体活动秩序维护等工作。充分利用互联网＋，打造物业维修、呼叫物业、便民服务、智能门禁、智能楼宇管理等智慧物业运</w:t>
      </w:r>
      <w:r>
        <w:rPr>
          <w:rFonts w:hint="eastAsia" w:ascii="宋体" w:hAnsi="宋体" w:eastAsia="宋体" w:cs="宋体"/>
          <w:sz w:val="24"/>
          <w:szCs w:val="24"/>
          <w:highlight w:val="none"/>
        </w:rPr>
        <w:t xml:space="preserve">社区活动接待等费用等均由中标人负责提供，所需费用包含在投标报价中。</w:t>
      </w:r>
      <w:r>
        <w:rPr>
          <w:rFonts w:hint="eastAsia" w:ascii="宋体"/>
          <w:sz w:val="24"/>
        </w:rPr>
        <w:t xml:space="preserve"> </w:t>
      </w:r>
      <w:r/>
    </w:p>
    <w:p>
      <w:pPr>
        <w:ind w:firstLine="480"/>
        <w:rPr>
          <w:sz w:val="28"/>
          <w:szCs w:val="28"/>
        </w:rPr>
      </w:pPr>
      <w:r>
        <w:rPr>
          <w:rFonts w:hint="eastAsia" w:ascii="宋体"/>
          <w:sz w:val="24"/>
        </w:rPr>
        <w:t xml:space="preserve">  </w:t>
      </w:r>
      <w:r>
        <w:rPr>
          <w:rFonts w:hint="eastAsia" w:ascii="宋体" w:hAnsi="宋体"/>
          <w:b/>
          <w:sz w:val="24"/>
        </w:rPr>
        <w:t xml:space="preserve">8.关于中标后项目进行分包的要求</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rPr>
        <w:t xml:space="preserve">本项目中的消防系统维保、电梯系统维保（年检费用不含在内），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【分包事项1】</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分包具体内容：电梯系统维保</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分包金额或比例：不超过预算金额5%</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投标人或分包供应商资质条件：</w:t>
      </w:r>
      <w:r>
        <w:rPr>
          <w:rFonts w:hint="eastAsia" w:ascii="宋体" w:hAnsi="宋体" w:eastAsia="宋体" w:cs="Times New Roman"/>
          <w:bCs/>
          <w:color w:val="000000"/>
          <w:sz w:val="24"/>
          <w:szCs w:val="24"/>
          <w:highlight w:val="none"/>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bCs/>
          <w:color w:val="auto"/>
          <w:sz w:val="24"/>
          <w:szCs w:val="24"/>
          <w:highlight w:val="none"/>
          <w:lang w:eastAsia="zh-CN"/>
        </w:rPr>
        <w:t xml:space="preserve">。</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【分包事项2】</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分包具体内容：消防系统维保</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分包金额或比例：不超过预算金额2.5%</w:t>
      </w:r>
      <w:r/>
    </w:p>
    <w:p>
      <w:pPr>
        <w:ind w:firstLine="480"/>
        <w:spacing w:line="360" w:lineRule="auto"/>
      </w:pPr>
      <w:r>
        <w:rPr>
          <w:rFonts w:hint="eastAsia" w:ascii="宋体" w:hAnsi="宋体"/>
          <w:bCs/>
          <w:color w:val="auto"/>
          <w:sz w:val="24"/>
          <w:szCs w:val="24"/>
          <w:highlight w:val="none"/>
          <w:lang w:val="en-US" w:eastAsia="zh-CN"/>
        </w:rPr>
        <w:t xml:space="preserve">投标人或分包供应商资质条件：供应商具备社会消防技术服务信息系统中消防设施维护保养检测类企业，以“社会消防技术服务信息系统”网站查询结果为准。</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p>
    <w:p>
      <w:pPr>
        <w:numPr>
          <w:ilvl w:val="1"/>
          <w:numId w:val="9"/>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9"/>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9"/>
        </w:numPr>
        <w:ind w:left="0" w:firstLine="480"/>
        <w:spacing w:line="360" w:lineRule="auto"/>
        <w:tabs>
          <w:tab w:val="left" w:pos="525" w:leader="none"/>
          <w:tab w:val="clear" w:pos="780" w:leader="none"/>
          <w:tab w:val="left" w:pos="945" w:leader="none"/>
        </w:tabs>
        <w:rPr>
          <w:rFonts w:ascii="宋体" w:hAnsi="宋体"/>
          <w:color w:val="000000"/>
          <w:sz w:val="24"/>
        </w:rPr>
      </w:pPr>
      <w:r>
        <w:rPr>
          <w:rFonts w:hint="eastAsia" w:ascii="宋体" w:hAnsi="宋体"/>
          <w:color w:val="000000"/>
          <w:sz w:val="24"/>
        </w:rPr>
        <w:t xml:space="preserve">中标单位应按照相关规定，与所有聘用人员依法签订劳动合同。</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宋体"/>
          <w:color w:val="000000"/>
          <w:sz w:val="24"/>
        </w:rPr>
        <w:t xml:space="preserve">投标人必须在满足采购文件要求的基础上进行报价，如有服务偏离请于投标偏离表</w:t>
      </w:r>
      <w:r>
        <w:rPr>
          <w:rFonts w:hint="eastAsia" w:ascii="宋体" w:hAnsi="Times New Roman" w:eastAsia="宋体" w:cs="Times New Roman"/>
          <w:bCs/>
          <w:sz w:val="24"/>
          <w:szCs w:val="24"/>
        </w:rPr>
        <w:t xml:space="preserve">中说明。</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服务期限：三年（具体起始日期以合同签订日期为准）。</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付款方式：物业服务费按季度支付，第二季度次月中旬根据《小区物业管理考核标准》，结合小区物业服务考核结果，支付第一季度费用，以此类推。</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中标（成交）供应商以履约保函（保险）形式按签约合同价的1%提供履约担保。中标（成交）供应商可采用电子履约保函（保险）形式,具体操作可登录江苏政府采购网的保险保函模块进行办理。</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本项目合同履行地点：鸿泰苑三区。中标方必须按采购人要求将本项目中货物送到指定地点(包括可能的分布范围)，并分地实施安装调试。</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hAnsi="Times New Roman" w:eastAsia="宋体" w:cs="Times New Roman"/>
          <w:bCs/>
          <w:sz w:val="24"/>
          <w:szCs w:val="24"/>
        </w:rPr>
        <w:t xml:space="preserve">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w:t>
      </w:r>
      <w:r>
        <w:rPr>
          <w:rFonts w:hint="eastAsia" w:ascii="宋体"/>
          <w:bCs/>
          <w:color w:val="000000"/>
          <w:sz w:val="24"/>
          <w:szCs w:val="24"/>
          <w:highlight w:val="none"/>
        </w:rPr>
        <w:t xml:space="preserve">如供应商中标（成交）后无正当理由拒不签订政府采购合同的，依法予以处理；如供应商不履行合同或者未按合同约定履行合同导致验收不合格的，采购人应当依法追究其违约责任。</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10"/>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0"/>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0"/>
        </w:numPr>
        <w:ind w:left="0" w:firstLine="525"/>
        <w:spacing w:line="360" w:lineRule="auto"/>
        <w:tabs>
          <w:tab w:val="left" w:pos="525" w:leader="none"/>
          <w:tab w:val="clear" w:pos="780" w:leader="none"/>
          <w:tab w:val="left" w:pos="945" w:leader="none"/>
        </w:tabs>
        <w:rPr>
          <w:rFonts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0"/>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0"/>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0"/>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0"/>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0"/>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0"/>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0"/>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ascii="宋体"/>
          <w:bCs/>
          <w:sz w:val="24"/>
          <w:szCs w:val="24"/>
          <w:lang w:val="en"/>
        </w:rPr>
      </w:r>
      <w:r/>
    </w:p>
    <w:p>
      <w:pPr>
        <w:jc w:val="center"/>
        <w:spacing w:line="500" w:lineRule="exact"/>
        <w:tabs>
          <w:tab w:val="left" w:pos="1440" w:leader="none"/>
        </w:tabs>
        <w:rPr>
          <w:rFonts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6"/>
        <w:ind w:firstLine="602"/>
        <w:spacing w:before="0" w:after="0" w:line="500" w:lineRule="exact"/>
        <w:rPr>
          <w:rFonts w:cs="Arial"/>
          <w:b/>
          <w:sz w:val="30"/>
          <w:szCs w:val="30"/>
        </w:rPr>
      </w:pPr>
      <w:r>
        <w:rPr>
          <w:rFonts w:hint="eastAsia" w:cs="Arial"/>
          <w:b/>
          <w:sz w:val="30"/>
          <w:szCs w:val="30"/>
        </w:rPr>
        <w:t xml:space="preserve">第一部分  评标方法</w:t>
      </w:r>
      <w:r/>
    </w:p>
    <w:p>
      <w:pPr>
        <w:pStyle w:val="766"/>
        <w:spacing w:before="0" w:after="0" w:line="500" w:lineRule="exact"/>
        <w:rPr>
          <w:rFonts w:cs="Arial"/>
        </w:rPr>
      </w:pPr>
      <w:r>
        <w:rPr>
          <w:rFonts w:hint="eastAsia" w:cs="Arial"/>
        </w:rPr>
        <w:t xml:space="preserve">投标人通过初审的，方可进入比较与评价程序。</w:t>
      </w:r>
      <w:r/>
    </w:p>
    <w:p>
      <w:pPr>
        <w:pStyle w:val="766"/>
        <w:spacing w:before="0" w:after="0" w:line="500" w:lineRule="exact"/>
        <w:rPr>
          <w:rFonts w:cs="Arial"/>
        </w:rPr>
      </w:pPr>
      <w:r>
        <w:rPr>
          <w:rFonts w:hint="eastAsia" w:cs="Arial"/>
        </w:rPr>
        <w:t xml:space="preserve">比较与评价采用综合评分法。</w:t>
      </w:r>
      <w:r/>
    </w:p>
    <w:p>
      <w:pPr>
        <w:pStyle w:val="766"/>
        <w:spacing w:before="0" w:after="0" w:line="500" w:lineRule="exact"/>
        <w:rPr>
          <w:rStyle w:val="728"/>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6"/>
        <w:spacing w:before="0" w:after="0" w:line="500" w:lineRule="exact"/>
        <w:rPr>
          <w:rFonts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6"/>
        <w:spacing w:before="0" w:after="0" w:line="500" w:lineRule="exact"/>
        <w:rPr>
          <w:rFonts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6"/>
        <w:ind w:firstLine="562"/>
        <w:spacing w:before="0" w:after="0" w:line="500" w:lineRule="exact"/>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66"/>
        <w:ind w:firstLine="0"/>
        <w:spacing w:before="0" w:after="0" w:line="500" w:lineRule="exact"/>
        <w:rPr>
          <w:rFonts w:ascii="宋体" w:hAnsi="宋体"/>
          <w:shd w:val="clear" w:color="ffffff" w:fill="d9d9d9"/>
        </w:rPr>
      </w:pPr>
      <w:r>
        <w:rPr>
          <w:rFonts w:ascii="宋体" w:hAnsi="宋体"/>
        </w:rPr>
        <w:br w:type="page" w:clear="all"/>
      </w:r>
      <w:r>
        <w:rPr>
          <w:rFonts w:hint="eastAsia" w:ascii="宋体" w:hAnsi="宋体"/>
          <w:b/>
          <w:sz w:val="28"/>
          <w:szCs w:val="28"/>
        </w:rPr>
        <w:t xml:space="preserve">二、评分标准</w:t>
      </w:r>
      <w:r/>
    </w:p>
    <w:p>
      <w:pPr>
        <w:ind w:firstLine="562"/>
        <w:spacing w:line="500" w:lineRule="exact"/>
        <w:tabs>
          <w:tab w:val="left" w:pos="945" w:leader="none"/>
          <w:tab w:val="left" w:pos="1155" w:leader="none"/>
          <w:tab w:val="left" w:pos="3823" w:leader="none"/>
        </w:tabs>
        <w:rPr>
          <w:rFonts w:ascii="宋体" w:hAnsi="宋体"/>
          <w:b/>
          <w:sz w:val="28"/>
          <w:szCs w:val="28"/>
          <w:u w:val="single"/>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766"/>
        <w:ind w:firstLine="422"/>
        <w:spacing w:before="0" w:after="0" w:line="500" w:lineRule="exact"/>
        <w:rPr>
          <w:rFonts w:ascii="宋体" w:hAnsi="宋体"/>
          <w:b/>
          <w:sz w:val="28"/>
          <w:szCs w:val="28"/>
        </w:rPr>
      </w:pPr>
      <w:r>
        <w:rPr>
          <w:rFonts w:hint="eastAsia" w:ascii="宋体" w:hAnsi="宋体"/>
          <w:b/>
          <w:sz w:val="28"/>
          <w:szCs w:val="28"/>
        </w:rPr>
        <w:t xml:space="preserve">（一）商务部分（50分）</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价格（25分）：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4"/>
          <w:numId w:val="11"/>
        </w:numPr>
        <w:ind w:left="0" w:firstLine="482"/>
        <w:spacing w:line="500" w:lineRule="exact"/>
        <w:tabs>
          <w:tab w:val="left" w:pos="525" w:leader="none"/>
          <w:tab w:val="left" w:pos="945" w:leader="none"/>
          <w:tab w:val="left" w:pos="1155" w:leader="none"/>
          <w:tab w:val="left" w:pos="3823" w:leader="none"/>
        </w:tabs>
        <w:rPr>
          <w:b/>
          <w:bCs/>
          <w:sz w:val="24"/>
          <w:szCs w:val="24"/>
          <w:highlight w:val="none"/>
        </w:rPr>
      </w:pPr>
      <w:r>
        <w:rPr>
          <w:rFonts w:hint="eastAsia" w:ascii="宋体" w:hAnsi="宋体"/>
          <w:b/>
          <w:bCs/>
          <w:sz w:val="24"/>
          <w:szCs w:val="24"/>
          <w:highlight w:val="none"/>
        </w:rPr>
        <w:t xml:space="preserve">投标人评价（</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rPr>
          <w:rFonts w:hint="eastAsia"/>
          <w:b/>
          <w:bCs/>
          <w:sz w:val="24"/>
          <w:szCs w:val="24"/>
          <w:highlight w:val="none"/>
        </w:rPr>
        <w:t xml:space="preserve">：</w:t>
      </w:r>
      <w:r/>
    </w:p>
    <w:p>
      <w:pPr>
        <w:ind w:firstLine="480"/>
        <w:spacing w:line="360" w:lineRule="auto"/>
        <w:tabs>
          <w:tab w:val="left" w:pos="3090" w:leader="none"/>
        </w:tabs>
        <w:rPr>
          <w:rFonts w:ascii="宋体" w:hAnsi="宋体"/>
          <w:bCs/>
          <w:sz w:val="24"/>
          <w:szCs w:val="24"/>
          <w:highlight w:val="none"/>
        </w:rPr>
      </w:pPr>
      <w:r>
        <w:rPr>
          <w:rFonts w:hint="eastAsia" w:ascii="宋体" w:hAnsi="宋体"/>
          <w:b/>
          <w:bCs w:val="0"/>
          <w:sz w:val="24"/>
          <w:szCs w:val="24"/>
          <w:highlight w:val="none"/>
        </w:rPr>
        <w:t xml:space="preserve">（1）认证体系（</w:t>
      </w:r>
      <w:r>
        <w:rPr>
          <w:rFonts w:hint="eastAsia" w:ascii="宋体" w:hAnsi="宋体"/>
          <w:b/>
          <w:bCs w:val="0"/>
          <w:sz w:val="24"/>
          <w:szCs w:val="24"/>
          <w:highlight w:val="none"/>
          <w:lang w:val="en-US" w:eastAsia="zh-CN"/>
        </w:rPr>
        <w:t xml:space="preserve">1.5</w:t>
      </w:r>
      <w:r>
        <w:rPr>
          <w:rFonts w:hint="eastAsia" w:ascii="宋体" w:hAnsi="宋体"/>
          <w:b/>
          <w:bCs w:val="0"/>
          <w:sz w:val="24"/>
          <w:szCs w:val="24"/>
          <w:highlight w:val="none"/>
        </w:rPr>
        <w:t xml:space="preserve">分）</w:t>
      </w:r>
      <w:r>
        <w:rPr>
          <w:rFonts w:hint="eastAsia" w:ascii="宋体" w:hAnsi="宋体"/>
          <w:bCs/>
          <w:sz w:val="24"/>
          <w:szCs w:val="24"/>
          <w:highlight w:val="none"/>
        </w:rPr>
        <w:t xml:space="preserve">：投标人具备有效期内的</w:t>
      </w:r>
      <w:r>
        <w:rPr>
          <w:rFonts w:hint="eastAsia" w:hAnsi="宋体" w:cs="宋体"/>
          <w:bCs/>
          <w:sz w:val="24"/>
          <w:highlight w:val="none"/>
        </w:rPr>
        <w:t xml:space="preserve">质量管理体系认证证书、环境管理体系认证证书、职业安全健康管理体系认证证书</w:t>
      </w:r>
      <w:r>
        <w:rPr>
          <w:rFonts w:hint="eastAsia" w:ascii="宋体" w:hAnsi="宋体"/>
          <w:bCs/>
          <w:sz w:val="24"/>
          <w:szCs w:val="24"/>
          <w:highlight w:val="none"/>
        </w:rPr>
        <w:t xml:space="preserve">，有一项</w:t>
      </w:r>
      <w:r>
        <w:rPr>
          <w:rFonts w:hint="eastAsia" w:ascii="宋体" w:hAnsi="宋体"/>
          <w:bCs/>
          <w:sz w:val="24"/>
          <w:szCs w:val="24"/>
          <w:highlight w:val="none"/>
          <w:lang w:val="en-US" w:eastAsia="zh-CN"/>
        </w:rPr>
        <w:t xml:space="preserve">0.5</w:t>
      </w:r>
      <w:r>
        <w:rPr>
          <w:rFonts w:hint="eastAsia" w:ascii="宋体" w:hAnsi="宋体"/>
          <w:bCs/>
          <w:sz w:val="24"/>
          <w:szCs w:val="24"/>
          <w:highlight w:val="none"/>
        </w:rPr>
        <w:t xml:space="preserve">分，最多得</w:t>
      </w:r>
      <w:r>
        <w:rPr>
          <w:rFonts w:hint="eastAsia" w:ascii="宋体" w:hAnsi="宋体"/>
          <w:bCs/>
          <w:sz w:val="24"/>
          <w:szCs w:val="24"/>
          <w:highlight w:val="none"/>
          <w:lang w:val="en-US" w:eastAsia="zh-CN"/>
        </w:rPr>
        <w:t xml:space="preserve">1.5</w:t>
      </w:r>
      <w:r>
        <w:rPr>
          <w:rFonts w:hint="eastAsia" w:ascii="宋体" w:hAnsi="宋体"/>
          <w:bCs/>
          <w:sz w:val="24"/>
          <w:szCs w:val="24"/>
          <w:highlight w:val="none"/>
        </w:rPr>
        <w:t xml:space="preserve">分。</w:t>
      </w:r>
      <w:r>
        <w:rPr>
          <w:rFonts w:hint="eastAsia" w:ascii="宋体" w:hAnsi="宋体"/>
          <w:bCs/>
          <w:sz w:val="24"/>
          <w:highlight w:val="none"/>
          <w:lang w:val="zh-TW"/>
        </w:rPr>
        <w:t xml:space="preserve">【</w:t>
      </w:r>
      <w:r>
        <w:rPr>
          <w:rFonts w:hint="eastAsia" w:ascii="宋体" w:hAnsi="宋体"/>
          <w:bCs/>
          <w:sz w:val="24"/>
          <w:highlight w:val="none"/>
        </w:rPr>
        <w:t xml:space="preserve">提供</w:t>
      </w:r>
      <w:r>
        <w:rPr>
          <w:rFonts w:hint="eastAsia" w:ascii="宋体" w:hAnsi="宋体"/>
          <w:bCs/>
          <w:sz w:val="24"/>
          <w:highlight w:val="none"/>
          <w:lang w:val="zh-TW" w:eastAsia="zh-TW"/>
        </w:rPr>
        <w:t xml:space="preserve">证书</w:t>
      </w:r>
      <w:r>
        <w:rPr>
          <w:rFonts w:hint="eastAsia" w:ascii="宋体" w:hAnsi="宋体"/>
          <w:bCs/>
          <w:sz w:val="24"/>
          <w:highlight w:val="none"/>
        </w:rPr>
        <w:t xml:space="preserve">原件的扫描件</w:t>
      </w:r>
      <w:r>
        <w:rPr>
          <w:rFonts w:hint="eastAsia" w:ascii="宋体" w:hAnsi="宋体"/>
          <w:bCs/>
          <w:sz w:val="24"/>
          <w:highlight w:val="none"/>
          <w:lang w:val="zh-TW" w:eastAsia="zh-TW"/>
        </w:rPr>
        <w:t xml:space="preserve">加盖公章</w:t>
      </w:r>
      <w:r>
        <w:rPr>
          <w:rFonts w:hint="eastAsia" w:ascii="宋体" w:hAnsi="宋体"/>
          <w:bCs/>
          <w:sz w:val="24"/>
          <w:highlight w:val="none"/>
        </w:rPr>
        <w:t xml:space="preserve">上传系统</w:t>
      </w:r>
      <w:r>
        <w:rPr>
          <w:rFonts w:hint="eastAsia" w:ascii="宋体" w:hAnsi="宋体"/>
          <w:bCs/>
          <w:sz w:val="24"/>
          <w:highlight w:val="none"/>
          <w:lang w:val="zh-TW"/>
        </w:rPr>
        <w:t xml:space="preserve">，</w:t>
      </w:r>
      <w:r>
        <w:rPr>
          <w:rFonts w:hint="eastAsia" w:ascii="宋体" w:hAnsi="宋体"/>
          <w:bCs/>
          <w:sz w:val="24"/>
          <w:highlight w:val="none"/>
        </w:rPr>
        <w:t xml:space="preserve">否则不得分</w:t>
      </w:r>
      <w:r>
        <w:rPr>
          <w:rFonts w:hint="eastAsia" w:ascii="宋体" w:hAnsi="宋体"/>
          <w:bCs/>
          <w:sz w:val="24"/>
          <w:highlight w:val="none"/>
          <w:lang w:val="zh-TW"/>
        </w:rPr>
        <w:t xml:space="preserve">】</w:t>
      </w:r>
      <w:r/>
    </w:p>
    <w:p>
      <w:pPr>
        <w:ind w:firstLine="480"/>
        <w:jc w:val="left"/>
        <w:spacing w:line="360" w:lineRule="auto"/>
        <w:tabs>
          <w:tab w:val="left" w:pos="945" w:leader="none"/>
          <w:tab w:val="left" w:pos="1155" w:leader="none"/>
        </w:tabs>
        <w:rPr>
          <w:rFonts w:ascii="宋体" w:hAnsi="宋体" w:eastAsia="宋体" w:cs="宋体"/>
          <w:bCs/>
          <w:sz w:val="24"/>
          <w:szCs w:val="24"/>
          <w:highlight w:val="none"/>
        </w:rPr>
      </w:pPr>
      <w:r>
        <w:rPr>
          <w:rFonts w:hint="eastAsia" w:ascii="宋体" w:hAnsi="宋体"/>
          <w:b/>
          <w:bCs w:val="0"/>
          <w:sz w:val="24"/>
          <w:szCs w:val="24"/>
          <w:highlight w:val="none"/>
        </w:rPr>
        <w:t xml:space="preserve">（2）业绩（</w:t>
      </w:r>
      <w:r>
        <w:rPr>
          <w:rFonts w:hint="eastAsia" w:ascii="宋体" w:hAnsi="宋体"/>
          <w:b/>
          <w:bCs w:val="0"/>
          <w:sz w:val="24"/>
          <w:szCs w:val="24"/>
          <w:highlight w:val="none"/>
          <w:lang w:val="en-US" w:eastAsia="zh-CN"/>
        </w:rPr>
        <w:t xml:space="preserve">1.5</w:t>
      </w:r>
      <w:r>
        <w:rPr>
          <w:rFonts w:hint="eastAsia" w:ascii="宋体" w:hAnsi="宋体"/>
          <w:b/>
          <w:bCs w:val="0"/>
          <w:sz w:val="24"/>
          <w:szCs w:val="24"/>
          <w:highlight w:val="none"/>
        </w:rPr>
        <w:t xml:space="preserve">分）</w:t>
      </w:r>
      <w:r>
        <w:rPr>
          <w:rFonts w:hint="eastAsia" w:ascii="宋体" w:hAnsi="宋体"/>
          <w:bCs/>
          <w:sz w:val="24"/>
          <w:szCs w:val="24"/>
          <w:highlight w:val="none"/>
        </w:rPr>
        <w:t xml:space="preserve">：</w:t>
      </w:r>
      <w:r>
        <w:rPr>
          <w:rFonts w:hint="eastAsia" w:ascii="宋体" w:hAnsi="宋体" w:cs="宋体"/>
          <w:bCs/>
          <w:sz w:val="24"/>
          <w:szCs w:val="24"/>
          <w:highlight w:val="none"/>
        </w:rPr>
        <w:t xml:space="preserve">投标人自2020年1月1日以来承接过与本项目类似的物业管理服务项目的，</w:t>
      </w:r>
      <w:r>
        <w:rPr>
          <w:rFonts w:hint="eastAsia" w:ascii="宋体" w:hAnsi="宋体"/>
          <w:bCs/>
          <w:sz w:val="24"/>
          <w:szCs w:val="24"/>
          <w:highlight w:val="none"/>
        </w:rPr>
        <w:t xml:space="preserve">有1个得</w:t>
      </w:r>
      <w:r>
        <w:rPr>
          <w:rFonts w:hint="eastAsia" w:ascii="宋体" w:hAnsi="宋体"/>
          <w:bCs/>
          <w:sz w:val="24"/>
          <w:szCs w:val="24"/>
          <w:highlight w:val="none"/>
          <w:lang w:val="en-US" w:eastAsia="zh-CN"/>
        </w:rPr>
        <w:t xml:space="preserve">0.5</w:t>
      </w:r>
      <w:r>
        <w:rPr>
          <w:rFonts w:hint="eastAsia" w:ascii="宋体" w:hAnsi="宋体"/>
          <w:bCs/>
          <w:sz w:val="24"/>
          <w:szCs w:val="24"/>
          <w:highlight w:val="none"/>
        </w:rPr>
        <w:t xml:space="preserve">分，最多得</w:t>
      </w:r>
      <w:r>
        <w:rPr>
          <w:rFonts w:hint="eastAsia" w:ascii="宋体" w:hAnsi="宋体"/>
          <w:bCs/>
          <w:sz w:val="24"/>
          <w:szCs w:val="24"/>
          <w:highlight w:val="none"/>
          <w:lang w:val="en-US" w:eastAsia="zh-CN"/>
        </w:rPr>
        <w:t xml:space="preserve">1.5</w:t>
      </w:r>
      <w:r>
        <w:rPr>
          <w:rFonts w:hint="eastAsia" w:ascii="宋体" w:hAnsi="宋体"/>
          <w:bCs/>
          <w:sz w:val="24"/>
          <w:szCs w:val="24"/>
          <w:highlight w:val="none"/>
        </w:rPr>
        <w:t xml:space="preserve">分。【业绩提供合同(协议)原件的扫描件加盖公章</w:t>
      </w:r>
      <w:r>
        <w:rPr>
          <w:rFonts w:hint="eastAsia" w:ascii="宋体" w:hAnsi="宋体"/>
          <w:bCs/>
          <w:sz w:val="24"/>
          <w:highlight w:val="none"/>
        </w:rPr>
        <w:t xml:space="preserve">上传系统</w:t>
      </w:r>
      <w:r>
        <w:rPr>
          <w:rFonts w:hint="eastAsia" w:ascii="宋体" w:hAnsi="宋体"/>
          <w:bCs/>
          <w:sz w:val="24"/>
          <w:szCs w:val="24"/>
          <w:highlight w:val="none"/>
        </w:rPr>
        <w:t xml:space="preserve">，时间以合同签订时间为准，否则不得分】</w:t>
      </w:r>
      <w:r/>
    </w:p>
    <w:p>
      <w:pPr>
        <w:ind w:firstLine="480"/>
        <w:jc w:val="left"/>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b/>
          <w:bCs w:val="0"/>
          <w:sz w:val="24"/>
          <w:szCs w:val="24"/>
          <w:highlight w:val="none"/>
        </w:rPr>
        <w:t xml:space="preserve">（3）荣誉（4分）</w:t>
      </w:r>
      <w:r>
        <w:rPr>
          <w:rFonts w:hint="eastAsia" w:ascii="宋体" w:hAnsi="宋体"/>
          <w:bCs/>
          <w:sz w:val="24"/>
          <w:szCs w:val="24"/>
          <w:highlight w:val="none"/>
        </w:rPr>
        <w:t xml:space="preserve">：</w:t>
      </w:r>
      <w:r>
        <w:rPr>
          <w:rFonts w:hint="eastAsia" w:ascii="宋体" w:hAnsi="宋体" w:eastAsia="宋体" w:cs="Times New Roman"/>
          <w:bCs/>
          <w:color w:val="auto"/>
          <w:sz w:val="24"/>
          <w:szCs w:val="24"/>
          <w:highlight w:val="none"/>
          <w:lang w:val="en-US" w:eastAsia="zh-CN"/>
        </w:rPr>
        <w:t xml:space="preserve">投标人自20</w:t>
      </w:r>
      <w:r>
        <w:rPr>
          <w:rFonts w:hint="eastAsia" w:ascii="宋体" w:hAnsi="宋体" w:cs="Times New Roman"/>
          <w:bCs/>
          <w:color w:val="auto"/>
          <w:sz w:val="24"/>
          <w:szCs w:val="24"/>
          <w:highlight w:val="none"/>
          <w:lang w:val="en-US" w:eastAsia="zh-CN"/>
        </w:rPr>
        <w:t xml:space="preserve">20</w:t>
      </w:r>
      <w:r>
        <w:rPr>
          <w:rFonts w:hint="eastAsia" w:ascii="宋体" w:hAnsi="宋体" w:eastAsia="宋体" w:cs="Times New Roman"/>
          <w:bCs/>
          <w:color w:val="auto"/>
          <w:sz w:val="24"/>
          <w:szCs w:val="24"/>
          <w:highlight w:val="none"/>
          <w:lang w:val="en-US" w:eastAsia="zh-CN"/>
        </w:rPr>
        <w:t xml:space="preserve">年</w:t>
      </w: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val="en-US" w:eastAsia="zh-CN"/>
        </w:rPr>
        <w:t xml:space="preserve">月</w:t>
      </w: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val="en-US" w:eastAsia="zh-CN"/>
        </w:rPr>
        <w:t xml:space="preserve">日以来，获得过政府部门颁发的与物业管理有关的荣誉或奖励的</w:t>
      </w:r>
      <w:r>
        <w:rPr>
          <w:rFonts w:hint="eastAsia" w:ascii="宋体" w:hAnsi="宋体" w:cs="Times New Roman"/>
          <w:bCs/>
          <w:color w:val="auto"/>
          <w:sz w:val="24"/>
          <w:szCs w:val="24"/>
          <w:highlight w:val="none"/>
          <w:lang w:val="en-US" w:eastAsia="zh-CN"/>
        </w:rPr>
        <w:t xml:space="preserve">，有一个</w:t>
      </w:r>
      <w:r>
        <w:rPr>
          <w:rFonts w:hint="eastAsia" w:ascii="宋体" w:hAnsi="宋体" w:eastAsia="宋体" w:cs="Times New Roman"/>
          <w:bCs/>
          <w:color w:val="auto"/>
          <w:sz w:val="24"/>
          <w:szCs w:val="24"/>
          <w:highlight w:val="none"/>
          <w:lang w:val="en-US" w:eastAsia="zh-CN"/>
        </w:rPr>
        <w:t xml:space="preserve">得</w:t>
      </w: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val="en-US" w:eastAsia="zh-CN"/>
        </w:rPr>
        <w:t xml:space="preserve">分</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本项最高得</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分。</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须提供相应有效获奖证明扫描件加盖公章上传系统，未按要求提供不得分</w:t>
      </w:r>
      <w:r>
        <w:rPr>
          <w:rFonts w:hint="eastAsia" w:ascii="宋体" w:hAnsi="宋体" w:cs="Times New Roman"/>
          <w:bCs/>
          <w:color w:val="auto"/>
          <w:sz w:val="24"/>
          <w:szCs w:val="24"/>
          <w:highlight w:val="none"/>
          <w:lang w:val="en-US" w:eastAsia="zh-CN"/>
        </w:rPr>
        <w:t xml:space="preserve">。</w:t>
      </w:r>
      <w:r>
        <w:rPr>
          <w:rFonts w:hint="eastAsia" w:ascii="宋体" w:hAnsi="宋体"/>
          <w:bCs/>
          <w:color w:val="000000"/>
          <w:sz w:val="24"/>
          <w:szCs w:val="24"/>
          <w:highlight w:val="none"/>
        </w:rPr>
        <w:t xml:space="preserve">注：时间以荣誉证书或相关证明文件的落款时间为准、同一获奖项目按较高分值只记取一次得分</w:t>
      </w:r>
      <w:r>
        <w:rPr>
          <w:rFonts w:hint="eastAsia" w:ascii="宋体" w:hAnsi="宋体"/>
          <w:bCs/>
          <w:color w:val="000000"/>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w:t>
      </w:r>
      <w:r/>
    </w:p>
    <w:p>
      <w:pPr>
        <w:ind w:firstLine="480"/>
        <w:jc w:val="left"/>
        <w:spacing w:line="360" w:lineRule="auto"/>
        <w:tabs>
          <w:tab w:val="left" w:pos="945" w:leader="none"/>
          <w:tab w:val="left" w:pos="1155" w:leader="none"/>
        </w:tabs>
        <w:rPr>
          <w:rFonts w:ascii="宋体" w:hAnsi="宋体" w:eastAsia="宋体"/>
          <w:sz w:val="24"/>
          <w:szCs w:val="24"/>
          <w:highlight w:val="none"/>
        </w:rPr>
      </w:pPr>
      <w:r>
        <w:rPr>
          <w:rFonts w:hint="eastAsia" w:ascii="宋体" w:hAnsi="宋体"/>
          <w:b/>
          <w:bCs w:val="0"/>
          <w:color w:val="000000"/>
          <w:sz w:val="24"/>
          <w:szCs w:val="24"/>
          <w:highlight w:val="none"/>
        </w:rPr>
        <w:t xml:space="preserve">（4）</w:t>
      </w:r>
      <w:r>
        <w:rPr>
          <w:rFonts w:hint="eastAsia" w:ascii="宋体" w:hAnsi="宋体" w:eastAsia="宋体" w:cs="Times New Roman"/>
          <w:b/>
          <w:bCs w:val="0"/>
          <w:color w:val="auto"/>
          <w:sz w:val="24"/>
          <w:szCs w:val="24"/>
          <w:highlight w:val="none"/>
          <w:lang w:val="en-US" w:eastAsia="zh-CN"/>
        </w:rPr>
        <w:t xml:space="preserve">信息化系统管理（</w:t>
      </w:r>
      <w:r>
        <w:rPr>
          <w:rFonts w:hint="eastAsia" w:ascii="宋体" w:hAnsi="宋体" w:cs="Times New Roman"/>
          <w:b/>
          <w:bCs w:val="0"/>
          <w:color w:val="auto"/>
          <w:sz w:val="24"/>
          <w:szCs w:val="24"/>
          <w:highlight w:val="none"/>
          <w:lang w:val="en-US" w:eastAsia="zh-CN"/>
        </w:rPr>
        <w:t xml:space="preserve">1</w:t>
      </w:r>
      <w:r>
        <w:rPr>
          <w:rFonts w:hint="eastAsia" w:ascii="宋体" w:hAnsi="宋体" w:eastAsia="宋体" w:cs="Times New Roman"/>
          <w:b/>
          <w:bCs w:val="0"/>
          <w:color w:val="auto"/>
          <w:sz w:val="24"/>
          <w:szCs w:val="24"/>
          <w:highlight w:val="none"/>
          <w:lang w:val="en-US" w:eastAsia="zh-CN"/>
        </w:rPr>
        <w:t xml:space="preserve">分）</w:t>
      </w:r>
      <w:r>
        <w:rPr>
          <w:rFonts w:hint="eastAsia" w:ascii="宋体" w:hAnsi="宋体" w:eastAsia="宋体" w:cs="Times New Roman"/>
          <w:bCs/>
          <w:color w:val="auto"/>
          <w:sz w:val="24"/>
          <w:szCs w:val="24"/>
          <w:highlight w:val="none"/>
          <w:lang w:val="en-US" w:eastAsia="zh-CN"/>
        </w:rPr>
        <w:t xml:space="preserve">：投标人使用物业管理信息化系统管理的得</w:t>
      </w: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val="en-US" w:eastAsia="zh-CN"/>
        </w:rPr>
        <w:t xml:space="preserve">分。【须提供所用物业管理信息化系统软件的采购合同或发票原件扫描件加盖公章上传系统，如是自主开发软件的则提供软件著作权登记证书原件扫描件加盖公章上传系统，否则不得分。】</w:t>
      </w:r>
      <w:r/>
    </w:p>
    <w:p>
      <w:pPr>
        <w:numPr>
          <w:ilvl w:val="4"/>
          <w:numId w:val="11"/>
        </w:numPr>
        <w:ind w:left="0" w:firstLine="482"/>
        <w:spacing w:line="500" w:lineRule="exact"/>
        <w:tabs>
          <w:tab w:val="left" w:pos="525" w:leader="none"/>
          <w:tab w:val="left" w:pos="945" w:leader="none"/>
          <w:tab w:val="left" w:pos="1155" w:leader="none"/>
          <w:tab w:val="left" w:pos="3823" w:leader="none"/>
        </w:tabs>
        <w:rPr>
          <w:b/>
          <w:bCs/>
          <w:sz w:val="24"/>
          <w:szCs w:val="24"/>
          <w:highlight w:val="none"/>
        </w:rPr>
      </w:pPr>
      <w:r>
        <w:rPr>
          <w:rFonts w:hint="eastAsia"/>
          <w:b/>
          <w:bCs/>
          <w:sz w:val="24"/>
          <w:szCs w:val="24"/>
          <w:highlight w:val="none"/>
        </w:rPr>
        <w:t xml:space="preserve">人员配置 （</w:t>
      </w:r>
      <w:r>
        <w:rPr>
          <w:rFonts w:hint="eastAsia"/>
          <w:b/>
          <w:bCs/>
          <w:sz w:val="24"/>
          <w:szCs w:val="24"/>
          <w:highlight w:val="none"/>
          <w:lang w:val="en-US" w:eastAsia="zh-CN"/>
        </w:rPr>
        <w:t xml:space="preserve">17</w:t>
      </w:r>
      <w:r>
        <w:rPr>
          <w:b/>
          <w:bCs/>
          <w:sz w:val="24"/>
          <w:szCs w:val="24"/>
          <w:highlight w:val="none"/>
        </w:rPr>
        <w:t xml:space="preserve">分</w:t>
      </w:r>
      <w:r>
        <w:rPr>
          <w:rFonts w:hint="eastAsia"/>
          <w:b/>
          <w:bCs/>
          <w:sz w:val="24"/>
          <w:szCs w:val="24"/>
          <w:highlight w:val="none"/>
        </w:rPr>
        <w:t xml:space="preserve">）</w:t>
      </w:r>
      <w:r/>
    </w:p>
    <w:p>
      <w:pPr>
        <w:ind w:firstLine="480"/>
        <w:jc w:val="left"/>
        <w:spacing w:line="360" w:lineRule="auto"/>
        <w:tabs>
          <w:tab w:val="left" w:pos="900" w:leader="none"/>
        </w:tabs>
        <w:rPr>
          <w:rFonts w:hint="eastAsia" w:hAnsi="宋体" w:eastAsia="宋体"/>
          <w:sz w:val="24"/>
          <w:highlight w:val="none"/>
          <w:lang w:eastAsia="zh-CN"/>
        </w:rPr>
      </w:pPr>
      <w:r>
        <w:rPr>
          <w:rFonts w:hint="eastAsia" w:hAnsi="宋体"/>
          <w:b/>
          <w:bCs/>
          <w:sz w:val="24"/>
          <w:highlight w:val="none"/>
        </w:rPr>
        <w:t xml:space="preserve">（1）物业</w:t>
      </w:r>
      <w:r>
        <w:rPr>
          <w:rFonts w:hint="eastAsia" w:hAnsi="宋体"/>
          <w:b/>
          <w:bCs/>
          <w:sz w:val="24"/>
          <w:highlight w:val="none"/>
          <w:lang w:val="en-US" w:eastAsia="zh-CN"/>
        </w:rPr>
        <w:t xml:space="preserve">经理</w:t>
      </w:r>
      <w:r>
        <w:rPr>
          <w:rFonts w:hint="eastAsia" w:hAnsi="宋体"/>
          <w:b/>
          <w:bCs/>
          <w:sz w:val="24"/>
          <w:highlight w:val="none"/>
        </w:rPr>
        <w:t xml:space="preserve">（</w:t>
      </w:r>
      <w:r>
        <w:rPr>
          <w:rFonts w:hint="eastAsia" w:hAnsi="宋体"/>
          <w:b/>
          <w:bCs/>
          <w:sz w:val="24"/>
          <w:highlight w:val="none"/>
          <w:lang w:val="en-US" w:eastAsia="zh-CN"/>
        </w:rPr>
        <w:t xml:space="preserve">4</w:t>
      </w:r>
      <w:r>
        <w:rPr>
          <w:rFonts w:hint="eastAsia" w:hAnsi="宋体"/>
          <w:b/>
          <w:bCs/>
          <w:sz w:val="24"/>
          <w:highlight w:val="none"/>
        </w:rPr>
        <w:t xml:space="preserve">分）：</w:t>
      </w:r>
      <w:r>
        <w:rPr>
          <w:rFonts w:hint="eastAsia" w:hAnsi="宋体"/>
          <w:sz w:val="24"/>
          <w:highlight w:val="none"/>
          <w:lang w:val="en-US" w:eastAsia="zh-CN"/>
        </w:rPr>
        <w:t xml:space="preserve">45</w:t>
      </w:r>
      <w:r>
        <w:rPr>
          <w:rFonts w:hint="eastAsia" w:hAnsi="宋体"/>
          <w:sz w:val="24"/>
          <w:highlight w:val="none"/>
        </w:rPr>
        <w:t xml:space="preserve">周岁（含）以下得</w:t>
      </w:r>
      <w:r>
        <w:rPr>
          <w:rFonts w:hint="eastAsia" w:hAnsi="宋体"/>
          <w:sz w:val="24"/>
          <w:highlight w:val="none"/>
          <w:lang w:val="en-US" w:eastAsia="zh-CN"/>
        </w:rPr>
        <w:t xml:space="preserve">0.5</w:t>
      </w:r>
      <w:r>
        <w:rPr>
          <w:rFonts w:hint="eastAsia" w:hAnsi="宋体"/>
          <w:sz w:val="24"/>
          <w:highlight w:val="none"/>
        </w:rPr>
        <w:t xml:space="preserve">分，具有本科及以上学历的得</w:t>
      </w:r>
      <w:r>
        <w:rPr>
          <w:rFonts w:hint="eastAsia" w:hAnsi="宋体"/>
          <w:sz w:val="24"/>
          <w:highlight w:val="none"/>
          <w:lang w:val="en-US" w:eastAsia="zh-CN"/>
        </w:rPr>
        <w:t xml:space="preserve">0.5</w:t>
      </w:r>
      <w:r>
        <w:rPr>
          <w:rFonts w:hint="eastAsia" w:hAnsi="宋体"/>
          <w:sz w:val="24"/>
          <w:highlight w:val="none"/>
        </w:rPr>
        <w:t xml:space="preserve">分，</w:t>
      </w:r>
      <w:r>
        <w:rPr>
          <w:rFonts w:hint="eastAsia" w:hAnsi="宋体"/>
          <w:sz w:val="24"/>
          <w:highlight w:val="none"/>
          <w:lang w:val="en-US" w:eastAsia="zh-CN"/>
        </w:rPr>
        <w:t xml:space="preserve">具有</w:t>
      </w:r>
      <w:r>
        <w:rPr>
          <w:rFonts w:hint="eastAsia" w:ascii="宋体" w:hAnsi="宋体" w:eastAsia="宋体" w:cs="Times New Roman"/>
          <w:bCs/>
          <w:color w:val="auto"/>
          <w:sz w:val="24"/>
          <w:szCs w:val="24"/>
          <w:highlight w:val="none"/>
          <w:lang w:val="en-US" w:eastAsia="zh-CN"/>
        </w:rPr>
        <w:t xml:space="preserve">物业管理师职业资格证书（技能等级证书</w:t>
      </w:r>
      <w:r>
        <w:rPr>
          <w:rFonts w:hint="eastAsia" w:ascii="宋体" w:hAnsi="宋体" w:cs="Times New Roman"/>
          <w:bCs/>
          <w:color w:val="auto"/>
          <w:sz w:val="24"/>
          <w:szCs w:val="24"/>
          <w:highlight w:val="none"/>
          <w:lang w:val="en-US" w:eastAsia="zh-CN"/>
        </w:rPr>
        <w:t xml:space="preserve">）</w:t>
      </w:r>
      <w:r>
        <w:rPr>
          <w:rFonts w:hint="eastAsia" w:hAnsi="宋体"/>
          <w:sz w:val="24"/>
          <w:highlight w:val="none"/>
        </w:rPr>
        <w:t xml:space="preserve">得1分，具备</w:t>
      </w:r>
      <w:r>
        <w:rPr>
          <w:rFonts w:hint="eastAsia" w:ascii="宋体" w:hAnsi="Calibri" w:cs="宋体"/>
          <w:sz w:val="24"/>
          <w:szCs w:val="24"/>
          <w:highlight w:val="none"/>
        </w:rPr>
        <w:t xml:space="preserve">行政主管部门颁发的</w:t>
      </w:r>
      <w:r>
        <w:rPr>
          <w:rFonts w:hint="eastAsia" w:hAnsi="宋体"/>
          <w:sz w:val="24"/>
          <w:highlight w:val="none"/>
        </w:rPr>
        <w:t xml:space="preserve">特种设备安全管理人员证（A证）得1分</w:t>
      </w:r>
      <w:r>
        <w:rPr>
          <w:rFonts w:hint="eastAsia" w:hAnsi="宋体"/>
          <w:sz w:val="24"/>
          <w:highlight w:val="none"/>
          <w:lang w:eastAsia="zh-CN"/>
        </w:rPr>
        <w:t xml:space="preserve">，</w:t>
      </w:r>
      <w:r>
        <w:rPr>
          <w:rFonts w:hint="eastAsia" w:hAnsi="宋体"/>
          <w:sz w:val="24"/>
          <w:highlight w:val="none"/>
          <w:lang w:val="en-US" w:eastAsia="zh-CN"/>
        </w:rPr>
        <w:t xml:space="preserve">具有</w:t>
      </w:r>
      <w:r>
        <w:rPr>
          <w:rFonts w:hint="eastAsia" w:hAnsi="宋体"/>
          <w:sz w:val="24"/>
          <w:highlight w:val="none"/>
        </w:rPr>
        <w:t xml:space="preserve">高压电工证</w:t>
      </w:r>
      <w:r>
        <w:rPr>
          <w:rFonts w:hint="eastAsia" w:hAnsi="宋体"/>
          <w:sz w:val="24"/>
          <w:highlight w:val="none"/>
          <w:lang w:val="en-US" w:eastAsia="zh-CN"/>
        </w:rPr>
        <w:t xml:space="preserve">得1分，</w:t>
      </w:r>
      <w:r>
        <w:rPr>
          <w:rFonts w:hint="eastAsia" w:hAnsi="宋体"/>
          <w:sz w:val="24"/>
          <w:highlight w:val="none"/>
        </w:rPr>
        <w:t xml:space="preserve">本项最高得</w:t>
      </w:r>
      <w:r>
        <w:rPr>
          <w:rFonts w:hint="eastAsia" w:hAnsi="宋体"/>
          <w:sz w:val="24"/>
          <w:highlight w:val="none"/>
          <w:lang w:val="en-US" w:eastAsia="zh-CN"/>
        </w:rPr>
        <w:t xml:space="preserve">4</w:t>
      </w:r>
      <w:r>
        <w:rPr>
          <w:rFonts w:hint="eastAsia" w:hAnsi="宋体"/>
          <w:sz w:val="24"/>
          <w:highlight w:val="none"/>
        </w:rPr>
        <w:t xml:space="preserve">分</w:t>
      </w:r>
      <w:r>
        <w:rPr>
          <w:rFonts w:hint="eastAsia" w:hAnsi="宋体"/>
          <w:sz w:val="24"/>
          <w:highlight w:val="none"/>
          <w:lang w:eastAsia="zh-CN"/>
        </w:rPr>
        <w:t xml:space="preserve">。</w:t>
      </w:r>
      <w:r/>
    </w:p>
    <w:p>
      <w:pPr>
        <w:ind w:firstLine="480"/>
        <w:jc w:val="left"/>
        <w:spacing w:line="360" w:lineRule="auto"/>
        <w:tabs>
          <w:tab w:val="left" w:pos="900" w:leader="none"/>
        </w:tabs>
        <w:rPr>
          <w:rFonts w:hAnsi="宋体"/>
          <w:sz w:val="24"/>
          <w:highlight w:val="none"/>
        </w:rPr>
      </w:pPr>
      <w:r>
        <w:rPr>
          <w:rFonts w:hint="eastAsia" w:ascii="宋体" w:hAnsi="宋体" w:eastAsia="宋体" w:cs="Times New Roman"/>
          <w:bCs/>
          <w:color w:val="auto"/>
          <w:sz w:val="24"/>
          <w:szCs w:val="24"/>
          <w:highlight w:val="none"/>
          <w:lang w:val="en-US" w:eastAsia="zh-CN"/>
        </w:rPr>
        <w:t xml:space="preserve">【提供物业经理相关证明材料扫描件（加盖投标人公章）及投标人近一年中任意一个月份（不含投标当月）经社保部门确认的社保缴纳证明扫描件（加盖投标人公章）上传系统，未按要求提供不得分】</w:t>
      </w:r>
      <w:r/>
    </w:p>
    <w:p>
      <w:pPr>
        <w:ind w:firstLine="480"/>
        <w:jc w:val="left"/>
        <w:spacing w:line="360" w:lineRule="auto"/>
        <w:tabs>
          <w:tab w:val="left" w:pos="900" w:leader="none"/>
        </w:tabs>
        <w:rPr>
          <w:rFonts w:hint="eastAsia" w:hAnsi="宋体" w:eastAsia="宋体"/>
          <w:sz w:val="24"/>
          <w:highlight w:val="none"/>
          <w:lang w:eastAsia="zh-CN"/>
        </w:rPr>
      </w:pPr>
      <w:r>
        <w:rPr>
          <w:rFonts w:hint="eastAsia" w:hAnsi="宋体"/>
          <w:b/>
          <w:bCs/>
          <w:sz w:val="24"/>
          <w:highlight w:val="none"/>
          <w:lang w:eastAsia="zh-CN"/>
        </w:rPr>
        <w:t xml:space="preserve">（</w:t>
      </w:r>
      <w:r>
        <w:rPr>
          <w:rFonts w:hint="eastAsia" w:hAnsi="宋体"/>
          <w:b/>
          <w:bCs/>
          <w:sz w:val="24"/>
          <w:highlight w:val="none"/>
          <w:lang w:val="en-US" w:eastAsia="zh-CN"/>
        </w:rPr>
        <w:t xml:space="preserve">2</w:t>
      </w:r>
      <w:r>
        <w:rPr>
          <w:rFonts w:hint="eastAsia" w:hAnsi="宋体"/>
          <w:b/>
          <w:bCs/>
          <w:sz w:val="24"/>
          <w:highlight w:val="none"/>
          <w:lang w:eastAsia="zh-CN"/>
        </w:rPr>
        <w:t xml:space="preserve">）</w:t>
      </w:r>
      <w:r>
        <w:rPr>
          <w:rFonts w:hint="eastAsia" w:hAnsi="宋体"/>
          <w:b/>
          <w:bCs/>
          <w:sz w:val="24"/>
          <w:highlight w:val="none"/>
        </w:rPr>
        <w:t xml:space="preserve">副经理（</w:t>
      </w:r>
      <w:r>
        <w:rPr>
          <w:rFonts w:hint="eastAsia" w:hAnsi="宋体" w:eastAsia="宋体"/>
          <w:b/>
          <w:bCs/>
          <w:sz w:val="24"/>
          <w:highlight w:val="none"/>
          <w:lang w:val="en-US" w:eastAsia="zh-CN"/>
        </w:rPr>
        <w:t xml:space="preserve">3</w:t>
      </w:r>
      <w:r>
        <w:rPr>
          <w:rFonts w:hint="eastAsia" w:hAnsi="宋体"/>
          <w:b/>
          <w:bCs/>
          <w:sz w:val="24"/>
          <w:highlight w:val="none"/>
          <w:lang w:val="en-US" w:eastAsia="zh-CN"/>
        </w:rPr>
        <w:t xml:space="preserve">.5</w:t>
      </w:r>
      <w:r>
        <w:rPr>
          <w:rFonts w:hint="eastAsia" w:hAnsi="宋体"/>
          <w:b/>
          <w:bCs/>
          <w:sz w:val="24"/>
          <w:highlight w:val="none"/>
        </w:rPr>
        <w:t xml:space="preserve">分）：</w:t>
      </w:r>
      <w:r>
        <w:rPr>
          <w:rFonts w:hint="eastAsia" w:hAnsi="宋体"/>
          <w:sz w:val="24"/>
          <w:highlight w:val="none"/>
          <w:lang w:val="en-US" w:eastAsia="zh-CN"/>
        </w:rPr>
        <w:t xml:space="preserve">45</w:t>
      </w:r>
      <w:r>
        <w:rPr>
          <w:rFonts w:hint="eastAsia" w:hAnsi="宋体"/>
          <w:sz w:val="24"/>
          <w:highlight w:val="none"/>
        </w:rPr>
        <w:t xml:space="preserve">周岁（含）以下得</w:t>
      </w:r>
      <w:r>
        <w:rPr>
          <w:rFonts w:hint="eastAsia" w:hAnsi="宋体"/>
          <w:sz w:val="24"/>
          <w:highlight w:val="none"/>
          <w:lang w:val="en-US" w:eastAsia="zh-CN"/>
        </w:rPr>
        <w:t xml:space="preserve">0.5</w:t>
      </w:r>
      <w:r>
        <w:rPr>
          <w:rFonts w:hint="eastAsia" w:hAnsi="宋体"/>
          <w:sz w:val="24"/>
          <w:highlight w:val="none"/>
        </w:rPr>
        <w:t xml:space="preserve">分</w:t>
      </w:r>
      <w:r>
        <w:rPr>
          <w:rFonts w:hint="eastAsia" w:hAnsi="宋体"/>
          <w:sz w:val="24"/>
          <w:highlight w:val="none"/>
          <w:lang w:eastAsia="zh-CN"/>
        </w:rPr>
        <w:t xml:space="preserve">，</w:t>
      </w:r>
      <w:r>
        <w:rPr>
          <w:rFonts w:hint="eastAsia" w:hAnsi="宋体"/>
          <w:sz w:val="24"/>
          <w:highlight w:val="none"/>
        </w:rPr>
        <w:t xml:space="preserve">具有本科及以上学历</w:t>
      </w:r>
      <w:r>
        <w:rPr>
          <w:rFonts w:hint="eastAsia" w:hAnsi="宋体" w:eastAsia="宋体"/>
          <w:sz w:val="24"/>
          <w:highlight w:val="none"/>
          <w:lang w:val="en-US" w:eastAsia="zh-CN"/>
        </w:rPr>
        <w:t xml:space="preserve">得0.5分</w:t>
      </w:r>
      <w:r>
        <w:rPr>
          <w:rFonts w:hint="eastAsia" w:hAnsi="宋体" w:eastAsia="宋体"/>
          <w:sz w:val="24"/>
          <w:highlight w:val="none"/>
          <w:lang w:eastAsia="zh-CN"/>
        </w:rPr>
        <w:t xml:space="preserve">，</w:t>
      </w:r>
      <w:r>
        <w:rPr>
          <w:rFonts w:hint="eastAsia" w:hAnsi="宋体"/>
          <w:sz w:val="24"/>
          <w:highlight w:val="none"/>
          <w:lang w:val="en-US" w:eastAsia="zh-CN"/>
        </w:rPr>
        <w:t xml:space="preserve">具有</w:t>
      </w:r>
      <w:r>
        <w:rPr>
          <w:rFonts w:hint="eastAsia" w:ascii="宋体" w:hAnsi="宋体" w:eastAsia="宋体" w:cs="Times New Roman"/>
          <w:bCs/>
          <w:color w:val="auto"/>
          <w:sz w:val="24"/>
          <w:szCs w:val="24"/>
          <w:highlight w:val="none"/>
          <w:lang w:val="en-US" w:eastAsia="zh-CN"/>
        </w:rPr>
        <w:t xml:space="preserve">物业管理师职业资格证书（技能等级证书</w:t>
      </w:r>
      <w:r>
        <w:rPr>
          <w:rFonts w:hint="eastAsia" w:ascii="宋体" w:hAnsi="宋体" w:cs="Times New Roman"/>
          <w:bCs/>
          <w:color w:val="auto"/>
          <w:sz w:val="24"/>
          <w:szCs w:val="24"/>
          <w:highlight w:val="none"/>
          <w:lang w:val="en-US" w:eastAsia="zh-CN"/>
        </w:rPr>
        <w:t xml:space="preserve">）</w:t>
      </w:r>
      <w:r>
        <w:rPr>
          <w:rFonts w:hint="eastAsia" w:hAnsi="宋体"/>
          <w:sz w:val="24"/>
          <w:highlight w:val="none"/>
        </w:rPr>
        <w:t xml:space="preserve">得</w:t>
      </w:r>
      <w:r>
        <w:rPr>
          <w:rFonts w:hint="eastAsia" w:hAnsi="宋体"/>
          <w:sz w:val="24"/>
          <w:highlight w:val="none"/>
          <w:lang w:val="en-US" w:eastAsia="zh-CN"/>
        </w:rPr>
        <w:t xml:space="preserve">0.5</w:t>
      </w:r>
      <w:r>
        <w:rPr>
          <w:rFonts w:hint="eastAsia" w:hAnsi="宋体"/>
          <w:sz w:val="24"/>
          <w:highlight w:val="none"/>
        </w:rPr>
        <w:t xml:space="preserve">分，具备行政主管部门颁发的高级（三级）及以上保安员证得1分，</w:t>
      </w:r>
      <w:r>
        <w:rPr>
          <w:rFonts w:hint="eastAsia" w:hAnsi="宋体"/>
          <w:sz w:val="24"/>
          <w:highlight w:val="none"/>
          <w:lang w:val="en-US" w:eastAsia="zh-CN"/>
        </w:rPr>
        <w:t xml:space="preserve">具</w:t>
      </w:r>
      <w:r>
        <w:rPr>
          <w:rFonts w:hint="eastAsia" w:hAnsi="宋体"/>
          <w:sz w:val="24"/>
          <w:highlight w:val="none"/>
        </w:rPr>
        <w:t xml:space="preserve">备行政主管部门颁发的</w:t>
      </w:r>
      <w:r>
        <w:rPr>
          <w:rFonts w:hint="eastAsia" w:hAnsi="宋体"/>
          <w:sz w:val="24"/>
          <w:highlight w:val="none"/>
          <w:lang w:val="en-US" w:eastAsia="zh-CN"/>
        </w:rPr>
        <w:t xml:space="preserve">四</w:t>
      </w:r>
      <w:r>
        <w:rPr>
          <w:rFonts w:hint="eastAsia" w:hAnsi="宋体"/>
          <w:sz w:val="24"/>
          <w:highlight w:val="none"/>
        </w:rPr>
        <w:t xml:space="preserve">级（</w:t>
      </w:r>
      <w:r>
        <w:rPr>
          <w:rFonts w:hint="eastAsia" w:hAnsi="宋体"/>
          <w:sz w:val="24"/>
          <w:highlight w:val="none"/>
          <w:lang w:val="en-US" w:eastAsia="zh-CN"/>
        </w:rPr>
        <w:t xml:space="preserve">中级</w:t>
      </w:r>
      <w:r>
        <w:rPr>
          <w:rFonts w:hint="eastAsia" w:hAnsi="宋体"/>
          <w:sz w:val="24"/>
          <w:highlight w:val="none"/>
        </w:rPr>
        <w:t xml:space="preserve">工）及以上建(构)筑物消防员证书或消防设施操作员证书得1分</w:t>
      </w:r>
      <w:r>
        <w:rPr>
          <w:rFonts w:hint="eastAsia" w:hAnsi="宋体"/>
          <w:sz w:val="24"/>
          <w:highlight w:val="none"/>
          <w:lang w:eastAsia="zh-CN"/>
        </w:rPr>
        <w:t xml:space="preserve">，</w:t>
      </w:r>
      <w:r>
        <w:rPr>
          <w:rFonts w:hint="eastAsia" w:hAnsi="宋体"/>
          <w:sz w:val="24"/>
          <w:highlight w:val="none"/>
        </w:rPr>
        <w:t xml:space="preserve">本项最高得</w:t>
      </w:r>
      <w:r>
        <w:rPr>
          <w:rFonts w:hint="eastAsia" w:hAnsi="宋体" w:eastAsia="宋体"/>
          <w:sz w:val="24"/>
          <w:highlight w:val="none"/>
          <w:lang w:val="en-US" w:eastAsia="zh-CN"/>
        </w:rPr>
        <w:t xml:space="preserve">3</w:t>
      </w:r>
      <w:r>
        <w:rPr>
          <w:rFonts w:hint="eastAsia" w:hAnsi="宋体"/>
          <w:sz w:val="24"/>
          <w:highlight w:val="none"/>
          <w:lang w:val="en-US" w:eastAsia="zh-CN"/>
        </w:rPr>
        <w:t xml:space="preserve">.5</w:t>
      </w:r>
      <w:r>
        <w:rPr>
          <w:rFonts w:hint="eastAsia" w:hAnsi="宋体"/>
          <w:sz w:val="24"/>
          <w:highlight w:val="none"/>
        </w:rPr>
        <w:t xml:space="preserve">分</w:t>
      </w:r>
      <w:r>
        <w:rPr>
          <w:rFonts w:hint="eastAsia" w:hAnsi="宋体"/>
          <w:sz w:val="24"/>
          <w:highlight w:val="none"/>
          <w:lang w:eastAsia="zh-CN"/>
        </w:rPr>
        <w:t xml:space="preserve">。</w:t>
      </w:r>
      <w:r/>
    </w:p>
    <w:p>
      <w:pPr>
        <w:ind w:firstLine="480"/>
        <w:jc w:val="left"/>
        <w:spacing w:line="360" w:lineRule="auto"/>
        <w:tabs>
          <w:tab w:val="left" w:pos="900" w:leader="none"/>
        </w:tabs>
        <w:rPr>
          <w:rFonts w:hint="eastAsia" w:hAnsi="宋体"/>
          <w:sz w:val="24"/>
          <w:highlight w:val="none"/>
        </w:rPr>
      </w:pPr>
      <w:r>
        <w:rPr>
          <w:rFonts w:hint="eastAsia" w:ascii="宋体" w:hAnsi="宋体" w:eastAsia="宋体" w:cs="Times New Roman"/>
          <w:bCs/>
          <w:color w:val="auto"/>
          <w:sz w:val="24"/>
          <w:szCs w:val="24"/>
          <w:highlight w:val="none"/>
          <w:lang w:val="en-US" w:eastAsia="zh-CN"/>
        </w:rPr>
        <w:t xml:space="preserve">【提供</w:t>
      </w:r>
      <w:r>
        <w:rPr>
          <w:rFonts w:hint="eastAsia" w:hAnsi="宋体"/>
          <w:sz w:val="24"/>
          <w:highlight w:val="none"/>
        </w:rPr>
        <w:t xml:space="preserve">副经理</w:t>
      </w:r>
      <w:r>
        <w:rPr>
          <w:rFonts w:hint="eastAsia" w:ascii="宋体" w:hAnsi="宋体" w:eastAsia="宋体" w:cs="Times New Roman"/>
          <w:bCs/>
          <w:color w:val="auto"/>
          <w:sz w:val="24"/>
          <w:szCs w:val="24"/>
          <w:highlight w:val="none"/>
          <w:lang w:val="en-US" w:eastAsia="zh-CN"/>
        </w:rPr>
        <w:t xml:space="preserve">相关证明材料扫描件（加盖投标人公章）及投标人近一年中任意一个月份（不含投标当月）经社保部门确认的社保缴纳证明扫描件（加盖投标人公章）上传系统，未按要求提供不得分】</w:t>
      </w:r>
      <w:r/>
    </w:p>
    <w:p>
      <w:pPr>
        <w:ind w:firstLine="480"/>
        <w:jc w:val="left"/>
        <w:spacing w:line="360" w:lineRule="auto"/>
        <w:tabs>
          <w:tab w:val="left" w:pos="900" w:leader="none"/>
        </w:tabs>
        <w:rPr>
          <w:rFonts w:hint="eastAsia" w:hAnsi="宋体" w:eastAsia="宋体"/>
          <w:sz w:val="24"/>
          <w:highlight w:val="none"/>
          <w:lang w:eastAsia="zh-CN"/>
        </w:rPr>
      </w:pPr>
      <w:r>
        <w:rPr>
          <w:rFonts w:hint="eastAsia" w:hAnsi="宋体"/>
          <w:b/>
          <w:bCs/>
          <w:sz w:val="24"/>
          <w:highlight w:val="none"/>
          <w:lang w:eastAsia="zh-CN"/>
        </w:rPr>
        <w:t xml:space="preserve">（</w:t>
      </w:r>
      <w:r>
        <w:rPr>
          <w:rFonts w:hint="eastAsia" w:hAnsi="宋体"/>
          <w:b/>
          <w:bCs/>
          <w:sz w:val="24"/>
          <w:highlight w:val="none"/>
          <w:lang w:val="en-US" w:eastAsia="zh-CN"/>
        </w:rPr>
        <w:t xml:space="preserve">3</w:t>
      </w:r>
      <w:r>
        <w:rPr>
          <w:rFonts w:hint="eastAsia" w:hAnsi="宋体"/>
          <w:b/>
          <w:bCs/>
          <w:sz w:val="24"/>
          <w:highlight w:val="none"/>
          <w:lang w:eastAsia="zh-CN"/>
        </w:rPr>
        <w:t xml:space="preserve">）</w:t>
      </w:r>
      <w:r>
        <w:rPr>
          <w:rFonts w:hint="eastAsia" w:hAnsi="宋体"/>
          <w:b/>
          <w:bCs/>
          <w:sz w:val="24"/>
          <w:highlight w:val="none"/>
        </w:rPr>
        <w:t xml:space="preserve">保安队长（</w:t>
      </w:r>
      <w:r>
        <w:rPr>
          <w:rFonts w:hint="eastAsia" w:hAnsi="宋体"/>
          <w:b/>
          <w:bCs/>
          <w:sz w:val="24"/>
          <w:highlight w:val="none"/>
          <w:lang w:val="en-US" w:eastAsia="zh-CN"/>
        </w:rPr>
        <w:t xml:space="preserve">3</w:t>
      </w:r>
      <w:r>
        <w:rPr>
          <w:rFonts w:hint="eastAsia" w:hAnsi="宋体"/>
          <w:b/>
          <w:bCs/>
          <w:sz w:val="24"/>
          <w:highlight w:val="none"/>
        </w:rPr>
        <w:t xml:space="preserve">分）</w:t>
      </w:r>
      <w:r>
        <w:rPr>
          <w:rFonts w:hint="eastAsia" w:hAnsi="宋体"/>
          <w:sz w:val="24"/>
          <w:highlight w:val="none"/>
        </w:rPr>
        <w:t xml:space="preserve">：具有</w:t>
      </w:r>
      <w:r>
        <w:rPr>
          <w:rFonts w:hint="eastAsia" w:ascii="宋体" w:hAnsi="宋体" w:eastAsia="宋体" w:cs="宋体"/>
          <w:sz w:val="24"/>
          <w:szCs w:val="24"/>
          <w:highlight w:val="none"/>
        </w:rPr>
        <w:t xml:space="preserve">行政主管部门颁发的高级（三级）及以上保安员证</w:t>
      </w:r>
      <w:r>
        <w:rPr>
          <w:rFonts w:hint="eastAsia" w:hAnsi="宋体"/>
          <w:sz w:val="24"/>
          <w:highlight w:val="none"/>
        </w:rPr>
        <w:t xml:space="preserve">得1分</w:t>
      </w:r>
      <w:r>
        <w:rPr>
          <w:rFonts w:hint="eastAsia" w:hAnsi="宋体"/>
          <w:sz w:val="24"/>
          <w:highlight w:val="none"/>
          <w:lang w:eastAsia="zh-CN"/>
        </w:rPr>
        <w:t xml:space="preserve">，</w:t>
      </w:r>
      <w:r>
        <w:rPr>
          <w:rFonts w:hint="eastAsia" w:hAnsi="宋体"/>
          <w:sz w:val="24"/>
          <w:highlight w:val="none"/>
          <w:lang w:val="en-US" w:eastAsia="zh-CN"/>
        </w:rPr>
        <w:t xml:space="preserve">具有</w:t>
      </w:r>
      <w:r>
        <w:rPr>
          <w:rFonts w:hint="eastAsia" w:hAnsi="宋体"/>
          <w:sz w:val="24"/>
          <w:highlight w:val="none"/>
        </w:rPr>
        <w:t xml:space="preserve">行政主管部门颁发的</w:t>
      </w:r>
      <w:r>
        <w:rPr>
          <w:rFonts w:hint="eastAsia" w:ascii="宋体" w:hAnsi="宋体" w:eastAsia="宋体" w:cs="宋体"/>
          <w:bCs/>
          <w:sz w:val="24"/>
          <w:szCs w:val="24"/>
          <w:highlight w:val="none"/>
        </w:rPr>
        <w:t xml:space="preserve">建(构)筑物消防员证书或消防设施操作员证书</w:t>
      </w:r>
      <w:r>
        <w:rPr>
          <w:rFonts w:hint="eastAsia" w:hAnsi="宋体"/>
          <w:sz w:val="24"/>
          <w:highlight w:val="none"/>
        </w:rPr>
        <w:t xml:space="preserve">得1分</w:t>
      </w:r>
      <w:r>
        <w:rPr>
          <w:rFonts w:hint="eastAsia" w:hAnsi="宋体"/>
          <w:sz w:val="24"/>
          <w:highlight w:val="none"/>
          <w:lang w:eastAsia="zh-CN"/>
        </w:rPr>
        <w:t xml:space="preserve">，</w:t>
      </w:r>
      <w:r>
        <w:rPr>
          <w:rFonts w:hint="eastAsia" w:hAnsi="宋体"/>
          <w:sz w:val="24"/>
          <w:highlight w:val="none"/>
          <w:lang w:val="en-US" w:eastAsia="zh-CN"/>
        </w:rPr>
        <w:t xml:space="preserve">具有</w:t>
      </w:r>
      <w:r>
        <w:rPr>
          <w:rFonts w:hint="eastAsia" w:hAnsi="宋体"/>
          <w:sz w:val="24"/>
          <w:highlight w:val="none"/>
        </w:rPr>
        <w:t xml:space="preserve">行政主管部门颁发的特种设备安全管理人员证（A证）得1分，本项最高得</w:t>
      </w:r>
      <w:r>
        <w:rPr>
          <w:rFonts w:hint="eastAsia" w:hAnsi="宋体"/>
          <w:sz w:val="24"/>
          <w:highlight w:val="none"/>
          <w:lang w:val="en-US" w:eastAsia="zh-CN"/>
        </w:rPr>
        <w:t xml:space="preserve">3</w:t>
      </w:r>
      <w:r>
        <w:rPr>
          <w:rFonts w:hint="eastAsia" w:hAnsi="宋体"/>
          <w:sz w:val="24"/>
          <w:highlight w:val="none"/>
        </w:rPr>
        <w:t xml:space="preserve">分。</w:t>
      </w:r>
      <w:r/>
    </w:p>
    <w:p>
      <w:pPr>
        <w:ind w:firstLine="480"/>
        <w:jc w:val="left"/>
        <w:spacing w:line="360" w:lineRule="auto"/>
        <w:tabs>
          <w:tab w:val="left" w:pos="900" w:leader="none"/>
        </w:tabs>
        <w:rPr>
          <w:rFonts w:hint="eastAsia" w:hAnsi="宋体"/>
          <w:sz w:val="24"/>
          <w:highlight w:val="none"/>
        </w:rPr>
      </w:pPr>
      <w:r>
        <w:rPr>
          <w:rFonts w:hint="eastAsia" w:ascii="宋体" w:hAnsi="宋体" w:eastAsia="宋体" w:cs="Times New Roman"/>
          <w:bCs/>
          <w:color w:val="auto"/>
          <w:sz w:val="24"/>
          <w:szCs w:val="24"/>
          <w:highlight w:val="none"/>
          <w:lang w:val="en-US" w:eastAsia="zh-CN"/>
        </w:rPr>
        <w:t xml:space="preserve">【提供</w:t>
      </w:r>
      <w:r>
        <w:rPr>
          <w:rFonts w:hint="eastAsia" w:hAnsi="宋体"/>
          <w:sz w:val="24"/>
          <w:highlight w:val="none"/>
        </w:rPr>
        <w:t xml:space="preserve">保安队长</w:t>
      </w:r>
      <w:r>
        <w:rPr>
          <w:rFonts w:hint="eastAsia" w:ascii="宋体" w:hAnsi="宋体" w:eastAsia="宋体" w:cs="Times New Roman"/>
          <w:bCs/>
          <w:color w:val="auto"/>
          <w:sz w:val="24"/>
          <w:szCs w:val="24"/>
          <w:highlight w:val="none"/>
          <w:lang w:val="en-US" w:eastAsia="zh-CN"/>
        </w:rPr>
        <w:t xml:space="preserve">相关证明材料扫描件（加盖投标人公章）及投标人近一年中任意一个月份（不含投标当月）经社保部门确认的社保缴纳证明扫描件（加盖投标人公章）上传系统，未按要求提供不得分】</w:t>
      </w:r>
      <w:r/>
    </w:p>
    <w:p>
      <w:pPr>
        <w:ind w:firstLine="480"/>
        <w:jc w:val="left"/>
        <w:spacing w:line="360" w:lineRule="auto"/>
        <w:tabs>
          <w:tab w:val="left" w:pos="900" w:leader="none"/>
        </w:tabs>
        <w:rPr>
          <w:rFonts w:hint="eastAsia" w:hAnsi="宋体" w:eastAsia="宋体"/>
          <w:sz w:val="24"/>
          <w:highlight w:val="none"/>
          <w:lang w:eastAsia="zh-CN"/>
        </w:rPr>
      </w:pPr>
      <w:r>
        <w:rPr>
          <w:rFonts w:hint="eastAsia" w:hAnsi="宋体"/>
          <w:b/>
          <w:bCs/>
          <w:sz w:val="24"/>
          <w:highlight w:val="none"/>
          <w:lang w:eastAsia="zh-CN"/>
        </w:rPr>
        <w:t xml:space="preserve">（</w:t>
      </w:r>
      <w:r>
        <w:rPr>
          <w:rFonts w:hint="eastAsia" w:hAnsi="宋体"/>
          <w:b/>
          <w:bCs/>
          <w:sz w:val="24"/>
          <w:highlight w:val="none"/>
          <w:lang w:val="en-US" w:eastAsia="zh-CN"/>
        </w:rPr>
        <w:t xml:space="preserve">4</w:t>
      </w:r>
      <w:r>
        <w:rPr>
          <w:rFonts w:hint="eastAsia" w:hAnsi="宋体"/>
          <w:b/>
          <w:bCs/>
          <w:sz w:val="24"/>
          <w:highlight w:val="none"/>
          <w:lang w:eastAsia="zh-CN"/>
        </w:rPr>
        <w:t xml:space="preserve">）</w:t>
      </w:r>
      <w:r>
        <w:rPr>
          <w:rFonts w:hint="eastAsia" w:hAnsi="宋体"/>
          <w:b/>
          <w:bCs/>
          <w:sz w:val="24"/>
          <w:highlight w:val="none"/>
        </w:rPr>
        <w:t xml:space="preserve">工程主管（3分）：</w:t>
      </w:r>
      <w:r>
        <w:rPr>
          <w:rFonts w:hint="eastAsia" w:hAnsi="宋体"/>
          <w:sz w:val="24"/>
          <w:highlight w:val="none"/>
        </w:rPr>
        <w:t xml:space="preserve">具有大专及以上学历</w:t>
      </w:r>
      <w:r>
        <w:rPr>
          <w:rFonts w:hint="eastAsia" w:hAnsi="宋体"/>
          <w:sz w:val="24"/>
          <w:highlight w:val="none"/>
          <w:lang w:val="en-US" w:eastAsia="zh-CN"/>
        </w:rPr>
        <w:t xml:space="preserve">得1分</w:t>
      </w:r>
      <w:r>
        <w:rPr>
          <w:rFonts w:hint="eastAsia" w:hAnsi="宋体"/>
          <w:sz w:val="24"/>
          <w:highlight w:val="none"/>
          <w:lang w:eastAsia="zh-CN"/>
        </w:rPr>
        <w:t xml:space="preserve">，</w:t>
      </w:r>
      <w:r>
        <w:rPr>
          <w:rFonts w:hint="eastAsia" w:hAnsi="宋体"/>
          <w:sz w:val="24"/>
          <w:highlight w:val="none"/>
          <w:lang w:val="en-US" w:eastAsia="zh-CN"/>
        </w:rPr>
        <w:t xml:space="preserve">具</w:t>
      </w:r>
      <w:r>
        <w:rPr>
          <w:rFonts w:hint="eastAsia" w:hAnsi="宋体" w:eastAsia="宋体" w:cs="Times New Roman"/>
          <w:sz w:val="24"/>
          <w:highlight w:val="none"/>
          <w:lang w:val="en-US" w:eastAsia="zh-CN"/>
        </w:rPr>
        <w:t xml:space="preserve">有相关主管部门</w:t>
      </w:r>
      <w:r>
        <w:rPr>
          <w:rFonts w:hint="eastAsia" w:hAnsi="宋体" w:cs="Times New Roman"/>
          <w:sz w:val="24"/>
          <w:highlight w:val="none"/>
          <w:lang w:val="en-US" w:eastAsia="zh-CN"/>
        </w:rPr>
        <w:t xml:space="preserve">颁发的</w:t>
      </w:r>
      <w:r>
        <w:rPr>
          <w:rFonts w:hint="eastAsia" w:hAnsi="宋体"/>
          <w:sz w:val="24"/>
          <w:highlight w:val="none"/>
        </w:rPr>
        <w:t xml:space="preserve">四级（中级工）及以上维修电工职业资格证书</w:t>
      </w:r>
      <w:r>
        <w:rPr>
          <w:rFonts w:hint="eastAsia" w:hAnsi="宋体"/>
          <w:sz w:val="24"/>
          <w:highlight w:val="none"/>
          <w:lang w:val="en-US" w:eastAsia="zh-CN"/>
        </w:rPr>
        <w:t xml:space="preserve">得1分</w:t>
      </w:r>
      <w:r>
        <w:rPr>
          <w:rFonts w:hint="eastAsia" w:hAnsi="宋体"/>
          <w:sz w:val="24"/>
          <w:highlight w:val="none"/>
          <w:lang w:eastAsia="zh-CN"/>
        </w:rPr>
        <w:t xml:space="preserve">，</w:t>
      </w:r>
      <w:r>
        <w:rPr>
          <w:rFonts w:hint="eastAsia" w:hAnsi="宋体"/>
          <w:sz w:val="24"/>
          <w:highlight w:val="none"/>
          <w:lang w:val="en-US" w:eastAsia="zh-CN"/>
        </w:rPr>
        <w:t xml:space="preserve">具有</w:t>
      </w:r>
      <w:r>
        <w:rPr>
          <w:rFonts w:hint="eastAsia" w:hAnsi="宋体"/>
          <w:sz w:val="24"/>
          <w:highlight w:val="none"/>
        </w:rPr>
        <w:t xml:space="preserve">行政主管部门颁发的四级（中级工）及以上</w:t>
      </w:r>
      <w:r>
        <w:rPr>
          <w:rFonts w:hint="eastAsia" w:ascii="宋体" w:hAnsi="宋体" w:eastAsia="宋体" w:cs="宋体"/>
          <w:bCs/>
          <w:sz w:val="24"/>
          <w:szCs w:val="24"/>
          <w:highlight w:val="none"/>
        </w:rPr>
        <w:t xml:space="preserve">建(构)筑物消防员证书或消防设施操作员证书</w:t>
      </w:r>
      <w:r>
        <w:rPr>
          <w:rFonts w:hint="eastAsia" w:hAnsi="宋体"/>
          <w:sz w:val="24"/>
          <w:highlight w:val="none"/>
          <w:lang w:val="en-US" w:eastAsia="zh-CN"/>
        </w:rPr>
        <w:t xml:space="preserve">得1分</w:t>
      </w:r>
      <w:r>
        <w:rPr>
          <w:rFonts w:hint="eastAsia" w:hAnsi="宋体"/>
          <w:sz w:val="24"/>
          <w:highlight w:val="none"/>
        </w:rPr>
        <w:t xml:space="preserve">，</w:t>
      </w:r>
      <w:r>
        <w:rPr>
          <w:rFonts w:hint="eastAsia" w:hAnsi="宋体"/>
          <w:sz w:val="24"/>
          <w:highlight w:val="none"/>
          <w:lang w:val="en-US" w:eastAsia="zh-CN"/>
        </w:rPr>
        <w:t xml:space="preserve">本项</w:t>
      </w:r>
      <w:r>
        <w:rPr>
          <w:rFonts w:hint="eastAsia" w:hAnsi="宋体"/>
          <w:sz w:val="24"/>
          <w:highlight w:val="none"/>
        </w:rPr>
        <w:t xml:space="preserve">最多得3分</w:t>
      </w:r>
      <w:r>
        <w:rPr>
          <w:rFonts w:hint="eastAsia" w:hAnsi="宋体"/>
          <w:sz w:val="24"/>
          <w:highlight w:val="none"/>
          <w:lang w:eastAsia="zh-CN"/>
        </w:rPr>
        <w:t xml:space="preserve">。</w:t>
      </w:r>
      <w:r/>
    </w:p>
    <w:p>
      <w:pPr>
        <w:ind w:firstLine="480"/>
        <w:jc w:val="left"/>
        <w:spacing w:line="360" w:lineRule="auto"/>
        <w:tabs>
          <w:tab w:val="left" w:pos="900" w:leader="none"/>
        </w:tabs>
        <w:rPr>
          <w:rFonts w:hint="eastAsia" w:hAnsi="宋体" w:eastAsia="宋体"/>
          <w:sz w:val="24"/>
          <w:highlight w:val="none"/>
          <w:lang w:eastAsia="zh-CN"/>
        </w:rPr>
      </w:pPr>
      <w:r>
        <w:rPr>
          <w:rFonts w:hint="eastAsia" w:hAnsi="宋体"/>
          <w:b/>
          <w:bCs/>
          <w:sz w:val="24"/>
          <w:highlight w:val="none"/>
          <w:lang w:eastAsia="zh-CN"/>
        </w:rPr>
        <w:t xml:space="preserve">（</w:t>
      </w:r>
      <w:r>
        <w:rPr>
          <w:rFonts w:hint="eastAsia" w:hAnsi="宋体"/>
          <w:b/>
          <w:bCs/>
          <w:sz w:val="24"/>
          <w:highlight w:val="none"/>
          <w:lang w:val="en-US" w:eastAsia="zh-CN"/>
        </w:rPr>
        <w:t xml:space="preserve">5</w:t>
      </w:r>
      <w:r>
        <w:rPr>
          <w:rFonts w:hint="eastAsia" w:hAnsi="宋体"/>
          <w:b/>
          <w:bCs/>
          <w:sz w:val="24"/>
          <w:highlight w:val="none"/>
          <w:lang w:eastAsia="zh-CN"/>
        </w:rPr>
        <w:t xml:space="preserve">）</w:t>
      </w:r>
      <w:r>
        <w:rPr>
          <w:rFonts w:hint="eastAsia" w:hAnsi="宋体"/>
          <w:b/>
          <w:bCs/>
          <w:sz w:val="24"/>
          <w:highlight w:val="none"/>
        </w:rPr>
        <w:t xml:space="preserve">其他人员</w:t>
      </w:r>
      <w:r>
        <w:rPr>
          <w:rFonts w:hint="eastAsia" w:hAnsi="宋体"/>
          <w:b/>
          <w:bCs/>
          <w:sz w:val="24"/>
          <w:highlight w:val="none"/>
          <w:lang w:eastAsia="zh-CN"/>
        </w:rPr>
        <w:t xml:space="preserve">（</w:t>
      </w:r>
      <w:r>
        <w:rPr>
          <w:rFonts w:hint="eastAsia" w:hAnsi="宋体"/>
          <w:b/>
          <w:bCs/>
          <w:sz w:val="24"/>
          <w:highlight w:val="none"/>
          <w:lang w:val="en-US" w:eastAsia="zh-CN"/>
        </w:rPr>
        <w:t xml:space="preserve">3.5分</w:t>
      </w:r>
      <w:r>
        <w:rPr>
          <w:rFonts w:hint="eastAsia" w:hAnsi="宋体"/>
          <w:b/>
          <w:bCs/>
          <w:sz w:val="24"/>
          <w:highlight w:val="none"/>
          <w:lang w:eastAsia="zh-CN"/>
        </w:rPr>
        <w:t xml:space="preserve">）</w:t>
      </w:r>
      <w:r>
        <w:rPr>
          <w:rFonts w:hint="eastAsia" w:hAnsi="宋体"/>
          <w:sz w:val="24"/>
          <w:highlight w:val="none"/>
          <w:lang w:eastAsia="zh-CN"/>
        </w:rPr>
        <w:t xml:space="preserve">（</w:t>
      </w:r>
      <w:r>
        <w:rPr>
          <w:rFonts w:hint="eastAsia" w:hAnsi="宋体"/>
          <w:sz w:val="24"/>
          <w:highlight w:val="none"/>
          <w:lang w:val="en-US" w:eastAsia="zh-CN"/>
        </w:rPr>
        <w:t xml:space="preserve">除物业经理、保安队长、副经理、工程主管外</w:t>
      </w:r>
      <w:r>
        <w:rPr>
          <w:rFonts w:hint="eastAsia" w:hAnsi="宋体"/>
          <w:sz w:val="24"/>
          <w:highlight w:val="none"/>
          <w:lang w:eastAsia="zh-CN"/>
        </w:rPr>
        <w:t xml:space="preserve">）</w:t>
      </w:r>
      <w:r/>
    </w:p>
    <w:p>
      <w:pPr>
        <w:ind w:firstLine="480"/>
        <w:jc w:val="left"/>
        <w:spacing w:line="360" w:lineRule="auto"/>
        <w:tabs>
          <w:tab w:val="left" w:pos="900" w:leader="none"/>
        </w:tabs>
        <w:rPr>
          <w:rFonts w:hAnsi="宋体"/>
          <w:sz w:val="24"/>
          <w:highlight w:val="none"/>
        </w:rPr>
      </w:pPr>
      <w:r>
        <w:rPr>
          <w:rFonts w:hint="eastAsia" w:hAnsi="宋体"/>
          <w:sz w:val="24"/>
          <w:highlight w:val="none"/>
          <w:lang w:val="en-US" w:eastAsia="zh-CN"/>
        </w:rPr>
        <w:t xml:space="preserve">①</w:t>
      </w:r>
      <w:r>
        <w:rPr>
          <w:rFonts w:hint="eastAsia" w:hAnsi="宋体"/>
          <w:sz w:val="24"/>
          <w:highlight w:val="none"/>
        </w:rPr>
        <w:t xml:space="preserve">具有低压或高压电工证，有一个得</w:t>
      </w:r>
      <w:r>
        <w:rPr>
          <w:rFonts w:hint="eastAsia" w:hAnsi="宋体" w:eastAsia="宋体"/>
          <w:sz w:val="24"/>
          <w:highlight w:val="none"/>
          <w:lang w:val="en-US" w:eastAsia="zh-CN"/>
        </w:rPr>
        <w:t xml:space="preserve">1</w:t>
      </w:r>
      <w:r>
        <w:rPr>
          <w:rFonts w:hint="eastAsia" w:hAnsi="宋体"/>
          <w:sz w:val="24"/>
          <w:highlight w:val="none"/>
        </w:rPr>
        <w:t xml:space="preserve">分，最多得</w:t>
      </w:r>
      <w:r>
        <w:rPr>
          <w:rFonts w:hint="eastAsia" w:hAnsi="宋体" w:eastAsia="宋体"/>
          <w:sz w:val="24"/>
          <w:highlight w:val="none"/>
          <w:lang w:val="en-US" w:eastAsia="zh-CN"/>
        </w:rPr>
        <w:t xml:space="preserve">2</w:t>
      </w:r>
      <w:r>
        <w:rPr>
          <w:rFonts w:hint="eastAsia" w:hAnsi="宋体"/>
          <w:sz w:val="24"/>
          <w:highlight w:val="none"/>
        </w:rPr>
        <w:t xml:space="preserve">分；</w:t>
      </w:r>
      <w:r/>
    </w:p>
    <w:p>
      <w:pPr>
        <w:ind w:firstLine="480"/>
        <w:jc w:val="left"/>
        <w:spacing w:line="360" w:lineRule="auto"/>
        <w:tabs>
          <w:tab w:val="left" w:pos="900" w:leader="none"/>
        </w:tabs>
        <w:rPr>
          <w:rFonts w:hAnsi="宋体"/>
          <w:sz w:val="24"/>
          <w:highlight w:val="none"/>
        </w:rPr>
      </w:pPr>
      <w:r>
        <w:rPr>
          <w:rFonts w:hint="eastAsia" w:hAnsi="宋体"/>
          <w:sz w:val="24"/>
          <w:highlight w:val="none"/>
          <w:lang w:val="en-US" w:eastAsia="zh-CN"/>
        </w:rPr>
        <w:t xml:space="preserve">②</w:t>
      </w:r>
      <w:r>
        <w:rPr>
          <w:rFonts w:hint="eastAsia" w:hAnsi="宋体"/>
          <w:sz w:val="24"/>
          <w:highlight w:val="none"/>
        </w:rPr>
        <w:t xml:space="preserve">具有行政主管部门颁发的四级（中级工）及以上</w:t>
      </w:r>
      <w:r>
        <w:rPr>
          <w:rFonts w:hint="eastAsia" w:ascii="宋体" w:hAnsi="宋体" w:eastAsia="宋体" w:cs="宋体"/>
          <w:bCs/>
          <w:sz w:val="24"/>
          <w:szCs w:val="24"/>
          <w:highlight w:val="none"/>
        </w:rPr>
        <w:t xml:space="preserve">建(构)筑物消防员证书或消防设施操作员证书的</w:t>
      </w:r>
      <w:r>
        <w:rPr>
          <w:rFonts w:hint="eastAsia" w:hAnsi="宋体"/>
          <w:sz w:val="24"/>
          <w:highlight w:val="none"/>
        </w:rPr>
        <w:t xml:space="preserve">，有一个得</w:t>
      </w:r>
      <w:r>
        <w:rPr>
          <w:rFonts w:hint="eastAsia" w:hAnsi="宋体"/>
          <w:sz w:val="24"/>
          <w:highlight w:val="none"/>
          <w:lang w:val="en-US" w:eastAsia="zh-CN"/>
        </w:rPr>
        <w:t xml:space="preserve">0.5</w:t>
      </w:r>
      <w:r>
        <w:rPr>
          <w:rFonts w:hint="eastAsia" w:hAnsi="宋体"/>
          <w:sz w:val="24"/>
          <w:highlight w:val="none"/>
        </w:rPr>
        <w:t xml:space="preserve">分，最多得</w:t>
      </w:r>
      <w:r>
        <w:rPr>
          <w:rFonts w:hint="eastAsia" w:hAnsi="宋体"/>
          <w:sz w:val="24"/>
          <w:highlight w:val="none"/>
          <w:lang w:val="en-US" w:eastAsia="zh-CN"/>
        </w:rPr>
        <w:t xml:space="preserve">1.5</w:t>
      </w:r>
      <w:r>
        <w:rPr>
          <w:rFonts w:hint="eastAsia" w:hAnsi="宋体"/>
          <w:sz w:val="24"/>
          <w:highlight w:val="none"/>
        </w:rPr>
        <w:t xml:space="preserve">分；</w:t>
      </w:r>
      <w:r/>
    </w:p>
    <w:p>
      <w:pPr>
        <w:pStyle w:val="766"/>
        <w:ind w:firstLine="360"/>
        <w:spacing w:before="0" w:after="0" w:line="500" w:lineRule="exact"/>
        <w:rPr>
          <w:rFonts w:ascii="宋体" w:hAnsi="宋体"/>
        </w:rPr>
      </w:pPr>
      <w:r>
        <w:rPr>
          <w:rFonts w:hint="eastAsia" w:hAnsi="宋体"/>
          <w:sz w:val="24"/>
          <w:highlight w:val="none"/>
        </w:rPr>
        <w:t xml:space="preserve">【以上人员一人多证不重复得分，按最高分计。投标时须提供上述人员证书原件扫描件加盖公章上传系统，同时提供投标人为以上人员缴纳的近一年中任意一个月份（不含投标当月）社保证明资料扫描件或带有清晰二维码的官网扫描件加盖公章上传系统，否则不得分。】</w:t>
      </w:r>
      <w:r/>
    </w:p>
    <w:p>
      <w:pPr>
        <w:pStyle w:val="766"/>
        <w:ind w:firstLine="422"/>
        <w:spacing w:before="0" w:after="0" w:line="500" w:lineRule="exact"/>
        <w:rPr>
          <w:rFonts w:ascii="宋体" w:hAnsi="宋体"/>
          <w:b/>
          <w:sz w:val="28"/>
          <w:szCs w:val="28"/>
        </w:rPr>
      </w:pPr>
      <w:r>
        <w:rPr>
          <w:rFonts w:hint="eastAsia" w:ascii="宋体" w:hAnsi="宋体"/>
          <w:b/>
          <w:sz w:val="28"/>
          <w:szCs w:val="28"/>
        </w:rPr>
        <w:t xml:space="preserve">（二）技术部分（50分）</w:t>
      </w:r>
      <w:r/>
    </w:p>
    <w:p>
      <w:pPr>
        <w:pStyle w:val="766"/>
        <w:ind w:firstLine="422"/>
        <w:spacing w:before="0" w:after="0" w:line="500" w:lineRule="exact"/>
        <w:rPr>
          <w:rFonts w:ascii="宋体" w:hAnsi="宋体"/>
          <w:b/>
          <w:sz w:val="28"/>
          <w:szCs w:val="28"/>
          <w:u w:val="single"/>
        </w:rPr>
      </w:pPr>
      <w:r>
        <w:rPr>
          <w:rFonts w:hint="eastAsia" w:ascii="宋体" w:hAnsi="宋体"/>
          <w:b/>
          <w:sz w:val="28"/>
          <w:szCs w:val="28"/>
          <w:u w:val="single"/>
        </w:rPr>
        <w:t xml:space="preserve">注：技术部分属于暗标，投标人在制作技术部分相关内容时不得有体现投标人身份的内容，否则投标无效。</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hAnsi="宋体"/>
          <w:b/>
          <w:bCs/>
          <w:sz w:val="24"/>
          <w:highlight w:val="none"/>
        </w:rPr>
      </w:pPr>
      <w:r>
        <w:rPr>
          <w:rFonts w:hint="eastAsia" w:hAnsi="宋体"/>
          <w:b/>
          <w:bCs/>
          <w:sz w:val="24"/>
          <w:highlight w:val="none"/>
        </w:rPr>
        <w:t xml:space="preserve">服务方案（50分）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目标及整体设想（7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管理服务体系（8分）：内容包括：①综合管理服务体系；②公共区域秩序维护服务体系；③公共区域清洁管理服务体系；④公用设施设备日常运行、保养、维修管理服务体系。⑤物资装备的配备及维保使用方案。</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方案完整、科学合理，设计清晰详细，完全符合本项目需求，且能够提供上述5项全部方案的，得8分；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方案较完整，科学合理性较强，设计较清晰详细，能够符合本项目需求，能够提供上述4-5项方案的，得6分；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方案完整性一般，科学合理性一般，设计清晰详细程度一般，能够符合本项目需求，能够提供上述3-5项方案的，得4分；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方案完整性、科学合理性、设计的清晰详细程度等只能基本满足要求，能够提供上述2-5项方案的，得2分；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培训及日常管理标准和措施（7分）：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（4）管理规章制度（7分）：内容包括：①管理运作制度与客户服务制度；②安全管理制度；③日常巡检制度；④清洁管理制度；⑤档案资料的建立、分类管理等制度。</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 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7）服务响应、特色与创新（7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right="3645"/>
        <w:jc w:val="center"/>
        <w:spacing w:line="500" w:lineRule="exact"/>
        <w:tabs>
          <w:tab w:val="left" w:pos="1440" w:leader="none"/>
        </w:tabs>
        <w:rPr>
          <w:rFonts w:ascii="宋体" w:hAnsi="宋体" w:cs="宋体"/>
          <w:bCs/>
          <w:color w:val="000000"/>
          <w:sz w:val="24"/>
          <w:szCs w:val="24"/>
        </w:rPr>
        <w:outlineLvl w:val="0"/>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right="60"/>
        <w:jc w:val="center"/>
        <w:spacing w:line="500" w:lineRule="exact"/>
        <w:tabs>
          <w:tab w:val="left" w:pos="1440" w:leader="none"/>
        </w:tabs>
        <w:rPr>
          <w:rFonts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6"/>
        <w:ind w:firstLine="602"/>
        <w:spacing w:before="0" w:after="0" w:line="500" w:lineRule="exact"/>
        <w:rPr>
          <w:rFonts w:cs="Arial"/>
          <w:b/>
          <w:sz w:val="30"/>
          <w:szCs w:val="30"/>
        </w:rPr>
      </w:pPr>
      <w:r/>
      <w:bookmarkStart w:id="196" w:name="_Hlt26955039"/>
      <w:r/>
      <w:bookmarkEnd w:id="196"/>
      <w:r/>
      <w:bookmarkStart w:id="197" w:name="_Hlt26671244"/>
      <w:r/>
      <w:bookmarkEnd w:id="197"/>
      <w:r/>
      <w:bookmarkStart w:id="198" w:name="_Toc49090576"/>
      <w:r/>
      <w:bookmarkStart w:id="199" w:name="_Toc26554094"/>
      <w:r/>
      <w:bookmarkStart w:id="200" w:name="_Toc120614282"/>
      <w:r>
        <w:rPr>
          <w:rFonts w:hint="eastAsia" w:cs="Arial"/>
          <w:b/>
          <w:sz w:val="30"/>
          <w:szCs w:val="30"/>
        </w:rPr>
        <w:t xml:space="preserve">第一部分  投标文件内容</w:t>
      </w:r>
      <w:r/>
    </w:p>
    <w:p>
      <w:pPr>
        <w:pStyle w:val="766"/>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687"/>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6"/>
              <w:ind w:firstLine="0"/>
              <w:jc w:val="center"/>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6"/>
              <w:jc w:val="center"/>
              <w:spacing w:before="0" w:after="0" w:line="240" w:lineRule="auto"/>
              <w:rPr>
                <w:rFonts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6"/>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6"/>
              <w:ind w:firstLine="0"/>
              <w:jc w:val="center"/>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val="false"/>
          </w:tcPr>
          <w:p>
            <w:pPr>
              <w:pStyle w:val="766"/>
              <w:ind w:firstLine="0"/>
              <w:jc w:val="both"/>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6"/>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6"/>
              <w:ind w:firstLine="0"/>
              <w:jc w:val="center"/>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val="false"/>
          </w:tcPr>
          <w:p>
            <w:pPr>
              <w:pStyle w:val="766"/>
              <w:ind w:firstLine="0"/>
              <w:jc w:val="both"/>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6"/>
              <w:ind w:firstLine="0"/>
              <w:spacing w:before="0" w:after="0" w:line="240" w:lineRule="auto"/>
              <w:rPr>
                <w:rFonts w:ascii="宋体" w:hAnsi="宋体" w:cs="宋体"/>
              </w:rPr>
            </w:pPr>
            <w:r>
              <w:rPr>
                <w:rFonts w:ascii="宋体" w:hAnsi="宋体" w:cs="宋体"/>
              </w:rPr>
            </w:r>
            <w:r/>
          </w:p>
        </w:tc>
      </w:tr>
      <w:tr>
        <w:trPr>
          <w:jc w:val="center"/>
          <w:trHeight w:val="1684"/>
        </w:trPr>
        <w:tc>
          <w:tcPr>
            <w:tcW w:w="719" w:type="dxa"/>
            <w:vAlign w:val="center"/>
            <w:textDirection w:val="lrTb"/>
            <w:noWrap w:val="false"/>
          </w:tcPr>
          <w:p>
            <w:pPr>
              <w:pStyle w:val="766"/>
              <w:ind w:firstLine="0"/>
              <w:jc w:val="center"/>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val="false"/>
          </w:tcPr>
          <w:p>
            <w:pPr>
              <w:pStyle w:val="766"/>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8"/>
                <w:rFonts w:hint="eastAsia" w:ascii="宋体" w:hAnsi="宋体" w:cs="宋体"/>
                <w:sz w:val="24"/>
                <w:szCs w:val="24"/>
              </w:rPr>
              <w:t xml:space="preserve">。</w:t>
            </w:r>
            <w:r/>
          </w:p>
        </w:tc>
        <w:tc>
          <w:tcPr>
            <w:tcW w:w="2449" w:type="dxa"/>
            <w:vAlign w:val="center"/>
            <w:vMerge w:val="continue"/>
            <w:textDirection w:val="lrTb"/>
            <w:noWrap w:val="false"/>
          </w:tcPr>
          <w:p>
            <w:pPr>
              <w:pStyle w:val="766"/>
              <w:ind w:firstLine="0"/>
              <w:spacing w:before="0" w:after="0" w:line="240" w:lineRule="auto"/>
              <w:rPr>
                <w:rFonts w:ascii="宋体" w:hAnsi="宋体" w:cs="宋体"/>
              </w:rPr>
            </w:pPr>
            <w:r>
              <w:rPr>
                <w:rFonts w:ascii="宋体" w:hAnsi="宋体" w:cs="宋体"/>
              </w:rPr>
            </w:r>
            <w:r/>
          </w:p>
        </w:tc>
      </w:tr>
      <w:tr>
        <w:trPr>
          <w:jc w:val="center"/>
          <w:trHeight w:val="963"/>
        </w:trPr>
        <w:tc>
          <w:tcPr>
            <w:tcW w:w="719" w:type="dxa"/>
            <w:vAlign w:val="center"/>
            <w:textDirection w:val="lrTb"/>
            <w:noWrap w:val="false"/>
          </w:tcPr>
          <w:p>
            <w:pPr>
              <w:pStyle w:val="766"/>
              <w:ind w:firstLine="0"/>
              <w:jc w:val="center"/>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val="false"/>
          </w:tcPr>
          <w:p>
            <w:pPr>
              <w:pStyle w:val="766"/>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6"/>
              <w:ind w:firstLine="0"/>
              <w:spacing w:before="0" w:after="0" w:line="240" w:lineRule="auto"/>
              <w:rPr>
                <w:rFonts w:ascii="宋体" w:hAnsi="宋体" w:cs="宋体"/>
              </w:rPr>
            </w:pPr>
            <w:r>
              <w:rPr>
                <w:rFonts w:ascii="宋体" w:hAnsi="宋体" w:cs="宋体"/>
              </w:rPr>
            </w:r>
            <w:r/>
          </w:p>
        </w:tc>
      </w:tr>
      <w:tr>
        <w:trPr>
          <w:jc w:val="center"/>
          <w:trHeight w:val="1023"/>
        </w:trPr>
        <w:tc>
          <w:tcPr>
            <w:tcW w:w="719" w:type="dxa"/>
            <w:vAlign w:val="center"/>
            <w:textDirection w:val="lrTb"/>
            <w:noWrap w:val="false"/>
          </w:tcPr>
          <w:p>
            <w:pPr>
              <w:pStyle w:val="766"/>
              <w:ind w:firstLine="0"/>
              <w:jc w:val="center"/>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val="false"/>
          </w:tcPr>
          <w:p>
            <w:pPr>
              <w:pStyle w:val="766"/>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6"/>
              <w:ind w:firstLine="0"/>
              <w:spacing w:before="0" w:after="0" w:line="240" w:lineRule="auto"/>
              <w:rPr>
                <w:rFonts w:ascii="宋体" w:hAnsi="宋体" w:cs="宋体"/>
              </w:rPr>
            </w:pPr>
            <w:r>
              <w:rPr>
                <w:rFonts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6"/>
              <w:ind w:firstLine="0"/>
              <w:jc w:val="center"/>
              <w:spacing w:before="0" w:after="0" w:line="240" w:lineRule="auto"/>
              <w:rPr>
                <w:rFonts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6"/>
              <w:ind w:firstLine="0"/>
              <w:jc w:val="both"/>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6"/>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766"/>
              <w:ind w:firstLine="0"/>
              <w:jc w:val="center"/>
              <w:spacing w:before="0" w:after="0" w:line="240" w:lineRule="auto"/>
              <w:rPr>
                <w:rFonts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766"/>
              <w:ind w:firstLine="0"/>
              <w:spacing w:before="0" w:after="0" w:line="240" w:lineRule="auto"/>
              <w:rPr>
                <w:rFonts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766"/>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6"/>
              <w:ind w:firstLine="0"/>
              <w:jc w:val="center"/>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6"/>
              <w:ind w:firstLine="0"/>
              <w:jc w:val="both"/>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766"/>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6"/>
              <w:ind w:firstLine="0"/>
              <w:jc w:val="center"/>
              <w:spacing w:before="0" w:after="0" w:line="240" w:lineRule="auto"/>
              <w:rPr>
                <w:rFonts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6"/>
              <w:ind w:firstLine="0"/>
              <w:spacing w:before="0" w:after="0" w:line="240" w:lineRule="auto"/>
              <w:rPr>
                <w:rFonts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2"/>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2"/>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2"/>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6"/>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val="false"/>
          </w:tcPr>
          <w:p>
            <w:pPr>
              <w:pStyle w:val="766"/>
              <w:ind w:firstLine="0"/>
              <w:jc w:val="center"/>
              <w:spacing w:before="0" w:after="0" w:line="240" w:lineRule="auto"/>
              <w:rPr>
                <w:rFonts w:cs="Arial"/>
                <w:b/>
              </w:rPr>
            </w:pPr>
            <w:r>
              <w:rPr>
                <w:rFonts w:hint="eastAsia" w:ascii="宋体" w:hAnsi="宋体" w:cs="宋体"/>
                <w:b/>
              </w:rPr>
              <w:t xml:space="preserve">评审项目及评审要求</w:t>
            </w:r>
            <w:r/>
          </w:p>
        </w:tc>
        <w:tc>
          <w:tcPr>
            <w:tcW w:w="1979" w:type="dxa"/>
            <w:vAlign w:val="center"/>
            <w:textDirection w:val="lrTb"/>
            <w:noWrap w:val="false"/>
          </w:tcPr>
          <w:p>
            <w:pPr>
              <w:pStyle w:val="766"/>
              <w:ind w:firstLine="0"/>
              <w:jc w:val="center"/>
              <w:spacing w:before="0" w:after="0" w:line="240" w:lineRule="auto"/>
              <w:rPr>
                <w:rFonts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val="false"/>
          </w:tcPr>
          <w:p>
            <w:pPr>
              <w:pStyle w:val="766"/>
              <w:ind w:firstLine="0"/>
              <w:jc w:val="both"/>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6"/>
              <w:ind w:firstLine="0"/>
              <w:jc w:val="center"/>
              <w:spacing w:before="0" w:after="0" w:line="240" w:lineRule="auto"/>
              <w:rPr>
                <w:rFonts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val="false"/>
          </w:tcPr>
          <w:p>
            <w:pPr>
              <w:pStyle w:val="766"/>
              <w:ind w:firstLine="0"/>
              <w:jc w:val="both"/>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6"/>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ascii="宋体" w:hAnsi="宋体"/>
              </w:rPr>
            </w:pPr>
            <w:r>
              <w:rPr>
                <w:rFonts w:hint="eastAsia" w:ascii="宋体" w:hAnsi="宋体"/>
              </w:rPr>
              <w:t xml:space="preserve">3</w:t>
            </w:r>
            <w:r/>
          </w:p>
        </w:tc>
        <w:tc>
          <w:tcPr>
            <w:tcW w:w="6095" w:type="dxa"/>
            <w:vAlign w:val="center"/>
            <w:textDirection w:val="lrTb"/>
            <w:noWrap w:val="false"/>
          </w:tcPr>
          <w:p>
            <w:pPr>
              <w:pStyle w:val="766"/>
              <w:ind w:firstLine="0"/>
              <w:jc w:val="both"/>
              <w:spacing w:before="0" w:after="0" w:line="240" w:lineRule="auto"/>
              <w:rPr>
                <w:rFonts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6"/>
              <w:ind w:firstLine="0"/>
              <w:jc w:val="center"/>
              <w:spacing w:before="0" w:after="0" w:line="240" w:lineRule="auto"/>
              <w:rPr>
                <w:rFonts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ascii="宋体" w:hAnsi="宋体"/>
              </w:rPr>
            </w:pPr>
            <w:r>
              <w:rPr>
                <w:rFonts w:hint="eastAsia" w:ascii="宋体" w:hAnsi="宋体"/>
              </w:rPr>
              <w:t xml:space="preserve">4</w:t>
            </w:r>
            <w:r/>
          </w:p>
        </w:tc>
        <w:tc>
          <w:tcPr>
            <w:tcW w:w="6095" w:type="dxa"/>
            <w:vAlign w:val="center"/>
            <w:textDirection w:val="lrTb"/>
            <w:noWrap w:val="false"/>
          </w:tcPr>
          <w:p>
            <w:pPr>
              <w:pStyle w:val="766"/>
              <w:ind w:firstLine="0"/>
              <w:jc w:val="both"/>
              <w:spacing w:before="0" w:after="0" w:line="240" w:lineRule="auto"/>
              <w:rPr>
                <w:rFonts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6"/>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ascii="宋体" w:hAnsi="宋体"/>
              </w:rPr>
            </w:pPr>
            <w:r>
              <w:rPr>
                <w:rFonts w:hint="eastAsia" w:ascii="宋体" w:hAnsi="宋体"/>
              </w:rPr>
              <w:t xml:space="preserve">5</w:t>
            </w:r>
            <w:r/>
          </w:p>
        </w:tc>
        <w:tc>
          <w:tcPr>
            <w:tcW w:w="6095" w:type="dxa"/>
            <w:vAlign w:val="center"/>
            <w:textDirection w:val="lrTb"/>
            <w:noWrap w:val="false"/>
          </w:tcPr>
          <w:p>
            <w:pPr>
              <w:pStyle w:val="766"/>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6"/>
              <w:ind w:firstLine="0"/>
              <w:jc w:val="center"/>
              <w:spacing w:before="0" w:after="0" w:line="240" w:lineRule="auto"/>
              <w:rPr>
                <w:rFonts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ascii="宋体" w:hAnsi="宋体"/>
              </w:rPr>
            </w:pPr>
            <w:r>
              <w:rPr>
                <w:rFonts w:hint="eastAsia" w:ascii="宋体" w:hAnsi="宋体"/>
              </w:rPr>
              <w:t xml:space="preserve">6</w:t>
            </w:r>
            <w:r/>
          </w:p>
        </w:tc>
        <w:tc>
          <w:tcPr>
            <w:tcW w:w="6095" w:type="dxa"/>
            <w:vAlign w:val="center"/>
            <w:textDirection w:val="lrTb"/>
            <w:noWrap w:val="false"/>
          </w:tcPr>
          <w:p>
            <w:pPr>
              <w:pStyle w:val="766"/>
              <w:ind w:firstLine="0"/>
              <w:jc w:val="both"/>
              <w:spacing w:before="0" w:after="0" w:line="240" w:lineRule="auto"/>
              <w:rPr>
                <w:rFonts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6"/>
              <w:ind w:firstLine="0"/>
              <w:jc w:val="both"/>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3"/>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left="480"/>
        <w:spacing w:line="500" w:lineRule="exact"/>
        <w:rPr>
          <w:rFonts w:ascii="宋体" w:hAnsi="宋体" w:cs="宋体"/>
          <w:color w:val="ff0000"/>
          <w:sz w:val="24"/>
          <w:szCs w:val="24"/>
        </w:rPr>
      </w:pPr>
      <w:r>
        <w:rPr>
          <w:rFonts w:ascii="宋体" w:hAnsi="宋体" w:cs="宋体"/>
          <w:color w:val="ff0000"/>
          <w:sz w:val="24"/>
          <w:szCs w:val="24"/>
        </w:rPr>
      </w:r>
      <w:r/>
    </w:p>
    <w:p>
      <w:pPr>
        <w:rPr>
          <w:b/>
          <w:sz w:val="28"/>
          <w:szCs w:val="28"/>
        </w:rPr>
      </w:pPr>
      <w:r>
        <w:rPr>
          <w:rFonts w:hint="eastAsia"/>
          <w:b/>
          <w:sz w:val="28"/>
          <w:szCs w:val="28"/>
        </w:rPr>
        <w:t xml:space="preserve">（二）其他证明文件</w:t>
      </w:r>
      <w:r/>
    </w:p>
    <w:p>
      <w:pPr>
        <w:ind w:left="480"/>
        <w:spacing w:line="500" w:lineRule="exact"/>
        <w:rPr>
          <w:rFonts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766"/>
        <w:ind w:firstLine="0"/>
        <w:spacing w:before="0" w:after="0"/>
        <w:rPr>
          <w:rFonts w:cs="Arial"/>
          <w:b/>
          <w:sz w:val="28"/>
          <w:szCs w:val="28"/>
        </w:rPr>
      </w:pPr>
      <w:r>
        <w:rPr>
          <w:rFonts w:hint="eastAsia" w:cs="Arial"/>
          <w:b/>
          <w:sz w:val="28"/>
          <w:szCs w:val="28"/>
        </w:rPr>
        <w:t xml:space="preserve">一、封面格式（参考格式）：</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ind w:firstLine="1800"/>
        <w:rPr>
          <w:rFonts w:hint="eastAsia" w:ascii="黑体" w:hAnsi="华文中宋" w:eastAsia="黑体"/>
          <w:bCs/>
          <w:sz w:val="30"/>
          <w:szCs w:val="30"/>
          <w:lang w:eastAsia="zh-CN"/>
        </w:rPr>
      </w:pPr>
      <w:r>
        <w:rPr>
          <w:rFonts w:hint="eastAsia" w:ascii="黑体" w:hAnsi="华文中宋" w:eastAsia="黑体"/>
          <w:bCs/>
          <w:sz w:val="30"/>
          <w:szCs w:val="30"/>
        </w:rPr>
        <w:t xml:space="preserve">项目编号：</w:t>
      </w:r>
      <w:r>
        <w:rPr>
          <w:rFonts w:hint="eastAsia" w:ascii="黑体" w:hAnsi="华文中宋" w:eastAsia="黑体"/>
          <w:bCs/>
          <w:sz w:val="30"/>
          <w:szCs w:val="30"/>
          <w:lang w:eastAsia="zh-CN"/>
        </w:rPr>
        <w:t xml:space="preserve">JSZC-320214-JZCG-G2026-0015</w:t>
      </w:r>
      <w:r/>
    </w:p>
    <w:p>
      <w:pPr>
        <w:ind w:firstLine="1800"/>
        <w:rPr>
          <w:rFonts w:hint="eastAsia" w:ascii="黑体" w:hAnsi="华文中宋" w:eastAsia="黑体"/>
          <w:bCs/>
          <w:sz w:val="30"/>
          <w:szCs w:val="30"/>
          <w:lang w:eastAsia="zh-CN"/>
        </w:rPr>
      </w:pPr>
      <w:r>
        <w:rPr>
          <w:rFonts w:hint="eastAsia" w:ascii="黑体" w:hAnsi="华文中宋" w:eastAsia="黑体"/>
          <w:bCs/>
          <w:sz w:val="30"/>
          <w:szCs w:val="30"/>
        </w:rPr>
        <w:t xml:space="preserve">项目名称：</w:t>
      </w:r>
      <w:r>
        <w:rPr>
          <w:rFonts w:hint="eastAsia" w:ascii="黑体" w:hAnsi="华文中宋" w:eastAsia="黑体"/>
          <w:bCs/>
          <w:sz w:val="30"/>
          <w:szCs w:val="30"/>
          <w:lang w:eastAsia="zh-CN"/>
        </w:rPr>
        <w:t xml:space="preserve">鸿泰苑三区物业管理服务外包项目</w:t>
      </w:r>
      <w:r/>
    </w:p>
    <w:p>
      <w:pPr>
        <w:ind w:firstLine="1800"/>
        <w:rPr>
          <w:rFonts w:ascii="黑体" w:hAnsi="华文中宋" w:eastAsia="黑体"/>
          <w:bCs/>
          <w:sz w:val="30"/>
          <w:szCs w:val="30"/>
        </w:rPr>
      </w:pPr>
      <w:r>
        <w:rPr>
          <w:rFonts w:hint="eastAsia" w:ascii="黑体" w:hAnsi="华文中宋" w:eastAsia="黑体"/>
          <w:bCs/>
          <w:sz w:val="30"/>
          <w:szCs w:val="30"/>
        </w:rPr>
        <w:t xml:space="preserve">投 标 人：</w:t>
      </w:r>
      <w:r/>
    </w:p>
    <w:p>
      <w:pPr>
        <w:ind w:firstLine="1800"/>
        <w:rPr>
          <w:rFonts w:ascii="黑体" w:hAnsi="华文中宋" w:eastAsia="黑体"/>
          <w:bCs/>
          <w:sz w:val="30"/>
          <w:szCs w:val="30"/>
        </w:rPr>
      </w:pPr>
      <w:r>
        <w:rPr>
          <w:rFonts w:hint="eastAsia" w:ascii="黑体" w:hAnsi="华文中宋" w:eastAsia="黑体"/>
          <w:bCs/>
          <w:sz w:val="30"/>
          <w:szCs w:val="30"/>
        </w:rPr>
        <w:t xml:space="preserve">日    期：</w:t>
      </w:r>
      <w:r/>
    </w:p>
    <w:p>
      <w:pPr>
        <w:spacing w:line="440" w:lineRule="exact"/>
        <w:rPr>
          <w:rFonts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sz w:val="28"/>
          <w:szCs w:val="28"/>
        </w:rPr>
        <w:t xml:space="preserve">授权委托书</w:t>
      </w:r>
      <w:r/>
    </w:p>
    <w:p>
      <w:pPr>
        <w:pStyle w:val="764"/>
        <w:ind w:firstLine="480"/>
        <w:rPr>
          <w:sz w:val="24"/>
          <w:szCs w:val="24"/>
        </w:rPr>
      </w:pPr>
      <w:r>
        <w:rPr>
          <w:rFonts w:hint="eastAsia"/>
          <w:sz w:val="24"/>
          <w:szCs w:val="24"/>
        </w:rPr>
        <w:t xml:space="preserve">我公司（单位、联合体）针对</w:t>
      </w:r>
      <w:r>
        <w:rPr>
          <w:rFonts w:hint="eastAsia" w:ascii="宋体" w:hAnsi="宋体"/>
          <w:bCs/>
          <w:sz w:val="24"/>
          <w:szCs w:val="24"/>
          <w:lang w:eastAsia="zh-CN"/>
        </w:rPr>
        <w:t xml:space="preserve">JSZC-320214-JZCG-G2026-0015</w:t>
      </w:r>
      <w:r>
        <w:rPr>
          <w:rFonts w:hint="eastAsia" w:ascii="宋体" w:hAnsi="宋体"/>
          <w:bCs/>
          <w:sz w:val="24"/>
          <w:szCs w:val="24"/>
        </w:rPr>
        <w:t xml:space="preserve">项目，兹授权：</w:t>
      </w:r>
      <w:r/>
    </w:p>
    <w:p>
      <w:pPr>
        <w:pStyle w:val="764"/>
        <w:ind w:firstLine="480"/>
        <w:rPr>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764"/>
        <w:ind w:firstLine="480"/>
        <w:rPr>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64"/>
        <w:ind w:firstLine="480"/>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64"/>
        <w:ind w:firstLine="480"/>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764"/>
        <w:ind w:firstLine="480"/>
        <w:rPr>
          <w:sz w:val="24"/>
          <w:szCs w:val="24"/>
        </w:rPr>
      </w:pPr>
      <w:r>
        <w:rPr>
          <w:rFonts w:hint="eastAsia"/>
          <w:sz w:val="24"/>
          <w:szCs w:val="24"/>
        </w:rPr>
        <w:t xml:space="preserve">特此授权委托。</w:t>
      </w:r>
      <w:r/>
    </w:p>
    <w:p>
      <w:pPr>
        <w:pStyle w:val="764"/>
        <w:ind w:firstLine="0"/>
        <w:rPr>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64"/>
        <w:ind w:firstLine="0"/>
        <w:rPr>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64"/>
        <w:ind w:firstLine="0"/>
        <w:rPr>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4"/>
        <w:ind w:firstLine="0"/>
        <w:spacing w:line="360" w:lineRule="auto"/>
        <w:rPr>
          <w:sz w:val="21"/>
          <w:szCs w:val="21"/>
        </w:rPr>
      </w:pPr>
      <w:r>
        <w:rPr>
          <w:sz w:val="21"/>
          <w:szCs w:val="21"/>
        </w:rPr>
      </w:r>
      <w:r/>
    </w:p>
    <w:p>
      <w:pPr>
        <w:pStyle w:val="764"/>
        <w:ind w:firstLine="0"/>
        <w:spacing w:line="360" w:lineRule="auto"/>
        <w:rPr>
          <w:sz w:val="21"/>
          <w:szCs w:val="21"/>
        </w:rPr>
      </w:pPr>
      <w:r>
        <w:rPr>
          <w:rFonts w:hint="eastAsia"/>
          <w:sz w:val="21"/>
          <w:szCs w:val="21"/>
        </w:rPr>
        <w:t xml:space="preserve">说明：</w:t>
      </w:r>
      <w:r/>
    </w:p>
    <w:p>
      <w:pPr>
        <w:pStyle w:val="764"/>
        <w:numPr>
          <w:ilvl w:val="0"/>
          <w:numId w:val="14"/>
        </w:numPr>
        <w:ind w:firstLine="420"/>
        <w:spacing w:line="360" w:lineRule="auto"/>
        <w:rPr>
          <w:rFonts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64"/>
        <w:numPr>
          <w:ilvl w:val="0"/>
          <w:numId w:val="14"/>
        </w:numPr>
        <w:ind w:firstLine="420"/>
        <w:spacing w:line="360" w:lineRule="auto"/>
        <w:rPr>
          <w:rFonts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4"/>
        <w:numPr>
          <w:ilvl w:val="0"/>
          <w:numId w:val="14"/>
        </w:numPr>
        <w:ind w:firstLine="420"/>
        <w:spacing w:line="360" w:lineRule="auto"/>
        <w:rPr>
          <w:rFonts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64"/>
        <w:numPr>
          <w:ilvl w:val="0"/>
          <w:numId w:val="14"/>
        </w:numPr>
        <w:ind w:firstLine="420"/>
        <w:spacing w:line="360" w:lineRule="auto"/>
        <w:rPr>
          <w:rFonts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4"/>
        <w:ind w:firstLine="0"/>
        <w:rPr>
          <w:rFonts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sz w:val="24"/>
          <w:szCs w:val="24"/>
        </w:rPr>
      </w:pPr>
      <w:r>
        <w:rPr>
          <w:rFonts w:hint="eastAsia" w:ascii="宋体" w:hAnsi="宋体"/>
          <w:bCs/>
          <w:color w:val="000000"/>
          <w:sz w:val="24"/>
          <w:szCs w:val="24"/>
        </w:rPr>
        <w:t xml:space="preserve">无锡市公共资源交易</w:t>
      </w:r>
      <w:r>
        <w:rPr>
          <w:rFonts w:hint="eastAsia" w:ascii="宋体" w:hAnsi="宋体"/>
          <w:bCs/>
          <w:sz w:val="24"/>
          <w:szCs w:val="24"/>
        </w:rPr>
        <w:t xml:space="preserve">中心新吴分中心：</w:t>
      </w:r>
      <w:r/>
    </w:p>
    <w:p>
      <w:pPr>
        <w:ind w:firstLine="480"/>
        <w:spacing w:line="480" w:lineRule="auto"/>
        <w:rPr>
          <w:rFonts w:ascii="宋体" w:hAnsi="宋体"/>
          <w:bCs/>
          <w:sz w:val="24"/>
          <w:szCs w:val="24"/>
        </w:rPr>
      </w:pPr>
      <w:r>
        <w:rPr>
          <w:rFonts w:hint="eastAsia" w:ascii="宋体" w:hAnsi="宋体"/>
          <w:bCs/>
          <w:sz w:val="24"/>
          <w:szCs w:val="24"/>
        </w:rPr>
        <w:t xml:space="preserve">我公司（单位、联合体）针对本次项目</w:t>
      </w:r>
      <w:r>
        <w:rPr>
          <w:rFonts w:hint="eastAsia" w:ascii="宋体" w:hAnsi="宋体"/>
          <w:bCs/>
          <w:sz w:val="24"/>
          <w:szCs w:val="24"/>
          <w:lang w:eastAsia="zh-CN"/>
        </w:rPr>
        <w:t xml:space="preserve">JSZC-320214-JZCG-G2026-0015</w:t>
      </w:r>
      <w:r>
        <w:rPr>
          <w:rFonts w:hint="eastAsia" w:ascii="宋体" w:hAnsi="宋体"/>
          <w:bCs/>
          <w:sz w:val="24"/>
          <w:szCs w:val="24"/>
        </w:rPr>
        <w:t xml:space="preserve">进行投标，并作如下声明</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numPr>
          <w:ilvl w:val="0"/>
          <w:numId w:val="15"/>
        </w:numPr>
        <w:ind w:firstLine="480"/>
        <w:spacing w:line="360" w:lineRule="auto"/>
        <w:rPr>
          <w:rFonts w:ascii="宋体" w:hAnsi="宋体"/>
          <w:bCs/>
          <w:sz w:val="24"/>
          <w:szCs w:val="24"/>
        </w:rPr>
      </w:pPr>
      <w:r>
        <w:rPr>
          <w:rFonts w:hint="eastAsia" w:ascii="宋体" w:hAnsi="宋体"/>
          <w:bCs/>
          <w:sz w:val="24"/>
          <w:szCs w:val="24"/>
          <w:u w:val="single"/>
        </w:rPr>
        <w:t xml:space="preserve">物业管理服务（不含电梯系统维保和消防系统维保）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numPr>
          <w:ilvl w:val="0"/>
          <w:numId w:val="15"/>
        </w:numPr>
        <w:ind w:firstLine="480"/>
        <w:spacing w:line="360" w:lineRule="auto"/>
        <w:rPr>
          <w:rFonts w:ascii="宋体" w:hAnsi="宋体"/>
          <w:bCs/>
          <w:sz w:val="24"/>
          <w:szCs w:val="24"/>
        </w:rPr>
      </w:pPr>
      <w:r>
        <w:rPr>
          <w:rFonts w:hint="eastAsia" w:ascii="宋体" w:hAnsi="宋体"/>
          <w:bCs/>
          <w:sz w:val="24"/>
          <w:szCs w:val="24"/>
          <w:u w:val="single"/>
        </w:rPr>
        <w:t xml:space="preserve">电梯系统维保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numPr>
          <w:ilvl w:val="0"/>
          <w:numId w:val="15"/>
        </w:numPr>
        <w:ind w:firstLine="480"/>
        <w:spacing w:line="360" w:lineRule="auto"/>
        <w:rPr>
          <w:rFonts w:ascii="宋体" w:hAnsi="宋体"/>
          <w:bCs/>
          <w:sz w:val="24"/>
          <w:szCs w:val="24"/>
        </w:rPr>
      </w:pPr>
      <w:r>
        <w:rPr>
          <w:rFonts w:ascii="宋体" w:hAnsi="宋体"/>
          <w:bCs/>
          <w:sz w:val="24"/>
          <w:szCs w:val="24"/>
          <w:u w:val="single"/>
        </w:rPr>
        <w:t xml:space="preserve"> </w:t>
      </w:r>
      <w:r>
        <w:rPr>
          <w:rFonts w:hint="eastAsia" w:ascii="宋体" w:hAnsi="宋体"/>
          <w:bCs/>
          <w:sz w:val="24"/>
          <w:szCs w:val="24"/>
          <w:u w:val="single"/>
        </w:rPr>
        <w:t xml:space="preserve">消防系统维保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即电梯系统维保和消防系统维保如中标后由分包供应商承建（承接）的，则“企业名称（盖章）”处还须盖有该分包供应商单位公章）。</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b/>
          <w:sz w:val="30"/>
          <w:szCs w:val="30"/>
        </w:rPr>
      </w:pPr>
      <w:r>
        <w:rPr>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致无锡市公共资源交易中心新吴分中心：</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sz w:val="24"/>
          <w:szCs w:val="24"/>
        </w:rPr>
      </w:pPr>
      <w:r>
        <w:rPr>
          <w:rFonts w:hint="eastAsia" w:ascii="宋体" w:hAnsi="宋体"/>
          <w:bCs/>
          <w:color w:val="000000"/>
          <w:sz w:val="24"/>
          <w:szCs w:val="24"/>
        </w:rPr>
        <w:t xml:space="preserve">我方收</w:t>
      </w:r>
      <w:r>
        <w:rPr>
          <w:rFonts w:hint="eastAsia" w:ascii="宋体" w:hAnsi="宋体"/>
          <w:bCs/>
          <w:sz w:val="24"/>
          <w:szCs w:val="24"/>
        </w:rPr>
        <w:t xml:space="preserve">到贵方</w:t>
      </w:r>
      <w:r>
        <w:rPr>
          <w:rFonts w:hint="eastAsia" w:ascii="宋体" w:hAnsi="宋体"/>
          <w:bCs/>
          <w:sz w:val="24"/>
          <w:szCs w:val="24"/>
          <w:lang w:eastAsia="zh-CN"/>
        </w:rPr>
        <w:t xml:space="preserve">JSZC-320214-JZCG-G2026-0015</w:t>
      </w:r>
      <w:r>
        <w:rPr>
          <w:rFonts w:hint="eastAsia" w:ascii="宋体" w:hAnsi="宋体"/>
          <w:bCs/>
          <w:sz w:val="24"/>
          <w:szCs w:val="24"/>
        </w:rPr>
        <w:t xml:space="preserve">招标文件，经仔细阅读和研究，我方决定参加此项目的投标。</w:t>
      </w:r>
      <w:r/>
    </w:p>
    <w:p>
      <w:pPr>
        <w:numPr>
          <w:ilvl w:val="0"/>
          <w:numId w:val="16"/>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sz w:val="24"/>
          <w:szCs w:val="24"/>
        </w:rPr>
        <w:t xml:space="preserve">我方愿意按照招标文件的一切要求，提供本项目的</w:t>
      </w:r>
      <w:r>
        <w:rPr>
          <w:rFonts w:hint="eastAsia" w:ascii="宋体" w:hAnsi="宋体"/>
          <w:bCs/>
          <w:color w:val="000000"/>
          <w:sz w:val="24"/>
          <w:szCs w:val="24"/>
        </w:rPr>
        <w:t xml:space="preserve">投标，投标总价见《开标一览表》。</w:t>
      </w:r>
      <w:r/>
    </w:p>
    <w:p>
      <w:pPr>
        <w:numPr>
          <w:ilvl w:val="0"/>
          <w:numId w:val="16"/>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6"/>
          <w:bCs/>
          <w:color w:val="000000"/>
        </w:rPr>
      </w:pPr>
      <w:r>
        <w:rPr>
          <w:rFonts w:hint="eastAsia" w:ascii="宋体" w:hAnsi="宋体"/>
          <w:bCs/>
          <w:color w:val="000000"/>
          <w:sz w:val="24"/>
          <w:szCs w:val="24"/>
        </w:rPr>
        <w:t xml:space="preserve">我方愿意提供无锡市公共资源交易中心新吴分中心在招标文件中要求的文件、资料。</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ascii="宋体" w:hAnsi="宋体"/>
          <w:bCs/>
          <w:color w:val="000000"/>
          <w:sz w:val="24"/>
          <w:szCs w:val="24"/>
        </w:rPr>
      </w:pPr>
      <w:r>
        <w:rPr>
          <w:rFonts w:hint="eastAsia" w:ascii="宋体" w:hAnsi="宋体"/>
          <w:bCs/>
          <w:color w:val="000000"/>
          <w:sz w:val="24"/>
          <w:szCs w:val="24"/>
        </w:rPr>
        <w:t xml:space="preserve">投标人名称（盖章）：</w:t>
      </w:r>
      <w:r/>
    </w:p>
    <w:p>
      <w:pPr>
        <w:spacing w:line="480" w:lineRule="auto"/>
        <w:rPr>
          <w:rFonts w:ascii="宋体" w:hAnsi="宋体"/>
          <w:bCs/>
          <w:color w:val="000000"/>
          <w:sz w:val="24"/>
          <w:szCs w:val="24"/>
        </w:rPr>
      </w:pPr>
      <w:r>
        <w:rPr>
          <w:rFonts w:ascii="宋体" w:hAnsi="宋体"/>
          <w:bCs/>
          <w:color w:val="000000"/>
          <w:sz w:val="24"/>
          <w:szCs w:val="24"/>
        </w:rPr>
      </w:r>
      <w:r/>
    </w:p>
    <w:p>
      <w:pPr>
        <w:rPr>
          <w:b/>
          <w:sz w:val="28"/>
          <w:szCs w:val="28"/>
        </w:rPr>
        <w:outlineLvl w:val="0"/>
      </w:pPr>
      <w:r>
        <w:rPr>
          <w:rFonts w:ascii="宋体" w:hAnsi="宋体"/>
          <w:bCs/>
          <w:color w:val="000000"/>
          <w:sz w:val="24"/>
          <w:szCs w:val="24"/>
        </w:rPr>
        <w:br w:type="page" w:clear="all"/>
      </w:r>
      <w:r>
        <w:rPr>
          <w:rFonts w:hint="eastAsia"/>
          <w:b/>
          <w:sz w:val="28"/>
          <w:szCs w:val="28"/>
        </w:rPr>
        <w:t xml:space="preserve">七、承诺书（给定格式）：</w:t>
      </w:r>
      <w:r/>
    </w:p>
    <w:p>
      <w:pPr>
        <w:ind w:firstLine="602"/>
        <w:rPr>
          <w:b/>
          <w:sz w:val="30"/>
          <w:szCs w:val="30"/>
        </w:rPr>
        <w:outlineLvl w:val="0"/>
      </w:pPr>
      <w:r>
        <w:rPr>
          <w:b/>
          <w:sz w:val="30"/>
          <w:szCs w:val="30"/>
        </w:rPr>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（投标人名称）针</w:t>
      </w:r>
      <w:r>
        <w:rPr>
          <w:rFonts w:hint="eastAsia" w:ascii="宋体" w:hAnsi="宋体"/>
          <w:bCs/>
          <w:sz w:val="24"/>
          <w:szCs w:val="24"/>
        </w:rPr>
        <w:t xml:space="preserve">对本项目</w:t>
      </w:r>
      <w:r>
        <w:rPr>
          <w:rFonts w:hint="eastAsia" w:ascii="宋体" w:hAnsi="宋体"/>
          <w:bCs/>
          <w:sz w:val="24"/>
          <w:szCs w:val="24"/>
          <w:lang w:eastAsia="zh-CN"/>
        </w:rPr>
        <w:t xml:space="preserve">JSZC-320214-JZCG-G2026-0015</w:t>
      </w:r>
      <w:r>
        <w:rPr>
          <w:rFonts w:hint="eastAsia" w:ascii="宋体" w:hAnsi="宋体"/>
          <w:sz w:val="24"/>
          <w:szCs w:val="24"/>
        </w:rPr>
        <w:t xml:space="preserve">在此对服务保障做如下承诺：</w:t>
      </w:r>
      <w:r/>
    </w:p>
    <w:p>
      <w:pPr>
        <w:spacing w:line="48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sz w:val="24"/>
          <w:szCs w:val="24"/>
        </w:rPr>
        <w:t xml:space="preserve">）对本项目所提供的服务符合招标文件要求；</w:t>
      </w:r>
      <w:r/>
    </w:p>
    <w:p>
      <w:pPr>
        <w:ind w:firstLine="480"/>
        <w:spacing w:line="360" w:lineRule="auto"/>
        <w:rPr>
          <w:rFonts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ascii="宋体" w:hAnsi="宋体" w:cs="宋体"/>
          <w:sz w:val="24"/>
          <w:szCs w:val="24"/>
        </w:rPr>
      </w:pPr>
      <w:r>
        <w:rPr>
          <w:rFonts w:hint="eastAsia" w:ascii="宋体" w:hAnsi="宋体" w:cs="宋体"/>
          <w:sz w:val="24"/>
          <w:szCs w:val="24"/>
        </w:rPr>
        <w:t xml:space="preserve">3.</w:t>
      </w:r>
      <w:r/>
    </w:p>
    <w:p>
      <w:pPr>
        <w:ind w:firstLine="480"/>
        <w:spacing w:line="360" w:lineRule="auto"/>
        <w:rPr>
          <w:rFonts w:ascii="宋体" w:hAnsi="宋体" w:cs="宋体"/>
          <w:sz w:val="24"/>
          <w:szCs w:val="24"/>
        </w:rPr>
      </w:pPr>
      <w:r>
        <w:rPr>
          <w:rFonts w:hint="eastAsia" w:ascii="宋体" w:hAnsi="宋体" w:cs="宋体"/>
          <w:sz w:val="24"/>
          <w:szCs w:val="24"/>
        </w:rPr>
        <w:t xml:space="preserve">4.</w:t>
      </w:r>
      <w:r/>
    </w:p>
    <w:p>
      <w:pPr>
        <w:ind w:firstLine="480"/>
        <w:spacing w:line="360" w:lineRule="auto"/>
        <w:rPr>
          <w:rFonts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ascii="宋体" w:hAnsi="宋体" w:cs="宋体"/>
          <w:sz w:val="24"/>
          <w:szCs w:val="24"/>
        </w:rPr>
      </w:pPr>
      <w:r>
        <w:rPr>
          <w:rFonts w:hint="eastAsia" w:ascii="宋体" w:hAnsi="宋体" w:cs="宋体"/>
          <w:sz w:val="24"/>
          <w:szCs w:val="24"/>
        </w:rPr>
        <w:t xml:space="preserve">6.</w:t>
      </w:r>
      <w:r/>
    </w:p>
    <w:p>
      <w:pPr>
        <w:ind w:firstLine="960"/>
        <w:spacing w:line="480" w:lineRule="auto"/>
        <w:rPr>
          <w:rFonts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ascii="宋体" w:hAnsi="宋体"/>
          <w:bCs/>
          <w:color w:val="000000"/>
          <w:sz w:val="24"/>
          <w:szCs w:val="24"/>
        </w:rPr>
      </w:pPr>
      <w:r>
        <w:rPr>
          <w:rFonts w:ascii="宋体" w:hAnsi="宋体"/>
          <w:bCs/>
          <w:color w:val="000000"/>
          <w:sz w:val="24"/>
          <w:szCs w:val="24"/>
        </w:rPr>
      </w:r>
      <w:r/>
    </w:p>
    <w:p>
      <w:pPr>
        <w:ind w:firstLine="3720"/>
        <w:spacing w:line="480" w:lineRule="auto"/>
        <w:rPr>
          <w:rFonts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ascii="宋体" w:hAnsi="宋体"/>
          <w:bCs/>
          <w:color w:val="000000"/>
          <w:sz w:val="24"/>
          <w:szCs w:val="24"/>
        </w:rPr>
      </w:pPr>
      <w:r>
        <w:rPr>
          <w:rFonts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spacing w:line="360" w:lineRule="auto"/>
        <w:rPr>
          <w:rFonts w:hint="eastAsia" w:ascii="黑体" w:eastAsia="黑体"/>
          <w:bCs/>
          <w:sz w:val="24"/>
          <w:szCs w:val="24"/>
          <w:lang w:eastAsia="zh-CN"/>
        </w:rPr>
      </w:pPr>
      <w:r>
        <w:rPr>
          <w:rFonts w:hint="eastAsia" w:ascii="黑体" w:eastAsia="黑体"/>
          <w:bCs/>
          <w:sz w:val="24"/>
          <w:szCs w:val="24"/>
        </w:rPr>
        <w:t xml:space="preserve"> 项目编号：</w:t>
      </w:r>
      <w:r>
        <w:rPr>
          <w:rFonts w:hint="eastAsia" w:ascii="黑体" w:eastAsia="黑体"/>
          <w:bCs/>
          <w:sz w:val="24"/>
          <w:szCs w:val="24"/>
          <w:lang w:eastAsia="zh-CN"/>
        </w:rPr>
        <w:t xml:space="preserve">JSZC-320214-JZCG-G2026-0015</w:t>
      </w:r>
      <w:r/>
    </w:p>
    <w:tbl>
      <w:tblPr>
        <w:tblStyle w:val="687"/>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p>
        </w:tc>
      </w:tr>
      <w:tr>
        <w:trPr>
          <w:cantSplit/>
          <w:trHeight w:val="1630"/>
        </w:trPr>
        <w:tc>
          <w:tcPr>
            <w:tcW w:w="5697" w:type="dxa"/>
            <w:vAlign w:val="center"/>
            <w:textDirection w:val="lrTb"/>
            <w:noWrap w:val="false"/>
          </w:tcPr>
          <w:p>
            <w:pPr>
              <w:pStyle w:val="792"/>
              <w:jc w:val="center"/>
              <w:spacing w:line="400" w:lineRule="exact"/>
              <w:rPr>
                <w:rFonts w:hint="eastAsia" w:hAnsi="宋体" w:eastAsia="宋体"/>
                <w:bCs/>
                <w:szCs w:val="24"/>
                <w:lang w:eastAsia="zh-CN"/>
              </w:rPr>
            </w:pPr>
            <w:r>
              <w:rPr>
                <w:rFonts w:hint="eastAsia" w:hAnsi="宋体"/>
                <w:bCs/>
                <w:szCs w:val="24"/>
                <w:lang w:eastAsia="zh-CN"/>
              </w:rPr>
              <w:t xml:space="preserve">鸿泰苑三区物业管理服务外包项目</w:t>
            </w:r>
            <w:r/>
          </w:p>
        </w:tc>
        <w:tc>
          <w:tcPr>
            <w:tcW w:w="3188" w:type="dxa"/>
            <w:vAlign w:val="center"/>
            <w:textDirection w:val="lrTb"/>
            <w:noWrap w:val="false"/>
          </w:tcPr>
          <w:p>
            <w:pPr>
              <w:pStyle w:val="792"/>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sz w:val="30"/>
          <w:szCs w:val="30"/>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bookmarkEnd w:id="199"/>
      <w:bookmarkEnd w:id="200"/>
      <w:r/>
    </w:p>
    <w:p>
      <w:pPr>
        <w:ind w:firstLine="420"/>
        <w:jc w:val="center"/>
        <w:spacing w:line="400" w:lineRule="exact"/>
        <w:rPr>
          <w:rFonts w:ascii="黑体" w:hAnsi="宋体" w:eastAsia="黑体"/>
          <w:bCs/>
          <w:sz w:val="24"/>
          <w:szCs w:val="24"/>
        </w:rPr>
        <w:outlineLvl w:val="0"/>
      </w:pPr>
      <w:r/>
      <w:bookmarkStart w:id="202" w:name="_Toc120614284"/>
      <w:r>
        <w:rPr>
          <w:rFonts w:hint="eastAsia" w:ascii="黑体" w:eastAsia="黑体"/>
          <w:bCs/>
          <w:sz w:val="28"/>
          <w:szCs w:val="28"/>
        </w:rPr>
        <w:t xml:space="preserve">分项报价表</w:t>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JSZC-320214-JZCG-G2026-0015</w:t>
      </w:r>
      <w:r/>
    </w:p>
    <w:tbl>
      <w:tblPr>
        <w:tblStyle w:val="687"/>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序号</w:t>
            </w:r>
            <w:r/>
          </w:p>
        </w:tc>
        <w:tc>
          <w:tcPr>
            <w:tcW w:w="3575" w:type="dxa"/>
            <w:vAlign w:val="center"/>
            <w:textDirection w:val="lrTb"/>
            <w:noWrap w:val="false"/>
          </w:tcPr>
          <w:p>
            <w:pPr>
              <w:jc w:val="center"/>
              <w:rPr>
                <w:rFonts w:ascii="宋体" w:hAnsi="宋体"/>
                <w:b/>
              </w:rPr>
            </w:pPr>
            <w:r>
              <w:rPr>
                <w:rFonts w:hint="eastAsia" w:ascii="宋体" w:hAnsi="宋体"/>
                <w:b/>
              </w:rPr>
              <w:t xml:space="preserve">项目名称</w:t>
            </w:r>
            <w:r/>
          </w:p>
        </w:tc>
        <w:tc>
          <w:tcPr>
            <w:tcW w:w="1465" w:type="dxa"/>
            <w:vAlign w:val="center"/>
            <w:textDirection w:val="lrTb"/>
            <w:noWrap w:val="false"/>
          </w:tcPr>
          <w:p>
            <w:pPr>
              <w:jc w:val="center"/>
              <w:rPr>
                <w:rFonts w:ascii="宋体" w:hAnsi="宋体"/>
                <w:b/>
              </w:rPr>
            </w:pPr>
            <w:r>
              <w:rPr>
                <w:rFonts w:hint="eastAsia" w:ascii="宋体" w:hAnsi="宋体"/>
                <w:b/>
              </w:rPr>
              <w:t xml:space="preserve">报价</w:t>
            </w:r>
            <w:r/>
          </w:p>
          <w:p>
            <w:pPr>
              <w:jc w:val="center"/>
              <w:rPr>
                <w:rFonts w:ascii="宋体" w:hAnsi="宋体"/>
                <w:b/>
              </w:rPr>
            </w:pPr>
            <w:r>
              <w:rPr>
                <w:rFonts w:hint="eastAsia" w:ascii="宋体" w:hAnsi="宋体"/>
                <w:b/>
              </w:rPr>
              <w:t xml:space="preserve">（元/月）</w:t>
            </w:r>
            <w:r/>
          </w:p>
        </w:tc>
        <w:tc>
          <w:tcPr>
            <w:tcW w:w="1418" w:type="dxa"/>
            <w:vAlign w:val="center"/>
            <w:textDirection w:val="lrTb"/>
            <w:noWrap w:val="false"/>
          </w:tcPr>
          <w:p>
            <w:pPr>
              <w:jc w:val="center"/>
              <w:rPr>
                <w:rFonts w:ascii="宋体" w:hAnsi="宋体"/>
                <w:b/>
              </w:rPr>
            </w:pPr>
            <w:r>
              <w:rPr>
                <w:rFonts w:hint="eastAsia" w:ascii="宋体" w:hAnsi="宋体"/>
                <w:b/>
              </w:rPr>
              <w:t xml:space="preserve">报价</w:t>
            </w:r>
            <w:r/>
          </w:p>
          <w:p>
            <w:pPr>
              <w:jc w:val="center"/>
              <w:rPr>
                <w:rFonts w:ascii="宋体" w:hAnsi="宋体"/>
                <w:b/>
              </w:rPr>
            </w:pPr>
            <w:r>
              <w:rPr>
                <w:rFonts w:hint="eastAsia" w:ascii="宋体" w:hAnsi="宋体"/>
                <w:b/>
              </w:rPr>
              <w:t xml:space="preserve">（元/年）</w:t>
            </w:r>
            <w:r/>
          </w:p>
        </w:tc>
        <w:tc>
          <w:tcPr>
            <w:tcW w:w="1842" w:type="dxa"/>
            <w:vAlign w:val="center"/>
            <w:textDirection w:val="lrTb"/>
            <w:noWrap w:val="false"/>
          </w:tcPr>
          <w:p>
            <w:pPr>
              <w:jc w:val="center"/>
              <w:rPr>
                <w:rFonts w:ascii="宋体" w:hAnsi="宋体"/>
                <w:b/>
              </w:rPr>
            </w:pPr>
            <w:r>
              <w:rPr>
                <w:rFonts w:hint="eastAsia" w:ascii="宋体" w:hAnsi="宋体"/>
                <w:b/>
              </w:rPr>
              <w:t xml:space="preserve">备注</w:t>
            </w:r>
            <w:r/>
          </w:p>
        </w:tc>
      </w:tr>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1</w:t>
            </w:r>
            <w:r/>
          </w:p>
        </w:tc>
        <w:tc>
          <w:tcPr>
            <w:tcW w:w="3575" w:type="dxa"/>
            <w:vAlign w:val="center"/>
            <w:textDirection w:val="lrTb"/>
            <w:noWrap w:val="false"/>
          </w:tcPr>
          <w:p>
            <w:pPr>
              <w:jc w:val="left"/>
              <w:rPr>
                <w:rFonts w:ascii="宋体" w:hAnsi="宋体"/>
                <w:b/>
              </w:rPr>
            </w:pPr>
            <w:r>
              <w:rPr>
                <w:rFonts w:hint="eastAsia" w:ascii="宋体" w:hAnsi="宋体"/>
                <w:b/>
              </w:rPr>
              <w:t xml:space="preserve">员工工资、福利、法定计提费用</w:t>
            </w:r>
            <w:r/>
          </w:p>
        </w:tc>
        <w:tc>
          <w:tcPr>
            <w:tcW w:w="1465" w:type="dxa"/>
            <w:vAlign w:val="center"/>
            <w:textDirection w:val="lrTb"/>
            <w:noWrap w:val="false"/>
          </w:tcPr>
          <w:p>
            <w:pPr>
              <w:jc w:val="center"/>
              <w:rPr>
                <w:rFonts w:ascii="宋体" w:hAnsi="宋体"/>
              </w:rPr>
            </w:pPr>
            <w:r>
              <w:rPr>
                <w:rFonts w:ascii="宋体" w:hAnsi="宋体"/>
              </w:rPr>
            </w:r>
            <w:r/>
          </w:p>
        </w:tc>
        <w:tc>
          <w:tcPr>
            <w:tcW w:w="1418" w:type="dxa"/>
            <w:vAlign w:val="center"/>
            <w:textDirection w:val="lrTb"/>
            <w:noWrap w:val="false"/>
          </w:tcPr>
          <w:p>
            <w:pPr>
              <w:jc w:val="center"/>
              <w:rPr>
                <w:rFonts w:ascii="宋体" w:hAnsi="宋体"/>
              </w:rPr>
            </w:pPr>
            <w:r>
              <w:rPr>
                <w:rFonts w:ascii="宋体" w:hAnsi="宋体"/>
              </w:rPr>
            </w:r>
            <w:r/>
          </w:p>
        </w:tc>
        <w:tc>
          <w:tcPr>
            <w:tcW w:w="1842" w:type="dxa"/>
            <w:vAlign w:val="center"/>
            <w:textDirection w:val="lrTb"/>
            <w:noWrap w:val="false"/>
          </w:tcPr>
          <w:p>
            <w:pPr>
              <w:jc w:val="center"/>
              <w:rPr>
                <w:rFonts w:ascii="宋体" w:hAnsi="宋体"/>
              </w:rPr>
            </w:pPr>
            <w:r>
              <w:rPr>
                <w:rFonts w:hint="eastAsia" w:ascii="宋体" w:hAnsi="宋体"/>
              </w:rPr>
              <w:t xml:space="preserve">参照表（1）</w:t>
            </w:r>
            <w:r/>
          </w:p>
        </w:tc>
      </w:tr>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2</w:t>
            </w:r>
            <w:r/>
          </w:p>
        </w:tc>
        <w:tc>
          <w:tcPr>
            <w:tcW w:w="3575" w:type="dxa"/>
            <w:vAlign w:val="center"/>
            <w:textDirection w:val="lrTb"/>
            <w:noWrap w:val="false"/>
          </w:tcPr>
          <w:p>
            <w:pPr>
              <w:jc w:val="left"/>
              <w:rPr>
                <w:rFonts w:ascii="宋体" w:hAnsi="宋体"/>
                <w:b/>
              </w:rPr>
            </w:pPr>
            <w:r>
              <w:rPr>
                <w:rFonts w:hint="eastAsia" w:ascii="宋体" w:hAnsi="宋体"/>
                <w:b/>
              </w:rPr>
              <w:t xml:space="preserve">行政办公费用</w:t>
            </w:r>
            <w:r/>
          </w:p>
        </w:tc>
        <w:tc>
          <w:tcPr>
            <w:tcW w:w="1465" w:type="dxa"/>
            <w:vAlign w:val="center"/>
            <w:textDirection w:val="lrTb"/>
            <w:noWrap w:val="false"/>
          </w:tcPr>
          <w:p>
            <w:pPr>
              <w:jc w:val="center"/>
              <w:rPr>
                <w:rFonts w:ascii="宋体" w:hAnsi="宋体"/>
              </w:rPr>
            </w:pPr>
            <w:r>
              <w:rPr>
                <w:rFonts w:ascii="宋体" w:hAnsi="宋体"/>
              </w:rPr>
            </w:r>
            <w:r/>
          </w:p>
        </w:tc>
        <w:tc>
          <w:tcPr>
            <w:tcW w:w="1418" w:type="dxa"/>
            <w:vAlign w:val="center"/>
            <w:textDirection w:val="lrTb"/>
            <w:noWrap w:val="false"/>
          </w:tcPr>
          <w:p>
            <w:pPr>
              <w:jc w:val="center"/>
              <w:rPr>
                <w:rFonts w:ascii="宋体" w:hAnsi="宋体"/>
              </w:rPr>
            </w:pPr>
            <w:r>
              <w:rPr>
                <w:rFonts w:ascii="宋体" w:hAnsi="宋体"/>
              </w:rPr>
            </w:r>
            <w:r/>
          </w:p>
        </w:tc>
        <w:tc>
          <w:tcPr>
            <w:tcW w:w="1842" w:type="dxa"/>
            <w:vAlign w:val="center"/>
            <w:textDirection w:val="lrTb"/>
            <w:noWrap w:val="false"/>
          </w:tcPr>
          <w:p>
            <w:pPr>
              <w:jc w:val="center"/>
              <w:rPr>
                <w:rFonts w:ascii="宋体" w:hAnsi="宋体"/>
              </w:rPr>
            </w:pPr>
            <w:r>
              <w:rPr>
                <w:rFonts w:ascii="宋体" w:hAnsi="宋体"/>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办公用品、耗材费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参照表（2）、（3）</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交通费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ascii="宋体" w:hAnsi="宋体"/>
                <w:b/>
                <w:color w:val="000000"/>
              </w:rPr>
            </w:pPr>
            <w:r>
              <w:rPr>
                <w:rFonts w:ascii="宋体" w:hAnsi="宋体"/>
                <w:b/>
                <w:color w:val="000000"/>
              </w:rPr>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bl>
    <w:p>
      <w:pPr>
        <w:spacing w:line="400" w:lineRule="exact"/>
        <w:rPr>
          <w:rFonts w:ascii="黑体" w:eastAsia="黑体"/>
          <w:bCs/>
          <w:color w:val="000000"/>
          <w:sz w:val="32"/>
        </w:rPr>
      </w:pPr>
      <w:r>
        <w:rPr>
          <w:rFonts w:hint="eastAsia" w:ascii="黑体" w:eastAsia="黑体"/>
          <w:bCs/>
          <w:color w:val="000000"/>
          <w:sz w:val="24"/>
          <w:szCs w:val="24"/>
        </w:rPr>
        <w:t xml:space="preserve">投标人名称（盖章）：</w:t>
      </w:r>
      <w:r/>
    </w:p>
    <w:p>
      <w:pPr>
        <w:rPr>
          <w:rFonts w:ascii="宋体" w:hAnsi="宋体"/>
          <w:bCs/>
          <w:color w:val="000000"/>
        </w:rPr>
      </w:pPr>
      <w:r>
        <w:rPr>
          <w:rFonts w:ascii="宋体" w:hAnsi="宋体"/>
          <w:bCs/>
          <w:color w:val="000000"/>
        </w:rPr>
      </w:r>
      <w:r/>
    </w:p>
    <w:p>
      <w:pPr>
        <w:rPr>
          <w:rFonts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新吴分中心有权将相关内容进行公示；</w:t>
      </w:r>
      <w:r/>
    </w:p>
    <w:p>
      <w:pPr>
        <w:ind w:firstLine="420"/>
        <w:rPr>
          <w:rFonts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87"/>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人员费用标准</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项目经理</w:t>
            </w:r>
            <w:r/>
          </w:p>
          <w:p>
            <w:pPr>
              <w:jc w:val="center"/>
              <w:rPr>
                <w:rFonts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ascii="宋体" w:hAnsi="宋体"/>
                <w:sz w:val="18"/>
                <w:szCs w:val="18"/>
              </w:rPr>
            </w:pPr>
            <w:r>
              <w:rPr>
                <w:rFonts w:ascii="宋体" w:hAnsi="宋体"/>
                <w:sz w:val="18"/>
                <w:szCs w:val="18"/>
              </w:rPr>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ascii="宋体" w:hAnsi="宋体"/>
                <w:b/>
                <w:sz w:val="18"/>
                <w:szCs w:val="18"/>
              </w:rPr>
            </w:pPr>
            <w:r>
              <w:rPr>
                <w:rFonts w:ascii="宋体" w:hAnsi="宋体"/>
                <w:b/>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ascii="宋体" w:hAnsi="宋体"/>
                <w:sz w:val="18"/>
                <w:szCs w:val="18"/>
              </w:rPr>
            </w:pPr>
            <w:r>
              <w:rPr>
                <w:rFonts w:ascii="宋体" w:hAnsi="宋体"/>
                <w:sz w:val="18"/>
                <w:szCs w:val="18"/>
              </w:rPr>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2"/>
            <w:tcW w:w="266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w:t>
      </w:r>
      <w:r>
        <w:rPr>
          <w:rFonts w:hint="eastAsia" w:ascii="宋体" w:hAnsi="宋体"/>
          <w:bCs/>
        </w:rPr>
        <w:t xml:space="preserve">省、市相关政策规定；本项目如有允许配置</w:t>
      </w:r>
      <w:r>
        <w:rPr>
          <w:rFonts w:ascii="宋体" w:hAnsi="宋体"/>
          <w:bCs/>
        </w:rPr>
        <w:t xml:space="preserve">按国家规定可不缴纳社保的人员</w:t>
      </w:r>
      <w:r>
        <w:rPr>
          <w:rFonts w:hint="eastAsia" w:ascii="宋体" w:hAnsi="宋体"/>
          <w:bCs/>
        </w:rPr>
        <w:t xml:space="preserve">（详见第四章《采购需求》），上表“法定计提费用”中的人员配置总数可扣除上述人员，但须</w:t>
      </w:r>
      <w:r>
        <w:rPr>
          <w:rFonts w:ascii="宋体" w:hAnsi="宋体"/>
          <w:bCs/>
        </w:rPr>
        <w:t xml:space="preserve">提供</w:t>
      </w:r>
      <w:r>
        <w:rPr>
          <w:rFonts w:hint="eastAsia" w:ascii="宋体" w:hAnsi="宋体"/>
          <w:bCs/>
        </w:rPr>
        <w:t xml:space="preserve">该人员</w:t>
      </w:r>
      <w:r>
        <w:rPr>
          <w:rFonts w:ascii="宋体" w:hAnsi="宋体"/>
          <w:bCs/>
        </w:rPr>
        <w:t xml:space="preserve">相关证明材料复印件</w:t>
      </w:r>
      <w:r>
        <w:rPr>
          <w:rFonts w:hint="eastAsia" w:ascii="宋体" w:hAnsi="宋体"/>
          <w:bCs/>
        </w:rPr>
        <w:t xml:space="preserve">，否则投标文件无效。</w:t>
      </w:r>
      <w:r/>
    </w:p>
    <w:p>
      <w:pPr>
        <w:ind w:firstLine="405"/>
        <w:rPr>
          <w:rFonts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68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品牌</w:t>
            </w:r>
            <w:r/>
          </w:p>
          <w:p>
            <w:pPr>
              <w:rPr>
                <w:rFonts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85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tcW w:w="81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85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gridSpan w:val="6"/>
            <w:tcW w:w="5211"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8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tcW w:w="81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gridSpan w:val="6"/>
            <w:tcW w:w="5070"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87"/>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ascii="宋体" w:hAnsi="宋体" w:cs="宋体"/>
                <w:bCs/>
                <w:color w:val="000000"/>
                <w:sz w:val="18"/>
                <w:szCs w:val="18"/>
              </w:rPr>
            </w:pPr>
            <w:r>
              <w:rPr>
                <w:rFonts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JSZC-320214-JZCG-G2026-0015</w:t>
      </w:r>
      <w:r/>
    </w:p>
    <w:tbl>
      <w:tblPr>
        <w:tblStyle w:val="68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rPr>
            </w:pPr>
            <w:r>
              <w:rPr>
                <w:rFonts w:ascii="宋体"/>
                <w:bCs/>
              </w:rPr>
            </w:r>
            <w:r/>
          </w:p>
        </w:tc>
      </w:tr>
    </w:tbl>
    <w:p>
      <w:pPr>
        <w:rPr>
          <w:rFonts w:ascii="宋体" w:eastAsia="黑体"/>
          <w:b/>
          <w:sz w:val="24"/>
          <w:szCs w:val="24"/>
        </w:rPr>
      </w:pPr>
      <w:r>
        <w:rPr>
          <w:rFonts w:hint="eastAsia" w:ascii="黑体" w:eastAsia="黑体"/>
          <w:bCs/>
          <w:sz w:val="24"/>
          <w:szCs w:val="24"/>
        </w:rPr>
        <w:t xml:space="preserve">投标人名称（盖章）：</w:t>
      </w:r>
      <w:r/>
    </w:p>
    <w:p>
      <w:pPr>
        <w:rPr>
          <w:rFonts w:ascii="宋体"/>
          <w:bCs/>
          <w:color w:val="000000"/>
          <w:sz w:val="30"/>
        </w:rPr>
      </w:pPr>
      <w:r>
        <w:rPr>
          <w:rFonts w:ascii="宋体"/>
          <w:bCs/>
          <w:color w:val="000000"/>
          <w:sz w:val="30"/>
        </w:rPr>
      </w:r>
      <w:bookmarkEnd w:id="189"/>
      <w:bookmarkEnd w:id="190"/>
      <w:bookmarkEnd w:id="202"/>
      <w:r/>
    </w:p>
    <w:p>
      <w:pPr>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）如无任何服务偏离，请于本表 “偏离说明”中注明“无偏离”；</w:t>
      </w:r>
      <w:r/>
    </w:p>
    <w:p>
      <w:pPr>
        <w:ind w:firstLine="420"/>
        <w:rPr>
          <w:rFonts w:ascii="宋体" w:hAnsi="宋体"/>
          <w:bCs/>
          <w:sz w:val="24"/>
          <w:szCs w:val="24"/>
        </w:rPr>
        <w:outlineLvl w:val="0"/>
      </w:pPr>
      <w:r>
        <w:rPr>
          <w:rFonts w:hint="eastAsia" w:ascii="宋体" w:hAnsi="宋体"/>
          <w:bCs/>
          <w:sz w:val="24"/>
          <w:szCs w:val="24"/>
        </w:rPr>
        <w:t xml:space="preserve">   （3）如有服务偏离项，请于本表中列明偏离内容，如需要可自行延长，其余无偏离内容不须赘述。</w:t>
      </w:r>
      <w:r/>
    </w:p>
    <w:p>
      <w:pPr>
        <w:ind w:firstLine="420"/>
        <w:rPr>
          <w:rFonts w:ascii="宋体" w:hAnsi="宋体"/>
          <w:bCs/>
          <w:sz w:val="24"/>
          <w:szCs w:val="24"/>
        </w:rPr>
        <w:outlineLvl w:val="0"/>
      </w:pPr>
      <w:r>
        <w:rPr>
          <w:rFonts w:ascii="宋体" w:hAnsi="宋体"/>
          <w:bCs/>
          <w:sz w:val="24"/>
          <w:szCs w:val="24"/>
        </w:rPr>
      </w:r>
      <w:r/>
    </w:p>
    <w:p>
      <w:r/>
      <w:r/>
    </w:p>
    <w:p>
      <w:pPr>
        <w:rPr>
          <w:b/>
          <w:sz w:val="28"/>
          <w:szCs w:val="28"/>
        </w:rPr>
        <w:outlineLvl w:val="0"/>
      </w:pPr>
      <w:r>
        <w:rPr>
          <w:rFonts w:ascii="宋体" w:hAnsi="宋体"/>
          <w:bCs/>
          <w:color w:val="000000"/>
          <w:sz w:val="24"/>
          <w:szCs w:val="24"/>
        </w:rPr>
        <w:br w:type="page" w:clear="all"/>
      </w:r>
      <w:r>
        <w:rPr>
          <w:rFonts w:hint="eastAsia"/>
          <w:b/>
          <w:sz w:val="28"/>
          <w:szCs w:val="28"/>
        </w:rPr>
        <w:t xml:space="preserve">十一、项目人员配置考察表（格式）</w:t>
      </w:r>
      <w:r/>
    </w:p>
    <w:p>
      <w:pPr>
        <w:ind w:firstLine="420"/>
        <w:rPr>
          <w:rFonts w:ascii="黑体" w:hAnsi="宋体" w:eastAsia="黑体"/>
          <w:bCs/>
          <w:sz w:val="24"/>
          <w:szCs w:val="24"/>
        </w:rPr>
        <w:outlineLvl w:val="0"/>
      </w:pPr>
      <w:r>
        <w:rPr>
          <w:rFonts w:ascii="黑体" w:hAnsi="宋体" w:eastAsia="黑体"/>
          <w:bCs/>
          <w:sz w:val="24"/>
          <w:szCs w:val="24"/>
        </w:rPr>
      </w:r>
      <w:r/>
    </w:p>
    <w:p>
      <w:pPr>
        <w:ind w:firstLine="490"/>
        <w:jc w:val="center"/>
        <w:rPr>
          <w:rFonts w:ascii="黑体" w:hAnsi="宋体" w:eastAsia="黑体"/>
          <w:bCs/>
          <w:sz w:val="24"/>
          <w:szCs w:val="24"/>
        </w:rPr>
        <w:outlineLvl w:val="0"/>
      </w:pPr>
      <w:r>
        <w:rPr>
          <w:rFonts w:hint="eastAsia" w:ascii="黑体" w:eastAsia="黑体"/>
          <w:bCs/>
          <w:sz w:val="28"/>
          <w:szCs w:val="28"/>
        </w:rPr>
        <w:t xml:space="preserve">项目人员配置考察表</w:t>
      </w:r>
      <w:r/>
    </w:p>
    <w:p>
      <w:pPr>
        <w:jc w:val="center"/>
        <w:spacing w:line="400" w:lineRule="exact"/>
        <w:rPr>
          <w:rFonts w:ascii="黑体" w:eastAsia="黑体"/>
          <w:bCs/>
          <w:sz w:val="28"/>
          <w:szCs w:val="28"/>
        </w:rPr>
      </w:pPr>
      <w:r>
        <w:rPr>
          <w:rFonts w:ascii="黑体" w:eastAsia="黑体"/>
          <w:bCs/>
          <w:sz w:val="28"/>
          <w:szCs w:val="28"/>
        </w:rPr>
      </w:r>
      <w:r/>
    </w:p>
    <w:p>
      <w:pPr>
        <w:ind w:firstLine="480"/>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JSZC-320214-JZCG-G2026-0015</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b/>
                <w:sz w:val="24"/>
              </w:rPr>
            </w:pPr>
            <w:r>
              <w:rPr>
                <w:rFonts w:hint="eastAsia"/>
                <w:b/>
                <w:sz w:val="24"/>
              </w:rPr>
              <w:t xml:space="preserve">人员经验描述</w:t>
            </w:r>
            <w:r/>
          </w:p>
          <w:p>
            <w:pPr>
              <w:jc w:val="center"/>
              <w:rPr>
                <w:b/>
                <w:sz w:val="24"/>
              </w:rPr>
            </w:pPr>
            <w:r>
              <w:rPr>
                <w:rFonts w:hint="eastAsia"/>
                <w:b/>
                <w:sz w:val="24"/>
              </w:rPr>
              <w:t xml:space="preserve">（如有要求）</w:t>
            </w:r>
            <w:r/>
          </w:p>
        </w:tc>
        <w:tc>
          <w:tcPr>
            <w:tcW w:w="992" w:type="dxa"/>
            <w:vAlign w:val="center"/>
            <w:textDirection w:val="lrTb"/>
            <w:noWrap w:val="false"/>
          </w:tcPr>
          <w:p>
            <w:pPr>
              <w:jc w:val="center"/>
              <w:rPr>
                <w:b/>
                <w:sz w:val="24"/>
              </w:rPr>
            </w:pPr>
            <w:r>
              <w:rPr>
                <w:rFonts w:hint="eastAsia"/>
                <w:b/>
                <w:sz w:val="24"/>
              </w:rPr>
              <w:t xml:space="preserve">备注</w:t>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ascii="黑体" w:eastAsia="黑体"/>
          <w:bCs/>
          <w:sz w:val="24"/>
          <w:szCs w:val="24"/>
        </w:rPr>
      </w:pPr>
      <w:r>
        <w:rPr>
          <w:rFonts w:hint="eastAsia" w:ascii="黑体" w:eastAsia="黑体"/>
          <w:bCs/>
          <w:sz w:val="24"/>
          <w:szCs w:val="24"/>
        </w:rPr>
        <w:t xml:space="preserve">投标人名称（盖章）：</w:t>
      </w:r>
      <w:r/>
    </w:p>
    <w:p>
      <w:pPr>
        <w:rPr>
          <w:rFonts w:ascii="宋体" w:hAnsi="宋体"/>
          <w:bCs/>
        </w:rPr>
      </w:pPr>
      <w:r>
        <w:rPr>
          <w:rFonts w:ascii="宋体" w:hAnsi="宋体"/>
          <w:bCs/>
        </w:rPr>
      </w:r>
      <w:r/>
    </w:p>
    <w:p>
      <w:pPr>
        <w:rPr>
          <w:rFonts w:ascii="宋体" w:hAnsi="宋体"/>
          <w:bCs/>
        </w:rPr>
      </w:pPr>
      <w:r>
        <w:rPr>
          <w:rFonts w:hint="eastAsia" w:ascii="宋体" w:hAnsi="宋体"/>
          <w:bCs/>
        </w:rPr>
        <w:t xml:space="preserve">注：1. 本表对应评分标准中的项目人员配置情况，表格不够可自行延长。</w:t>
      </w:r>
      <w:r/>
    </w:p>
    <w:p>
      <w:r>
        <w:rPr>
          <w:rFonts w:hint="eastAsia" w:ascii="宋体" w:hAnsi="宋体"/>
          <w:bCs/>
        </w:rPr>
        <w:t xml:space="preserve">2. 上表内容须提供投标人近一年中任意一个月份(不含投标当月)经社保部门确认的社保缴纳名单复印件；若上表中所填报人员有属于“按国家规定可不缴纳社保的人员”的，则该类人员须提供相关证明材料扫描件。</w:t>
      </w:r>
      <w:r/>
    </w:p>
    <w:p>
      <w:pPr>
        <w:rPr>
          <w:rFonts w:ascii="宋体" w:hAnsi="宋体"/>
          <w:bCs/>
        </w:rPr>
      </w:pPr>
      <w:r>
        <w:rPr>
          <w:rFonts w:hint="eastAsia" w:ascii="宋体" w:hAnsi="宋体"/>
          <w:bCs/>
        </w:rPr>
        <w:t xml:space="preserve">3.上表内容须按评分标准中的相关要求提供相应证明材料。</w:t>
      </w:r>
      <w:r/>
    </w:p>
    <w:p>
      <w:pPr>
        <w:rPr>
          <w:rFonts w:ascii="宋体" w:hAnsi="宋体"/>
          <w:bCs/>
        </w:rPr>
      </w:pPr>
      <w:r>
        <w:rPr>
          <w:rFonts w:hint="eastAsia" w:ascii="宋体" w:hAnsi="宋体"/>
          <w:bCs/>
        </w:rPr>
        <w:t xml:space="preserve">4.证明材料均请附在本表之后。</w:t>
      </w:r>
      <w:r/>
    </w:p>
    <w:p>
      <w:pPr>
        <w:rPr>
          <w:rFonts w:ascii="宋体" w:hAnsi="宋体"/>
          <w:bCs/>
          <w:color w:val="000000"/>
          <w:sz w:val="24"/>
          <w:szCs w:val="24"/>
        </w:rPr>
      </w:pPr>
      <w:r>
        <w:rPr>
          <w:rFonts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24"/>
        <w:rFonts w:ascii="宋体" w:hAnsi="宋体"/>
      </w:rPr>
      <w:framePr w:wrap="around" w:vAnchor="text" w:hAnchor="margin" w:xAlign="center" w:y="1"/>
    </w:pPr>
    <w:r>
      <w:rPr>
        <w:rFonts w:ascii="宋体" w:hAnsi="宋体"/>
      </w:rPr>
      <w:fldChar w:fldCharType="begin"/>
    </w:r>
    <w:r>
      <w:rPr>
        <w:rStyle w:val="724"/>
        <w:rFonts w:ascii="宋体" w:hAnsi="宋体"/>
      </w:rPr>
      <w:instrText xml:space="preserve">PAGE  </w:instrText>
    </w:r>
    <w:r>
      <w:rPr>
        <w:rFonts w:ascii="宋体" w:hAnsi="宋体"/>
      </w:rPr>
      <w:fldChar w:fldCharType="separate"/>
    </w:r>
    <w:r>
      <w:rPr>
        <w:rStyle w:val="724"/>
        <w:rFonts w:ascii="宋体" w:hAnsi="宋体"/>
      </w:rPr>
      <w:t xml:space="preserve">５３</w:t>
    </w:r>
    <w:r>
      <w:rPr>
        <w:rFonts w:ascii="宋体" w:hAnsi="宋体"/>
      </w:rPr>
      <w:fldChar w:fldCharType="end"/>
    </w:r>
    <w:r/>
  </w:p>
  <w:p>
    <w:pPr>
      <w:pStyle w:val="706"/>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24"/>
      </w:rPr>
      <w:framePr w:wrap="around" w:vAnchor="text" w:hAnchor="margin" w:xAlign="center" w:y="1"/>
    </w:pPr>
    <w:r>
      <w:fldChar w:fldCharType="begin"/>
    </w:r>
    <w:r>
      <w:rPr>
        <w:rStyle w:val="724"/>
      </w:rPr>
      <w:instrText xml:space="preserve">PAGE  </w:instrText>
    </w:r>
    <w:r>
      <w:fldChar w:fldCharType="separate"/>
    </w:r>
    <w:r>
      <w:rPr>
        <w:rStyle w:val="724"/>
      </w:rPr>
      <w:t xml:space="preserve">1</w:t>
    </w:r>
    <w:r>
      <w:fldChar w:fldCharType="end"/>
    </w:r>
    <w:r/>
  </w:p>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2"/>
      <w:isLgl w:val="false"/>
      <w:suff w:val="nothing"/>
      <w:lvlText w:val=""/>
      <w:lvlJc w:val="left"/>
      <w:pPr>
        <w:ind w:left="0" w:firstLine="0"/>
      </w:pPr>
      <w:rPr>
        <w:rFonts w:hint="eastAsia"/>
      </w:rPr>
    </w:lvl>
    <w:lvl w:ilvl="6">
      <w:start w:val="1"/>
      <w:numFmt w:val="none"/>
      <w:pStyle w:val="683"/>
      <w:isLgl w:val="false"/>
      <w:suff w:val="nothing"/>
      <w:lvlText w:val=""/>
      <w:lvlJc w:val="left"/>
      <w:pPr>
        <w:ind w:left="0" w:firstLine="0"/>
      </w:pPr>
      <w:rPr>
        <w:rFonts w:hint="eastAsia"/>
      </w:rPr>
    </w:lvl>
    <w:lvl w:ilvl="7">
      <w:start w:val="1"/>
      <w:numFmt w:val="none"/>
      <w:pStyle w:val="684"/>
      <w:isLgl w:val="false"/>
      <w:suff w:val="nothing"/>
      <w:lvlText w:val=""/>
      <w:lvlJc w:val="left"/>
      <w:pPr>
        <w:ind w:left="0" w:firstLine="0"/>
      </w:pPr>
      <w:rPr>
        <w:rFonts w:hint="eastAsia"/>
      </w:rPr>
    </w:lvl>
    <w:lvl w:ilvl="8">
      <w:start w:val="1"/>
      <w:numFmt w:val="none"/>
      <w:pStyle w:val="685"/>
      <w:isLgl w:val="false"/>
      <w:suff w:val="nothing"/>
      <w:lvlText w:val=""/>
      <w:lvlJc w:val="left"/>
      <w:pPr>
        <w:ind w:left="0" w:firstLine="0"/>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9"/>
  </w:num>
  <w:num w:numId="4">
    <w:abstractNumId w:val="15"/>
  </w:num>
  <w:num w:numId="5">
    <w:abstractNumId w:val="4"/>
  </w:num>
  <w:num w:numId="6">
    <w:abstractNumId w:val="10"/>
  </w:num>
  <w:num w:numId="7">
    <w:abstractNumId w:val="3"/>
  </w:num>
  <w:num w:numId="8">
    <w:abstractNumId w:val="2"/>
  </w:num>
  <w:num w:numId="9">
    <w:abstractNumId w:val="11"/>
  </w:num>
  <w:num w:numId="10">
    <w:abstractNumId w:val="1"/>
  </w:num>
  <w:num w:numId="11">
    <w:abstractNumId w:val="7"/>
  </w:num>
  <w:num w:numId="12">
    <w:abstractNumId w:val="5"/>
  </w:num>
  <w:num w:numId="13">
    <w:abstractNumId w:val="14"/>
  </w:num>
  <w:num w:numId="14">
    <w:abstractNumId w:val="0"/>
  </w:num>
  <w:num w:numId="15">
    <w:abstractNumId w:val="8"/>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678"/>
    <w:uiPriority w:val="9"/>
    <w:rPr>
      <w:rFonts w:ascii="Arial" w:hAnsi="Arial" w:eastAsia="Arial" w:cs="Arial"/>
      <w:sz w:val="34"/>
    </w:rPr>
  </w:style>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6"/>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6"/>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6"/>
    <w:link w:val="707"/>
    <w:uiPriority w:val="99"/>
  </w:style>
  <w:style w:type="character" w:styleId="44">
    <w:name w:val="Footer Char"/>
    <w:basedOn w:val="686"/>
    <w:link w:val="706"/>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706"/>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6"/>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6"/>
    <w:uiPriority w:val="99"/>
    <w:semiHidden/>
    <w:unhideWhenUsed/>
    <w:rPr>
      <w:vertAlign w:val="superscript"/>
    </w:rPr>
  </w:style>
  <w:style w:type="paragraph" w:styleId="189">
    <w:name w:val="TOC Heading"/>
    <w:uiPriority w:val="39"/>
    <w:unhideWhenUsed/>
  </w:style>
  <w:style w:type="paragraph" w:styleId="676" w:default="1">
    <w:name w:val="Normal"/>
    <w:next w:val="688"/>
    <w:uiPriority w:val="0"/>
    <w:qFormat/>
    <w:pPr>
      <w:jc w:val="both"/>
      <w:widowControl w:val="off"/>
    </w:pPr>
    <w:rPr>
      <w:rFonts w:ascii="Times New Roman" w:hAnsi="Times New Roman" w:eastAsia="宋体" w:cs="Times New Roman"/>
      <w:sz w:val="21"/>
      <w:szCs w:val="21"/>
      <w:lang w:val="en-US" w:eastAsia="zh-CN" w:bidi="ar-SA"/>
    </w:rPr>
  </w:style>
  <w:style w:type="paragraph" w:styleId="677">
    <w:name w:val="Heading 1"/>
    <w:basedOn w:val="676"/>
    <w:next w:val="676"/>
    <w:link w:val="730"/>
    <w:uiPriority w:val="0"/>
    <w:qFormat/>
    <w:pPr>
      <w:jc w:val="center"/>
      <w:keepNext/>
      <w:outlineLvl w:val="0"/>
    </w:pPr>
    <w:rPr>
      <w:rFonts w:ascii="楷体_GB2312" w:eastAsia="楷体_GB2312"/>
      <w:sz w:val="28"/>
      <w:szCs w:val="28"/>
    </w:rPr>
  </w:style>
  <w:style w:type="paragraph" w:styleId="678">
    <w:name w:val="Heading 2"/>
    <w:basedOn w:val="676"/>
    <w:next w:val="689"/>
    <w:link w:val="731"/>
    <w:uiPriority w:val="0"/>
    <w:qFormat/>
    <w:pPr>
      <w:jc w:val="center"/>
      <w:keepLines/>
      <w:keepNext/>
      <w:spacing w:before="260" w:after="260" w:line="416" w:lineRule="auto"/>
      <w:outlineLvl w:val="1"/>
    </w:pPr>
    <w:rPr>
      <w:rFonts w:ascii="Arial" w:hAnsi="Arial" w:eastAsia="幼圆"/>
      <w:b/>
      <w:bCs/>
      <w:sz w:val="44"/>
      <w:szCs w:val="44"/>
    </w:rPr>
  </w:style>
  <w:style w:type="paragraph" w:styleId="679">
    <w:name w:val="Heading 3"/>
    <w:basedOn w:val="676"/>
    <w:next w:val="689"/>
    <w:link w:val="733"/>
    <w:uiPriority w:val="0"/>
    <w:qFormat/>
    <w:pPr>
      <w:keepLines/>
      <w:keepNext/>
      <w:spacing w:before="260" w:after="260" w:line="416" w:lineRule="auto"/>
      <w:outlineLvl w:val="2"/>
    </w:pPr>
    <w:rPr>
      <w:b/>
      <w:bCs/>
      <w:sz w:val="32"/>
      <w:szCs w:val="32"/>
    </w:rPr>
  </w:style>
  <w:style w:type="paragraph" w:styleId="680">
    <w:name w:val="Heading 4"/>
    <w:basedOn w:val="676"/>
    <w:next w:val="689"/>
    <w:link w:val="734"/>
    <w:uiPriority w:val="0"/>
    <w:qFormat/>
    <w:pPr>
      <w:keepLines/>
      <w:keepNext/>
      <w:spacing w:before="280" w:after="290" w:line="376" w:lineRule="auto"/>
      <w:outlineLvl w:val="3"/>
    </w:pPr>
    <w:rPr>
      <w:rFonts w:ascii="Arial" w:hAnsi="Arial" w:eastAsia="黑体"/>
      <w:b/>
      <w:bCs/>
      <w:sz w:val="28"/>
      <w:szCs w:val="28"/>
    </w:rPr>
  </w:style>
  <w:style w:type="paragraph" w:styleId="681">
    <w:name w:val="Heading 5"/>
    <w:basedOn w:val="676"/>
    <w:next w:val="689"/>
    <w:link w:val="735"/>
    <w:uiPriority w:val="0"/>
    <w:qFormat/>
    <w:pPr>
      <w:keepNext/>
      <w:outlineLvl w:val="4"/>
    </w:pPr>
    <w:rPr>
      <w:rFonts w:ascii="宋体"/>
      <w:color w:val="000000"/>
      <w:sz w:val="28"/>
      <w:szCs w:val="28"/>
    </w:rPr>
  </w:style>
  <w:style w:type="paragraph" w:styleId="682">
    <w:name w:val="Heading 6"/>
    <w:basedOn w:val="676"/>
    <w:next w:val="676"/>
    <w:link w:val="73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Heading 7"/>
    <w:basedOn w:val="676"/>
    <w:next w:val="676"/>
    <w:link w:val="737"/>
    <w:uiPriority w:val="0"/>
    <w:qFormat/>
    <w:pPr>
      <w:numPr>
        <w:ilvl w:val="6"/>
        <w:numId w:val="1"/>
      </w:numPr>
      <w:keepLines/>
      <w:keepNext/>
      <w:spacing w:before="240" w:after="64" w:line="320" w:lineRule="auto"/>
      <w:outlineLvl w:val="6"/>
    </w:pPr>
    <w:rPr>
      <w:b/>
      <w:bCs/>
      <w:sz w:val="24"/>
      <w:szCs w:val="24"/>
    </w:rPr>
  </w:style>
  <w:style w:type="paragraph" w:styleId="684">
    <w:name w:val="Heading 8"/>
    <w:basedOn w:val="676"/>
    <w:next w:val="676"/>
    <w:link w:val="73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Heading 9"/>
    <w:basedOn w:val="676"/>
    <w:next w:val="676"/>
    <w:link w:val="739"/>
    <w:uiPriority w:val="0"/>
    <w:qFormat/>
    <w:pPr>
      <w:numPr>
        <w:ilvl w:val="8"/>
        <w:numId w:val="1"/>
      </w:numPr>
      <w:keepLines/>
      <w:keepNext/>
      <w:spacing w:before="240" w:after="64" w:line="320" w:lineRule="auto"/>
      <w:outlineLvl w:val="8"/>
    </w:pPr>
    <w:rPr>
      <w:rFonts w:ascii="Arial" w:hAnsi="Arial" w:eastAsia="黑体"/>
      <w:sz w:val="20"/>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customStyle="1">
    <w:name w:val="正文文本11"/>
    <w:uiPriority w:val="0"/>
    <w:qFormat/>
    <w:pPr>
      <w:jc w:val="both"/>
      <w:widowControl w:val="off"/>
    </w:pPr>
    <w:rPr>
      <w:rFonts w:ascii="Times New Roman" w:hAnsi="Times New Roman" w:eastAsia="宋体" w:cs="Times New Roman"/>
      <w:sz w:val="18"/>
      <w:lang w:val="en-US" w:eastAsia="zh-CN" w:bidi="ar-SA"/>
    </w:rPr>
  </w:style>
  <w:style w:type="paragraph" w:styleId="689">
    <w:name w:val="Normal Indent"/>
    <w:basedOn w:val="676"/>
    <w:link w:val="732"/>
    <w:uiPriority w:val="0"/>
    <w:qFormat/>
    <w:pPr>
      <w:ind w:firstLine="420"/>
    </w:pPr>
    <w:rPr>
      <w:sz w:val="20"/>
    </w:rPr>
  </w:style>
  <w:style w:type="paragraph" w:styleId="690">
    <w:name w:val="List 3"/>
    <w:basedOn w:val="676"/>
    <w:uiPriority w:val="0"/>
    <w:qFormat/>
    <w:pPr>
      <w:ind w:left="100" w:hanging="200"/>
    </w:pPr>
  </w:style>
  <w:style w:type="paragraph" w:styleId="691">
    <w:name w:val="toc 7"/>
    <w:basedOn w:val="676"/>
    <w:next w:val="676"/>
    <w:uiPriority w:val="0"/>
    <w:semiHidden/>
    <w:qFormat/>
    <w:pPr>
      <w:ind w:left="1260"/>
      <w:jc w:val="left"/>
    </w:pPr>
  </w:style>
  <w:style w:type="paragraph" w:styleId="692">
    <w:name w:val="Document Map"/>
    <w:basedOn w:val="676"/>
    <w:link w:val="740"/>
    <w:uiPriority w:val="0"/>
    <w:semiHidden/>
    <w:qFormat/>
    <w:pPr>
      <w:shd w:val="clear" w:color="auto" w:fill="000080"/>
    </w:pPr>
    <w:rPr>
      <w:sz w:val="20"/>
    </w:rPr>
  </w:style>
  <w:style w:type="paragraph" w:styleId="693">
    <w:name w:val="annotation text"/>
    <w:basedOn w:val="676"/>
    <w:link w:val="741"/>
    <w:uiPriority w:val="99"/>
    <w:semiHidden/>
    <w:qFormat/>
    <w:pPr>
      <w:jc w:val="left"/>
    </w:pPr>
    <w:rPr>
      <w:sz w:val="20"/>
    </w:rPr>
  </w:style>
  <w:style w:type="paragraph" w:styleId="694">
    <w:name w:val="Body Text 3"/>
    <w:basedOn w:val="676"/>
    <w:link w:val="742"/>
    <w:uiPriority w:val="0"/>
    <w:qFormat/>
    <w:rPr>
      <w:rFonts w:ascii="仿宋_GB2312" w:hAnsi="Arial" w:eastAsia="仿宋_GB2312"/>
      <w:sz w:val="32"/>
      <w:szCs w:val="32"/>
    </w:rPr>
  </w:style>
  <w:style w:type="paragraph" w:styleId="695">
    <w:name w:val="Body Text"/>
    <w:basedOn w:val="676"/>
    <w:link w:val="743"/>
    <w:uiPriority w:val="0"/>
    <w:qFormat/>
    <w:rPr>
      <w:rFonts w:ascii="楷体_GB2312" w:hAnsi="Arial" w:eastAsia="楷体_GB2312"/>
      <w:sz w:val="28"/>
      <w:szCs w:val="28"/>
    </w:rPr>
  </w:style>
  <w:style w:type="paragraph" w:styleId="696">
    <w:name w:val="Body Text Indent"/>
    <w:basedOn w:val="676"/>
    <w:next w:val="697"/>
    <w:link w:val="744"/>
    <w:uiPriority w:val="0"/>
    <w:qFormat/>
    <w:pPr>
      <w:ind w:firstLine="645"/>
    </w:pPr>
    <w:rPr>
      <w:rFonts w:ascii="楷体_GB2312" w:eastAsia="楷体_GB2312"/>
      <w:sz w:val="32"/>
      <w:szCs w:val="32"/>
    </w:rPr>
  </w:style>
  <w:style w:type="paragraph" w:styleId="697">
    <w:name w:val="envelope return"/>
    <w:basedOn w:val="676"/>
    <w:uiPriority w:val="99"/>
    <w:unhideWhenUsed/>
    <w:qFormat/>
    <w:rPr>
      <w:rFonts w:hint="eastAsia" w:ascii="Arial" w:hAnsi="Arial"/>
      <w:sz w:val="24"/>
    </w:rPr>
  </w:style>
  <w:style w:type="paragraph" w:styleId="698">
    <w:name w:val="List 2"/>
    <w:basedOn w:val="676"/>
    <w:uiPriority w:val="0"/>
    <w:qFormat/>
    <w:pPr>
      <w:ind w:left="100" w:hanging="200"/>
    </w:pPr>
  </w:style>
  <w:style w:type="paragraph" w:styleId="699">
    <w:name w:val="toc 5"/>
    <w:basedOn w:val="676"/>
    <w:next w:val="676"/>
    <w:uiPriority w:val="0"/>
    <w:semiHidden/>
    <w:qFormat/>
    <w:pPr>
      <w:ind w:left="840"/>
      <w:jc w:val="left"/>
    </w:pPr>
  </w:style>
  <w:style w:type="paragraph" w:styleId="700">
    <w:name w:val="toc 3"/>
    <w:basedOn w:val="676"/>
    <w:next w:val="676"/>
    <w:uiPriority w:val="0"/>
    <w:semiHidden/>
    <w:qFormat/>
    <w:pPr>
      <w:ind w:left="420"/>
      <w:jc w:val="left"/>
    </w:pPr>
    <w:rPr>
      <w:i/>
      <w:iCs/>
      <w:szCs w:val="24"/>
    </w:rPr>
  </w:style>
  <w:style w:type="paragraph" w:styleId="701">
    <w:name w:val="Plain Text"/>
    <w:basedOn w:val="676"/>
    <w:link w:val="745"/>
    <w:uiPriority w:val="0"/>
    <w:qFormat/>
    <w:rPr>
      <w:rFonts w:ascii="宋体" w:hAnsi="Courier New"/>
      <w:sz w:val="20"/>
    </w:rPr>
  </w:style>
  <w:style w:type="paragraph" w:styleId="702">
    <w:name w:val="toc 8"/>
    <w:basedOn w:val="676"/>
    <w:next w:val="676"/>
    <w:uiPriority w:val="0"/>
    <w:semiHidden/>
    <w:qFormat/>
    <w:pPr>
      <w:ind w:left="1470"/>
      <w:jc w:val="left"/>
    </w:pPr>
  </w:style>
  <w:style w:type="paragraph" w:styleId="703">
    <w:name w:val="Date"/>
    <w:basedOn w:val="676"/>
    <w:next w:val="676"/>
    <w:link w:val="746"/>
    <w:uiPriority w:val="0"/>
    <w:qFormat/>
    <w:rPr>
      <w:sz w:val="24"/>
      <w:szCs w:val="24"/>
    </w:rPr>
  </w:style>
  <w:style w:type="paragraph" w:styleId="704">
    <w:name w:val="Body Text Indent 2"/>
    <w:basedOn w:val="676"/>
    <w:link w:val="747"/>
    <w:uiPriority w:val="0"/>
    <w:qFormat/>
    <w:pPr>
      <w:ind w:left="630" w:firstLine="645"/>
    </w:pPr>
    <w:rPr>
      <w:rFonts w:ascii="Arial" w:hAnsi="Arial" w:eastAsia="仿宋_GB2312"/>
      <w:sz w:val="32"/>
      <w:szCs w:val="32"/>
    </w:rPr>
  </w:style>
  <w:style w:type="paragraph" w:styleId="705">
    <w:name w:val="Balloon Text"/>
    <w:basedOn w:val="676"/>
    <w:link w:val="748"/>
    <w:uiPriority w:val="0"/>
    <w:semiHidden/>
    <w:qFormat/>
    <w:rPr>
      <w:sz w:val="18"/>
      <w:szCs w:val="18"/>
    </w:rPr>
  </w:style>
  <w:style w:type="paragraph" w:styleId="706">
    <w:name w:val="Footer"/>
    <w:basedOn w:val="676"/>
    <w:link w:val="749"/>
    <w:uiPriority w:val="0"/>
    <w:qFormat/>
    <w:pPr>
      <w:jc w:val="left"/>
      <w:tabs>
        <w:tab w:val="center" w:pos="4153" w:leader="none"/>
        <w:tab w:val="right" w:pos="8306" w:leader="none"/>
      </w:tabs>
    </w:pPr>
    <w:rPr>
      <w:sz w:val="18"/>
      <w:szCs w:val="18"/>
    </w:rPr>
  </w:style>
  <w:style w:type="paragraph" w:styleId="707">
    <w:name w:val="Header"/>
    <w:basedOn w:val="676"/>
    <w:link w:val="750"/>
    <w:uiPriority w:val="99"/>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76"/>
    <w:next w:val="676"/>
    <w:uiPriority w:val="0"/>
    <w:semiHidden/>
    <w:qFormat/>
    <w:pPr>
      <w:jc w:val="left"/>
      <w:spacing w:before="120" w:after="120" w:line="400" w:lineRule="exact"/>
      <w:tabs>
        <w:tab w:val="right" w:pos="8720" w:leader="dot"/>
      </w:tabs>
    </w:pPr>
    <w:rPr>
      <w:rFonts w:ascii="宋体" w:hAnsi="宋体"/>
      <w:caps/>
      <w:sz w:val="24"/>
      <w:szCs w:val="24"/>
    </w:rPr>
  </w:style>
  <w:style w:type="paragraph" w:styleId="709">
    <w:name w:val="toc 4"/>
    <w:basedOn w:val="676"/>
    <w:next w:val="676"/>
    <w:uiPriority w:val="0"/>
    <w:semiHidden/>
    <w:qFormat/>
    <w:pPr>
      <w:ind w:left="630"/>
      <w:jc w:val="left"/>
    </w:pPr>
  </w:style>
  <w:style w:type="paragraph" w:styleId="710">
    <w:name w:val="List"/>
    <w:basedOn w:val="676"/>
    <w:uiPriority w:val="0"/>
    <w:qFormat/>
    <w:pPr>
      <w:ind w:left="200" w:hanging="200"/>
    </w:pPr>
  </w:style>
  <w:style w:type="paragraph" w:styleId="711">
    <w:name w:val="toc 6"/>
    <w:basedOn w:val="676"/>
    <w:next w:val="676"/>
    <w:uiPriority w:val="0"/>
    <w:semiHidden/>
    <w:qFormat/>
    <w:pPr>
      <w:ind w:left="1050"/>
      <w:jc w:val="left"/>
    </w:pPr>
  </w:style>
  <w:style w:type="paragraph" w:styleId="712">
    <w:name w:val="Body Text Indent 3"/>
    <w:basedOn w:val="676"/>
    <w:link w:val="751"/>
    <w:uiPriority w:val="0"/>
    <w:qFormat/>
    <w:pPr>
      <w:ind w:left="645" w:firstLine="645"/>
    </w:pPr>
    <w:rPr>
      <w:rFonts w:ascii="Arial" w:hAnsi="Arial" w:eastAsia="仿宋_GB2312"/>
      <w:color w:val="ffff00"/>
      <w:sz w:val="32"/>
      <w:szCs w:val="32"/>
    </w:rPr>
  </w:style>
  <w:style w:type="paragraph" w:styleId="713">
    <w:name w:val="table of figures"/>
    <w:basedOn w:val="676"/>
    <w:next w:val="676"/>
    <w:uiPriority w:val="0"/>
    <w:semiHidden/>
    <w:qFormat/>
    <w:pPr>
      <w:ind w:left="840" w:hanging="420"/>
    </w:pPr>
  </w:style>
  <w:style w:type="paragraph" w:styleId="714">
    <w:name w:val="toc 2"/>
    <w:basedOn w:val="676"/>
    <w:next w:val="676"/>
    <w:uiPriority w:val="0"/>
    <w:semiHidden/>
    <w:qFormat/>
    <w:pPr>
      <w:ind w:left="210"/>
      <w:jc w:val="left"/>
    </w:pPr>
    <w:rPr>
      <w:smallCaps/>
      <w:szCs w:val="24"/>
    </w:rPr>
  </w:style>
  <w:style w:type="paragraph" w:styleId="715">
    <w:name w:val="toc 9"/>
    <w:basedOn w:val="676"/>
    <w:next w:val="676"/>
    <w:uiPriority w:val="0"/>
    <w:semiHidden/>
    <w:qFormat/>
    <w:pPr>
      <w:ind w:left="1680"/>
      <w:jc w:val="left"/>
    </w:pPr>
  </w:style>
  <w:style w:type="paragraph" w:styleId="716">
    <w:name w:val="Body Text 2"/>
    <w:basedOn w:val="676"/>
    <w:link w:val="752"/>
    <w:uiPriority w:val="0"/>
    <w:qFormat/>
    <w:pPr>
      <w:jc w:val="center"/>
      <w:widowControl/>
    </w:pPr>
    <w:rPr>
      <w:rFonts w:ascii="楷体_GB2312" w:eastAsia="楷体_GB2312"/>
      <w:sz w:val="28"/>
      <w:szCs w:val="28"/>
    </w:rPr>
  </w:style>
  <w:style w:type="paragraph" w:styleId="717">
    <w:name w:val="Normal (Web)"/>
    <w:basedOn w:val="676"/>
    <w:uiPriority w:val="99"/>
    <w:qFormat/>
    <w:pPr>
      <w:jc w:val="left"/>
      <w:spacing w:before="100" w:beforeAutospacing="1" w:after="100" w:afterAutospacing="1"/>
      <w:widowControl/>
    </w:pPr>
    <w:rPr>
      <w:rFonts w:ascii="宋体" w:hAnsi="宋体" w:cs="宋体"/>
      <w:sz w:val="24"/>
      <w:szCs w:val="24"/>
    </w:rPr>
  </w:style>
  <w:style w:type="paragraph" w:styleId="718">
    <w:name w:val="index 1"/>
    <w:basedOn w:val="676"/>
    <w:next w:val="676"/>
    <w:uiPriority w:val="0"/>
    <w:semiHidden/>
    <w:qFormat/>
    <w:pPr>
      <w:spacing w:line="240" w:lineRule="atLeast"/>
    </w:pPr>
    <w:rPr>
      <w:b/>
      <w:bCs/>
    </w:rPr>
  </w:style>
  <w:style w:type="paragraph" w:styleId="719">
    <w:name w:val="annotation subject"/>
    <w:basedOn w:val="693"/>
    <w:next w:val="693"/>
    <w:link w:val="753"/>
    <w:uiPriority w:val="0"/>
    <w:semiHidden/>
    <w:qFormat/>
    <w:rPr>
      <w:b/>
      <w:bCs/>
    </w:rPr>
  </w:style>
  <w:style w:type="paragraph" w:styleId="720">
    <w:name w:val="Body Text First Indent"/>
    <w:basedOn w:val="676"/>
    <w:link w:val="754"/>
    <w:uiPriority w:val="0"/>
    <w:qFormat/>
    <w:pPr>
      <w:ind w:firstLine="200"/>
      <w:spacing w:line="360" w:lineRule="auto"/>
    </w:pPr>
    <w:rPr>
      <w:rFonts w:ascii="仿宋_GB2312" w:eastAsia="仿宋_GB2312"/>
      <w:sz w:val="30"/>
      <w:szCs w:val="30"/>
    </w:rPr>
  </w:style>
  <w:style w:type="paragraph" w:styleId="721">
    <w:name w:val="Body Text First Indent 2"/>
    <w:basedOn w:val="696"/>
    <w:link w:val="755"/>
    <w:uiPriority w:val="0"/>
    <w:qFormat/>
    <w:pPr>
      <w:ind w:firstLine="420"/>
      <w:spacing w:line="360" w:lineRule="auto"/>
    </w:pPr>
    <w:rPr>
      <w:rFonts w:ascii="宋体" w:hAnsi="宋体" w:eastAsia="宋体"/>
      <w:szCs w:val="20"/>
    </w:rPr>
  </w:style>
  <w:style w:type="table" w:styleId="722">
    <w:name w:val="Table Grid"/>
    <w:basedOn w:val="6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uiPriority w:val="0"/>
    <w:qFormat/>
    <w:rPr>
      <w:b/>
      <w:bCs/>
    </w:rPr>
  </w:style>
  <w:style w:type="character" w:styleId="724">
    <w:name w:val="page number"/>
    <w:uiPriority w:val="0"/>
    <w:qFormat/>
  </w:style>
  <w:style w:type="character" w:styleId="725">
    <w:name w:val="FollowedHyperlink"/>
    <w:uiPriority w:val="0"/>
    <w:qFormat/>
    <w:rPr>
      <w:color w:val="800080"/>
      <w:u w:val="single"/>
    </w:rPr>
  </w:style>
  <w:style w:type="character" w:styleId="726">
    <w:name w:val="HTML Typewriter"/>
    <w:uiPriority w:val="99"/>
    <w:qFormat/>
    <w:rPr>
      <w:rFonts w:ascii="宋体" w:hAnsi="宋体" w:eastAsia="宋体" w:cs="宋体"/>
      <w:sz w:val="24"/>
      <w:szCs w:val="24"/>
    </w:rPr>
  </w:style>
  <w:style w:type="character" w:styleId="727">
    <w:name w:val="Hyperlink"/>
    <w:uiPriority w:val="0"/>
    <w:qFormat/>
    <w:rPr>
      <w:color w:val="0000ff"/>
      <w:u w:val="single"/>
    </w:rPr>
  </w:style>
  <w:style w:type="character" w:styleId="728">
    <w:name w:val="annotation reference"/>
    <w:uiPriority w:val="0"/>
    <w:semiHidden/>
    <w:qFormat/>
    <w:rPr>
      <w:sz w:val="21"/>
      <w:szCs w:val="21"/>
    </w:rPr>
  </w:style>
  <w:style w:type="paragraph" w:styleId="729" w:customStyle="1">
    <w:name w:val="正文文本1"/>
    <w:basedOn w:val="676"/>
    <w:uiPriority w:val="0"/>
    <w:qFormat/>
    <w:pPr>
      <w:ind w:firstLine="400"/>
      <w:spacing w:line="377" w:lineRule="auto"/>
    </w:pPr>
    <w:rPr>
      <w:rFonts w:ascii="宋体" w:hAnsi="宋体" w:cs="宋体"/>
      <w:lang w:val="zh-CN" w:bidi="zh-CN"/>
    </w:rPr>
  </w:style>
  <w:style w:type="character" w:styleId="730" w:customStyle="1">
    <w:name w:val="标题 1 Char"/>
    <w:link w:val="677"/>
    <w:uiPriority w:val="0"/>
    <w:qFormat/>
    <w:rPr>
      <w:rFonts w:ascii="楷体_GB2312" w:hAnsi="Times New Roman" w:eastAsia="楷体_GB2312" w:cs="Times New Roman"/>
      <w:sz w:val="28"/>
      <w:szCs w:val="28"/>
    </w:rPr>
  </w:style>
  <w:style w:type="character" w:styleId="731" w:customStyle="1">
    <w:name w:val="标题 2 Char"/>
    <w:link w:val="678"/>
    <w:uiPriority w:val="0"/>
    <w:qFormat/>
    <w:rPr>
      <w:rFonts w:ascii="Arial" w:hAnsi="Arial" w:eastAsia="幼圆" w:cs="Arial"/>
      <w:b/>
      <w:bCs/>
      <w:sz w:val="44"/>
      <w:szCs w:val="44"/>
    </w:rPr>
  </w:style>
  <w:style w:type="character" w:styleId="732" w:customStyle="1">
    <w:name w:val="正文缩进 Char"/>
    <w:link w:val="689"/>
    <w:uiPriority w:val="0"/>
    <w:qFormat/>
    <w:rPr>
      <w:rFonts w:ascii="Times New Roman" w:hAnsi="Times New Roman" w:eastAsia="宋体" w:cs="Times New Roman"/>
      <w:szCs w:val="21"/>
    </w:rPr>
  </w:style>
  <w:style w:type="character" w:styleId="733" w:customStyle="1">
    <w:name w:val="标题 3 Char"/>
    <w:link w:val="679"/>
    <w:uiPriority w:val="0"/>
    <w:qFormat/>
    <w:rPr>
      <w:rFonts w:ascii="Times New Roman" w:hAnsi="Times New Roman" w:eastAsia="宋体" w:cs="Times New Roman"/>
      <w:b/>
      <w:bCs/>
      <w:sz w:val="32"/>
      <w:szCs w:val="32"/>
    </w:rPr>
  </w:style>
  <w:style w:type="character" w:styleId="734" w:customStyle="1">
    <w:name w:val="标题 4 Char"/>
    <w:link w:val="680"/>
    <w:uiPriority w:val="0"/>
    <w:qFormat/>
    <w:rPr>
      <w:rFonts w:ascii="Arial" w:hAnsi="Arial" w:eastAsia="黑体" w:cs="Arial"/>
      <w:b/>
      <w:bCs/>
      <w:sz w:val="28"/>
      <w:szCs w:val="28"/>
    </w:rPr>
  </w:style>
  <w:style w:type="character" w:styleId="735" w:customStyle="1">
    <w:name w:val="标题 5 Char"/>
    <w:link w:val="681"/>
    <w:uiPriority w:val="0"/>
    <w:qFormat/>
    <w:rPr>
      <w:rFonts w:ascii="宋体" w:hAnsi="Times New Roman" w:eastAsia="宋体" w:cs="Times New Roman"/>
      <w:color w:val="000000"/>
      <w:sz w:val="28"/>
      <w:szCs w:val="28"/>
    </w:rPr>
  </w:style>
  <w:style w:type="character" w:styleId="736" w:customStyle="1">
    <w:name w:val="标题 6 Char"/>
    <w:link w:val="682"/>
    <w:uiPriority w:val="0"/>
    <w:qFormat/>
    <w:rPr>
      <w:rFonts w:ascii="Arial" w:hAnsi="Arial" w:eastAsia="黑体" w:cs="Times New Roman"/>
      <w:b/>
      <w:bCs/>
      <w:sz w:val="24"/>
      <w:szCs w:val="24"/>
    </w:rPr>
  </w:style>
  <w:style w:type="character" w:styleId="737" w:customStyle="1">
    <w:name w:val="标题 7 Char"/>
    <w:link w:val="683"/>
    <w:uiPriority w:val="0"/>
    <w:qFormat/>
    <w:rPr>
      <w:rFonts w:ascii="Times New Roman" w:hAnsi="Times New Roman" w:eastAsia="宋体" w:cs="Times New Roman"/>
      <w:b/>
      <w:bCs/>
      <w:sz w:val="24"/>
      <w:szCs w:val="24"/>
    </w:rPr>
  </w:style>
  <w:style w:type="character" w:styleId="738" w:customStyle="1">
    <w:name w:val="标题 8 Char"/>
    <w:link w:val="684"/>
    <w:uiPriority w:val="0"/>
    <w:qFormat/>
    <w:rPr>
      <w:rFonts w:ascii="Arial" w:hAnsi="Arial" w:eastAsia="黑体" w:cs="Times New Roman"/>
      <w:sz w:val="24"/>
      <w:szCs w:val="24"/>
    </w:rPr>
  </w:style>
  <w:style w:type="character" w:styleId="739" w:customStyle="1">
    <w:name w:val="标题 9 Char"/>
    <w:link w:val="685"/>
    <w:uiPriority w:val="0"/>
    <w:qFormat/>
    <w:rPr>
      <w:rFonts w:ascii="Arial" w:hAnsi="Arial" w:eastAsia="黑体" w:cs="Times New Roman"/>
      <w:szCs w:val="21"/>
    </w:rPr>
  </w:style>
  <w:style w:type="character" w:styleId="740" w:customStyle="1">
    <w:name w:val="文档结构图 Char"/>
    <w:link w:val="692"/>
    <w:uiPriority w:val="0"/>
    <w:semiHidden/>
    <w:qFormat/>
    <w:rPr>
      <w:rFonts w:ascii="Times New Roman" w:hAnsi="Times New Roman" w:eastAsia="宋体" w:cs="Times New Roman"/>
      <w:szCs w:val="21"/>
      <w:shd w:val="clear" w:color="auto" w:fill="000080"/>
    </w:rPr>
  </w:style>
  <w:style w:type="character" w:styleId="741" w:customStyle="1">
    <w:name w:val="批注文字 Char"/>
    <w:link w:val="693"/>
    <w:uiPriority w:val="0"/>
    <w:semiHidden/>
    <w:qFormat/>
    <w:rPr>
      <w:rFonts w:ascii="Times New Roman" w:hAnsi="Times New Roman" w:eastAsia="宋体" w:cs="Times New Roman"/>
      <w:szCs w:val="21"/>
    </w:rPr>
  </w:style>
  <w:style w:type="character" w:styleId="742" w:customStyle="1">
    <w:name w:val="正文文本 3 Char"/>
    <w:link w:val="694"/>
    <w:uiPriority w:val="0"/>
    <w:qFormat/>
    <w:rPr>
      <w:rFonts w:ascii="仿宋_GB2312" w:hAnsi="Arial" w:eastAsia="仿宋_GB2312" w:cs="Times New Roman"/>
      <w:sz w:val="32"/>
      <w:szCs w:val="32"/>
    </w:rPr>
  </w:style>
  <w:style w:type="character" w:styleId="743" w:customStyle="1">
    <w:name w:val="正文文本 Char"/>
    <w:link w:val="695"/>
    <w:uiPriority w:val="0"/>
    <w:qFormat/>
    <w:rPr>
      <w:rFonts w:ascii="楷体_GB2312" w:hAnsi="Arial" w:eastAsia="楷体_GB2312" w:cs="Times New Roman"/>
      <w:sz w:val="28"/>
      <w:szCs w:val="28"/>
    </w:rPr>
  </w:style>
  <w:style w:type="character" w:styleId="744" w:customStyle="1">
    <w:name w:val="正文文本缩进 Char"/>
    <w:link w:val="696"/>
    <w:uiPriority w:val="0"/>
    <w:qFormat/>
    <w:rPr>
      <w:rFonts w:ascii="楷体_GB2312" w:hAnsi="Times New Roman" w:eastAsia="楷体_GB2312" w:cs="Times New Roman"/>
      <w:sz w:val="32"/>
      <w:szCs w:val="32"/>
    </w:rPr>
  </w:style>
  <w:style w:type="character" w:styleId="745" w:customStyle="1">
    <w:name w:val="纯文本 Char"/>
    <w:link w:val="701"/>
    <w:uiPriority w:val="0"/>
    <w:qFormat/>
    <w:rPr>
      <w:rFonts w:ascii="宋体" w:hAnsi="Courier New" w:eastAsia="宋体" w:cs="Courier New"/>
      <w:szCs w:val="21"/>
    </w:rPr>
  </w:style>
  <w:style w:type="character" w:styleId="746" w:customStyle="1">
    <w:name w:val="日期 Char"/>
    <w:link w:val="703"/>
    <w:uiPriority w:val="0"/>
    <w:qFormat/>
    <w:rPr>
      <w:rFonts w:ascii="Times New Roman" w:hAnsi="Times New Roman" w:eastAsia="宋体" w:cs="Times New Roman"/>
      <w:sz w:val="24"/>
      <w:szCs w:val="24"/>
    </w:rPr>
  </w:style>
  <w:style w:type="character" w:styleId="747" w:customStyle="1">
    <w:name w:val="正文文本缩进 2 Char"/>
    <w:link w:val="704"/>
    <w:uiPriority w:val="0"/>
    <w:qFormat/>
    <w:rPr>
      <w:rFonts w:ascii="Arial" w:hAnsi="Arial" w:eastAsia="仿宋_GB2312" w:cs="Arial"/>
      <w:sz w:val="32"/>
      <w:szCs w:val="32"/>
    </w:rPr>
  </w:style>
  <w:style w:type="character" w:styleId="748" w:customStyle="1">
    <w:name w:val="批注框文本 Char"/>
    <w:link w:val="705"/>
    <w:uiPriority w:val="0"/>
    <w:semiHidden/>
    <w:qFormat/>
    <w:rPr>
      <w:rFonts w:ascii="Times New Roman" w:hAnsi="Times New Roman" w:eastAsia="宋体" w:cs="Times New Roman"/>
      <w:sz w:val="18"/>
      <w:szCs w:val="18"/>
    </w:rPr>
  </w:style>
  <w:style w:type="character" w:styleId="749" w:customStyle="1">
    <w:name w:val="页脚 Char"/>
    <w:link w:val="706"/>
    <w:uiPriority w:val="0"/>
    <w:qFormat/>
    <w:rPr>
      <w:rFonts w:ascii="Times New Roman" w:hAnsi="Times New Roman" w:eastAsia="宋体" w:cs="Times New Roman"/>
      <w:sz w:val="18"/>
      <w:szCs w:val="18"/>
    </w:rPr>
  </w:style>
  <w:style w:type="character" w:styleId="750" w:customStyle="1">
    <w:name w:val="页眉 Char"/>
    <w:link w:val="707"/>
    <w:uiPriority w:val="99"/>
    <w:qFormat/>
    <w:rPr>
      <w:rFonts w:ascii="Times New Roman" w:hAnsi="Times New Roman" w:eastAsia="宋体" w:cs="Times New Roman"/>
      <w:sz w:val="18"/>
      <w:szCs w:val="18"/>
    </w:rPr>
  </w:style>
  <w:style w:type="character" w:styleId="751" w:customStyle="1">
    <w:name w:val="正文文本缩进 3 Char"/>
    <w:link w:val="712"/>
    <w:uiPriority w:val="0"/>
    <w:qFormat/>
    <w:rPr>
      <w:rFonts w:ascii="Arial" w:hAnsi="Arial" w:eastAsia="仿宋_GB2312" w:cs="Arial"/>
      <w:color w:val="ffff00"/>
      <w:sz w:val="32"/>
      <w:szCs w:val="32"/>
    </w:rPr>
  </w:style>
  <w:style w:type="character" w:styleId="752" w:customStyle="1">
    <w:name w:val="正文文本 2 Char"/>
    <w:link w:val="716"/>
    <w:uiPriority w:val="0"/>
    <w:qFormat/>
    <w:rPr>
      <w:rFonts w:ascii="楷体_GB2312" w:hAnsi="Times New Roman" w:eastAsia="楷体_GB2312" w:cs="Times New Roman"/>
      <w:sz w:val="28"/>
      <w:szCs w:val="28"/>
    </w:rPr>
  </w:style>
  <w:style w:type="character" w:styleId="753" w:customStyle="1">
    <w:name w:val="批注主题 Char"/>
    <w:link w:val="719"/>
    <w:uiPriority w:val="0"/>
    <w:semiHidden/>
    <w:qFormat/>
    <w:rPr>
      <w:rFonts w:ascii="Times New Roman" w:hAnsi="Times New Roman" w:eastAsia="宋体" w:cs="Times New Roman"/>
      <w:b/>
      <w:bCs/>
      <w:szCs w:val="21"/>
    </w:rPr>
  </w:style>
  <w:style w:type="character" w:styleId="754" w:customStyle="1">
    <w:name w:val="正文首行缩进 Char"/>
    <w:link w:val="720"/>
    <w:uiPriority w:val="0"/>
    <w:qFormat/>
    <w:rPr>
      <w:rFonts w:ascii="仿宋_GB2312" w:hAnsi="Times New Roman" w:eastAsia="仿宋_GB2312" w:cs="Times New Roman"/>
      <w:sz w:val="30"/>
      <w:szCs w:val="30"/>
    </w:rPr>
  </w:style>
  <w:style w:type="character" w:styleId="755" w:customStyle="1">
    <w:name w:val="正文首行缩进 2 Char"/>
    <w:link w:val="721"/>
    <w:uiPriority w:val="0"/>
    <w:qFormat/>
    <w:rPr>
      <w:rFonts w:ascii="宋体" w:hAnsi="宋体" w:eastAsia="宋体" w:cs="Times New Roman"/>
      <w:sz w:val="32"/>
      <w:szCs w:val="20"/>
    </w:rPr>
  </w:style>
  <w:style w:type="character" w:styleId="756" w:customStyle="1">
    <w:name w:val="font5 Char"/>
    <w:uiPriority w:val="0"/>
    <w:qFormat/>
    <w:rPr>
      <w:rFonts w:ascii="宋体" w:hAnsi="宋体" w:eastAsia="宋体"/>
      <w:sz w:val="28"/>
      <w:szCs w:val="28"/>
      <w:lang w:val="en-US" w:eastAsia="zh-CN" w:bidi="ar-SA"/>
    </w:rPr>
  </w:style>
  <w:style w:type="character" w:styleId="757" w:customStyle="1">
    <w:name w:val="二级目录 Char"/>
    <w:link w:val="758"/>
    <w:uiPriority w:val="0"/>
    <w:qFormat/>
    <w:rPr>
      <w:b/>
      <w:sz w:val="30"/>
      <w:szCs w:val="28"/>
    </w:rPr>
  </w:style>
  <w:style w:type="paragraph" w:styleId="758" w:customStyle="1">
    <w:name w:val="二级目录"/>
    <w:next w:val="676"/>
    <w:link w:val="75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759" w:customStyle="1">
    <w:name w:val="列出段落 Char"/>
    <w:link w:val="760"/>
    <w:uiPriority w:val="0"/>
    <w:qFormat/>
    <w:rPr>
      <w:rFonts w:ascii="Calibri" w:hAnsi="Calibri"/>
      <w:sz w:val="24"/>
      <w:szCs w:val="24"/>
      <w:lang w:eastAsia="en-US" w:bidi="en-US"/>
    </w:rPr>
  </w:style>
  <w:style w:type="paragraph" w:styleId="760" w:customStyle="1">
    <w:name w:val="列出段落1"/>
    <w:basedOn w:val="676"/>
    <w:link w:val="759"/>
    <w:uiPriority w:val="0"/>
    <w:qFormat/>
    <w:pPr>
      <w:contextualSpacing/>
      <w:ind w:left="720"/>
      <w:jc w:val="left"/>
      <w:widowControl/>
    </w:pPr>
    <w:rPr>
      <w:rFonts w:ascii="Calibri" w:hAnsi="Calibri"/>
      <w:sz w:val="24"/>
      <w:szCs w:val="24"/>
      <w:lang w:eastAsia="en-US" w:bidi="en-US"/>
    </w:rPr>
  </w:style>
  <w:style w:type="paragraph" w:styleId="761" w:customStyle="1">
    <w:name w:val="Body Text(ch)"/>
    <w:basedOn w:val="676"/>
    <w:next w:val="695"/>
    <w:uiPriority w:val="0"/>
    <w:qFormat/>
    <w:pPr>
      <w:spacing w:after="120"/>
    </w:pPr>
    <w:rPr>
      <w:rFonts w:ascii="宋体" w:hAnsi="Arial"/>
      <w:bCs/>
      <w:iCs/>
      <w:szCs w:val="24"/>
    </w:rPr>
  </w:style>
  <w:style w:type="paragraph" w:styleId="762" w:customStyle="1">
    <w:name w:val="xl27"/>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3" w:customStyle="1">
    <w:name w:val="xl2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4" w:customStyle="1">
    <w:name w:val="Char"/>
    <w:basedOn w:val="676"/>
    <w:uiPriority w:val="0"/>
    <w:qFormat/>
    <w:pPr>
      <w:ind w:firstLine="200"/>
      <w:tabs>
        <w:tab w:val="left" w:pos="360" w:leader="none"/>
      </w:tabs>
    </w:pPr>
    <w:rPr>
      <w:sz w:val="28"/>
      <w:szCs w:val="30"/>
    </w:rPr>
  </w:style>
  <w:style w:type="paragraph" w:styleId="765" w:customStyle="1">
    <w:name w:val="Char1"/>
    <w:basedOn w:val="692"/>
    <w:uiPriority w:val="0"/>
    <w:qFormat/>
    <w:rPr>
      <w:rFonts w:ascii="Tahoma" w:hAnsi="Tahoma"/>
      <w:sz w:val="24"/>
      <w:szCs w:val="24"/>
    </w:rPr>
  </w:style>
  <w:style w:type="paragraph" w:styleId="766"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767" w:customStyle="1">
    <w:name w:val="table_lines"/>
    <w:basedOn w:val="676"/>
    <w:uiPriority w:val="0"/>
    <w:qFormat/>
    <w:pPr>
      <w:jc w:val="left"/>
      <w:widowControl/>
    </w:pPr>
    <w:rPr>
      <w:sz w:val="20"/>
      <w:szCs w:val="20"/>
      <w:lang w:val="de-DE" w:eastAsia="de-DE"/>
    </w:rPr>
  </w:style>
  <w:style w:type="paragraph" w:styleId="76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9" w:customStyle="1">
    <w:name w:val="font7"/>
    <w:basedOn w:val="676"/>
    <w:uiPriority w:val="0"/>
    <w:qFormat/>
    <w:pPr>
      <w:jc w:val="left"/>
      <w:spacing w:before="100" w:beforeAutospacing="1" w:after="100" w:afterAutospacing="1"/>
      <w:widowControl/>
    </w:pPr>
    <w:rPr>
      <w:rFonts w:hint="eastAsia" w:ascii="宋体" w:hAnsi="宋体"/>
      <w:sz w:val="18"/>
      <w:szCs w:val="18"/>
    </w:rPr>
  </w:style>
  <w:style w:type="paragraph" w:styleId="770" w:customStyle="1">
    <w:name w:val="Char Char Char Char"/>
    <w:basedOn w:val="692"/>
    <w:uiPriority w:val="0"/>
    <w:qFormat/>
    <w:pPr>
      <w:spacing w:line="360" w:lineRule="auto"/>
    </w:pPr>
    <w:rPr>
      <w:rFonts w:ascii="Tahoma" w:hAnsi="Tahoma"/>
      <w:sz w:val="24"/>
      <w:szCs w:val="24"/>
    </w:rPr>
  </w:style>
  <w:style w:type="paragraph" w:styleId="771">
    <w:name w:val="List Paragraph"/>
    <w:basedOn w:val="676"/>
    <w:uiPriority w:val="99"/>
    <w:qFormat/>
    <w:pPr>
      <w:contextualSpacing/>
      <w:ind w:left="720"/>
      <w:jc w:val="left"/>
      <w:widowControl/>
    </w:pPr>
    <w:rPr>
      <w:rFonts w:ascii="Calibri" w:hAnsi="Calibri"/>
      <w:sz w:val="24"/>
      <w:szCs w:val="24"/>
      <w:lang w:eastAsia="en-US" w:bidi="en-US"/>
    </w:rPr>
  </w:style>
  <w:style w:type="paragraph" w:styleId="772" w:customStyle="1">
    <w:name w:val="4"/>
    <w:basedOn w:val="676"/>
    <w:next w:val="712"/>
    <w:uiPriority w:val="0"/>
    <w:qFormat/>
    <w:pPr>
      <w:ind w:firstLine="420"/>
      <w:spacing w:line="360" w:lineRule="auto"/>
    </w:pPr>
    <w:rPr>
      <w:color w:val="ff0000"/>
      <w:sz w:val="24"/>
      <w:szCs w:val="24"/>
    </w:rPr>
  </w:style>
  <w:style w:type="paragraph" w:styleId="773" w:customStyle="1">
    <w:name w:val="普通 (Web)"/>
    <w:basedOn w:val="676"/>
    <w:uiPriority w:val="0"/>
    <w:qFormat/>
    <w:pPr>
      <w:jc w:val="left"/>
      <w:spacing w:before="100" w:beforeAutospacing="1" w:after="100" w:afterAutospacing="1"/>
      <w:widowControl/>
    </w:pPr>
    <w:rPr>
      <w:rFonts w:ascii="宋体" w:hAnsi="宋体"/>
      <w:sz w:val="24"/>
      <w:szCs w:val="24"/>
    </w:rPr>
  </w:style>
  <w:style w:type="paragraph" w:styleId="774" w:customStyle="1">
    <w:name w:val="Char Char Char Char Char Char Char Char Char Char"/>
    <w:basedOn w:val="676"/>
    <w:uiPriority w:val="0"/>
    <w:qFormat/>
    <w:pPr>
      <w:spacing w:line="360" w:lineRule="auto"/>
    </w:pPr>
    <w:rPr>
      <w:sz w:val="24"/>
      <w:szCs w:val="20"/>
    </w:rPr>
  </w:style>
  <w:style w:type="paragraph" w:styleId="775" w:customStyle="1">
    <w:name w:val="样式1"/>
    <w:basedOn w:val="676"/>
    <w:uiPriority w:val="0"/>
    <w:qFormat/>
    <w:pPr>
      <w:numPr>
        <w:ilvl w:val="0"/>
        <w:numId w:val="3"/>
      </w:numPr>
    </w:pPr>
    <w:rPr>
      <w:rFonts w:ascii="宋体" w:hAnsi="宋体"/>
    </w:rPr>
  </w:style>
  <w:style w:type="paragraph" w:styleId="776" w:customStyle="1">
    <w:name w:val="font6"/>
    <w:basedOn w:val="676"/>
    <w:uiPriority w:val="0"/>
    <w:qFormat/>
    <w:pPr>
      <w:jc w:val="left"/>
      <w:spacing w:before="100" w:beforeAutospacing="1" w:after="100" w:afterAutospacing="1"/>
      <w:widowControl/>
    </w:pPr>
    <w:rPr>
      <w:rFonts w:hint="eastAsia" w:ascii="宋体" w:hAnsi="宋体"/>
      <w:sz w:val="28"/>
      <w:szCs w:val="28"/>
      <w:u w:val="single"/>
    </w:rPr>
  </w:style>
  <w:style w:type="paragraph" w:styleId="777" w:customStyle="1">
    <w:name w:val="xl25"/>
    <w:basedOn w:val="6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8" w:customStyle="1">
    <w:name w:val="图标"/>
    <w:basedOn w:val="676"/>
    <w:next w:val="6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9" w:customStyle="1">
    <w:name w:val="标题3"/>
    <w:basedOn w:val="676"/>
    <w:next w:val="676"/>
    <w:uiPriority w:val="0"/>
    <w:qFormat/>
    <w:pPr>
      <w:ind w:firstLine="624"/>
      <w:spacing w:line="590" w:lineRule="atLeast"/>
    </w:pPr>
    <w:rPr>
      <w:rFonts w:ascii="方正黑体_GBK" w:eastAsia="方正黑体_GBK"/>
      <w:sz w:val="32"/>
      <w:szCs w:val="32"/>
    </w:rPr>
  </w:style>
  <w:style w:type="paragraph" w:styleId="780" w:customStyle="1">
    <w:name w:val="xl24"/>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81" w:customStyle="1">
    <w:name w:val="xl29"/>
    <w:basedOn w:val="67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82" w:customStyle="1">
    <w:name w:val="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783" w:customStyle="1">
    <w:name w:val="xl28"/>
    <w:basedOn w:val="6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4" w:customStyle="1">
    <w:name w:val="Char Char Char Char Char Char Char Char1"/>
    <w:basedOn w:val="676"/>
    <w:uiPriority w:val="0"/>
    <w:qFormat/>
    <w:pPr>
      <w:jc w:val="left"/>
      <w:spacing w:after="160" w:line="240" w:lineRule="exact"/>
      <w:widowControl/>
    </w:pPr>
    <w:rPr>
      <w:rFonts w:ascii="Verdana" w:hAnsi="Verdana"/>
      <w:sz w:val="20"/>
      <w:szCs w:val="20"/>
      <w:lang w:eastAsia="en-US"/>
    </w:rPr>
  </w:style>
  <w:style w:type="paragraph" w:styleId="785" w:customStyle="1">
    <w:name w:val="xl30"/>
    <w:basedOn w:val="676"/>
    <w:uiPriority w:val="0"/>
    <w:qFormat/>
    <w:pPr>
      <w:jc w:val="center"/>
      <w:spacing w:before="100" w:beforeAutospacing="1" w:after="100" w:afterAutospacing="1"/>
      <w:widowControl/>
    </w:pPr>
    <w:rPr>
      <w:rFonts w:ascii="宋体" w:hAnsi="宋体"/>
      <w:b/>
      <w:bCs/>
      <w:sz w:val="36"/>
      <w:szCs w:val="36"/>
    </w:rPr>
  </w:style>
  <w:style w:type="paragraph" w:styleId="786" w:customStyle="1">
    <w:name w:val="Char Char Char Char1"/>
    <w:basedOn w:val="692"/>
    <w:uiPriority w:val="0"/>
    <w:qFormat/>
    <w:pPr>
      <w:spacing w:line="360" w:lineRule="auto"/>
    </w:pPr>
    <w:rPr>
      <w:rFonts w:ascii="Tahoma" w:hAnsi="Tahoma"/>
      <w:sz w:val="24"/>
      <w:szCs w:val="24"/>
    </w:rPr>
  </w:style>
  <w:style w:type="paragraph" w:styleId="787" w:customStyle="1">
    <w:name w:val="table_1stline"/>
    <w:basedOn w:val="676"/>
    <w:uiPriority w:val="0"/>
    <w:qFormat/>
    <w:pPr>
      <w:jc w:val="left"/>
      <w:spacing w:before="120"/>
      <w:widowControl/>
    </w:pPr>
    <w:rPr>
      <w:bCs/>
      <w:sz w:val="20"/>
      <w:szCs w:val="20"/>
      <w:lang w:val="de-DE" w:eastAsia="de-DE"/>
    </w:rPr>
  </w:style>
  <w:style w:type="paragraph" w:styleId="788" w:customStyle="1">
    <w:name w:val="font5"/>
    <w:basedOn w:val="676"/>
    <w:uiPriority w:val="0"/>
    <w:qFormat/>
    <w:pPr>
      <w:jc w:val="left"/>
      <w:spacing w:before="100" w:beforeAutospacing="1" w:after="100" w:afterAutospacing="1"/>
      <w:widowControl/>
    </w:pPr>
    <w:rPr>
      <w:rFonts w:hint="eastAsia" w:ascii="宋体" w:hAnsi="宋体"/>
      <w:sz w:val="28"/>
      <w:szCs w:val="28"/>
    </w:rPr>
  </w:style>
  <w:style w:type="paragraph" w:styleId="789" w:customStyle="1">
    <w:name w:val="标题1"/>
    <w:basedOn w:val="676"/>
    <w:next w:val="6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90" w:customStyle="1">
    <w:name w:val="_Style 113"/>
    <w:uiPriority w:val="99"/>
    <w:semiHidden/>
    <w:qFormat/>
    <w:rPr>
      <w:rFonts w:ascii="Times New Roman" w:hAnsi="Times New Roman" w:eastAsia="宋体" w:cs="Times New Roman"/>
      <w:sz w:val="21"/>
      <w:szCs w:val="21"/>
      <w:lang w:val="en-US" w:eastAsia="zh-CN" w:bidi="ar-SA"/>
    </w:rPr>
  </w:style>
  <w:style w:type="paragraph" w:styleId="791">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92" w:customStyle="1">
    <w:name w:val="普通文字"/>
    <w:basedOn w:val="676"/>
    <w:next w:val="676"/>
    <w:uiPriority w:val="99"/>
    <w:qFormat/>
    <w:rPr>
      <w:rFonts w:ascii="宋体"/>
      <w:sz w:val="24"/>
      <w:szCs w:val="20"/>
    </w:rPr>
  </w:style>
  <w:style w:type="paragraph" w:styleId="793" w:customStyle="1">
    <w:name w:val="目录 111"/>
    <w:basedOn w:val="676"/>
    <w:next w:val="676"/>
    <w:uiPriority w:val="39"/>
    <w:unhideWhenUsed/>
    <w:qFormat/>
    <w:pPr>
      <w:jc w:val="left"/>
      <w:spacing w:after="100" w:line="259" w:lineRule="auto"/>
      <w:widowControl/>
    </w:pPr>
    <w:rPr>
      <w:rFonts w:ascii="Calibri" w:hAnsi="Calibri"/>
      <w:sz w:val="22"/>
      <w:szCs w:val="22"/>
    </w:rPr>
  </w:style>
  <w:style w:type="paragraph" w:styleId="794" w:customStyle="1">
    <w:name w:val="列表1"/>
    <w:basedOn w:val="676"/>
    <w:uiPriority w:val="0"/>
    <w:qFormat/>
    <w:pPr>
      <w:ind w:left="200" w:hanging="200"/>
    </w:pPr>
  </w:style>
  <w:style w:type="paragraph" w:styleId="795" w:customStyle="1">
    <w:name w:val="Table Text"/>
    <w:basedOn w:val="676"/>
    <w:uiPriority w:val="0"/>
    <w:semiHidden/>
    <w:qFormat/>
    <w:pPr>
      <w:jc w:val="left"/>
      <w:widowControl/>
    </w:pPr>
    <w:rPr>
      <w:rFonts w:ascii="宋体" w:hAnsi="宋体" w:cs="宋体"/>
      <w:color w:val="000000"/>
      <w:lang w:eastAsia="en-US"/>
    </w:rPr>
  </w:style>
  <w:style w:type="table" w:styleId="796" w:customStyle="1">
    <w:name w:val="Table Normal"/>
    <w:uiPriority w:val="0"/>
    <w:unhideWhenUsed/>
    <w:qFormat/>
    <w:rPr>
      <w:rFonts w:ascii="Arial" w:hAnsi="Arial" w:cs="Arial"/>
      <w:color w:val="000000"/>
      <w:szCs w:val="21"/>
      <w:lang w:eastAsia="en-US"/>
    </w:rPr>
    <w:tblPr>
      <w:tblCellMar>
        <w:left w:w="0" w:type="dxa"/>
        <w:top w:w="0" w:type="dxa"/>
        <w:right w:w="0" w:type="dxa"/>
        <w:bottom w:w="0" w:type="dxa"/>
      </w:tblCellMar>
    </w:tblPr>
  </w:style>
  <w:style w:type="table" w:styleId="797" w:customStyle="1">
    <w:name w:val="网格型11"/>
    <w:basedOn w:val="798"/>
    <w:uiPriority w:val="59"/>
    <w:qFormat/>
    <w:tblPr>
      <w:tblCellMar>
        <w:left w:w="0" w:type="dxa"/>
        <w:top w:w="0" w:type="dxa"/>
        <w:right w:w="0" w:type="dxa"/>
        <w:bottom w:w="0" w:type="dxa"/>
      </w:tblCellMar>
    </w:tblPr>
  </w:style>
  <w:style w:type="table" w:styleId="798" w:customStyle="1">
    <w:name w:val="普通表格11"/>
    <w:uiPriority w:val="0"/>
    <w:semiHidden/>
    <w:qFormat/>
    <w:tblPr>
      <w:tblCellMar>
        <w:left w:w="0" w:type="dxa"/>
        <w:top w:w="0" w:type="dxa"/>
        <w:right w:w="0" w:type="dxa"/>
        <w:bottom w:w="0" w:type="dxa"/>
      </w:tblCellMar>
    </w:tblPr>
  </w:style>
  <w:style w:type="paragraph" w:styleId="799" w:customStyle="1">
    <w:name w:val="Default"/>
    <w:uiPriority w:val="0"/>
    <w:qFormat/>
    <w:pPr>
      <w:widowControl w:val="off"/>
    </w:pPr>
    <w:rPr>
      <w:rFonts w:ascii="Arial Unicode MS" w:hAnsi="Times New Roman" w:eastAsia="Arial Unicode MS" w:cs="Arial Unicode MS"/>
      <w:color w:val="000000"/>
      <w:sz w:val="24"/>
      <w:szCs w:val="24"/>
      <w:lang w:val="en-US" w:eastAsia="zh-CN" w:bidi="ar-SA"/>
    </w:rPr>
  </w:style>
  <w:style w:type="numbering" w:styleId="165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521</cp:revision>
  <dcterms:created xsi:type="dcterms:W3CDTF">2023-03-16T02:16:00Z</dcterms:created>
  <dcterms:modified xsi:type="dcterms:W3CDTF">2026-04-23T02:19:24Z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A161BF986C324CD58EB6D8D952189A8D_13</vt:lpwstr>
  </property>
  <property fmtid="{D5CDD505-2E9C-101B-9397-08002B2CF9AE}" pid="4" name="KSOTemplateDocerSaveRecord">
    <vt:lpwstr>eyJoZGlkIjoiM2I1OTQ2NDJjNjRhMmE2ZTU5NDcxMWJiZTc3MGMzNzciLCJ1c2VySWQiOiIxMzY2MzQxNDQ3In0=</vt:lpwstr>
  </property>
</Properties>
</file>