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9"/>
        <w:ind w:firstLine="0"/>
        <w:jc w:val="center"/>
        <w:keepNext/>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多校普通教室及功能室教学设备</w:t>
      </w:r>
      <w:r>
        <w:rPr>
          <w:rFonts w:hint="eastAsia" w:ascii="Arial" w:hAnsi="Arial"/>
          <w:b/>
          <w:bCs/>
          <w:sz w:val="32"/>
          <w:szCs w:val="24"/>
          <w:u w:val="single"/>
        </w:rPr>
      </w:r>
      <w:r/>
    </w:p>
    <w:p>
      <w:pPr>
        <w:pStyle w:val="767"/>
        <w:ind w:firstLine="1606"/>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767"/>
        <w:ind w:firstLine="1285"/>
        <w:jc w:val="left"/>
        <w:keepNext/>
        <w:spacing w:before="120" w:after="120" w:line="360" w:lineRule="auto"/>
        <w:rPr>
          <w:rFonts w:hint="eastAsia"/>
          <w:b/>
          <w:sz w:val="32"/>
          <w:szCs w:val="32"/>
        </w:rPr>
      </w:pPr>
      <w:r>
        <w:rPr>
          <w:rFonts w:hint="eastAsia"/>
          <w:b/>
          <w:sz w:val="32"/>
          <w:szCs w:val="32"/>
        </w:rPr>
        <w:t xml:space="preserve">项目编号：</w:t>
      </w:r>
      <w:r>
        <w:rPr>
          <w:b/>
          <w:sz w:val="32"/>
          <w:szCs w:val="32"/>
        </w:rPr>
        <w:t xml:space="preserve">JSZC-320116-RJGC-G2026-0001</w:t>
      </w:r>
      <w:r>
        <w:rPr>
          <w:rFonts w:hint="eastAsia"/>
          <w:b/>
          <w:sz w:val="32"/>
          <w:szCs w:val="32"/>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ind w:firstLine="1285"/>
        <w:keepNext/>
        <w:rPr>
          <w:rFonts w:hint="eastAsia" w:ascii="Arial" w:hAnsi="Arial"/>
          <w:b/>
          <w:bCs/>
          <w:sz w:val="32"/>
          <w:szCs w:val="24"/>
        </w:rPr>
      </w:pPr>
      <w:r>
        <w:rPr>
          <w:rFonts w:hint="eastAsia" w:ascii="Arial" w:hAnsi="Arial"/>
          <w:b/>
          <w:bCs/>
          <w:sz w:val="32"/>
          <w:szCs w:val="24"/>
        </w:rPr>
        <w:t xml:space="preserve">采购代理机构：南京润捷工程项目管理有限公司</w:t>
      </w:r>
      <w:r>
        <w:rPr>
          <w:rFonts w:hint="eastAsia" w:ascii="Arial" w:hAnsi="Arial"/>
          <w:b/>
          <w:bCs/>
          <w:sz w:val="32"/>
          <w:szCs w:val="24"/>
        </w:rPr>
      </w:r>
      <w:r/>
    </w:p>
    <w:p>
      <w:pPr>
        <w:pStyle w:val="767"/>
        <w:ind w:firstLine="1285"/>
        <w:keepNext/>
        <w:rPr>
          <w:rFonts w:hint="eastAsia" w:ascii="Arial" w:hAnsi="Arial"/>
          <w:b/>
          <w:bCs/>
          <w:sz w:val="32"/>
          <w:szCs w:val="24"/>
        </w:rPr>
      </w:pPr>
      <w:r>
        <w:rPr>
          <w:rFonts w:hint="eastAsia" w:ascii="Arial" w:hAnsi="Arial"/>
          <w:b/>
          <w:bCs/>
          <w:sz w:val="32"/>
          <w:szCs w:val="24"/>
        </w:rPr>
        <w:t xml:space="preserve">采购人：南京市六合区教育局</w:t>
      </w:r>
      <w:r>
        <w:rPr>
          <w:rFonts w:hint="eastAsia" w:ascii="Arial" w:hAnsi="Arial"/>
          <w:b/>
          <w:bCs/>
          <w:sz w:val="32"/>
          <w:szCs w:val="24"/>
        </w:rPr>
      </w:r>
      <w:r/>
    </w:p>
    <w:p>
      <w:pPr>
        <w:pStyle w:val="767"/>
        <w:ind w:firstLine="2891"/>
        <w:keepNext/>
        <w:rPr>
          <w:rFonts w:hint="eastAsia" w:ascii="Arial" w:hAnsi="Arial"/>
          <w:b/>
          <w:bCs/>
          <w:sz w:val="32"/>
          <w:szCs w:val="24"/>
        </w:rPr>
      </w:pPr>
      <w:r>
        <w:rPr>
          <w:rFonts w:hint="eastAsia" w:ascii="Arial" w:hAnsi="Arial"/>
          <w:b/>
          <w:bCs/>
          <w:sz w:val="32"/>
          <w:szCs w:val="24"/>
        </w:rPr>
        <w:t xml:space="preserve"> 2026年5月</w:t>
      </w:r>
      <w:r>
        <w:rPr>
          <w:rFonts w:hint="eastAsia" w:ascii="Arial" w:hAnsi="Arial"/>
          <w:b/>
          <w:bCs/>
          <w:sz w:val="32"/>
          <w:szCs w:val="24"/>
        </w:rPr>
      </w:r>
      <w:r/>
    </w:p>
    <w:p>
      <w:pPr>
        <w:pStyle w:val="767"/>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67"/>
        <w:keepNext/>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szCs w:val="21"/>
        </w:rPr>
        <w:br w:type="page" w:clear="all"/>
      </w:r>
      <w:bookmarkStart w:id="0" w:name="_Toc523127445"/>
      <w:r/>
      <w:bookmarkStart w:id="1" w:name="_Toc16938516"/>
      <w:r/>
      <w:bookmarkStart w:id="2" w:name="_Toc20823272"/>
      <w:r/>
      <w:bookmarkStart w:id="3" w:name="_Toc479757206"/>
      <w:r/>
      <w:bookmarkStart w:id="4" w:name="_Toc513029200"/>
      <w:r/>
      <w:bookmarkStart w:id="5" w:name="_Toc12061421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sz w:val="36"/>
          <w:szCs w:val="36"/>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u w:val="single"/>
        </w:rPr>
        <w:t xml:space="preserve">多校普通教室及功能室教学设备</w:t>
      </w:r>
      <w:r>
        <w:rPr>
          <w:rFonts w:hint="eastAsia" w:ascii="宋体" w:hAnsi="宋体"/>
          <w:sz w:val="24"/>
          <w:szCs w:val="24"/>
        </w:rPr>
        <w:t xml:space="preserve">的潜在供应商应在“江苏政府采购网、南京公共采购信息网”获取采购文件，并于</w:t>
      </w:r>
      <w:r>
        <w:rPr>
          <w:rFonts w:hint="eastAsia" w:ascii="宋体" w:hAnsi="宋体"/>
          <w:sz w:val="24"/>
          <w:szCs w:val="24"/>
          <w:u w:val="single"/>
        </w:rPr>
        <w:t xml:space="preserve">2026年6月15日上午9 点00分</w:t>
      </w:r>
      <w:r>
        <w:rPr>
          <w:rFonts w:hint="eastAsia" w:ascii="宋体" w:hAnsi="宋体"/>
          <w:sz w:val="24"/>
          <w:szCs w:val="24"/>
        </w:rPr>
        <w:t xml:space="preserve">（北京时间）前提交响应文件。</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一、项目基本情况</w:t>
      </w:r>
      <w:r>
        <w:rPr>
          <w:rFonts w:hint="eastAsia" w:ascii="宋体" w:hAnsi="宋体"/>
          <w:b/>
          <w:bCs/>
          <w:sz w:val="24"/>
          <w:szCs w:val="24"/>
        </w:rPr>
      </w:r>
      <w:r/>
    </w:p>
    <w:p>
      <w:pPr>
        <w:pStyle w:val="767"/>
        <w:ind w:left="479"/>
        <w:jc w:val="left"/>
        <w:keepNext/>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JSZC-320116-RJGC-G2026-0001</w:t>
      </w:r>
      <w:r>
        <w:rPr>
          <w:rFonts w:hint="eastAsia" w:ascii="宋体" w:hAnsi="宋体"/>
          <w:sz w:val="24"/>
          <w:szCs w:val="24"/>
        </w:rPr>
        <w:t xml:space="preserve">                                                                 2.项目名称：多校普通教室及功能室教学设备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w:t>
      </w:r>
      <w:bookmarkStart w:id="6" w:name="OLE_LINK54"/>
      <w:r>
        <w:rPr>
          <w:rFonts w:hint="eastAsia" w:ascii="宋体" w:hAnsi="宋体"/>
          <w:sz w:val="24"/>
          <w:szCs w:val="24"/>
        </w:rPr>
        <w:t xml:space="preserve">预算金额：208万元</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4.最高限价：208万元</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End w:id="6"/>
      <w:r>
        <w:rPr>
          <w:rFonts w:hint="eastAsia" w:ascii="宋体" w:hAnsi="宋体"/>
          <w:sz w:val="24"/>
          <w:szCs w:val="24"/>
        </w:rPr>
        <w:t xml:space="preserve">5.采购需求（简介）：</w:t>
      </w:r>
      <w:bookmarkStart w:id="7" w:name="OLE_LINK55"/>
      <w:r>
        <w:rPr>
          <w:rFonts w:hint="eastAsia" w:ascii="宋体" w:hAnsi="宋体"/>
          <w:sz w:val="24"/>
          <w:szCs w:val="24"/>
        </w:rPr>
        <w:t xml:space="preserve">区内多校课桌椅、功能室设备、体育仪器器材及木器设备的供货、安装。（详细内容见本招标文件第四章）</w:t>
      </w:r>
      <w:bookmarkEnd w:id="7"/>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6.合同履行期限：1140天（交付期45天、质保期1095天），合同签订后45日内交付并完成安装调试及验收等相关工作，自验收报告签字确认日起开始进入质保期。</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7.本项目不接受进口产品投标。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8.本项目不接受联合体投标。</w:t>
      </w:r>
      <w:r>
        <w:rPr>
          <w:rFonts w:hint="eastAsia" w:ascii="宋体" w:hAnsi="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（一）通用资格要求</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lang w:val="zh-CN"/>
        </w:rPr>
      </w:pPr>
      <w:r/>
      <w:bookmarkStart w:id="8" w:name="OLE_LINK70"/>
      <w:r>
        <w:rPr>
          <w:rFonts w:hint="eastAsia" w:ascii="宋体" w:hAnsi="宋体" w:cs="宋体"/>
          <w:sz w:val="24"/>
          <w:szCs w:val="24"/>
          <w:lang w:val="zh-CN"/>
        </w:rPr>
        <w:t xml:space="preserve">1.满足《中华人民共和国政府采购法》第二十二条规定，并提供下列材料：</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rPr>
        <w:t xml:space="preserve">1.1</w:t>
      </w:r>
      <w:bookmarkStart w:id="9" w:name="OLE_LINK69"/>
      <w:r>
        <w:rPr>
          <w:rFonts w:hint="eastAsia" w:ascii="宋体" w:hAnsi="宋体" w:cs="宋体"/>
          <w:sz w:val="24"/>
          <w:szCs w:val="24"/>
          <w:lang w:val="zh-CN"/>
        </w:rPr>
        <w:t xml:space="preserve">供应商信用承诺函（格式见第六章）</w:t>
      </w:r>
      <w:bookmarkEnd w:id="9"/>
      <w:r>
        <w:rPr>
          <w:rFonts w:hint="eastAsia" w:ascii="宋体" w:hAnsi="宋体" w:cs="宋体"/>
          <w:sz w:val="24"/>
          <w:szCs w:val="24"/>
          <w:lang w:val="zh-CN"/>
        </w:rPr>
        <w:t xml:space="preserve">。</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lang w:val="zh-CN"/>
        </w:rPr>
      </w:pPr>
      <w:r/>
      <w:bookmarkEnd w:id="8"/>
      <w:r>
        <w:rPr>
          <w:rFonts w:hint="eastAsia" w:ascii="宋体" w:hAnsi="宋体" w:cs="宋体"/>
          <w:sz w:val="24"/>
          <w:szCs w:val="24"/>
          <w:lang w:val="zh-CN"/>
        </w:rPr>
        <w:t xml:space="preserve">2.落实政府采购政策需满足的资格要求：</w:t>
      </w:r>
      <w:r>
        <w:rPr>
          <w:rFonts w:hint="eastAsia" w:ascii="宋体" w:hAnsi="宋体" w:cs="宋体"/>
          <w:sz w:val="24"/>
          <w:szCs w:val="24"/>
        </w:rPr>
        <w:t xml:space="preserve">本项目为非预留份额的采购项目或采购包，执行价格扣除优惠政策（具体详见第五章评标办法与标准）。</w:t>
      </w:r>
      <w:r>
        <w:rPr>
          <w:rFonts w:hint="eastAsia" w:ascii="宋体" w:hAnsi="宋体" w:cs="宋体"/>
          <w:sz w:val="24"/>
          <w:szCs w:val="24"/>
          <w:lang w:val="zh-CN"/>
        </w:rPr>
        <w:t xml:space="preserve">提供《中小企业声明函》（格式见第六章）；</w:t>
      </w:r>
      <w:r>
        <w:rPr>
          <w:rFonts w:hint="eastAsia" w:ascii="宋体" w:hAnsi="宋体" w:cs="宋体"/>
          <w:sz w:val="24"/>
          <w:szCs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lang w:val="zh-CN"/>
        </w:rPr>
        <w:t xml:space="preserve">本项目采购标的对应的中小企业划分标准所属行业为：工业</w:t>
      </w:r>
      <w:r>
        <w:rPr>
          <w:rFonts w:hint="eastAsia" w:ascii="宋体" w:hAnsi="宋体" w:cs="宋体"/>
          <w:sz w:val="24"/>
          <w:szCs w:val="24"/>
        </w:rPr>
        <w:t xml:space="preserve">。</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（二）本项目的特定资格要求：无。</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bookmarkStart w:id="10" w:name="OLE_LINK68"/>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bookmarkEnd w:id="10"/>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2.方式：在“江苏政府采购网、南京公共采购信息网”免费下载。</w:t>
      </w:r>
      <w:r>
        <w:rPr>
          <w:rFonts w:hint="eastAsia" w:ascii="宋体" w:hAnsi="宋体" w:cs="宋体"/>
          <w:sz w:val="24"/>
          <w:szCs w:val="24"/>
        </w:rPr>
      </w:r>
      <w:r/>
    </w:p>
    <w:p>
      <w:pPr>
        <w:pStyle w:val="767"/>
        <w:ind w:firstLine="482"/>
        <w:keepNext/>
        <w:spacing w:line="360" w:lineRule="auto"/>
        <w:tabs>
          <w:tab w:val="left" w:pos="900" w:leader="none"/>
        </w:tabs>
        <w:rPr>
          <w:rFonts w:ascii="宋体" w:hAnsi="宋体" w:cs="宋体"/>
          <w:b/>
          <w:bCs/>
          <w:sz w:val="24"/>
          <w:szCs w:val="24"/>
        </w:rPr>
      </w:pPr>
      <w:r>
        <w:rPr>
          <w:rFonts w:hint="eastAsia" w:ascii="宋体" w:hAnsi="宋体" w:cs="宋体"/>
          <w:b/>
          <w:bCs/>
          <w:sz w:val="24"/>
          <w:szCs w:val="24"/>
        </w:rPr>
        <w:t xml:space="preserve">四、提交投标文件截止时间、开标时间和地点</w:t>
      </w:r>
      <w:r>
        <w:rPr>
          <w:rFonts w:ascii="宋体" w:hAnsi="宋体" w:cs="宋体"/>
          <w:b/>
          <w:bCs/>
          <w:sz w:val="24"/>
          <w:szCs w:val="24"/>
        </w:rPr>
      </w:r>
      <w:r/>
    </w:p>
    <w:p>
      <w:pPr>
        <w:pStyle w:val="767"/>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时间：</w:t>
      </w:r>
      <w:r>
        <w:rPr>
          <w:rFonts w:ascii="宋体" w:hAnsi="宋体" w:cs="宋体"/>
          <w:color w:val="000000"/>
          <w:sz w:val="24"/>
        </w:rPr>
        <w:t xml:space="preserve">202</w:t>
      </w:r>
      <w:r>
        <w:rPr>
          <w:rFonts w:hint="eastAsia" w:ascii="宋体" w:hAnsi="宋体" w:cs="宋体"/>
          <w:color w:val="000000"/>
          <w:sz w:val="24"/>
        </w:rPr>
        <w:t xml:space="preserve">6年6月15日</w:t>
      </w:r>
      <w:r>
        <w:rPr>
          <w:rFonts w:ascii="宋体" w:hAnsi="宋体" w:cs="宋体"/>
          <w:color w:val="000000"/>
          <w:sz w:val="24"/>
        </w:rPr>
        <w:t xml:space="preserve">上午9:</w:t>
      </w:r>
      <w:r>
        <w:rPr>
          <w:rFonts w:hint="eastAsia" w:ascii="宋体" w:hAnsi="宋体" w:cs="宋体"/>
          <w:color w:val="000000"/>
          <w:sz w:val="24"/>
        </w:rPr>
        <w:t xml:space="preserve">0</w:t>
      </w:r>
      <w:r>
        <w:rPr>
          <w:rFonts w:ascii="宋体" w:hAnsi="宋体" w:cs="宋体"/>
          <w:color w:val="000000"/>
          <w:sz w:val="24"/>
        </w:rPr>
        <w:t xml:space="preserve">0 （北京时间）</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地点：“苏采云”政府采购交易系统网上开标大厅</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六、其他事宜</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1.本次招标不收取投标保证金。</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2.本项目不组织集中勘察及答疑，供应商如对采购需求有疑问，请咨询采购单位联系人。</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七、本次招标联系方式</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67"/>
        <w:ind w:firstLine="480"/>
        <w:keepNext/>
        <w:spacing w:line="360"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南京市六合区教育局</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cs="宋体"/>
          <w:sz w:val="24"/>
          <w:szCs w:val="24"/>
        </w:rPr>
        <w:t xml:space="preserve">单位地址：南京市六合区雄州南路268号</w:t>
      </w:r>
      <w:r>
        <w:rPr>
          <w:rFonts w:hint="eastAsia"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联系人：窦主任</w:t>
      </w:r>
      <w:r>
        <w:rPr>
          <w:rFonts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联系电话：</w:t>
      </w:r>
      <w:bookmarkStart w:id="11" w:name="_Toc28359009"/>
      <w:r/>
      <w:bookmarkStart w:id="12" w:name="_Toc28359086"/>
      <w:r>
        <w:rPr>
          <w:rFonts w:hint="eastAsia" w:ascii="宋体" w:hAnsi="宋体"/>
          <w:sz w:val="24"/>
          <w:szCs w:val="24"/>
        </w:rPr>
        <w:t xml:space="preserve">025-57156991</w:t>
      </w:r>
      <w:r>
        <w:rPr>
          <w:rFonts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w:t>
      </w:r>
      <w:bookmarkEnd w:id="11"/>
      <w:r/>
      <w:bookmarkEnd w:id="12"/>
      <w:r>
        <w:rPr>
          <w:rFonts w:hint="eastAsia" w:ascii="宋体" w:hAnsi="宋体"/>
          <w:sz w:val="24"/>
          <w:szCs w:val="24"/>
        </w:rPr>
        <w:t xml:space="preserve">采购代理机构信息</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rPr>
        <w:t xml:space="preserve">南京润捷工程项目管理有限公司</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单位地址：</w:t>
      </w:r>
      <w:bookmarkStart w:id="13" w:name="OLE_LINK56"/>
      <w:r>
        <w:rPr>
          <w:rFonts w:hint="eastAsia" w:ascii="宋体" w:hAnsi="宋体"/>
          <w:sz w:val="24"/>
          <w:szCs w:val="24"/>
        </w:rPr>
        <w:t xml:space="preserve">南京市六合区马鞍街道极乐路268号棠嘉苑2栋一单元502室</w:t>
      </w:r>
      <w:bookmarkEnd w:id="13"/>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联系人：</w:t>
      </w:r>
      <w:bookmarkStart w:id="14" w:name="OLE_LINK9"/>
      <w:r>
        <w:rPr>
          <w:rFonts w:hint="eastAsia" w:ascii="宋体" w:hAnsi="宋体"/>
          <w:sz w:val="24"/>
          <w:szCs w:val="24"/>
        </w:rPr>
        <w:t xml:space="preserve">王工</w:t>
      </w:r>
      <w:bookmarkEnd w:id="14"/>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0"/>
        </w:rPr>
        <w:t xml:space="preserve">18662725911</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项目联系：王工</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电话：</w:t>
      </w:r>
      <w:r>
        <w:rPr>
          <w:rFonts w:hint="eastAsia" w:ascii="宋体" w:hAnsi="宋体"/>
          <w:sz w:val="24"/>
          <w:szCs w:val="20"/>
        </w:rPr>
        <w:t xml:space="preserve">18662725911</w:t>
      </w:r>
      <w:r>
        <w:rPr>
          <w:rFonts w:hint="eastAsia" w:ascii="宋体" w:hAnsi="宋体"/>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67"/>
        <w:keepNext/>
        <w:rPr>
          <w:rFonts w:hint="eastAsia"/>
        </w:rPr>
      </w:pPr>
      <w:r>
        <w:rPr>
          <w:rFonts w:hint="eastAsia"/>
        </w:rPr>
      </w:r>
      <w:r/>
    </w:p>
    <w:p>
      <w:pPr>
        <w:pStyle w:val="767"/>
        <w:ind w:right="840"/>
        <w:jc w:val="center"/>
        <w:keepNext/>
        <w:rPr>
          <w:rFonts w:hint="eastAsia" w:ascii="方正小标宋简体" w:hAnsi="方正小标宋简体" w:eastAsia="方正小标宋简体" w:cs="方正小标宋简体"/>
          <w:color w:val="000000"/>
          <w:sz w:val="36"/>
          <w:szCs w:val="36"/>
        </w:rPr>
      </w:pPr>
      <w:r/>
      <w:bookmarkStart w:id="15" w:name="_Toc120614211"/>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000000"/>
          <w:sz w:val="36"/>
          <w:szCs w:val="36"/>
        </w:rPr>
        <w:t xml:space="preserve">第二章  </w:t>
      </w:r>
      <w:bookmarkEnd w:id="15"/>
      <w:r/>
      <w:bookmarkStart w:id="16" w:name="_Toc16938518"/>
      <w:r/>
      <w:bookmarkStart w:id="17" w:name="_Toc513029202"/>
      <w:r/>
      <w:bookmarkStart w:id="18" w:name="_Toc20823274"/>
      <w:r/>
      <w:bookmarkStart w:id="19" w:name="_Toc120614213"/>
      <w:r>
        <w:rPr>
          <w:rFonts w:hint="eastAsia" w:ascii="方正小标宋简体" w:hAnsi="方正小标宋简体" w:eastAsia="方正小标宋简体" w:cs="方正小标宋简体"/>
          <w:color w:val="000000"/>
          <w:sz w:val="36"/>
          <w:szCs w:val="36"/>
        </w:rPr>
        <w:t xml:space="preserve">投标人须知</w:t>
      </w:r>
      <w:bookmarkEnd w:id="16"/>
      <w:r/>
      <w:bookmarkEnd w:id="17"/>
      <w:r/>
      <w:bookmarkEnd w:id="18"/>
      <w:r/>
      <w:bookmarkEnd w:id="19"/>
      <w:r>
        <w:rPr>
          <w:rFonts w:hint="eastAsia" w:ascii="方正小标宋简体" w:hAnsi="方正小标宋简体" w:eastAsia="方正小标宋简体" w:cs="方正小标宋简体"/>
          <w:sz w:val="36"/>
          <w:szCs w:val="36"/>
        </w:rPr>
      </w:r>
      <w:r/>
    </w:p>
    <w:p>
      <w:pPr>
        <w:pStyle w:val="767"/>
        <w:ind w:firstLine="482"/>
        <w:keepNext/>
        <w:spacing w:line="360" w:lineRule="auto"/>
        <w:rPr>
          <w:rFonts w:hint="eastAsia" w:ascii="宋体" w:hAnsi="宋体"/>
          <w:b/>
          <w:bCs/>
          <w:sz w:val="24"/>
          <w:szCs w:val="24"/>
        </w:rPr>
      </w:pPr>
      <w:r/>
      <w:bookmarkStart w:id="20" w:name="_Toc20823275"/>
      <w:r/>
      <w:bookmarkStart w:id="21" w:name="_Toc120614214"/>
      <w:r/>
      <w:bookmarkStart w:id="22" w:name="_Toc513029203"/>
      <w:r/>
      <w:bookmarkStart w:id="23" w:name="_Toc16938519"/>
      <w:r>
        <w:rPr>
          <w:rFonts w:hint="eastAsia" w:ascii="宋体" w:hAnsi="宋体"/>
          <w:b/>
          <w:bCs/>
          <w:sz w:val="24"/>
          <w:szCs w:val="24"/>
        </w:rPr>
        <w:t xml:space="preserve">一、总则</w:t>
      </w:r>
      <w:bookmarkEnd w:id="20"/>
      <w:r/>
      <w:bookmarkEnd w:id="21"/>
      <w:r/>
      <w:bookmarkEnd w:id="22"/>
      <w:r/>
      <w:bookmarkEnd w:id="23"/>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24" w:name="_Hlt16619475"/>
      <w:r/>
      <w:bookmarkEnd w:id="24"/>
      <w:r/>
      <w:bookmarkStart w:id="25" w:name="_Toc458694821"/>
      <w:r/>
      <w:bookmarkStart w:id="26" w:name="_Toc513029204"/>
      <w:r/>
      <w:bookmarkStart w:id="27" w:name="_Toc16938520"/>
      <w:r/>
      <w:bookmarkStart w:id="28" w:name="_Toc20823276"/>
      <w:r>
        <w:rPr>
          <w:rFonts w:hint="eastAsia" w:ascii="宋体" w:hAnsi="宋体"/>
          <w:sz w:val="24"/>
          <w:szCs w:val="24"/>
        </w:rPr>
        <w:t xml:space="preserve">1</w:t>
      </w:r>
      <w:bookmarkEnd w:id="25"/>
      <w:r>
        <w:rPr>
          <w:rFonts w:hint="eastAsia" w:ascii="宋体" w:hAnsi="宋体"/>
          <w:sz w:val="24"/>
          <w:szCs w:val="24"/>
        </w:rPr>
        <w:t xml:space="preserve">.招标方式</w:t>
      </w:r>
      <w:bookmarkEnd w:id="26"/>
      <w:r/>
      <w:bookmarkEnd w:id="27"/>
      <w:r/>
      <w:bookmarkEnd w:id="28"/>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1.1 本次招标采取公开招标方式，本文件仅适用于招标公告中所述项目。</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29" w:name="_Toc20823277"/>
      <w:r/>
      <w:bookmarkStart w:id="30" w:name="_Toc513029205"/>
      <w:r/>
      <w:bookmarkStart w:id="31" w:name="_Toc16938521"/>
      <w:r>
        <w:rPr>
          <w:rFonts w:hint="eastAsia" w:ascii="宋体" w:hAnsi="宋体"/>
          <w:sz w:val="24"/>
          <w:szCs w:val="24"/>
        </w:rPr>
        <w:t xml:space="preserve">2.合格的投标人</w:t>
      </w:r>
      <w:bookmarkEnd w:id="29"/>
      <w:r/>
      <w:bookmarkEnd w:id="30"/>
      <w:r/>
      <w:bookmarkEnd w:id="31"/>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2.1 满足招标公告对供应商资格要求的规定。</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2.2 满足招标文件规定的实质性要求和条件。</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32" w:name="_Toc20823278"/>
      <w:r/>
      <w:bookmarkStart w:id="33" w:name="_Toc16938522"/>
      <w:r/>
      <w:bookmarkStart w:id="34" w:name="_Toc513029206"/>
      <w:r>
        <w:rPr>
          <w:rFonts w:hint="eastAsia" w:ascii="宋体" w:hAnsi="宋体"/>
          <w:sz w:val="24"/>
          <w:szCs w:val="24"/>
        </w:rPr>
        <w:t xml:space="preserve">3.适用法律</w:t>
      </w:r>
      <w:bookmarkEnd w:id="32"/>
      <w:r/>
      <w:bookmarkEnd w:id="33"/>
      <w:r/>
      <w:bookmarkEnd w:id="34"/>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35" w:name="_Toc16938523"/>
      <w:r/>
      <w:bookmarkStart w:id="36" w:name="_Toc513029207"/>
      <w:r/>
      <w:bookmarkStart w:id="37" w:name="_Toc20823279"/>
      <w:r/>
      <w:bookmarkStart w:id="38" w:name="_Toc462564067"/>
      <w:r>
        <w:rPr>
          <w:rFonts w:hint="eastAsia" w:ascii="宋体" w:hAnsi="宋体"/>
          <w:sz w:val="24"/>
          <w:szCs w:val="24"/>
        </w:rPr>
        <w:t xml:space="preserve">4.投标费用</w:t>
      </w:r>
      <w:bookmarkEnd w:id="35"/>
      <w:r/>
      <w:bookmarkEnd w:id="36"/>
      <w:r/>
      <w:bookmarkEnd w:id="37"/>
      <w:r/>
      <w:bookmarkEnd w:id="38"/>
      <w:r>
        <w:rPr>
          <w:rFonts w:hint="eastAsia"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投标人应自行承担所有与参加投标有关的费用，无论投标过程中的做法和结果如何，代理机构在任何情况下均无义务和责任承担这些费用。</w:t>
      </w:r>
      <w:r>
        <w:rPr>
          <w:rFonts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4.2 </w:t>
      </w:r>
      <w:r>
        <w:rPr>
          <w:rFonts w:ascii="宋体" w:hAnsi="宋体"/>
          <w:sz w:val="24"/>
          <w:szCs w:val="24"/>
        </w:rPr>
        <w:t xml:space="preserve">成交通知书发出后一周内</w:t>
      </w:r>
      <w:r>
        <w:rPr>
          <w:rFonts w:hint="eastAsia" w:ascii="宋体" w:hAnsi="宋体"/>
          <w:sz w:val="24"/>
          <w:szCs w:val="24"/>
        </w:rPr>
        <w:t xml:space="preserve">，代理费根据计价格（2002）1980号文件规定标准的80%由中标人支付，本项费用由投标人</w:t>
      </w:r>
      <w:r>
        <w:rPr>
          <w:rFonts w:hint="eastAsia" w:ascii="宋体" w:hAnsi="宋体"/>
          <w:sz w:val="24"/>
          <w:szCs w:val="24"/>
          <w:lang w:val="en-US" w:eastAsia="zh-CN"/>
        </w:rPr>
        <w:t xml:space="preserve">支付，需</w:t>
      </w:r>
      <w:r>
        <w:rPr>
          <w:rFonts w:hint="eastAsia" w:ascii="宋体" w:hAnsi="宋体"/>
          <w:sz w:val="24"/>
          <w:szCs w:val="24"/>
        </w:rPr>
        <w:t xml:space="preserve">综合考虑到投标报价中，本项费用无需在投标报价表中单列。专家评审费由</w:t>
      </w:r>
      <w:r>
        <w:rPr>
          <w:rFonts w:hint="eastAsia" w:ascii="宋体" w:hAnsi="宋体"/>
          <w:sz w:val="24"/>
          <w:szCs w:val="24"/>
          <w:lang w:val="en-US" w:eastAsia="zh-CN"/>
        </w:rPr>
        <w:t xml:space="preserve">采购人</w:t>
      </w:r>
      <w:r>
        <w:rPr>
          <w:rFonts w:hint="eastAsia" w:ascii="宋体" w:hAnsi="宋体"/>
          <w:sz w:val="24"/>
          <w:szCs w:val="24"/>
        </w:rPr>
        <w:t xml:space="preserve">支付。</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5.招标文件的约束力</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5.1 投标人一旦参加本项目采购活动，即被认为接受了本文件的规定和约束。</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bookmarkStart w:id="39" w:name="_Toc16938525"/>
      <w:r/>
      <w:bookmarkStart w:id="40" w:name="_Toc120614215"/>
      <w:r/>
      <w:bookmarkStart w:id="41" w:name="_Toc20823281"/>
      <w:r/>
      <w:bookmarkStart w:id="42" w:name="_Toc513029209"/>
      <w:r>
        <w:rPr>
          <w:rFonts w:hint="eastAsia" w:ascii="宋体" w:hAnsi="宋体"/>
          <w:b/>
          <w:bCs/>
          <w:sz w:val="24"/>
          <w:szCs w:val="24"/>
        </w:rPr>
        <w:t xml:space="preserve">二、招标文件</w:t>
      </w:r>
      <w:bookmarkEnd w:id="39"/>
      <w:r/>
      <w:bookmarkEnd w:id="40"/>
      <w:r/>
      <w:bookmarkEnd w:id="41"/>
      <w:r/>
      <w:bookmarkEnd w:id="42"/>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43" w:name="_Toc513029210"/>
      <w:r/>
      <w:bookmarkStart w:id="44" w:name="_Toc16938526"/>
      <w:r/>
      <w:bookmarkStart w:id="45" w:name="_Toc20823282"/>
      <w:r>
        <w:rPr>
          <w:rFonts w:hint="eastAsia" w:ascii="宋体" w:hAnsi="宋体"/>
          <w:sz w:val="24"/>
          <w:szCs w:val="24"/>
        </w:rPr>
        <w:t xml:space="preserve">6.招标文件构成</w:t>
      </w:r>
      <w:bookmarkEnd w:id="43"/>
      <w:r/>
      <w:bookmarkEnd w:id="44"/>
      <w:r/>
      <w:bookmarkEnd w:id="45"/>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6.1 招标文件由以下部分组成：</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（1）投标邀请</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投标人应仔细检查招标文件是否齐全，如有缺漏请立即与代理机构联系。</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46" w:name="_Toc16938527"/>
      <w:r/>
      <w:bookmarkStart w:id="47" w:name="_Toc513029211"/>
      <w:r/>
      <w:bookmarkStart w:id="48" w:name="_Toc20823283"/>
      <w:r/>
      <w:bookmarkStart w:id="49" w:name="_Toc462564070"/>
      <w:r>
        <w:rPr>
          <w:rFonts w:hint="eastAsia" w:ascii="宋体" w:hAnsi="宋体"/>
          <w:sz w:val="24"/>
          <w:szCs w:val="24"/>
        </w:rPr>
        <w:t xml:space="preserve">7.招标文件的澄清</w:t>
      </w:r>
      <w:bookmarkEnd w:id="46"/>
      <w:r/>
      <w:bookmarkEnd w:id="47"/>
      <w:r/>
      <w:bookmarkEnd w:id="48"/>
      <w:r/>
      <w:bookmarkEnd w:id="49"/>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任何要求对招标文件进行澄清的投标人，应在投标截止期十日前按招标公告中的通讯地址，以书面形式通知代理机构。</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50" w:name="_Toc20823284"/>
      <w:r/>
      <w:bookmarkStart w:id="51" w:name="_Toc462564071"/>
      <w:r/>
      <w:bookmarkStart w:id="52" w:name="_Toc16938528"/>
      <w:r/>
      <w:bookmarkStart w:id="53" w:name="_Toc513029212"/>
      <w:r>
        <w:rPr>
          <w:rFonts w:hint="eastAsia" w:ascii="宋体" w:hAnsi="宋体"/>
          <w:sz w:val="24"/>
          <w:szCs w:val="24"/>
        </w:rPr>
        <w:t xml:space="preserve">8.招标文件的修改</w:t>
      </w:r>
      <w:bookmarkEnd w:id="50"/>
      <w:r/>
      <w:bookmarkEnd w:id="51"/>
      <w:r/>
      <w:bookmarkEnd w:id="52"/>
      <w:r/>
      <w:bookmarkEnd w:id="53"/>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54" w:name="_Toc120614216"/>
      <w:r/>
      <w:bookmarkStart w:id="55" w:name="_Toc20823285"/>
      <w:r/>
      <w:bookmarkStart w:id="56" w:name="_Toc16938529"/>
      <w:r/>
      <w:bookmarkStart w:id="57" w:name="_Toc462564072"/>
      <w:r/>
      <w:bookmarkStart w:id="58" w:name="_Toc513029213"/>
      <w:r>
        <w:rPr>
          <w:rFonts w:hint="eastAsia" w:ascii="宋体" w:hAnsi="宋体"/>
          <w:sz w:val="24"/>
          <w:szCs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8.3 代理机构有权按照法定的要求推迟投标截止日期和开标日期，并在原公告媒体发布更正公告。</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三、投标文件的编制</w:t>
      </w:r>
      <w:bookmarkEnd w:id="54"/>
      <w:r/>
      <w:bookmarkEnd w:id="55"/>
      <w:r/>
      <w:bookmarkEnd w:id="56"/>
      <w:r/>
      <w:bookmarkEnd w:id="57"/>
      <w:r/>
      <w:bookmarkEnd w:id="58"/>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59" w:name="_Toc513029214"/>
      <w:r/>
      <w:bookmarkStart w:id="60" w:name="_Toc20823286"/>
      <w:r/>
      <w:bookmarkStart w:id="61" w:name="_Toc462564073"/>
      <w:r/>
      <w:bookmarkStart w:id="62" w:name="_Toc16938530"/>
      <w:r>
        <w:rPr>
          <w:rFonts w:hint="eastAsia" w:ascii="宋体" w:hAnsi="宋体"/>
          <w:sz w:val="24"/>
          <w:szCs w:val="24"/>
        </w:rPr>
        <w:t xml:space="preserve">9.投标文件的语言及度量衡单位</w:t>
      </w:r>
      <w:bookmarkEnd w:id="59"/>
      <w:r/>
      <w:bookmarkEnd w:id="60"/>
      <w:r/>
      <w:bookmarkEnd w:id="61"/>
      <w:r/>
      <w:bookmarkEnd w:id="62"/>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9.1 投标人提交的投标文件以及投标人与代理机构就有关投标的所有来往通知、函件和文件均应使用简体中文。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63" w:name="_Toc513029215"/>
      <w:r/>
      <w:bookmarkStart w:id="64" w:name="_Toc20823287"/>
      <w:r/>
      <w:bookmarkStart w:id="65" w:name="_Toc16938531"/>
      <w:r/>
      <w:bookmarkStart w:id="66" w:name="_Toc462564074"/>
      <w:r>
        <w:rPr>
          <w:rFonts w:hint="eastAsia" w:ascii="宋体" w:hAnsi="宋体"/>
          <w:sz w:val="24"/>
          <w:szCs w:val="24"/>
        </w:rPr>
        <w:t xml:space="preserve">10.投标文件构成</w:t>
      </w:r>
      <w:bookmarkEnd w:id="63"/>
      <w:r/>
      <w:bookmarkEnd w:id="64"/>
      <w:r/>
      <w:bookmarkEnd w:id="65"/>
      <w:r/>
      <w:bookmarkEnd w:id="66"/>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10.2 如标书制作工具中格式和内容与“江苏政府采购网”发布的招标文件不一致，以“江苏政府采购网”发布的招标文件为准。</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67" w:name="_Hlt26954838"/>
      <w:r/>
      <w:bookmarkEnd w:id="67"/>
      <w:r/>
      <w:bookmarkStart w:id="68" w:name="_Hlt26670360"/>
      <w:r/>
      <w:bookmarkEnd w:id="68"/>
      <w:r/>
      <w:bookmarkStart w:id="69" w:name="_Hlt26668975"/>
      <w:r/>
      <w:bookmarkEnd w:id="69"/>
      <w:r/>
      <w:bookmarkStart w:id="70" w:name="_Toc513029219"/>
      <w:r/>
      <w:bookmarkStart w:id="71" w:name="_Toc14577357"/>
      <w:r/>
      <w:bookmarkStart w:id="72" w:name="_Toc49090509"/>
      <w:r/>
      <w:bookmarkStart w:id="73" w:name="_Toc14577354"/>
      <w:r/>
      <w:bookmarkStart w:id="74" w:name="_Toc49090507"/>
      <w:r/>
      <w:bookmarkStart w:id="75" w:name="_Toc513029216"/>
      <w:r>
        <w:rPr>
          <w:rFonts w:hint="eastAsia" w:ascii="宋体" w:hAnsi="宋体"/>
          <w:sz w:val="24"/>
          <w:szCs w:val="24"/>
        </w:rPr>
        <w:t xml:space="preserve">11.证明投标人及投标标的符合招标文件规定的文件</w:t>
      </w:r>
      <w:bookmarkEnd w:id="70"/>
      <w:r/>
      <w:bookmarkEnd w:id="71"/>
      <w:r/>
      <w:bookmarkEnd w:id="72"/>
      <w:r>
        <w:rPr>
          <w:rFonts w:hint="eastAsia" w:ascii="宋体" w:hAnsi="宋体"/>
          <w:sz w:val="24"/>
          <w:szCs w:val="24"/>
        </w:rPr>
      </w:r>
      <w:r/>
    </w:p>
    <w:p>
      <w:pPr>
        <w:pStyle w:val="767"/>
        <w:ind w:firstLine="480"/>
        <w:keepNext/>
        <w:spacing w:line="360" w:lineRule="auto"/>
        <w:rPr>
          <w:rFonts w:hint="eastAsia" w:ascii="宋体" w:hAnsi="宋体"/>
          <w:sz w:val="24"/>
          <w:szCs w:val="24"/>
        </w:rPr>
      </w:pPr>
      <w:r/>
      <w:bookmarkEnd w:id="73"/>
      <w:r/>
      <w:bookmarkEnd w:id="74"/>
      <w:r/>
      <w:bookmarkEnd w:id="75"/>
      <w:r/>
      <w:bookmarkStart w:id="76" w:name="_Toc49090508"/>
      <w:r/>
      <w:bookmarkStart w:id="77" w:name="_Toc14577355"/>
      <w:r>
        <w:rPr>
          <w:rFonts w:hint="eastAsia" w:ascii="宋体" w:hAnsi="宋体"/>
          <w:sz w:val="24"/>
          <w:szCs w:val="24"/>
        </w:rPr>
        <w:t xml:space="preserve">11.1 投标人应按照法律、法规、规章和规范性文件以及招标文件要求提交证明文件，证明其投标标的符合招标文件规定。</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11.2 招标文件对证明文件无明确形式要求的，证明文件可以以文字资料、图纸和数据等形式提交。</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w:t>
      </w:r>
      <w:bookmarkEnd w:id="76"/>
      <w:r/>
      <w:bookmarkEnd w:id="77"/>
      <w:r>
        <w:rPr>
          <w:rFonts w:hint="eastAsia" w:ascii="宋体" w:hAnsi="宋体"/>
          <w:sz w:val="24"/>
          <w:szCs w:val="24"/>
        </w:rPr>
        <w:t xml:space="preserve">.投标分项报价表（如有）</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12.1 投</w:t>
      </w:r>
      <w:bookmarkStart w:id="78" w:name="_Hlt26954840"/>
      <w:r/>
      <w:bookmarkEnd w:id="78"/>
      <w:r>
        <w:rPr>
          <w:rFonts w:hint="eastAsia" w:ascii="宋体" w:hAnsi="宋体"/>
          <w:sz w:val="24"/>
          <w:szCs w:val="24"/>
        </w:rPr>
        <w:t xml:space="preserve">标人应按照招标文件规定格式填报</w:t>
      </w:r>
      <w:bookmarkStart w:id="79" w:name="_Hlt26670399"/>
      <w:r/>
      <w:bookmarkEnd w:id="79"/>
      <w:r>
        <w:rPr>
          <w:rFonts w:hint="eastAsia" w:ascii="宋体" w:hAnsi="宋体"/>
          <w:sz w:val="24"/>
          <w:szCs w:val="24"/>
        </w:rPr>
        <w:t xml:space="preserve">投标分项报价表。</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12.2 投标文件中的单价和总价无特殊规定的采用人民币报价，以元为单位标注。招标文件另有规定的按规定执行。</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80" w:name="_Hlt26670425"/>
      <w:r/>
      <w:bookmarkEnd w:id="80"/>
      <w:r/>
      <w:bookmarkStart w:id="81" w:name="_Hlt26954731"/>
      <w:r/>
      <w:bookmarkEnd w:id="81"/>
      <w:r/>
      <w:bookmarkStart w:id="82" w:name="_Hlt26954848"/>
      <w:r/>
      <w:bookmarkEnd w:id="82"/>
      <w:r/>
      <w:bookmarkStart w:id="83" w:name="_Hlt26668983"/>
      <w:r/>
      <w:bookmarkEnd w:id="83"/>
      <w:r/>
      <w:bookmarkStart w:id="84" w:name="_Hlt26954842"/>
      <w:r/>
      <w:bookmarkEnd w:id="84"/>
      <w:r/>
      <w:bookmarkStart w:id="85" w:name="_Hlt26670482"/>
      <w:r/>
      <w:bookmarkEnd w:id="85"/>
      <w:r/>
      <w:bookmarkStart w:id="86" w:name="_Hlt26954846"/>
      <w:r/>
      <w:bookmarkEnd w:id="86"/>
      <w:r/>
      <w:bookmarkStart w:id="87" w:name="_Hlt26670403"/>
      <w:r/>
      <w:bookmarkEnd w:id="87"/>
      <w:r/>
      <w:bookmarkStart w:id="88" w:name="_Hlt26954844"/>
      <w:r/>
      <w:bookmarkEnd w:id="88"/>
      <w:r/>
      <w:bookmarkStart w:id="89" w:name="_Hlt26670486"/>
      <w:r/>
      <w:bookmarkEnd w:id="89"/>
      <w:r>
        <w:rPr>
          <w:rFonts w:hint="eastAsia" w:ascii="宋体" w:hAnsi="宋体"/>
          <w:sz w:val="24"/>
          <w:szCs w:val="24"/>
        </w:rPr>
        <w:t xml:space="preserve">13.响应及偏离表</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13.1 投标人需对招标文件中的技术要求与商务要求逐项作出响应</w:t>
      </w:r>
      <w:r>
        <w:rPr>
          <w:rFonts w:hint="eastAsia" w:ascii="宋体" w:hAnsi="宋体"/>
          <w:sz w:val="24"/>
          <w:szCs w:val="24"/>
        </w:rPr>
        <w:t xml:space="preserve">或</w:t>
      </w:r>
      <w:r>
        <w:rPr>
          <w:rFonts w:hint="eastAsia" w:ascii="宋体" w:hAnsi="宋体"/>
          <w:sz w:val="24"/>
          <w:szCs w:val="24"/>
          <w:lang w:val="zh-CN"/>
        </w:rPr>
        <w:t xml:space="preserve">偏离说明。</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13.2 投标人可以在投标文件中提供认为需要的其他技术文件或说明。</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90" w:name="_Toc49090510"/>
      <w:r/>
      <w:bookmarkStart w:id="91" w:name="_Toc14577359"/>
      <w:r>
        <w:rPr>
          <w:rFonts w:hint="eastAsia" w:ascii="宋体" w:hAnsi="宋体"/>
          <w:sz w:val="24"/>
          <w:szCs w:val="24"/>
        </w:rPr>
        <w:t xml:space="preserve">14.投标函和开标一览表</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14.1 投标人应按照招标文件规定格式完整、正确填报投标函、开标一览表。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14.2 对于采用货币报价的项目，开标一览表中的投标总报价应与</w:t>
      </w:r>
      <w:r>
        <w:rPr>
          <w:rFonts w:hint="eastAsia" w:ascii="宋体" w:hAnsi="宋体"/>
          <w:sz w:val="24"/>
          <w:szCs w:val="24"/>
        </w:rPr>
        <w:t xml:space="preserve">投标分项报价表</w:t>
      </w:r>
      <w:r>
        <w:rPr>
          <w:rFonts w:hint="eastAsia" w:ascii="宋体" w:hAnsi="宋体"/>
          <w:sz w:val="24"/>
          <w:szCs w:val="24"/>
          <w:lang w:val="zh-CN"/>
        </w:rPr>
        <w:t xml:space="preserve">中的投标总报价一致，如不一致评标时以开标一览表中价格为准。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End w:id="90"/>
      <w:r/>
      <w:bookmarkEnd w:id="91"/>
      <w:r/>
      <w:bookmarkStart w:id="92" w:name="_Toc14577360"/>
      <w:r/>
      <w:bookmarkStart w:id="93" w:name="_Hlt26670489"/>
      <w:r/>
      <w:bookmarkEnd w:id="93"/>
      <w:r/>
      <w:bookmarkStart w:id="94" w:name="_Hlt26954734"/>
      <w:r/>
      <w:bookmarkEnd w:id="94"/>
      <w:r/>
      <w:bookmarkStart w:id="95" w:name="_Hlt26954850"/>
      <w:r/>
      <w:bookmarkEnd w:id="95"/>
      <w:r/>
      <w:bookmarkStart w:id="96" w:name="_Toc49090511"/>
      <w:r>
        <w:rPr>
          <w:rFonts w:hint="eastAsia" w:ascii="宋体" w:hAnsi="宋体"/>
          <w:sz w:val="24"/>
          <w:szCs w:val="24"/>
        </w:rPr>
        <w:t xml:space="preserve">15.投标有效期</w:t>
      </w:r>
      <w:bookmarkEnd w:id="92"/>
      <w:r/>
      <w:bookmarkEnd w:id="96"/>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15.1 投标有效期为招标公告规定的开标之日起六十天。投标有效期比规定短的将被视为未实质性响应招标文件而被拒绝。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16.投标有效期的延长</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Start w:id="97" w:name="_Toc20823309"/>
      <w:r/>
      <w:bookmarkStart w:id="98" w:name="_Toc16938553"/>
      <w:r/>
      <w:bookmarkStart w:id="99" w:name="_Toc513029237"/>
      <w:r/>
      <w:bookmarkStart w:id="100" w:name="_Hlt26954739"/>
      <w:r/>
      <w:bookmarkEnd w:id="100"/>
      <w:r/>
      <w:bookmarkStart w:id="101" w:name="_Hlt26954852"/>
      <w:r/>
      <w:bookmarkEnd w:id="101"/>
      <w:r/>
      <w:bookmarkStart w:id="102" w:name="_Toc16938540"/>
      <w:r/>
      <w:bookmarkStart w:id="103" w:name="_Toc513029224"/>
      <w:r/>
      <w:bookmarkStart w:id="104" w:name="_Toc120614217"/>
      <w:r/>
      <w:bookmarkStart w:id="105" w:name="_Toc20823296"/>
      <w:r>
        <w:rPr>
          <w:rFonts w:hint="eastAsia" w:ascii="宋体" w:hAnsi="宋体"/>
          <w:b/>
          <w:bCs/>
          <w:sz w:val="24"/>
          <w:szCs w:val="24"/>
          <w:lang w:val="zh-CN"/>
        </w:rPr>
        <w:t xml:space="preserve">四、投标文件的递交</w:t>
      </w:r>
      <w:bookmarkEnd w:id="102"/>
      <w:r/>
      <w:bookmarkEnd w:id="103"/>
      <w:r/>
      <w:bookmarkEnd w:id="104"/>
      <w:r/>
      <w:bookmarkEnd w:id="105"/>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Start w:id="106" w:name="_Toc462564084"/>
      <w:r/>
      <w:bookmarkStart w:id="107" w:name="_Toc513029225"/>
      <w:r/>
      <w:bookmarkStart w:id="108" w:name="_Toc20823297"/>
      <w:r/>
      <w:bookmarkStart w:id="109" w:name="_Toc16938541"/>
      <w:r>
        <w:rPr>
          <w:rFonts w:hint="eastAsia" w:ascii="宋体" w:hAnsi="宋体"/>
          <w:sz w:val="24"/>
          <w:szCs w:val="24"/>
          <w:lang w:val="zh-CN"/>
        </w:rPr>
        <w:t xml:space="preserve">17</w:t>
      </w:r>
      <w:r>
        <w:rPr>
          <w:rFonts w:hint="eastAsia" w:ascii="宋体" w:hAnsi="宋体"/>
          <w:sz w:val="24"/>
          <w:szCs w:val="24"/>
        </w:rPr>
        <w:t xml:space="preserve">.</w:t>
      </w:r>
      <w:r>
        <w:rPr>
          <w:rFonts w:hint="eastAsia" w:ascii="宋体" w:hAnsi="宋体"/>
          <w:sz w:val="24"/>
          <w:szCs w:val="24"/>
          <w:lang w:val="zh-CN"/>
        </w:rPr>
        <w:t xml:space="preserve">投标文件</w:t>
      </w:r>
      <w:bookmarkEnd w:id="106"/>
      <w:r/>
      <w:bookmarkEnd w:id="107"/>
      <w:r/>
      <w:bookmarkEnd w:id="108"/>
      <w:r/>
      <w:bookmarkEnd w:id="109"/>
      <w:r>
        <w:rPr>
          <w:rFonts w:hint="eastAsia" w:ascii="宋体" w:hAnsi="宋体"/>
          <w:sz w:val="24"/>
          <w:szCs w:val="24"/>
          <w:lang w:val="zh-CN"/>
        </w:rPr>
        <w:t xml:space="preserve">的递交</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17.1 投标人应当按照《操作手册》规定，在招标公告规定的投标截止时间前制作并上传电子投标文件。</w:t>
      </w:r>
      <w:bookmarkStart w:id="110" w:name="_Toc20823298"/>
      <w:r/>
      <w:bookmarkStart w:id="111" w:name="_Toc513029226"/>
      <w:r/>
      <w:bookmarkStart w:id="112" w:name="_Toc16938542"/>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End w:id="110"/>
      <w:r/>
      <w:bookmarkEnd w:id="111"/>
      <w:r/>
      <w:bookmarkEnd w:id="112"/>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 投标人应充分考虑网络环境、网络带宽等因素</w:t>
      </w:r>
      <w:r>
        <w:rPr>
          <w:rFonts w:hint="eastAsia" w:ascii="宋体" w:hAnsi="宋体"/>
          <w:sz w:val="24"/>
          <w:szCs w:val="24"/>
        </w:rPr>
        <w:t xml:space="preserve">可能对投标产生的影响</w:t>
      </w:r>
      <w:r>
        <w:rPr>
          <w:rFonts w:hint="eastAsia" w:ascii="宋体" w:hAnsi="宋体"/>
          <w:sz w:val="24"/>
          <w:szCs w:val="24"/>
          <w:lang w:val="zh-CN"/>
        </w:rPr>
        <w:t xml:space="preserve">，如因投标人自身原因造成的电子投标文件上传不成功的，按照本招标文件第二章第2</w:t>
      </w:r>
      <w:r>
        <w:rPr>
          <w:rFonts w:hint="eastAsia" w:ascii="宋体" w:hAnsi="宋体"/>
          <w:sz w:val="24"/>
          <w:szCs w:val="24"/>
        </w:rPr>
        <w:t xml:space="preserve">5</w:t>
      </w:r>
      <w:r>
        <w:rPr>
          <w:rFonts w:hint="eastAsia" w:ascii="宋体" w:hAnsi="宋体"/>
          <w:sz w:val="24"/>
          <w:szCs w:val="24"/>
          <w:lang w:val="zh-CN"/>
        </w:rPr>
        <w:t xml:space="preserve">.1条规定做无效投标处理。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 代理机构可以按照规定，通过修改招标文件酌情延长投标截止时间，在此情况下，投标人的所有权利和义务均以延长后新的截止时间为准。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13" w:name="_Toc513029227"/>
      <w:r/>
      <w:bookmarkStart w:id="114" w:name="_Toc16938543"/>
      <w:r/>
      <w:bookmarkStart w:id="115" w:name="_Toc20823299"/>
      <w:r>
        <w:rPr>
          <w:rFonts w:hint="eastAsia" w:ascii="宋体" w:hAnsi="宋体"/>
          <w:sz w:val="24"/>
          <w:szCs w:val="24"/>
          <w:lang w:val="zh-CN"/>
        </w:rPr>
        <w:t xml:space="preserve">18</w:t>
      </w:r>
      <w:r>
        <w:rPr>
          <w:rFonts w:hint="eastAsia" w:ascii="宋体" w:hAnsi="宋体"/>
          <w:sz w:val="24"/>
          <w:szCs w:val="24"/>
        </w:rPr>
        <w:t xml:space="preserve">.</w:t>
      </w:r>
      <w:r>
        <w:rPr>
          <w:rFonts w:hint="eastAsia" w:ascii="宋体" w:hAnsi="宋体"/>
          <w:sz w:val="24"/>
          <w:szCs w:val="24"/>
          <w:lang w:val="zh-CN"/>
        </w:rPr>
        <w:t xml:space="preserve">投标文件</w:t>
      </w:r>
      <w:bookmarkEnd w:id="113"/>
      <w:r/>
      <w:bookmarkEnd w:id="114"/>
      <w:r/>
      <w:bookmarkEnd w:id="115"/>
      <w:r>
        <w:rPr>
          <w:rFonts w:hint="eastAsia" w:ascii="宋体" w:hAnsi="宋体"/>
          <w:sz w:val="24"/>
          <w:szCs w:val="24"/>
          <w:lang w:val="zh-CN"/>
        </w:rPr>
        <w:t xml:space="preserve">的拒收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8</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投标截止时间后上传的任何投标文件将被拒绝。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16" w:name="_Toc16938544"/>
      <w:r/>
      <w:bookmarkStart w:id="117" w:name="_Toc20823300"/>
      <w:r/>
      <w:bookmarkStart w:id="118" w:name="_Toc513029228"/>
      <w:r>
        <w:rPr>
          <w:rFonts w:hint="eastAsia" w:ascii="宋体" w:hAnsi="宋体"/>
          <w:sz w:val="24"/>
          <w:szCs w:val="24"/>
          <w:lang w:val="zh-CN"/>
        </w:rPr>
        <w:t xml:space="preserve">1</w:t>
      </w:r>
      <w:r>
        <w:rPr>
          <w:rFonts w:hint="eastAsia" w:ascii="宋体" w:hAnsi="宋体"/>
          <w:sz w:val="24"/>
          <w:szCs w:val="24"/>
        </w:rPr>
        <w:t xml:space="preserve">9.</w:t>
      </w:r>
      <w:r>
        <w:rPr>
          <w:rFonts w:hint="eastAsia" w:ascii="宋体" w:hAnsi="宋体"/>
          <w:sz w:val="24"/>
          <w:szCs w:val="24"/>
          <w:lang w:val="zh-CN"/>
        </w:rPr>
        <w:t xml:space="preserve">投标文件的撤回和修改</w:t>
      </w:r>
      <w:bookmarkEnd w:id="116"/>
      <w:r/>
      <w:bookmarkEnd w:id="117"/>
      <w:r/>
      <w:bookmarkEnd w:id="118"/>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 投标文件的撤回</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投标人可在投标截止时间前撤回其电子投标文件，具体操作方法见《操作手册》。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.1.2</w:t>
      </w:r>
      <w:r>
        <w:rPr>
          <w:rFonts w:hint="eastAsia" w:ascii="宋体" w:hAnsi="宋体"/>
          <w:sz w:val="24"/>
          <w:szCs w:val="24"/>
        </w:rPr>
        <w:t xml:space="preserve"> </w:t>
      </w:r>
      <w:r>
        <w:rPr>
          <w:rFonts w:hint="eastAsia" w:ascii="宋体" w:hAnsi="宋体"/>
          <w:sz w:val="24"/>
          <w:szCs w:val="24"/>
          <w:lang w:val="zh-CN"/>
        </w:rPr>
        <w:t xml:space="preserve">投标人撤回电子投标文件，则认为其不再参与本项目投标活动。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 投标文件的修改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.2.1</w:t>
      </w:r>
      <w:r>
        <w:rPr>
          <w:rFonts w:hint="eastAsia" w:ascii="宋体" w:hAnsi="宋体"/>
          <w:sz w:val="24"/>
          <w:szCs w:val="24"/>
        </w:rPr>
        <w:t xml:space="preserve"> </w:t>
      </w:r>
      <w:r>
        <w:rPr>
          <w:rFonts w:hint="eastAsia" w:ascii="宋体" w:hAnsi="宋体"/>
          <w:sz w:val="24"/>
          <w:szCs w:val="24"/>
          <w:lang w:val="zh-CN"/>
        </w:rPr>
        <w:t xml:space="preserve">投标人可在投标截止时间前对其电子投标文件进行修改，具体操作方法见《操作手册》。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投标截止时间之后，投标人不得对其电子投标文件作任何修改。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.3 在投标截止时间至招标文件中规定的投标有效期满之间的这段时间内，投标人不得撤回其投标。</w:t>
      </w:r>
      <w:bookmarkStart w:id="119" w:name="_Toc120614218"/>
      <w:r/>
      <w:bookmarkStart w:id="120" w:name="_Toc513029229"/>
      <w:r/>
      <w:bookmarkStart w:id="121" w:name="_Toc16938545"/>
      <w:r/>
      <w:bookmarkStart w:id="122" w:name="_Toc20823301"/>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119"/>
      <w:r/>
      <w:bookmarkEnd w:id="120"/>
      <w:r/>
      <w:bookmarkEnd w:id="121"/>
      <w:r/>
      <w:bookmarkEnd w:id="122"/>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123" w:name="_Toc513029230"/>
      <w:r/>
      <w:bookmarkStart w:id="124" w:name="_Toc20823302"/>
      <w:r/>
      <w:bookmarkStart w:id="125" w:name="_Toc16938546"/>
      <w:r>
        <w:rPr>
          <w:rFonts w:hint="eastAsia" w:ascii="宋体" w:hAnsi="宋体"/>
          <w:sz w:val="24"/>
          <w:szCs w:val="24"/>
        </w:rPr>
        <w:t xml:space="preserve">20.开标</w:t>
      </w:r>
      <w:bookmarkEnd w:id="123"/>
      <w:r/>
      <w:bookmarkEnd w:id="124"/>
      <w:r/>
      <w:bookmarkEnd w:id="125"/>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w:t>
      </w:r>
      <w:r>
        <w:rPr>
          <w:rFonts w:hint="eastAsia" w:ascii="宋体" w:hAnsi="宋体"/>
          <w:sz w:val="24"/>
          <w:szCs w:val="24"/>
        </w:rPr>
        <w:t xml:space="preserve">2 </w:t>
      </w:r>
      <w:r>
        <w:rPr>
          <w:rFonts w:hint="eastAsia" w:ascii="宋体" w:hAnsi="宋体"/>
          <w:sz w:val="24"/>
          <w:szCs w:val="24"/>
          <w:lang w:val="zh-CN"/>
        </w:rPr>
        <w:t xml:space="preserve">投标人在开标过程中涉及到的投标文件解密、开标结果确认等工作，应按照《操作手册》规定执行。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w:t>
      </w:r>
      <w:r>
        <w:rPr>
          <w:rFonts w:hint="eastAsia" w:ascii="宋体" w:hAnsi="宋体"/>
          <w:sz w:val="24"/>
          <w:szCs w:val="24"/>
        </w:rPr>
        <w:t xml:space="preserve">3 </w:t>
      </w:r>
      <w:r>
        <w:rPr>
          <w:rFonts w:hint="eastAsia" w:ascii="宋体" w:hAnsi="宋体"/>
          <w:sz w:val="24"/>
          <w:szCs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126" w:name="_Toc513029231"/>
      <w:r/>
      <w:bookmarkStart w:id="127" w:name="_Toc16938547"/>
      <w:r/>
      <w:bookmarkStart w:id="128" w:name="_Toc20823303"/>
      <w:r>
        <w:rPr>
          <w:rFonts w:hint="eastAsia" w:ascii="宋体" w:hAnsi="宋体"/>
          <w:sz w:val="24"/>
          <w:szCs w:val="24"/>
        </w:rPr>
        <w:t xml:space="preserve">21.评标</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.1 </w:t>
      </w:r>
      <w:r>
        <w:rPr>
          <w:rFonts w:hint="eastAsia" w:ascii="宋体" w:hAnsi="宋体"/>
          <w:sz w:val="24"/>
          <w:szCs w:val="24"/>
        </w:rPr>
        <w:t xml:space="preserve">评标由</w:t>
      </w:r>
      <w:r>
        <w:rPr>
          <w:rFonts w:hint="eastAsia" w:ascii="宋体" w:hAnsi="宋体"/>
          <w:sz w:val="24"/>
          <w:szCs w:val="24"/>
          <w:lang w:val="zh-CN"/>
        </w:rPr>
        <w:t xml:space="preserve">依法组建的评标委员会（以下简称“评委会”）进行。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.2 评委会由采购人代表和有关技术、经济或法律等方面的专家组成，且人员构成符合政府采购有关规定。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评委会独立工作，负责评审所有投标文件并</w:t>
      </w:r>
      <w:r>
        <w:rPr>
          <w:rFonts w:hint="eastAsia" w:ascii="宋体" w:hAnsi="宋体"/>
          <w:sz w:val="24"/>
          <w:szCs w:val="24"/>
        </w:rPr>
        <w:t xml:space="preserve">推荐</w:t>
      </w:r>
      <w:r>
        <w:rPr>
          <w:rFonts w:hint="eastAsia" w:ascii="宋体" w:hAnsi="宋体"/>
          <w:sz w:val="24"/>
          <w:szCs w:val="24"/>
          <w:lang w:val="zh-CN"/>
        </w:rPr>
        <w:t xml:space="preserve">中标候选人，</w:t>
      </w:r>
      <w:r>
        <w:rPr>
          <w:rFonts w:hint="eastAsia" w:ascii="宋体" w:hAnsi="宋体"/>
          <w:sz w:val="24"/>
          <w:szCs w:val="24"/>
        </w:rPr>
        <w:t xml:space="preserve">或根据采购人授权直接确定中标人</w:t>
      </w:r>
      <w:r>
        <w:rPr>
          <w:rFonts w:hint="eastAsia" w:ascii="宋体" w:hAnsi="宋体"/>
          <w:sz w:val="24"/>
          <w:szCs w:val="24"/>
          <w:lang w:val="zh-CN"/>
        </w:rPr>
        <w:t xml:space="preserve">。</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22.评标过程的保密与公正</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bookmarkEnd w:id="126"/>
      <w:r/>
      <w:bookmarkEnd w:id="127"/>
      <w:r/>
      <w:bookmarkEnd w:id="128"/>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凡是与审查、澄清、评价和比较投标的有关资料以及授标建议等，采购人、评委、代理机构均不得向投标人或与评标无关的其他人员透露。</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投标人不得以任何方式影响评标，否则其投标文件将被作为无效投标文件。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.3 代理机构和评委会不向未中标的投标人解释未中标原因，也不公布评标过程中的相关细节。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29" w:name="_Toc16938548"/>
      <w:r/>
      <w:bookmarkStart w:id="130" w:name="_Toc20823304"/>
      <w:r/>
      <w:bookmarkStart w:id="131" w:name="_Toc513029232"/>
      <w:r>
        <w:rPr>
          <w:rFonts w:hint="eastAsia" w:ascii="宋体" w:hAnsi="宋体"/>
          <w:sz w:val="24"/>
          <w:szCs w:val="24"/>
          <w:lang w:val="zh-CN"/>
        </w:rPr>
        <w:t xml:space="preserve">23</w:t>
      </w:r>
      <w:r>
        <w:rPr>
          <w:rFonts w:hint="eastAsia" w:ascii="宋体" w:hAnsi="宋体"/>
          <w:sz w:val="24"/>
          <w:szCs w:val="24"/>
        </w:rPr>
        <w:t xml:space="preserve">.</w:t>
      </w:r>
      <w:r>
        <w:rPr>
          <w:rFonts w:hint="eastAsia" w:ascii="宋体" w:hAnsi="宋体"/>
          <w:sz w:val="24"/>
          <w:szCs w:val="24"/>
          <w:lang w:val="zh-CN"/>
        </w:rPr>
        <w:t xml:space="preserve">投标文件的澄清</w:t>
      </w:r>
      <w:bookmarkEnd w:id="129"/>
      <w:r/>
      <w:bookmarkEnd w:id="130"/>
      <w:r/>
      <w:bookmarkEnd w:id="131"/>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评委会并非对每个投标人都做澄清要求。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需要供应商进行澄清、说明和补正的，评委会将通过苏采云系统向</w:t>
      </w:r>
      <w:r>
        <w:rPr>
          <w:rFonts w:hint="eastAsia" w:ascii="宋体" w:hAnsi="宋体"/>
          <w:sz w:val="24"/>
          <w:szCs w:val="24"/>
        </w:rPr>
        <w:t xml:space="preserve">投标人</w:t>
      </w:r>
      <w:r>
        <w:rPr>
          <w:rFonts w:hint="eastAsia" w:ascii="宋体" w:hAnsi="宋体"/>
          <w:sz w:val="24"/>
          <w:szCs w:val="24"/>
          <w:lang w:val="zh-CN"/>
        </w:rPr>
        <w:t xml:space="preserve">发出《澄清要求函》，接到《澄清要求函》的</w:t>
      </w:r>
      <w:r>
        <w:rPr>
          <w:rFonts w:hint="eastAsia" w:ascii="宋体" w:hAnsi="宋体"/>
          <w:sz w:val="24"/>
          <w:szCs w:val="24"/>
        </w:rPr>
        <w:t xml:space="preserve">投标人</w:t>
      </w:r>
      <w:r>
        <w:rPr>
          <w:rFonts w:hint="eastAsia" w:ascii="宋体" w:hAnsi="宋体"/>
          <w:sz w:val="24"/>
          <w:szCs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.3 接到评委会澄清、说明和补正要求的，投标人如未按规定作出澄清、说明和补正，其风险由投标人自行承担。</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132" w:name="_Toc513029233"/>
      <w:r/>
      <w:bookmarkStart w:id="133" w:name="_Toc20823305"/>
      <w:r/>
      <w:bookmarkStart w:id="134" w:name="_Toc16938549"/>
      <w:r>
        <w:rPr>
          <w:rFonts w:hint="eastAsia" w:ascii="宋体" w:hAnsi="宋体"/>
          <w:sz w:val="24"/>
          <w:szCs w:val="24"/>
        </w:rPr>
        <w:t xml:space="preserve">24.投标文件的</w:t>
      </w:r>
      <w:bookmarkEnd w:id="132"/>
      <w:r/>
      <w:bookmarkEnd w:id="133"/>
      <w:r/>
      <w:bookmarkEnd w:id="134"/>
      <w:r>
        <w:rPr>
          <w:rFonts w:hint="eastAsia" w:ascii="宋体" w:hAnsi="宋体"/>
          <w:sz w:val="24"/>
          <w:szCs w:val="24"/>
        </w:rPr>
        <w:t xml:space="preserve">审查</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 投标文件审查分为资格审查和符合性审查。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24.1.1 资格审查。依据法律法规和招标文件规定，由采购人对投标文件中的资格证明文件进行审查，并向评委会反馈审查结论。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接受联合体的项目，联合体成员存在不良信用记录的，视同联合体存在不良信用记录。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24.1.3 未通过资格审查或符合性审查的投标人，代理机构将通过苏采云系统告知其具体原因，评标结束后不再接受有关询问。</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.4</w:t>
      </w:r>
      <w:r>
        <w:rPr>
          <w:rFonts w:hint="eastAsia" w:ascii="宋体" w:hAnsi="宋体"/>
          <w:sz w:val="24"/>
          <w:szCs w:val="24"/>
        </w:rPr>
        <w:t xml:space="preserve"> </w:t>
      </w:r>
      <w:r>
        <w:rPr>
          <w:rFonts w:hint="eastAsia" w:ascii="宋体" w:hAnsi="宋体"/>
          <w:sz w:val="24"/>
          <w:szCs w:val="24"/>
          <w:lang w:val="zh-CN"/>
        </w:rPr>
        <w:t xml:space="preserve">评委会将对确定为实质性响应的投标进行进一步审核，确定其是否有计算上或累加上的算术错误。修正错误的原则如下：</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（1）投标文件中开标一览表内容与投标文件中相应内容不一致的，以开标一览表为准；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（2）大写金额和小写金额不一致的，以大写金额为准；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（3）单价金额小数点或者百分比有明显错位的，以开标一览表的总价为准，并修改单价；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同时出现两种以上错误的，按照前款规定的顺序修正。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35" w:name="_Toc20823306"/>
      <w:r/>
      <w:bookmarkStart w:id="136" w:name="_Toc16938550"/>
      <w:r/>
      <w:bookmarkStart w:id="137" w:name="_Toc513029234"/>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.6</w:t>
      </w:r>
      <w:r>
        <w:rPr>
          <w:rFonts w:hint="eastAsia" w:ascii="宋体" w:hAnsi="宋体"/>
          <w:sz w:val="24"/>
          <w:szCs w:val="24"/>
        </w:rPr>
        <w:t xml:space="preserve"> </w:t>
      </w:r>
      <w:r>
        <w:rPr>
          <w:rFonts w:hint="eastAsia" w:ascii="宋体" w:hAnsi="宋体"/>
          <w:sz w:val="24"/>
          <w:szCs w:val="24"/>
          <w:lang w:val="zh-CN"/>
        </w:rPr>
        <w:t xml:space="preserve">投标人在开、评标全过程中应保持通讯畅通，及时登录苏采云系统查阅、答复相关信息，并安排专人与代理机构及评委会联系。</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w:t>
      </w:r>
      <w:bookmarkEnd w:id="135"/>
      <w:r/>
      <w:bookmarkEnd w:id="136"/>
      <w:r/>
      <w:bookmarkEnd w:id="137"/>
      <w:r>
        <w:rPr>
          <w:rFonts w:hint="eastAsia" w:ascii="宋体" w:hAnsi="宋体"/>
          <w:sz w:val="24"/>
          <w:szCs w:val="24"/>
        </w:rPr>
        <w:t xml:space="preserve">5.无效投标和废标</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bookmarkStart w:id="138" w:name="_Toc513029235"/>
      <w:r/>
      <w:bookmarkStart w:id="139" w:name="_Toc20823307"/>
      <w:r/>
      <w:bookmarkStart w:id="140" w:name="_Toc16938551"/>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无效投标</w:t>
      </w:r>
      <w:r>
        <w:rPr>
          <w:rFonts w:hint="eastAsia" w:ascii="宋体" w:hAnsi="宋体"/>
          <w:sz w:val="24"/>
          <w:szCs w:val="24"/>
        </w:rPr>
        <w:t xml:space="preserve">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投标人在苏采云系统规定的时间内未成功解密电子投标文件。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.1.2</w:t>
      </w:r>
      <w:r>
        <w:rPr>
          <w:rFonts w:hint="eastAsia" w:ascii="宋体" w:hAnsi="宋体"/>
          <w:sz w:val="24"/>
          <w:szCs w:val="24"/>
        </w:rPr>
        <w:t xml:space="preserve"> </w:t>
      </w:r>
      <w:r>
        <w:rPr>
          <w:rFonts w:hint="eastAsia" w:ascii="宋体" w:hAnsi="宋体"/>
          <w:sz w:val="24"/>
          <w:szCs w:val="24"/>
          <w:lang w:val="zh-CN"/>
        </w:rPr>
        <w:t xml:space="preserve">投标人未按照招标文件要求上传电子投标文件。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.1.3</w:t>
      </w:r>
      <w:r>
        <w:rPr>
          <w:rFonts w:hint="eastAsia" w:ascii="宋体" w:hAnsi="宋体"/>
          <w:sz w:val="24"/>
          <w:szCs w:val="24"/>
        </w:rPr>
        <w:t xml:space="preserve"> </w:t>
      </w:r>
      <w:r>
        <w:rPr>
          <w:rFonts w:hint="eastAsia" w:ascii="宋体" w:hAnsi="宋体"/>
          <w:sz w:val="24"/>
          <w:szCs w:val="24"/>
          <w:lang w:val="zh-CN"/>
        </w:rPr>
        <w:t xml:space="preserve">同一投标人提交两个（含两个）以上不同的投标报价。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.1.4</w:t>
      </w:r>
      <w:r>
        <w:rPr>
          <w:rFonts w:hint="eastAsia" w:ascii="宋体" w:hAnsi="宋体"/>
          <w:sz w:val="24"/>
          <w:szCs w:val="24"/>
        </w:rPr>
        <w:t xml:space="preserve"> </w:t>
      </w:r>
      <w:r>
        <w:rPr>
          <w:rFonts w:hint="eastAsia" w:ascii="宋体" w:hAnsi="宋体"/>
          <w:sz w:val="24"/>
          <w:szCs w:val="24"/>
          <w:lang w:val="zh-CN"/>
        </w:rPr>
        <w:t xml:space="preserve">投标人不具备招标文件中规定资格要求。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.1.5</w:t>
      </w:r>
      <w:r>
        <w:rPr>
          <w:rFonts w:hint="eastAsia" w:ascii="宋体" w:hAnsi="宋体"/>
          <w:sz w:val="24"/>
          <w:szCs w:val="24"/>
        </w:rPr>
        <w:t xml:space="preserve"> </w:t>
      </w:r>
      <w:r>
        <w:rPr>
          <w:rFonts w:hint="eastAsia" w:ascii="宋体" w:hAnsi="宋体"/>
          <w:sz w:val="24"/>
          <w:szCs w:val="24"/>
          <w:lang w:val="zh-CN"/>
        </w:rPr>
        <w:t xml:space="preserve">投标人的报价超过了采购预算或最高限价。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.1.6</w:t>
      </w:r>
      <w:r>
        <w:rPr>
          <w:rFonts w:hint="eastAsia" w:ascii="宋体" w:hAnsi="宋体"/>
          <w:sz w:val="24"/>
          <w:szCs w:val="24"/>
        </w:rPr>
        <w:t xml:space="preserve"> </w:t>
      </w:r>
      <w:r>
        <w:rPr>
          <w:rFonts w:hint="eastAsia" w:ascii="宋体" w:hAnsi="宋体"/>
          <w:sz w:val="24"/>
          <w:szCs w:val="24"/>
          <w:lang w:val="zh-CN"/>
        </w:rPr>
        <w:t xml:space="preserve">未通过符合性审查。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.1.7</w:t>
      </w:r>
      <w:r>
        <w:rPr>
          <w:rFonts w:hint="eastAsia" w:ascii="宋体" w:hAnsi="宋体"/>
          <w:sz w:val="24"/>
          <w:szCs w:val="24"/>
        </w:rPr>
        <w:t xml:space="preserve"> </w:t>
      </w:r>
      <w:r>
        <w:rPr>
          <w:rFonts w:hint="eastAsia" w:ascii="宋体" w:hAnsi="宋体"/>
          <w:sz w:val="24"/>
          <w:szCs w:val="24"/>
          <w:lang w:val="zh-CN"/>
        </w:rPr>
        <w:t xml:space="preserve">不符合招标文件中实质性要求和条件（本文件中斜体且有下划线部分，或者打“</w:t>
      </w:r>
      <w:r>
        <w:rPr>
          <w:rFonts w:hint="eastAsia" w:ascii="宋体" w:hAnsi="宋体"/>
          <w:sz w:val="24"/>
          <w:szCs w:val="24"/>
        </w:rPr>
        <w:t xml:space="preserve">★</w:t>
      </w:r>
      <w:r>
        <w:rPr>
          <w:rFonts w:hint="eastAsia" w:ascii="宋体" w:hAnsi="宋体"/>
          <w:sz w:val="24"/>
          <w:szCs w:val="24"/>
          <w:lang w:val="zh-CN"/>
        </w:rPr>
        <w:t xml:space="preserve">”内容为实质性要求和条件）。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.1.8</w:t>
      </w:r>
      <w:r>
        <w:rPr>
          <w:rFonts w:hint="eastAsia" w:ascii="宋体" w:hAnsi="宋体"/>
          <w:sz w:val="24"/>
          <w:szCs w:val="24"/>
        </w:rPr>
        <w:t xml:space="preserve"> </w:t>
      </w:r>
      <w:r>
        <w:rPr>
          <w:rFonts w:hint="eastAsia" w:ascii="宋体" w:hAnsi="宋体"/>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.1.9</w:t>
      </w:r>
      <w:r>
        <w:rPr>
          <w:rFonts w:hint="eastAsia" w:ascii="宋体" w:hAnsi="宋体"/>
          <w:sz w:val="24"/>
          <w:szCs w:val="24"/>
        </w:rPr>
        <w:t xml:space="preserve"> </w:t>
      </w:r>
      <w:r>
        <w:rPr>
          <w:rFonts w:hint="eastAsia" w:ascii="宋体" w:hAnsi="宋体"/>
          <w:sz w:val="24"/>
          <w:szCs w:val="24"/>
          <w:lang w:val="zh-CN"/>
        </w:rPr>
        <w:t xml:space="preserve">投标文件含有采购人不能接受的附加条件。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.1.10</w:t>
      </w:r>
      <w:r>
        <w:rPr>
          <w:rFonts w:hint="eastAsia" w:ascii="宋体" w:hAnsi="宋体"/>
          <w:sz w:val="24"/>
          <w:szCs w:val="24"/>
        </w:rPr>
        <w:t xml:space="preserve"> </w:t>
      </w:r>
      <w:r>
        <w:rPr>
          <w:rFonts w:hint="eastAsia" w:ascii="宋体" w:hAnsi="宋体"/>
          <w:sz w:val="24"/>
          <w:szCs w:val="24"/>
          <w:lang w:val="zh-CN"/>
        </w:rPr>
        <w:t xml:space="preserve">评委会认为投标人的报价明显低于其他通过符合性审查投标人的报价，有可能影响</w:t>
      </w:r>
      <w:r>
        <w:rPr>
          <w:rFonts w:hint="eastAsia" w:ascii="宋体" w:hAnsi="宋体"/>
          <w:sz w:val="24"/>
          <w:szCs w:val="24"/>
        </w:rPr>
        <w:t xml:space="preserve">服务</w:t>
      </w:r>
      <w:r>
        <w:rPr>
          <w:rFonts w:hint="eastAsia" w:ascii="宋体" w:hAnsi="宋体"/>
          <w:sz w:val="24"/>
          <w:szCs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2 </w:t>
      </w:r>
      <w:r>
        <w:rPr>
          <w:rFonts w:hint="eastAsia" w:ascii="宋体" w:hAnsi="宋体"/>
          <w:sz w:val="24"/>
          <w:szCs w:val="24"/>
          <w:lang w:val="zh-CN"/>
        </w:rPr>
        <w:t xml:space="preserve">投标文件未按照招标文件要求加盖电子公章。</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3 </w:t>
      </w:r>
      <w:r>
        <w:rPr>
          <w:rFonts w:hint="eastAsia" w:ascii="宋体" w:hAnsi="宋体"/>
          <w:sz w:val="24"/>
          <w:szCs w:val="24"/>
          <w:lang w:val="zh-CN"/>
        </w:rPr>
        <w:t xml:space="preserve">法律法规及本招标文件规定的</w:t>
      </w:r>
      <w:r>
        <w:rPr>
          <w:rFonts w:hint="eastAsia" w:ascii="宋体" w:hAnsi="宋体"/>
          <w:sz w:val="24"/>
          <w:szCs w:val="24"/>
        </w:rPr>
        <w:t xml:space="preserve">其他</w:t>
      </w:r>
      <w:r>
        <w:rPr>
          <w:rFonts w:hint="eastAsia" w:ascii="宋体" w:hAnsi="宋体"/>
          <w:sz w:val="24"/>
          <w:szCs w:val="24"/>
          <w:lang w:val="zh-CN"/>
        </w:rPr>
        <w:t xml:space="preserve">无效投标情形。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废标</w:t>
      </w:r>
      <w:r>
        <w:rPr>
          <w:rFonts w:hint="eastAsia" w:ascii="宋体" w:hAnsi="宋体"/>
          <w:sz w:val="24"/>
          <w:szCs w:val="24"/>
        </w:rPr>
        <w:t xml:space="preserve">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.2.1</w:t>
      </w:r>
      <w:r>
        <w:rPr>
          <w:rFonts w:hint="eastAsia" w:ascii="宋体" w:hAnsi="宋体"/>
          <w:sz w:val="24"/>
          <w:szCs w:val="24"/>
        </w:rPr>
        <w:t xml:space="preserve"> </w:t>
      </w:r>
      <w:r>
        <w:rPr>
          <w:rFonts w:hint="eastAsia" w:ascii="宋体" w:hAnsi="宋体"/>
          <w:sz w:val="24"/>
          <w:szCs w:val="24"/>
          <w:lang w:val="zh-CN"/>
        </w:rPr>
        <w:t xml:space="preserve">符合资格条件的供应商或者对招标文件作实质响应的供应商不足三家。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出现影响采购公正的违法、违规行为。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.2.3</w:t>
      </w:r>
      <w:r>
        <w:rPr>
          <w:rFonts w:hint="eastAsia" w:ascii="宋体" w:hAnsi="宋体"/>
          <w:sz w:val="24"/>
          <w:szCs w:val="24"/>
        </w:rPr>
        <w:t xml:space="preserve"> </w:t>
      </w:r>
      <w:r>
        <w:rPr>
          <w:rFonts w:hint="eastAsia" w:ascii="宋体" w:hAnsi="宋体"/>
          <w:sz w:val="24"/>
          <w:szCs w:val="24"/>
          <w:lang w:val="zh-CN"/>
        </w:rPr>
        <w:t xml:space="preserve">因重大变故采购任务取消。</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.2.4</w:t>
      </w:r>
      <w:r>
        <w:rPr>
          <w:rFonts w:hint="eastAsia" w:ascii="宋体" w:hAnsi="宋体"/>
          <w:sz w:val="24"/>
          <w:szCs w:val="24"/>
        </w:rPr>
        <w:t xml:space="preserve"> </w:t>
      </w:r>
      <w:r>
        <w:rPr>
          <w:rFonts w:hint="eastAsia" w:ascii="宋体" w:hAnsi="宋体"/>
          <w:sz w:val="24"/>
          <w:szCs w:val="24"/>
          <w:lang w:val="zh-CN"/>
        </w:rPr>
        <w:t xml:space="preserve">评委会认定招标文件存在歧义、重大缺陷导致评审工作无法进行。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.2.5</w:t>
      </w:r>
      <w:r>
        <w:rPr>
          <w:rFonts w:hint="eastAsia" w:ascii="宋体" w:hAnsi="宋体"/>
          <w:sz w:val="24"/>
          <w:szCs w:val="24"/>
        </w:rPr>
        <w:t xml:space="preserve"> </w:t>
      </w:r>
      <w:r>
        <w:rPr>
          <w:rFonts w:hint="eastAsia" w:ascii="宋体" w:hAnsi="宋体"/>
          <w:sz w:val="24"/>
          <w:szCs w:val="24"/>
          <w:lang w:val="zh-CN"/>
        </w:rPr>
        <w:t xml:space="preserve">因苏采云系统故障造成开标不成功。</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.3 如出现投标截止时间后参加投标的供应商或者对招标文件作出实质</w:t>
      </w:r>
      <w:r>
        <w:rPr>
          <w:rFonts w:hint="eastAsia" w:ascii="宋体" w:hAnsi="宋体"/>
          <w:sz w:val="24"/>
          <w:szCs w:val="24"/>
        </w:rPr>
        <w:t xml:space="preserve">性</w:t>
      </w:r>
      <w:r>
        <w:rPr>
          <w:rFonts w:hint="eastAsia" w:ascii="宋体" w:hAnsi="宋体"/>
          <w:sz w:val="24"/>
          <w:szCs w:val="24"/>
          <w:lang w:val="zh-CN"/>
        </w:rPr>
        <w:t xml:space="preserve">响应的供应商不足三家</w:t>
      </w:r>
      <w:r>
        <w:rPr>
          <w:rFonts w:hint="eastAsia" w:ascii="宋体" w:hAnsi="宋体"/>
          <w:sz w:val="24"/>
          <w:szCs w:val="24"/>
        </w:rPr>
        <w:t xml:space="preserve">的</w:t>
      </w:r>
      <w:r>
        <w:rPr>
          <w:rFonts w:hint="eastAsia" w:ascii="宋体" w:hAnsi="宋体"/>
          <w:sz w:val="24"/>
          <w:szCs w:val="24"/>
          <w:lang w:val="zh-CN"/>
        </w:rPr>
        <w:t xml:space="preserve">情况，按政府采购相关规定执行。</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End w:id="97"/>
      <w:r/>
      <w:bookmarkEnd w:id="98"/>
      <w:r/>
      <w:bookmarkEnd w:id="99"/>
      <w:r/>
      <w:bookmarkEnd w:id="138"/>
      <w:r/>
      <w:bookmarkEnd w:id="139"/>
      <w:r/>
      <w:bookmarkEnd w:id="140"/>
      <w:r/>
      <w:bookmarkStart w:id="141" w:name="_Toc120614219"/>
      <w:r>
        <w:rPr>
          <w:rFonts w:hint="eastAsia" w:ascii="宋体" w:hAnsi="宋体"/>
          <w:b/>
          <w:bCs/>
          <w:sz w:val="24"/>
          <w:szCs w:val="24"/>
          <w:lang w:val="zh-CN"/>
        </w:rPr>
        <w:t xml:space="preserve">六、定标</w:t>
      </w:r>
      <w:bookmarkEnd w:id="141"/>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Start w:id="142" w:name="_Toc513029238"/>
      <w:r/>
      <w:bookmarkStart w:id="143" w:name="_Toc16938554"/>
      <w:r/>
      <w:bookmarkStart w:id="144" w:name="_Toc20823310"/>
      <w:r>
        <w:rPr>
          <w:rFonts w:hint="eastAsia" w:ascii="宋体" w:hAnsi="宋体"/>
          <w:sz w:val="24"/>
          <w:szCs w:val="24"/>
          <w:lang w:val="zh-CN"/>
        </w:rPr>
        <w:t xml:space="preserve">2</w:t>
      </w:r>
      <w:bookmarkEnd w:id="142"/>
      <w:r>
        <w:rPr>
          <w:rFonts w:hint="eastAsia" w:ascii="宋体" w:hAnsi="宋体"/>
          <w:sz w:val="24"/>
          <w:szCs w:val="24"/>
          <w:lang w:val="zh-CN"/>
        </w:rPr>
        <w:t xml:space="preserve">6</w:t>
      </w:r>
      <w:r>
        <w:rPr>
          <w:rFonts w:hint="eastAsia" w:ascii="宋体" w:hAnsi="宋体"/>
          <w:sz w:val="24"/>
          <w:szCs w:val="24"/>
        </w:rPr>
        <w:t xml:space="preserve">.</w:t>
      </w:r>
      <w:r>
        <w:rPr>
          <w:rFonts w:hint="eastAsia" w:ascii="宋体" w:hAnsi="宋体"/>
          <w:sz w:val="24"/>
          <w:szCs w:val="24"/>
          <w:lang w:val="zh-CN"/>
        </w:rPr>
        <w:t xml:space="preserve">确定</w:t>
      </w:r>
      <w:bookmarkEnd w:id="143"/>
      <w:r/>
      <w:bookmarkEnd w:id="144"/>
      <w:r>
        <w:rPr>
          <w:rFonts w:hint="eastAsia" w:ascii="宋体" w:hAnsi="宋体"/>
          <w:sz w:val="24"/>
          <w:szCs w:val="24"/>
          <w:lang w:val="zh-CN"/>
        </w:rPr>
        <w:t xml:space="preserve">中标单位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中标候选人的</w:t>
      </w:r>
      <w:r>
        <w:rPr>
          <w:rFonts w:hint="eastAsia" w:ascii="宋体" w:hAnsi="宋体"/>
          <w:sz w:val="24"/>
          <w:szCs w:val="24"/>
        </w:rPr>
        <w:t xml:space="preserve">确定</w:t>
      </w:r>
      <w:r>
        <w:rPr>
          <w:rFonts w:hint="eastAsia" w:ascii="宋体" w:hAnsi="宋体"/>
          <w:sz w:val="24"/>
          <w:szCs w:val="24"/>
          <w:lang w:val="zh-CN"/>
        </w:rPr>
        <w:t xml:space="preserve">原则和数量见招标文件第五章。 </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.2 按以下第（</w:t>
      </w:r>
      <w:r>
        <w:rPr>
          <w:rFonts w:hint="eastAsia" w:ascii="宋体" w:hAnsi="宋体"/>
          <w:sz w:val="24"/>
          <w:szCs w:val="24"/>
        </w:rPr>
        <w:t xml:space="preserve">1</w:t>
      </w:r>
      <w:r>
        <w:rPr>
          <w:rFonts w:hint="eastAsia" w:ascii="宋体" w:hAnsi="宋体"/>
          <w:sz w:val="24"/>
          <w:szCs w:val="24"/>
          <w:lang w:val="zh-CN"/>
        </w:rPr>
        <w:t xml:space="preserve">）种方式确定中标人：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（1）评委会直接确定排名第一的中标候选人为中标人；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（2）采购人在评委会推荐的中标候选人中按顺序确定中标人。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按第二种方式确定中标人的，代理机构自评审结束之日起两个工作日内将评审报告送</w:t>
      </w:r>
      <w:r>
        <w:rPr>
          <w:rFonts w:hint="eastAsia" w:ascii="宋体" w:hAnsi="宋体"/>
          <w:sz w:val="24"/>
          <w:szCs w:val="24"/>
        </w:rPr>
        <w:t xml:space="preserve">达</w:t>
      </w:r>
      <w:r>
        <w:rPr>
          <w:rFonts w:hint="eastAsia" w:ascii="宋体" w:hAnsi="宋体"/>
          <w:sz w:val="24"/>
          <w:szCs w:val="24"/>
          <w:lang w:val="zh-CN"/>
        </w:rPr>
        <w:t xml:space="preserve">采购人，采购人自收到评审报告之日起五个工作日内，在评审报告推荐的中标候选人中按顺序确定中标人。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.3 代理机构将在“江苏政府采购网”发布中标公告，公告期限为1个工作日。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w:t>
      </w:r>
      <w:r>
        <w:rPr>
          <w:rFonts w:hint="eastAsia" w:ascii="宋体" w:hAnsi="宋体"/>
          <w:sz w:val="24"/>
          <w:szCs w:val="24"/>
        </w:rPr>
        <w:t xml:space="preserve"> </w:t>
      </w:r>
      <w:r>
        <w:rPr>
          <w:rFonts w:hint="eastAsia" w:ascii="宋体" w:hAnsi="宋体"/>
          <w:sz w:val="24"/>
          <w:szCs w:val="24"/>
          <w:lang w:val="zh-CN"/>
        </w:rPr>
        <w:t xml:space="preserve">若有充分证据证明中标人</w:t>
      </w:r>
      <w:r>
        <w:rPr>
          <w:rFonts w:hint="eastAsia" w:ascii="宋体" w:hAnsi="宋体"/>
          <w:sz w:val="24"/>
          <w:szCs w:val="24"/>
        </w:rPr>
        <w:t xml:space="preserve">有</w:t>
      </w:r>
      <w:r>
        <w:rPr>
          <w:rFonts w:hint="eastAsia" w:ascii="宋体" w:hAnsi="宋体"/>
          <w:sz w:val="24"/>
          <w:szCs w:val="24"/>
          <w:lang w:val="zh-CN"/>
        </w:rPr>
        <w:t xml:space="preserve">下列情况之一的，一经查实将被取消中标资格：</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.4.1</w:t>
      </w:r>
      <w:r>
        <w:rPr>
          <w:rFonts w:hint="eastAsia" w:ascii="宋体" w:hAnsi="宋体"/>
          <w:sz w:val="24"/>
          <w:szCs w:val="24"/>
        </w:rPr>
        <w:t xml:space="preserve"> </w:t>
      </w:r>
      <w:r>
        <w:rPr>
          <w:rFonts w:hint="eastAsia" w:ascii="宋体" w:hAnsi="宋体"/>
          <w:sz w:val="24"/>
          <w:szCs w:val="24"/>
          <w:lang w:val="zh-CN"/>
        </w:rPr>
        <w:t xml:space="preserve">提供虚假材料谋取中标。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.4.2</w:t>
      </w:r>
      <w:r>
        <w:rPr>
          <w:rFonts w:hint="eastAsia" w:ascii="宋体" w:hAnsi="宋体"/>
          <w:sz w:val="24"/>
          <w:szCs w:val="24"/>
        </w:rPr>
        <w:t xml:space="preserve"> </w:t>
      </w:r>
      <w:r>
        <w:rPr>
          <w:rFonts w:hint="eastAsia" w:ascii="宋体" w:hAnsi="宋体"/>
          <w:sz w:val="24"/>
          <w:szCs w:val="24"/>
          <w:lang w:val="zh-CN"/>
        </w:rPr>
        <w:t xml:space="preserve">向评审专家、采购人或代理机构工作人员行贿或者提供其他不正当利益。</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.4.3</w:t>
      </w:r>
      <w:r>
        <w:rPr>
          <w:rFonts w:hint="eastAsia" w:ascii="宋体" w:hAnsi="宋体"/>
          <w:sz w:val="24"/>
          <w:szCs w:val="24"/>
        </w:rPr>
        <w:t xml:space="preserve"> </w:t>
      </w:r>
      <w:r>
        <w:rPr>
          <w:rFonts w:hint="eastAsia" w:ascii="宋体" w:hAnsi="宋体"/>
          <w:sz w:val="24"/>
          <w:szCs w:val="24"/>
          <w:lang w:val="zh-CN"/>
        </w:rPr>
        <w:t xml:space="preserve">与其他供应商、评审专家、采购人或代理机构工作人员恶意串通。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.4.4</w:t>
      </w:r>
      <w:r>
        <w:rPr>
          <w:rFonts w:hint="eastAsia" w:ascii="宋体" w:hAnsi="宋体"/>
          <w:sz w:val="24"/>
          <w:szCs w:val="24"/>
        </w:rPr>
        <w:t xml:space="preserve"> </w:t>
      </w:r>
      <w:r>
        <w:rPr>
          <w:rFonts w:hint="eastAsia" w:ascii="宋体" w:hAnsi="宋体"/>
          <w:sz w:val="24"/>
          <w:szCs w:val="24"/>
          <w:lang w:val="zh-CN"/>
        </w:rPr>
        <w:t xml:space="preserve">属于本文件规定的无效</w:t>
      </w:r>
      <w:r>
        <w:rPr>
          <w:rFonts w:hint="eastAsia" w:ascii="宋体" w:hAnsi="宋体"/>
          <w:sz w:val="24"/>
          <w:szCs w:val="24"/>
        </w:rPr>
        <w:t xml:space="preserve">投标情形</w:t>
      </w:r>
      <w:r>
        <w:rPr>
          <w:rFonts w:hint="eastAsia" w:ascii="宋体" w:hAnsi="宋体"/>
          <w:sz w:val="24"/>
          <w:szCs w:val="24"/>
          <w:lang w:val="zh-CN"/>
        </w:rPr>
        <w:t xml:space="preserve">，但在评标过程中未被评委会发现。</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.4.5</w:t>
      </w:r>
      <w:r>
        <w:rPr>
          <w:rFonts w:hint="eastAsia" w:ascii="宋体" w:hAnsi="宋体"/>
          <w:sz w:val="24"/>
          <w:szCs w:val="24"/>
        </w:rPr>
        <w:t xml:space="preserve"> </w:t>
      </w:r>
      <w:r>
        <w:rPr>
          <w:rFonts w:hint="eastAsia" w:ascii="宋体" w:hAnsi="宋体"/>
          <w:sz w:val="24"/>
          <w:szCs w:val="24"/>
          <w:lang w:val="zh-CN"/>
        </w:rPr>
        <w:t xml:space="preserve">采取不正当手段诋毁、排挤其他供应商。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45" w:name="_Toc200451960"/>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w:t>
      </w:r>
      <w:r>
        <w:rPr>
          <w:rFonts w:hint="eastAsia" w:ascii="宋体" w:hAnsi="宋体"/>
          <w:sz w:val="24"/>
          <w:szCs w:val="24"/>
        </w:rPr>
        <w:t xml:space="preserve"> </w:t>
      </w:r>
      <w:r>
        <w:rPr>
          <w:rFonts w:hint="eastAsia" w:ascii="宋体" w:hAnsi="宋体"/>
          <w:sz w:val="24"/>
          <w:szCs w:val="24"/>
          <w:lang w:val="zh-CN"/>
        </w:rPr>
        <w:t xml:space="preserve">有下列情形之一的视为投标人串通投标，投标无效：</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.5.1</w:t>
      </w:r>
      <w:r>
        <w:rPr>
          <w:rFonts w:hint="eastAsia" w:ascii="宋体" w:hAnsi="宋体"/>
          <w:sz w:val="24"/>
          <w:szCs w:val="24"/>
        </w:rPr>
        <w:t xml:space="preserve"> </w:t>
      </w:r>
      <w:r>
        <w:rPr>
          <w:rFonts w:hint="eastAsia" w:ascii="宋体" w:hAnsi="宋体"/>
          <w:sz w:val="24"/>
          <w:szCs w:val="24"/>
          <w:lang w:val="zh-CN"/>
        </w:rPr>
        <w:t xml:space="preserve">不同投标人的投标文件由同一单位或者个人编制。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.5.2</w:t>
      </w:r>
      <w:r>
        <w:rPr>
          <w:rFonts w:hint="eastAsia" w:ascii="宋体" w:hAnsi="宋体"/>
          <w:sz w:val="24"/>
          <w:szCs w:val="24"/>
        </w:rPr>
        <w:t xml:space="preserve"> </w:t>
      </w:r>
      <w:r>
        <w:rPr>
          <w:rFonts w:hint="eastAsia" w:ascii="宋体" w:hAnsi="宋体"/>
          <w:sz w:val="24"/>
          <w:szCs w:val="24"/>
          <w:lang w:val="zh-CN"/>
        </w:rPr>
        <w:t xml:space="preserve">不同投标人委托同一单位或者个人办理投标事宜。</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.5.3</w:t>
      </w:r>
      <w:r>
        <w:rPr>
          <w:rFonts w:hint="eastAsia" w:ascii="宋体" w:hAnsi="宋体"/>
          <w:sz w:val="24"/>
          <w:szCs w:val="24"/>
        </w:rPr>
        <w:t xml:space="preserve"> </w:t>
      </w:r>
      <w:r>
        <w:rPr>
          <w:rFonts w:hint="eastAsia" w:ascii="宋体" w:hAnsi="宋体"/>
          <w:sz w:val="24"/>
          <w:szCs w:val="24"/>
          <w:lang w:val="zh-CN"/>
        </w:rPr>
        <w:t xml:space="preserve">不同投标人的投标文件载明的项目管理成员或者联系人员为同一人。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.5.4</w:t>
      </w:r>
      <w:r>
        <w:rPr>
          <w:rFonts w:hint="eastAsia" w:ascii="宋体" w:hAnsi="宋体"/>
          <w:sz w:val="24"/>
          <w:szCs w:val="24"/>
        </w:rPr>
        <w:t xml:space="preserve"> </w:t>
      </w:r>
      <w:r>
        <w:rPr>
          <w:rFonts w:hint="eastAsia" w:ascii="宋体" w:hAnsi="宋体"/>
          <w:sz w:val="24"/>
          <w:szCs w:val="24"/>
          <w:lang w:val="zh-CN"/>
        </w:rPr>
        <w:t xml:space="preserve">不同投标人的投标文件异常一致或者投标报价呈规律性差异。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End w:id="145"/>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中标通知书</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.l 中标结果确定后，代理机构将向中标人发出《中标通知书》。中标人</w:t>
      </w:r>
      <w:r>
        <w:rPr>
          <w:rFonts w:hint="eastAsia" w:ascii="宋体" w:hAnsi="宋体"/>
          <w:sz w:val="24"/>
          <w:szCs w:val="24"/>
        </w:rPr>
        <w:t xml:space="preserve">可</w:t>
      </w:r>
      <w:r>
        <w:rPr>
          <w:rFonts w:hint="eastAsia" w:ascii="宋体" w:hAnsi="宋体"/>
          <w:sz w:val="24"/>
          <w:szCs w:val="24"/>
          <w:lang w:val="zh-CN"/>
        </w:rPr>
        <w:t xml:space="preserve">在中标结果公告届满之日起三十日内，登录苏采云系统下载。</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Start w:id="146" w:name="_Toc120614220"/>
      <w:r/>
      <w:bookmarkStart w:id="147" w:name="_Toc16938552"/>
      <w:r/>
      <w:bookmarkStart w:id="148" w:name="_Toc513029236"/>
      <w:r/>
      <w:bookmarkStart w:id="149" w:name="_Toc20823308"/>
      <w:r>
        <w:rPr>
          <w:rFonts w:hint="eastAsia" w:ascii="宋体" w:hAnsi="宋体"/>
          <w:b/>
          <w:bCs/>
          <w:sz w:val="24"/>
          <w:szCs w:val="24"/>
          <w:lang w:val="zh-CN"/>
        </w:rPr>
        <w:t xml:space="preserve">七、授予合同</w:t>
      </w:r>
      <w:bookmarkEnd w:id="146"/>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End w:id="147"/>
      <w:r/>
      <w:bookmarkEnd w:id="148"/>
      <w:r/>
      <w:bookmarkEnd w:id="149"/>
      <w:r>
        <w:rPr>
          <w:rFonts w:hint="eastAsia" w:ascii="宋体" w:hAnsi="宋体"/>
          <w:sz w:val="24"/>
          <w:szCs w:val="24"/>
          <w:lang w:val="zh-CN"/>
        </w:rPr>
        <w:t xml:space="preserve">2</w:t>
      </w:r>
      <w:r>
        <w:rPr>
          <w:rFonts w:hint="eastAsia" w:ascii="宋体" w:hAnsi="宋体"/>
          <w:sz w:val="24"/>
          <w:szCs w:val="24"/>
        </w:rPr>
        <w:t xml:space="preserve">8.</w:t>
      </w:r>
      <w:r>
        <w:rPr>
          <w:rFonts w:hint="eastAsia" w:ascii="宋体" w:hAnsi="宋体"/>
          <w:sz w:val="24"/>
          <w:szCs w:val="24"/>
          <w:lang w:val="zh-CN"/>
        </w:rPr>
        <w:t xml:space="preserve">签订合同</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lang w:val="zh-CN"/>
        </w:rPr>
        <w:t xml:space="preserve">.l</w:t>
      </w:r>
      <w:r>
        <w:rPr>
          <w:rFonts w:hint="eastAsia" w:ascii="宋体" w:hAnsi="宋体"/>
          <w:sz w:val="24"/>
          <w:szCs w:val="24"/>
        </w:rPr>
        <w:t xml:space="preserve"> </w:t>
      </w:r>
      <w:r>
        <w:rPr>
          <w:rFonts w:hint="eastAsia" w:ascii="宋体" w:hAnsi="宋体"/>
          <w:sz w:val="24"/>
          <w:szCs w:val="24"/>
          <w:lang w:val="zh-CN"/>
        </w:rPr>
        <w:t xml:space="preserve">中标人应当</w:t>
      </w:r>
      <w:r>
        <w:rPr>
          <w:rFonts w:hint="eastAsia" w:ascii="宋体" w:hAnsi="宋体"/>
          <w:sz w:val="24"/>
          <w:szCs w:val="24"/>
        </w:rPr>
        <w:t xml:space="preserve">在</w:t>
      </w:r>
      <w:r>
        <w:rPr>
          <w:rFonts w:hint="eastAsia" w:ascii="宋体" w:hAnsi="宋体"/>
          <w:sz w:val="24"/>
          <w:szCs w:val="24"/>
          <w:lang w:val="zh-CN"/>
        </w:rPr>
        <w:t xml:space="preserve">《中标通知书》发出之日起三十日内，按照招标文件确定的事项与采购人签订政府采购合同。采购人于合同签订后2个工作日内通过苏采云系统进行公示。</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.2 招标文件、中标人的投标文件及招标过程中有关澄清、承诺文件均作为合同附件。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.4 中标人因自身原因拒绝与采购人签订合同的，不得参加采购人</w:t>
      </w:r>
      <w:r>
        <w:rPr>
          <w:rFonts w:hint="eastAsia" w:ascii="宋体" w:hAnsi="宋体"/>
          <w:sz w:val="24"/>
          <w:szCs w:val="24"/>
        </w:rPr>
        <w:t xml:space="preserve">重新组织的</w:t>
      </w:r>
      <w:r>
        <w:rPr>
          <w:rFonts w:hint="eastAsia" w:ascii="宋体" w:hAnsi="宋体"/>
          <w:sz w:val="24"/>
          <w:szCs w:val="24"/>
          <w:lang w:val="zh-CN"/>
        </w:rPr>
        <w:t xml:space="preserve">采购活动，</w:t>
      </w:r>
      <w:r>
        <w:rPr>
          <w:rFonts w:hint="eastAsia" w:ascii="宋体" w:hAnsi="宋体"/>
          <w:sz w:val="24"/>
          <w:szCs w:val="24"/>
        </w:rPr>
        <w:t xml:space="preserve">且将可能被拒绝参加该采购人</w:t>
      </w:r>
      <w:r>
        <w:rPr>
          <w:rFonts w:hint="eastAsia" w:ascii="宋体" w:hAnsi="宋体"/>
          <w:sz w:val="24"/>
          <w:szCs w:val="24"/>
          <w:lang w:val="zh-CN"/>
        </w:rPr>
        <w:t xml:space="preserve">一年内</w:t>
      </w:r>
      <w:r>
        <w:rPr>
          <w:rFonts w:hint="eastAsia" w:ascii="宋体" w:hAnsi="宋体"/>
          <w:sz w:val="24"/>
          <w:szCs w:val="24"/>
        </w:rPr>
        <w:t xml:space="preserve">的其他</w:t>
      </w:r>
      <w:r>
        <w:rPr>
          <w:rFonts w:hint="eastAsia" w:ascii="宋体" w:hAnsi="宋体"/>
          <w:sz w:val="24"/>
          <w:szCs w:val="24"/>
          <w:lang w:val="zh-CN"/>
        </w:rPr>
        <w:t xml:space="preserve">政府采购活动。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29.</w:t>
      </w:r>
      <w:r>
        <w:rPr>
          <w:rFonts w:hint="eastAsia" w:ascii="宋体" w:hAnsi="宋体"/>
          <w:sz w:val="24"/>
          <w:szCs w:val="24"/>
          <w:lang w:val="zh-CN"/>
        </w:rPr>
        <w:t xml:space="preserve">标的物的追加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29</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szCs w:val="24"/>
        </w:rPr>
        <w:t xml:space="preserve">的</w:t>
      </w:r>
      <w:r>
        <w:rPr>
          <w:rFonts w:hint="eastAsia" w:ascii="宋体" w:hAnsi="宋体"/>
          <w:sz w:val="24"/>
          <w:szCs w:val="24"/>
          <w:lang w:val="zh-CN"/>
        </w:rPr>
        <w:t xml:space="preserve">10%。</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0.</w:t>
      </w:r>
      <w:r>
        <w:rPr>
          <w:rFonts w:hint="eastAsia" w:ascii="宋体" w:hAnsi="宋体"/>
          <w:sz w:val="24"/>
          <w:szCs w:val="24"/>
          <w:lang w:val="zh-CN"/>
        </w:rPr>
        <w:t xml:space="preserve">政府采购履约资金扶持政策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30.1 </w:t>
      </w:r>
      <w:r>
        <w:rPr>
          <w:rFonts w:hint="eastAsia" w:ascii="宋体" w:hAnsi="宋体"/>
          <w:sz w:val="24"/>
          <w:szCs w:val="24"/>
          <w:lang w:val="zh-CN"/>
        </w:rPr>
        <w:t xml:space="preserve">中标</w:t>
      </w:r>
      <w:r>
        <w:rPr>
          <w:rFonts w:hint="eastAsia" w:ascii="宋体" w:hAnsi="宋体"/>
          <w:sz w:val="24"/>
          <w:szCs w:val="24"/>
        </w:rPr>
        <w:t xml:space="preserve">供应商</w:t>
      </w:r>
      <w:r>
        <w:rPr>
          <w:rFonts w:hint="eastAsia" w:ascii="宋体" w:hAnsi="宋体"/>
          <w:sz w:val="24"/>
          <w:szCs w:val="24"/>
          <w:lang w:val="zh-CN"/>
        </w:rPr>
        <w:t xml:space="preserve">可</w:t>
      </w:r>
      <w:r>
        <w:rPr>
          <w:rFonts w:hint="eastAsia" w:ascii="宋体" w:hAnsi="宋体"/>
          <w:sz w:val="24"/>
          <w:szCs w:val="24"/>
        </w:rPr>
        <w:t xml:space="preserve">通过</w:t>
      </w:r>
      <w:r>
        <w:rPr>
          <w:rFonts w:hint="eastAsia" w:ascii="宋体" w:hAnsi="宋体"/>
          <w:sz w:val="24"/>
          <w:szCs w:val="24"/>
          <w:lang w:val="zh-CN"/>
        </w:rPr>
        <w:t xml:space="preserve">南京市公共资源交易</w:t>
      </w:r>
      <w:r>
        <w:rPr>
          <w:rFonts w:hint="eastAsia" w:ascii="宋体" w:hAnsi="宋体"/>
          <w:sz w:val="24"/>
          <w:szCs w:val="24"/>
        </w:rPr>
        <w:t xml:space="preserve">平台</w:t>
      </w:r>
      <w:r>
        <w:rPr>
          <w:rFonts w:hint="eastAsia" w:ascii="宋体" w:hAnsi="宋体"/>
          <w:sz w:val="24"/>
          <w:szCs w:val="24"/>
          <w:lang w:val="zh-CN"/>
        </w:rPr>
        <w:t xml:space="preserve">网站“小企业融资平台”，</w:t>
      </w:r>
      <w:r>
        <w:rPr>
          <w:rFonts w:hint="eastAsia" w:ascii="宋体" w:hAnsi="宋体"/>
          <w:sz w:val="24"/>
          <w:szCs w:val="24"/>
        </w:rPr>
        <w:t xml:space="preserve">选择相应的金融机构</w:t>
      </w:r>
      <w:r>
        <w:rPr>
          <w:rFonts w:hint="eastAsia" w:ascii="宋体" w:hAnsi="宋体"/>
          <w:sz w:val="24"/>
          <w:szCs w:val="24"/>
          <w:lang w:val="zh-CN"/>
        </w:rPr>
        <w:t xml:space="preserve">办理融资贷款。</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30.2 依据《关于在全省政府采购领域推行电子履约保函（保险）的通知》（苏财购〔2023〕150号），需要缴纳履约保证金的，</w:t>
      </w:r>
      <w:r>
        <w:rPr>
          <w:rFonts w:hint="eastAsia" w:ascii="宋体" w:hAnsi="宋体"/>
          <w:sz w:val="24"/>
          <w:szCs w:val="24"/>
          <w:lang w:val="zh-CN"/>
        </w:rPr>
        <w:t xml:space="preserve">中标</w:t>
      </w:r>
      <w:r>
        <w:rPr>
          <w:rFonts w:hint="eastAsia" w:ascii="宋体" w:hAnsi="宋体"/>
          <w:sz w:val="24"/>
          <w:szCs w:val="24"/>
        </w:rPr>
        <w:t xml:space="preserve">供应商</w:t>
      </w:r>
      <w:r>
        <w:rPr>
          <w:rFonts w:hint="eastAsia" w:ascii="宋体" w:hAnsi="宋体"/>
          <w:sz w:val="24"/>
          <w:szCs w:val="24"/>
          <w:lang w:val="zh-CN"/>
        </w:rPr>
        <w:t xml:space="preserve">可</w:t>
      </w:r>
      <w:r>
        <w:rPr>
          <w:rFonts w:hint="eastAsia" w:ascii="宋体" w:hAnsi="宋体"/>
          <w:sz w:val="24"/>
          <w:szCs w:val="24"/>
        </w:rPr>
        <w:t xml:space="preserve">通过江苏政府采购网“政府采购电子履约保函（保险）综合服务平台”线上办理履约保函（保险）</w:t>
      </w:r>
      <w:r>
        <w:rPr>
          <w:rFonts w:hint="eastAsia" w:ascii="宋体" w:hAnsi="宋体"/>
          <w:sz w:val="24"/>
          <w:szCs w:val="24"/>
          <w:lang w:val="zh-CN"/>
        </w:rPr>
        <w:t xml:space="preserve">。</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八、质疑</w:t>
      </w:r>
      <w:r>
        <w:rPr>
          <w:rFonts w:hint="eastAsia" w:ascii="宋体" w:hAnsi="宋体"/>
          <w:b/>
          <w:bCs/>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31.</w:t>
      </w:r>
      <w:r>
        <w:rPr>
          <w:rFonts w:hint="eastAsia" w:ascii="宋体" w:hAnsi="宋体"/>
          <w:sz w:val="24"/>
          <w:szCs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32.</w:t>
      </w:r>
      <w:r>
        <w:rPr>
          <w:rFonts w:hint="eastAsia" w:ascii="宋体" w:hAnsi="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szCs w:val="24"/>
        </w:rPr>
        <w:t xml:space="preserve">按照第3</w:t>
      </w:r>
      <w:r>
        <w:rPr>
          <w:rFonts w:hint="eastAsia" w:ascii="宋体" w:hAnsi="宋体"/>
          <w:sz w:val="24"/>
          <w:szCs w:val="24"/>
          <w:lang w:val="zh-CN"/>
        </w:rPr>
        <w:t xml:space="preserve">4</w:t>
      </w:r>
      <w:r>
        <w:rPr>
          <w:rFonts w:hint="eastAsia" w:ascii="宋体" w:hAnsi="宋体"/>
          <w:sz w:val="24"/>
          <w:szCs w:val="24"/>
        </w:rPr>
        <w:t xml:space="preserve">条</w:t>
      </w:r>
      <w:r>
        <w:rPr>
          <w:rFonts w:hint="eastAsia" w:ascii="宋体" w:hAnsi="宋体"/>
          <w:sz w:val="24"/>
          <w:szCs w:val="24"/>
          <w:lang w:val="zh-CN"/>
        </w:rPr>
        <w:t xml:space="preserve">、</w:t>
      </w:r>
      <w:r>
        <w:rPr>
          <w:rFonts w:hint="eastAsia" w:ascii="宋体" w:hAnsi="宋体"/>
          <w:sz w:val="24"/>
          <w:szCs w:val="24"/>
        </w:rPr>
        <w:t xml:space="preserve">第35</w:t>
      </w:r>
      <w:r>
        <w:rPr>
          <w:rFonts w:hint="eastAsia" w:ascii="宋体" w:hAnsi="宋体"/>
          <w:sz w:val="24"/>
          <w:szCs w:val="24"/>
          <w:lang w:val="zh-CN"/>
        </w:rPr>
        <w:t xml:space="preserve">条</w:t>
      </w:r>
      <w:r>
        <w:rPr>
          <w:rFonts w:hint="eastAsia" w:ascii="宋体" w:hAnsi="宋体"/>
          <w:sz w:val="24"/>
          <w:szCs w:val="24"/>
        </w:rPr>
        <w:t xml:space="preserve">之</w:t>
      </w:r>
      <w:r>
        <w:rPr>
          <w:rFonts w:hint="eastAsia" w:ascii="宋体" w:hAnsi="宋体"/>
          <w:sz w:val="24"/>
          <w:szCs w:val="24"/>
          <w:lang w:val="zh-CN"/>
        </w:rPr>
        <w:t xml:space="preserve">规定以书面形式向采购人或代理机构提出质疑。上述应知其权益受到损害之日是指：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2.1 对采购文件提出质疑的，为收到采购文件之日或者采购文件公告期限届满之日。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2.2 对采购过程提出质疑的，为各采购程序环节结束之日。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2.3 对中标或者成交结果提出质疑的，为中标或者成交结果公告期限届满之日。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33.</w:t>
      </w:r>
      <w:r>
        <w:rPr>
          <w:rFonts w:hint="eastAsia" w:ascii="宋体" w:hAnsi="宋体"/>
          <w:sz w:val="24"/>
          <w:szCs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34.</w:t>
      </w:r>
      <w:r>
        <w:rPr>
          <w:rFonts w:hint="eastAsia" w:ascii="宋体" w:hAnsi="宋体"/>
          <w:sz w:val="24"/>
          <w:szCs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szCs w:val="24"/>
        </w:rPr>
        <w:t xml:space="preserve">的</w:t>
      </w:r>
      <w:r>
        <w:rPr>
          <w:rFonts w:hint="eastAsia" w:ascii="宋体" w:hAnsi="宋体"/>
          <w:sz w:val="24"/>
          <w:szCs w:val="24"/>
          <w:lang w:val="zh-CN"/>
        </w:rPr>
        <w:t xml:space="preserve">格式和内容填写。</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供应商如组成联合体参加采购活动，《质疑函范本》中要求加盖公章之处，联合体各方均须按要求加盖公章。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35.</w:t>
      </w:r>
      <w:r>
        <w:rPr>
          <w:rFonts w:hint="eastAsia" w:ascii="宋体" w:hAnsi="宋体"/>
          <w:sz w:val="24"/>
          <w:szCs w:val="24"/>
          <w:lang w:val="zh-CN"/>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采购人《质疑函》接收人及联系方式见</w:t>
      </w:r>
      <w:r>
        <w:rPr>
          <w:rFonts w:hint="eastAsia" w:ascii="宋体" w:hAnsi="宋体"/>
          <w:sz w:val="24"/>
          <w:szCs w:val="24"/>
        </w:rPr>
        <w:t xml:space="preserve">招标</w:t>
      </w:r>
      <w:r>
        <w:rPr>
          <w:rFonts w:hint="eastAsia" w:ascii="宋体" w:hAnsi="宋体"/>
          <w:sz w:val="24"/>
          <w:szCs w:val="24"/>
          <w:lang w:val="zh-CN"/>
        </w:rPr>
        <w:t xml:space="preserve">文件第一章。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w:t>
      </w:r>
      <w:r>
        <w:rPr>
          <w:rFonts w:hint="eastAsia" w:ascii="宋体" w:hAnsi="宋体"/>
          <w:sz w:val="24"/>
          <w:szCs w:val="24"/>
        </w:rPr>
        <w:t xml:space="preserve">.</w:t>
      </w:r>
      <w:r>
        <w:rPr>
          <w:rFonts w:hint="eastAsia" w:ascii="宋体" w:hAnsi="宋体"/>
          <w:sz w:val="24"/>
          <w:szCs w:val="24"/>
          <w:lang w:val="zh-CN"/>
        </w:rPr>
        <w:t xml:space="preserve">以下情形的质疑不予受理：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6.1 内容不符合《政府采购质疑和投诉办法》第十二条规定的质疑。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6.2 超出政府采购法定期限的质疑。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6.3 以传真、电子邮件等方式递交的非原件形式的质疑。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6.4 未参加采购活动或在采购活动中自身权益未受到损害的供应商所提出的质疑。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6.5 供应商组成联合体参加采购活动，联合体中任何一方或多方未按要求签字</w:t>
      </w:r>
      <w:r>
        <w:rPr>
          <w:rFonts w:hint="eastAsia" w:ascii="宋体" w:hAnsi="宋体"/>
          <w:sz w:val="24"/>
          <w:szCs w:val="24"/>
        </w:rPr>
        <w:t xml:space="preserve">或签章</w:t>
      </w:r>
      <w:r>
        <w:rPr>
          <w:rFonts w:hint="eastAsia" w:ascii="宋体" w:hAnsi="宋体"/>
          <w:sz w:val="24"/>
          <w:szCs w:val="24"/>
          <w:lang w:val="zh-CN"/>
        </w:rPr>
        <w:t xml:space="preserve">、加盖公章的质疑。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w:t>
      </w:r>
      <w:r>
        <w:rPr>
          <w:rFonts w:hint="eastAsia" w:ascii="宋体" w:hAnsi="宋体"/>
          <w:sz w:val="24"/>
          <w:szCs w:val="24"/>
        </w:rPr>
        <w:t xml:space="preserve">6</w:t>
      </w:r>
      <w:r>
        <w:rPr>
          <w:rFonts w:hint="eastAsia" w:ascii="宋体" w:hAnsi="宋体"/>
          <w:sz w:val="24"/>
          <w:szCs w:val="24"/>
          <w:lang w:val="zh-CN"/>
        </w:rPr>
        <w:t xml:space="preserve"> 法律法规规定的</w:t>
      </w:r>
      <w:r>
        <w:rPr>
          <w:rFonts w:hint="eastAsia" w:ascii="宋体" w:hAnsi="宋体"/>
          <w:sz w:val="24"/>
          <w:szCs w:val="24"/>
        </w:rPr>
        <w:t xml:space="preserve">其他</w:t>
      </w:r>
      <w:r>
        <w:rPr>
          <w:rFonts w:hint="eastAsia" w:ascii="宋体" w:hAnsi="宋体"/>
          <w:sz w:val="24"/>
          <w:szCs w:val="24"/>
          <w:lang w:val="zh-CN"/>
        </w:rPr>
        <w:t xml:space="preserve">不予受理情形。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37.</w:t>
      </w:r>
      <w:r>
        <w:rPr>
          <w:rFonts w:hint="eastAsia" w:ascii="宋体" w:hAnsi="宋体"/>
          <w:sz w:val="24"/>
          <w:szCs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九、政策功能落实</w:t>
      </w:r>
      <w:r>
        <w:rPr>
          <w:rFonts w:hint="eastAsia" w:ascii="宋体" w:hAnsi="宋体"/>
          <w:b/>
          <w:bCs/>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38.促进中小企业发展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38.1 本项目</w:t>
      </w:r>
      <w:r>
        <w:rPr>
          <w:rFonts w:hint="eastAsia" w:ascii="宋体" w:hAnsi="宋体"/>
          <w:sz w:val="24"/>
          <w:szCs w:val="24"/>
          <w:lang w:val="zh-CN"/>
        </w:rPr>
        <w:t xml:space="preserve">服务由中小企业承接的，</w:t>
      </w:r>
      <w:r>
        <w:rPr>
          <w:rFonts w:hint="eastAsia" w:ascii="宋体" w:hAnsi="宋体"/>
          <w:sz w:val="24"/>
          <w:szCs w:val="24"/>
        </w:rPr>
        <w:t xml:space="preserve">投标供应商</w:t>
      </w:r>
      <w:r>
        <w:rPr>
          <w:rFonts w:hint="eastAsia" w:ascii="宋体" w:hAnsi="宋体"/>
          <w:sz w:val="24"/>
          <w:szCs w:val="24"/>
          <w:lang w:val="zh-CN"/>
        </w:rPr>
        <w:t xml:space="preserve">享受中小企业扶持政策。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38.2 </w:t>
      </w:r>
      <w:r>
        <w:rPr>
          <w:rFonts w:hint="eastAsia" w:ascii="宋体" w:hAnsi="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38.3 </w:t>
      </w:r>
      <w:r>
        <w:rPr>
          <w:rFonts w:hint="eastAsia" w:ascii="宋体" w:hAnsi="宋体"/>
          <w:sz w:val="24"/>
          <w:szCs w:val="24"/>
          <w:lang w:val="zh-CN"/>
        </w:rPr>
        <w:t xml:space="preserve">中小企业参加政府采购活动，应当出具《中小企业声明函》，否则不享受相关中小企业</w:t>
      </w:r>
      <w:r>
        <w:rPr>
          <w:rFonts w:hint="eastAsia" w:ascii="宋体" w:hAnsi="宋体"/>
          <w:sz w:val="24"/>
          <w:szCs w:val="24"/>
        </w:rPr>
        <w:t xml:space="preserve">支持</w:t>
      </w:r>
      <w:r>
        <w:rPr>
          <w:rFonts w:hint="eastAsia" w:ascii="宋体" w:hAnsi="宋体"/>
          <w:sz w:val="24"/>
          <w:szCs w:val="24"/>
          <w:lang w:val="zh-CN"/>
        </w:rPr>
        <w:t xml:space="preserve">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38.4 </w:t>
      </w:r>
      <w:r>
        <w:rPr>
          <w:rFonts w:hint="eastAsia" w:ascii="宋体" w:hAnsi="宋体"/>
          <w:sz w:val="24"/>
          <w:szCs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8</w:t>
      </w: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 </w:t>
      </w:r>
      <w:r>
        <w:rPr>
          <w:rFonts w:hint="eastAsia" w:ascii="宋体" w:hAnsi="宋体"/>
          <w:sz w:val="24"/>
          <w:szCs w:val="24"/>
        </w:rPr>
        <w:t xml:space="preserve">监狱和戒毒企业（简称监狱企业）视同小型、微型企业</w:t>
      </w:r>
      <w:r>
        <w:rPr>
          <w:rFonts w:hint="eastAsia" w:ascii="宋体" w:hAnsi="宋体"/>
          <w:sz w:val="24"/>
          <w:szCs w:val="24"/>
          <w:lang w:val="zh-CN"/>
        </w:rPr>
        <w:t xml:space="preserve">。</w:t>
      </w:r>
      <w:r>
        <w:rPr>
          <w:rFonts w:hint="eastAsia" w:ascii="宋体" w:hAnsi="宋体"/>
          <w:sz w:val="24"/>
          <w:szCs w:val="24"/>
        </w:rPr>
        <w:t xml:space="preserve">按照</w:t>
      </w:r>
      <w:r>
        <w:rPr>
          <w:rFonts w:hint="eastAsia" w:ascii="宋体" w:hAnsi="宋体"/>
          <w:sz w:val="24"/>
          <w:szCs w:val="24"/>
          <w:lang w:val="zh-CN"/>
        </w:rPr>
        <w:t xml:space="preserve">《关于政府采购支持监狱企业发展有关问题的通知》（财库〔2014〕68号）</w:t>
      </w:r>
      <w:r>
        <w:rPr>
          <w:rFonts w:hint="eastAsia" w:ascii="宋体" w:hAnsi="宋体"/>
          <w:sz w:val="24"/>
          <w:szCs w:val="24"/>
        </w:rPr>
        <w:t xml:space="preserve">规定，</w:t>
      </w:r>
      <w:r>
        <w:rPr>
          <w:rFonts w:hint="eastAsia" w:ascii="宋体" w:hAnsi="宋体"/>
          <w:sz w:val="24"/>
          <w:szCs w:val="24"/>
          <w:lang w:val="zh-CN"/>
        </w:rPr>
        <w:t xml:space="preserve">监狱企业需提供由省级以上监狱管理局、戒毒管理局(含新疆生产建设兵团)出具的属于监狱企业的证明文件。</w:t>
      </w:r>
      <w:r>
        <w:rPr>
          <w:rFonts w:hint="eastAsia" w:ascii="宋体" w:hAnsi="宋体"/>
          <w:sz w:val="24"/>
          <w:szCs w:val="24"/>
          <w:lang w:val="zh-CN"/>
        </w:rPr>
      </w:r>
      <w:r/>
    </w:p>
    <w:p>
      <w:pPr>
        <w:pStyle w:val="767"/>
        <w:ind w:firstLine="480"/>
        <w:keepNext/>
        <w:spacing w:line="360" w:lineRule="auto"/>
        <w:rPr>
          <w:rFonts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8</w:t>
      </w:r>
      <w:r>
        <w:rPr>
          <w:rFonts w:hint="eastAsia" w:ascii="宋体" w:hAnsi="宋体"/>
          <w:sz w:val="24"/>
          <w:szCs w:val="24"/>
          <w:lang w:val="zh-CN"/>
        </w:rPr>
        <w:t xml:space="preserve">.</w:t>
      </w:r>
      <w:r>
        <w:rPr>
          <w:rFonts w:hint="eastAsia" w:ascii="宋体" w:hAnsi="宋体"/>
          <w:sz w:val="24"/>
          <w:szCs w:val="24"/>
        </w:rPr>
        <w:t xml:space="preserve">6</w:t>
      </w:r>
      <w:r>
        <w:rPr>
          <w:rFonts w:hint="eastAsia" w:ascii="宋体" w:hAnsi="宋体"/>
          <w:sz w:val="24"/>
          <w:szCs w:val="24"/>
          <w:lang w:val="zh-CN"/>
        </w:rPr>
        <w:t xml:space="preserve"> 残疾人福利性单位</w:t>
      </w:r>
      <w:r>
        <w:rPr>
          <w:rFonts w:hint="eastAsia" w:ascii="宋体" w:hAnsi="宋体"/>
          <w:sz w:val="24"/>
          <w:szCs w:val="24"/>
        </w:rPr>
        <w:t xml:space="preserve">视同小型、微型企业</w:t>
      </w:r>
      <w:r>
        <w:rPr>
          <w:rFonts w:hint="eastAsia" w:ascii="宋体" w:hAnsi="宋体"/>
          <w:sz w:val="24"/>
          <w:szCs w:val="24"/>
          <w:lang w:val="zh-CN"/>
        </w:rPr>
        <w:t xml:space="preserve">。</w:t>
      </w:r>
      <w:r>
        <w:rPr>
          <w:rFonts w:hint="eastAsia" w:ascii="宋体" w:hAnsi="宋体"/>
          <w:sz w:val="24"/>
          <w:szCs w:val="24"/>
        </w:rPr>
        <w:t xml:space="preserve">按照《关于促进残疾人就业政府采购政策的通知》（财库〔2017〕141号）规定，残疾人福利单位需</w:t>
      </w:r>
      <w:r>
        <w:rPr>
          <w:rFonts w:hint="eastAsia" w:ascii="宋体" w:hAnsi="宋体"/>
          <w:sz w:val="24"/>
          <w:szCs w:val="24"/>
          <w:lang w:val="zh-CN"/>
        </w:rPr>
        <w:t xml:space="preserve">提供《残疾人福利性单位声明函》。</w:t>
      </w:r>
      <w:r>
        <w:rPr>
          <w:rFonts w:ascii="宋体" w:hAnsi="宋体"/>
          <w:sz w:val="24"/>
          <w:szCs w:val="24"/>
          <w:lang w:val="zh-CN"/>
        </w:rPr>
      </w:r>
      <w:r/>
    </w:p>
    <w:p>
      <w:pPr>
        <w:pStyle w:val="767"/>
        <w:ind w:firstLine="482"/>
        <w:spacing w:line="360" w:lineRule="auto"/>
        <w:rPr>
          <w:rFonts w:ascii="宋体" w:hAnsi="宋体"/>
          <w:b/>
          <w:bCs/>
          <w:sz w:val="24"/>
          <w:szCs w:val="24"/>
        </w:rPr>
      </w:pPr>
      <w:r>
        <w:rPr>
          <w:rFonts w:hint="eastAsia" w:ascii="宋体" w:hAnsi="宋体"/>
          <w:b/>
          <w:bCs/>
          <w:sz w:val="24"/>
          <w:szCs w:val="24"/>
        </w:rPr>
        <w:t xml:space="preserve">十、关于推动解决政府采购异常低价问题的通知</w:t>
      </w:r>
      <w:r>
        <w:rPr>
          <w:rFonts w:ascii="宋体" w:hAnsi="宋体"/>
          <w:b/>
          <w:bCs/>
          <w:sz w:val="24"/>
          <w:szCs w:val="24"/>
        </w:rPr>
      </w:r>
      <w:r/>
    </w:p>
    <w:p>
      <w:pPr>
        <w:pStyle w:val="767"/>
        <w:ind w:firstLine="480"/>
        <w:spacing w:line="360" w:lineRule="auto"/>
        <w:rPr>
          <w:rFonts w:hint="eastAsia" w:ascii="宋体" w:hAnsi="宋体"/>
          <w:sz w:val="24"/>
          <w:szCs w:val="24"/>
          <w:lang w:eastAsia="zh-CN"/>
        </w:rPr>
      </w:pPr>
      <w:r>
        <w:rPr>
          <w:rFonts w:hint="eastAsia" w:ascii="宋体" w:hAnsi="宋体"/>
          <w:sz w:val="24"/>
          <w:szCs w:val="24"/>
          <w:lang w:val="en-US" w:eastAsia="zh-CN"/>
        </w:rPr>
        <w:t xml:space="preserve">39.</w:t>
      </w:r>
      <w:r>
        <w:rPr>
          <w:rFonts w:hint="eastAsia" w:ascii="宋体" w:hAnsi="宋体"/>
          <w:sz w:val="24"/>
          <w:szCs w:val="24"/>
        </w:rPr>
        <w:t xml:space="preserve">根据财库〔2026〕2号文件相关通知</w:t>
      </w:r>
      <w:r>
        <w:rPr>
          <w:rFonts w:hint="eastAsia" w:ascii="宋体" w:hAnsi="宋体"/>
          <w:sz w:val="24"/>
          <w:szCs w:val="24"/>
          <w:lang w:eastAsia="zh-CN"/>
        </w:rPr>
        <w:t xml:space="preserve">：</w:t>
      </w:r>
      <w:r>
        <w:rPr>
          <w:rFonts w:hint="eastAsia" w:ascii="宋体" w:hAnsi="宋体"/>
          <w:sz w:val="24"/>
          <w:szCs w:val="24"/>
          <w:lang w:eastAsia="zh-CN"/>
        </w:rPr>
      </w:r>
      <w:r/>
    </w:p>
    <w:p>
      <w:pPr>
        <w:pStyle w:val="767"/>
        <w:ind w:firstLine="480"/>
        <w:spacing w:line="360" w:lineRule="auto"/>
        <w:rPr>
          <w:rFonts w:hint="eastAsia" w:ascii="宋体" w:hAnsi="宋体"/>
          <w:sz w:val="24"/>
          <w:szCs w:val="24"/>
        </w:rPr>
      </w:pPr>
      <w:r>
        <w:rPr>
          <w:rFonts w:hint="eastAsia" w:ascii="宋体" w:hAnsi="宋体"/>
          <w:sz w:val="24"/>
          <w:szCs w:val="24"/>
          <w:lang w:val="en-US" w:eastAsia="zh-CN"/>
        </w:rPr>
        <w:t xml:space="preserve">39.1</w:t>
      </w:r>
      <w:r>
        <w:rPr>
          <w:rFonts w:hint="eastAsia" w:ascii="宋体" w:hAnsi="宋体"/>
          <w:sz w:val="24"/>
          <w:szCs w:val="24"/>
        </w:rPr>
        <w:t xml:space="preserve">采购人应当在采购文件中明确，政府采购评审中出现下列情形之一的，评审委员会应当启动异常低价投标（响应）审查程序：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1.投标（响应）报价低于全部通过符合性审查供应商投标（响应）报价平均值50%的，即投标（响应）报价&lt;全部通过符合性审查供应商投标（响应）报价平均值×50%；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2.投标（响应）报价低于通过符合性审查的次低报价供应商投标（响应）报价50%的，即投标（响应）报价&lt;通过符合性审查的次低报价供应商投标（响应）报价×50%；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3.投标（响应）报价低于采购项目最高限价45%的，即投标（响应）报价&lt;采购项目最高限价×45%；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采购人可以结合具体项目实际情况，提高上述第1项至第3项中启动异常低价投标（响应）审查的数值标准，但是最高不得超过65%。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39.2</w:t>
      </w:r>
      <w:r>
        <w:rPr>
          <w:rFonts w:hint="eastAsia" w:ascii="宋体"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 w:val="24"/>
          <w:szCs w:val="24"/>
          <w:lang w:eastAsia="zh-CN"/>
        </w:rPr>
        <w:t xml:space="preserve">。</w:t>
      </w:r>
      <w:r>
        <w:rPr>
          <w:rFonts w:hint="eastAsia" w:ascii="宋体" w:hAnsi="宋体"/>
          <w:sz w:val="24"/>
          <w:szCs w:val="24"/>
        </w:rPr>
        <w:t xml:space="preserve">其中，属于第3项情形，供应商已随投标（响应）文件一并提交相关书面说明及必要的证明材料的，在评审现场可不再重复提交。 </w:t>
      </w:r>
      <w:r>
        <w:rPr>
          <w:rFonts w:hint="eastAsia" w:ascii="宋体" w:hAnsi="宋体"/>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第三章  </w:t>
      </w:r>
      <w:r>
        <w:rPr>
          <w:rFonts w:hint="eastAsia" w:ascii="方正小标宋简体" w:hAnsi="方正小标宋简体" w:eastAsia="方正小标宋简体" w:cs="方正小标宋简体"/>
          <w:color w:val="000000"/>
          <w:sz w:val="36"/>
          <w:szCs w:val="36"/>
        </w:rPr>
        <w:t xml:space="preserve">合同文本</w:t>
      </w:r>
      <w:r>
        <w:rPr>
          <w:rFonts w:hint="eastAsia" w:ascii="方正小标宋简体" w:hAnsi="方正小标宋简体" w:eastAsia="方正小标宋简体" w:cs="方正小标宋简体"/>
          <w:sz w:val="36"/>
          <w:szCs w:val="36"/>
        </w:rPr>
      </w:r>
      <w:r/>
    </w:p>
    <w:p>
      <w:pPr>
        <w:pStyle w:val="767"/>
        <w:keepNext/>
        <w:spacing w:line="253" w:lineRule="auto"/>
        <w:widowControl/>
        <w:rPr>
          <w:rFonts w:hint="eastAsia" w:ascii="仿宋_GB2312" w:hAnsi="仿宋_GB2312" w:eastAsia="仿宋_GB2312" w:cs="仿宋_GB2312"/>
        </w:rPr>
      </w:pPr>
      <w:r>
        <w:rPr>
          <w:rFonts w:hint="eastAsia" w:ascii="仿宋_GB2312" w:hAnsi="仿宋_GB2312" w:eastAsia="仿宋_GB2312" w:cs="仿宋_GB2312"/>
        </w:rPr>
      </w:r>
      <w:r/>
    </w:p>
    <w:p>
      <w:pPr>
        <w:pStyle w:val="767"/>
        <w:ind w:firstLine="480"/>
        <w:keepNext/>
        <w:spacing w:line="264" w:lineRule="auto"/>
        <w:rPr>
          <w:rFonts w:hint="eastAsia" w:ascii="宋体" w:hAnsi="宋体"/>
          <w:b/>
          <w:color w:val="000000"/>
          <w:sz w:val="30"/>
          <w:szCs w:val="21"/>
        </w:rPr>
      </w:pPr>
      <w:r/>
      <w:bookmarkStart w:id="150" w:name="_Toc20823315"/>
      <w:r/>
      <w:bookmarkStart w:id="151" w:name="_Toc513029243"/>
      <w:r/>
      <w:bookmarkStart w:id="152" w:name="_Toc1693855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
          <w:color w:val="000000"/>
          <w:sz w:val="30"/>
          <w:szCs w:val="21"/>
        </w:rPr>
      </w:r>
      <w:r/>
    </w:p>
    <w:p>
      <w:pPr>
        <w:pStyle w:val="767"/>
        <w:jc w:val="center"/>
        <w:keepNext/>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67"/>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67"/>
        <w:keepNext/>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   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履行地点：采购人指定地点。</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rPr>
          <w:rFonts w:hint="eastAsia" w:ascii="宋体" w:hAnsi="宋体" w:cs="Courier New"/>
          <w:color w:val="000000"/>
          <w:sz w:val="24"/>
          <w:szCs w:val="24"/>
        </w:rPr>
      </w:r>
      <w:r/>
    </w:p>
    <w:p>
      <w:pPr>
        <w:pStyle w:val="767"/>
        <w:keepNext/>
        <w:spacing w:line="264" w:lineRule="auto"/>
        <w:rPr>
          <w:rFonts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rPr>
          <w:rFonts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811"/>
        <w:keepNext/>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8.1 合同款项的支付方式及时间</w:t>
      </w:r>
      <w:r>
        <w:rPr>
          <w:rFonts w:hint="eastAsia" w:hAnsi="宋体" w:cs="Courier New"/>
          <w:sz w:val="24"/>
          <w:szCs w:val="24"/>
        </w:rPr>
      </w:r>
      <w:r/>
    </w:p>
    <w:p>
      <w:pPr>
        <w:pStyle w:val="811"/>
        <w:keepNext/>
        <w:spacing w:line="264" w:lineRule="auto"/>
        <w:rPr>
          <w:rFonts w:hint="eastAsia" w:hAnsi="宋体" w:cs="Courier New"/>
          <w:b/>
          <w:bCs/>
          <w:sz w:val="24"/>
          <w:szCs w:val="24"/>
        </w:rPr>
      </w:pPr>
      <w:r>
        <w:rPr>
          <w:rFonts w:hint="eastAsia" w:hAnsi="宋体" w:cs="Courier New"/>
          <w:sz w:val="24"/>
          <w:szCs w:val="24"/>
        </w:rPr>
        <w:t xml:space="preserve">8.1.1 </w:t>
      </w:r>
      <w:r>
        <w:rPr>
          <w:rFonts w:hint="eastAsia" w:hAnsi="宋体" w:cs="Courier New"/>
          <w:b/>
          <w:bCs/>
          <w:sz w:val="24"/>
          <w:szCs w:val="24"/>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rPr>
          <w:rFonts w:hint="eastAsia" w:hAnsi="宋体" w:cs="Courier New"/>
          <w:b/>
          <w:bCs/>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8.1.2满足合同约定支付条件的，甲方收到乙方发票后10个工作日内，将资金支付到合同约定的乙方账户。 </w:t>
      </w:r>
      <w:r>
        <w:rPr>
          <w:rFonts w:hint="eastAsia" w:hAnsi="宋体" w:cs="Courier New"/>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8.2 当采购数量与实际使用数量不一致时，乙方应根据实际使用量供货，合同的最终结算金额按实际使用量乘以成交单价进行计算。</w:t>
      </w:r>
      <w:r>
        <w:rPr>
          <w:rFonts w:hint="eastAsia" w:hAnsi="宋体" w:cs="Courier New"/>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767"/>
        <w:keepNext/>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811"/>
        <w:keepNext/>
        <w:spacing w:before="120" w:after="120" w:line="264" w:lineRule="auto"/>
        <w:rPr>
          <w:rFonts w:hint="eastAsia" w:hAnsi="宋体" w:cs="Courier New"/>
          <w:sz w:val="24"/>
          <w:szCs w:val="24"/>
        </w:rPr>
      </w:pPr>
      <w:r/>
      <w:bookmarkEnd w:id="150"/>
      <w:r/>
      <w:bookmarkEnd w:id="151"/>
      <w:r/>
      <w:bookmarkEnd w:id="152"/>
      <w:r/>
      <w:bookmarkStart w:id="153" w:name="_Hlt16619369"/>
      <w:r/>
      <w:bookmarkEnd w:id="153"/>
      <w:r>
        <w:rPr>
          <w:rFonts w:hint="eastAsia" w:hAnsi="宋体" w:cs="Courier New"/>
          <w:sz w:val="24"/>
          <w:szCs w:val="24"/>
        </w:rPr>
        <w:t xml:space="preserve">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甲  方：（公章）                       乙  方：（公章）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地  址：                               地  址：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767"/>
        <w:ind w:firstLine="480"/>
        <w:keepNext/>
        <w:spacing w:line="360" w:lineRule="auto"/>
        <w:rPr>
          <w:rFonts w:hint="eastAsia" w:ascii="宋体" w:hAnsi="宋体"/>
          <w:sz w:val="24"/>
          <w:szCs w:val="24"/>
        </w:rPr>
      </w:pPr>
      <w:r>
        <w:rPr>
          <w:rFonts w:hint="eastAsia" w:hAnsi="宋体" w:cs="Courier New"/>
          <w:sz w:val="24"/>
          <w:szCs w:val="24"/>
        </w:rPr>
        <w:t xml:space="preserve">签订日期：     </w:t>
      </w:r>
      <w:r>
        <w:rPr>
          <w:rFonts w:hint="eastAsia" w:ascii="宋体" w:hAnsi="宋体"/>
          <w:sz w:val="24"/>
          <w:szCs w:val="24"/>
        </w:rPr>
        <w:t xml:space="preserve">。</w:t>
      </w:r>
      <w:r>
        <w:rPr>
          <w:rFonts w:hint="eastAsia" w:ascii="宋体" w:hAnsi="宋体"/>
          <w:sz w:val="24"/>
          <w:szCs w:val="24"/>
        </w:rPr>
      </w:r>
      <w:r/>
    </w:p>
    <w:p>
      <w:pPr>
        <w:pStyle w:val="767"/>
        <w:ind w:firstLine="482"/>
        <w:jc w:val="center"/>
        <w:keepNext/>
        <w:spacing w:line="360" w:lineRule="auto"/>
        <w:rPr>
          <w:rFonts w:ascii="宋体" w:hAnsi="宋体"/>
          <w:b/>
          <w:bCs/>
          <w:sz w:val="24"/>
          <w:szCs w:val="24"/>
        </w:rPr>
      </w:pPr>
      <w:r>
        <w:rPr>
          <w:rFonts w:ascii="宋体" w:hAnsi="宋体"/>
          <w:b/>
          <w:bCs/>
          <w:sz w:val="24"/>
          <w:szCs w:val="24"/>
        </w:rPr>
      </w:r>
      <w:r/>
    </w:p>
    <w:p>
      <w:pPr>
        <w:pStyle w:val="767"/>
        <w:ind w:firstLine="482"/>
        <w:jc w:val="center"/>
        <w:keepNext/>
        <w:spacing w:line="360" w:lineRule="auto"/>
        <w:rPr>
          <w:rFonts w:ascii="宋体" w:hAnsi="宋体"/>
          <w:b/>
          <w:bCs/>
          <w:sz w:val="24"/>
          <w:szCs w:val="24"/>
        </w:rPr>
      </w:pPr>
      <w:r>
        <w:rPr>
          <w:rFonts w:ascii="宋体" w:hAnsi="宋体"/>
          <w:b/>
          <w:bCs/>
          <w:sz w:val="24"/>
          <w:szCs w:val="24"/>
        </w:rPr>
      </w:r>
      <w:r/>
    </w:p>
    <w:p>
      <w:pPr>
        <w:pStyle w:val="767"/>
        <w:ind w:firstLine="482"/>
        <w:jc w:val="center"/>
        <w:keepNext/>
        <w:spacing w:line="360" w:lineRule="auto"/>
        <w:rPr>
          <w:rFonts w:hint="eastAsia" w:ascii="宋体" w:hAnsi="宋体"/>
          <w:b/>
          <w:bCs/>
          <w:sz w:val="24"/>
          <w:szCs w:val="24"/>
        </w:rPr>
      </w:pPr>
      <w:r>
        <w:rPr>
          <w:rFonts w:hint="eastAsia" w:ascii="宋体" w:hAnsi="宋体"/>
          <w:b/>
          <w:bCs/>
          <w:sz w:val="24"/>
          <w:szCs w:val="24"/>
        </w:rPr>
        <w:t xml:space="preserve">《*******合同》补充协议（合同附件）</w:t>
      </w:r>
      <w:r>
        <w:rPr>
          <w:rFonts w:hint="eastAsia" w:ascii="宋体" w:hAnsi="宋体"/>
          <w:b/>
          <w:bCs/>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    如遇招标文件及合同未约定事项，双方可友好协商签订补充协议。</w:t>
      </w:r>
      <w:r>
        <w:rPr>
          <w:rFonts w:hint="eastAsia" w:ascii="宋体" w:hAnsi="宋体"/>
          <w:sz w:val="24"/>
          <w:szCs w:val="24"/>
        </w:rPr>
      </w:r>
      <w:r/>
    </w:p>
    <w:p>
      <w:pPr>
        <w:pStyle w:val="767"/>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54" w:name="_Toc20823346"/>
      <w:r/>
      <w:bookmarkStart w:id="155" w:name="_Hlt16619350"/>
      <w:r/>
      <w:bookmarkStart w:id="156" w:name="_Toc16938590"/>
      <w:r/>
      <w:bookmarkStart w:id="157" w:name="_Toc120614244"/>
      <w:r/>
      <w:bookmarkStart w:id="158" w:name="_Toc479757211"/>
      <w:r/>
      <w:bookmarkStart w:id="159" w:name="_Toc462564139"/>
      <w:r>
        <w:rPr>
          <w:rFonts w:hint="eastAsia" w:ascii="宋体" w:hAnsi="宋体"/>
          <w:b/>
          <w:sz w:val="52"/>
          <w:szCs w:val="52"/>
        </w:rPr>
      </w:r>
      <w:r/>
    </w:p>
    <w:p>
      <w:pPr>
        <w:pStyle w:val="887"/>
        <w:jc w:val="center"/>
        <w:keepNext/>
        <w:spacing w:before="120" w:after="120" w:line="0" w:lineRule="atLeast"/>
        <w:rPr>
          <w:rFonts w:hint="eastAsia" w:ascii="方正小标宋简体" w:hAnsi="方正小标宋简体" w:eastAsia="方正小标宋简体" w:cs="方正小标宋简体"/>
          <w:sz w:val="36"/>
          <w:szCs w:val="36"/>
        </w:rPr>
      </w:pPr>
      <w:r/>
      <w:bookmarkEnd w:id="154"/>
      <w:r/>
      <w:bookmarkEnd w:id="155"/>
      <w:r/>
      <w:bookmarkEnd w:id="156"/>
      <w:r/>
      <w:bookmarkEnd w:id="157"/>
      <w:r/>
      <w:bookmarkStart w:id="160" w:name="_Toc26554093"/>
      <w:r/>
      <w:bookmarkStart w:id="161" w:name="_Toc49090575"/>
      <w:r>
        <w:rPr>
          <w:rFonts w:hint="eastAsia" w:ascii="方正小标宋简体" w:hAnsi="方正小标宋简体" w:eastAsia="方正小标宋简体" w:cs="方正小标宋简体"/>
          <w:sz w:val="36"/>
          <w:szCs w:val="36"/>
        </w:rPr>
      </w:r>
      <w:r/>
    </w:p>
    <w:p>
      <w:pPr>
        <w:pStyle w:val="887"/>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7"/>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7"/>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7"/>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7"/>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767"/>
        <w:ind w:firstLine="480"/>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67"/>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767"/>
        <w:ind w:firstLine="480"/>
        <w:rPr>
          <w:rFonts w:hint="eastAsia" w:ascii="宋体" w:hAnsi="宋体"/>
          <w:sz w:val="24"/>
          <w:szCs w:val="24"/>
        </w:rPr>
      </w:pPr>
      <w:r>
        <w:rPr>
          <w:rFonts w:hint="eastAsia" w:ascii="宋体" w:hAnsi="宋体"/>
          <w:sz w:val="24"/>
          <w:szCs w:val="24"/>
          <w:lang w:val="zh-CN"/>
        </w:rPr>
        <w:t xml:space="preserve">本项目是根据六合区多所学校实际需求，配置</w:t>
      </w:r>
      <w:r>
        <w:rPr>
          <w:rFonts w:hint="eastAsia" w:ascii="宋体" w:hAnsi="宋体"/>
          <w:sz w:val="24"/>
          <w:szCs w:val="24"/>
        </w:rPr>
        <w:t xml:space="preserve">课桌椅、功能室设备、体育仪器器材及木器设备</w:t>
      </w:r>
      <w:r>
        <w:rPr>
          <w:rFonts w:hint="eastAsia" w:ascii="宋体" w:hAnsi="宋体"/>
          <w:sz w:val="24"/>
          <w:szCs w:val="24"/>
          <w:lang w:val="zh-CN"/>
        </w:rPr>
        <w:t xml:space="preserve">，满足学校的教育教学需要。</w:t>
      </w:r>
      <w:r>
        <w:rPr>
          <w:rFonts w:hint="eastAsia" w:ascii="宋体" w:hAnsi="宋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767"/>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（三）资产配置标准</w:t>
      </w:r>
      <w:r>
        <w:rPr>
          <w:rFonts w:hint="eastAsia" w:ascii="宋体" w:hAnsi="宋体" w:cs="宋体"/>
          <w:bCs/>
          <w:sz w:val="24"/>
          <w:szCs w:val="24"/>
        </w:rPr>
      </w:r>
      <w:r/>
    </w:p>
    <w:p>
      <w:pPr>
        <w:pStyle w:val="767"/>
        <w:ind w:firstLine="480"/>
        <w:rPr>
          <w:rFonts w:hint="eastAsia" w:ascii="黑体" w:hAnsi="黑体" w:eastAsia="黑体" w:cs="黑体"/>
          <w:sz w:val="24"/>
          <w:szCs w:val="24"/>
        </w:rPr>
      </w:pPr>
      <w:r>
        <w:rPr>
          <w:rFonts w:hint="eastAsia" w:cs="宋体"/>
          <w:bCs/>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符合《市政府办公厅关于印发&lt;南京市市级行政事业单位资产配置标准&gt;、&lt;南京市市级行政事业单位资产使用年限标准&gt;（2016年修订版）的通知》及《关于印发南京市中小学通用资产配置标准的通知》（2</w:t>
      </w:r>
      <w:r>
        <w:rPr>
          <w:rFonts w:cs="宋体"/>
          <w:bCs/>
          <w:sz w:val="24"/>
          <w:szCs w:val="24"/>
        </w:rPr>
        <w:t xml:space="preserve">023</w:t>
      </w:r>
      <w:r>
        <w:rPr>
          <w:rFonts w:hint="eastAsia" w:cs="宋体"/>
          <w:bCs/>
          <w:sz w:val="24"/>
          <w:szCs w:val="24"/>
        </w:rPr>
        <w:t xml:space="preserve">年）。</w:t>
      </w:r>
      <w:r>
        <w:rPr>
          <w:rFonts w:hint="eastAsia" w:ascii="黑体" w:hAnsi="黑体" w:eastAsia="黑体" w:cs="黑体"/>
          <w:sz w:val="24"/>
          <w:szCs w:val="24"/>
        </w:rPr>
      </w:r>
      <w:r/>
    </w:p>
    <w:p>
      <w:pPr>
        <w:pStyle w:val="767"/>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100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1816"/>
        <w:gridCol w:w="698"/>
        <w:gridCol w:w="698"/>
        <w:gridCol w:w="2259"/>
        <w:gridCol w:w="1306"/>
        <w:gridCol w:w="1180"/>
        <w:gridCol w:w="1383"/>
      </w:tblGrid>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序号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货物名称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数量</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单价报价上限（元）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产品类型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所属行业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属性</w:t>
            </w:r>
            <w:r>
              <w:rPr>
                <w:rFonts w:hint="eastAsia" w:eastAsia="等线"/>
                <w:lang w:val="en-US"/>
              </w:rPr>
            </w:r>
            <w:r/>
          </w:p>
        </w:tc>
      </w:tr>
      <w:tr>
        <w:trPr>
          <w:trHeight w:val="27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摆位椅小号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eastAsia="zh-CN"/>
              </w:rPr>
            </w:pPr>
            <w:r>
              <w:rPr>
                <w:rFonts w:hint="eastAsia" w:eastAsia="等线"/>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摆位椅大号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摆位椅加大号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eastAsia="等线"/>
                <w:lang w:val="en-US" w:eastAsia="zh-CN"/>
              </w:rPr>
            </w:pPr>
            <w:r>
              <w:rPr>
                <w:rFonts w:hint="eastAsia" w:eastAsia="等线"/>
                <w:lang w:val="en-US" w:eastAsia="zh-CN"/>
              </w:rPr>
              <w:t xml:space="preserve">1150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壁挂式磁吸白板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后墙绿板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篮球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打</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盒</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平衡木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匹克球拍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匹克球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跨栏架-1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韵律操踏板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毽子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瑜伽砖</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软式垒球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竞速跳绳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eastAsia="zh-CN"/>
              </w:rPr>
            </w:pPr>
            <w:r>
              <w:rPr>
                <w:rFonts w:hint="eastAsia" w:eastAsia="等线"/>
                <w:lang w:val="en-US"/>
              </w:rPr>
              <w:t xml:space="preserve">3</w:t>
            </w:r>
            <w:r>
              <w:rPr>
                <w:rFonts w:hint="eastAsia" w:eastAsia="等线"/>
                <w:lang w:val="en-US" w:eastAsia="zh-CN"/>
              </w:rPr>
              <w:t xml:space="preserve">700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美术桌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eastAsia="zh-CN"/>
              </w:rPr>
              <w:t xml:space="preserve">4</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桌垫</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圆凳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全板式静物台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全板式拷贝台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作品晾晒架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eastAsia="zh-CN"/>
              </w:rPr>
              <w:t xml:space="preserve">0</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水柜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陶瓷水盆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单口龙头</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室内水管对接及改造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边柜1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eastAsia="zh-CN"/>
              </w:rPr>
              <w:t xml:space="preserve">4</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软木展板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准备台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eastAsia="zh-CN"/>
              </w:rPr>
              <w:t xml:space="preserve">5</w:t>
            </w:r>
            <w:r>
              <w:rPr>
                <w:rFonts w:hint="eastAsia" w:eastAsia="等线"/>
                <w:lang w:val="en-US"/>
              </w:rPr>
              <w:t xml:space="preserve">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器材柜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储物展示柜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画室卡纸置物架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黑板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讲台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组合桌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储物矮柜1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展示高柜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储物矮柜2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洞洞板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定制室内标识标牌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行政柜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短跳绳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气排球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实心球-1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跨栏架-2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足球门1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足球门2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5400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货物架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礼堂椅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主要产品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折叠条桌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55寸液晶拼接显示单元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拼接屏拼接支架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拼接屏辅材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外置拼接处理器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拼接屏控制专用主机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65寸壁挂广告机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手持无线话筒（一拖四）</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无线话筒（一拖二）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天线分配放大器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天线支架及延长线缆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12路带编组调音台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数字话筒处理器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专业功率放大器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专业音柱音箱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音箱壁挂支架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8路电源时序器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LED会议灯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中号灯钩</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保险绳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12路电源直通箱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专业机柜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25" cy="120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2" o:title=""/>
                    </v:shape>
                  </w:pict>
                </mc:Fallback>
              </mc:AlternateContent>
            </w: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25" cy="12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3" o:title=""/>
                    </v:shape>
                  </w:pict>
                </mc:Fallback>
              </mc:AlternateContent>
            </w: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音频线材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灯光线材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灯光杆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音箱线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辅材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25" cy="107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牛角椅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学生书法桌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实木凳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室内水管改造及地面处理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墙面处理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墙面乳胶漆出新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45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室内物品搬迁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劳技桌2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室内电位改造对接</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边柜2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窗帘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eastAsia="等线"/>
                <w:lang w:val="en-US"/>
              </w:rPr>
            </w:pPr>
            <w:r>
              <w:rPr>
                <w:rFonts w:hint="eastAsia" w:eastAsia="等线"/>
                <w:lang w:val="en-US"/>
              </w:rPr>
              <w:t xml:space="preserve">100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LED护眼教室灯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盏</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综合布线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木工工具箱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五金工具箱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木工工具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木工开孔器套装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劳技桌1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乒乓球台（室内）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53340" cy="353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5" o:title=""/>
                    </v:shape>
                  </w:pict>
                </mc:Fallback>
              </mc:AlternateContent>
            </w:r>
            <w:r>
              <w:rPr>
                <w:rFonts w:hint="eastAsia" w:eastAsia="等线"/>
                <w:lang w:val="en-US"/>
              </w:rPr>
              <w:t xml:space="preserve">1800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53340" cy="3536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6" o:title=""/>
                    </v:shape>
                  </w:pict>
                </mc:Fallback>
              </mc:AlternateConten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乒乓球地面围挡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面</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小足球门（含网）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小沙包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50米卷尺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20米卷尺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花球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实心球-2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发令枪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绳梯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弹力带-1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跳皮筋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山羊台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助跳板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肋木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间</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身高体重测量仪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画线小推车</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软式跨栏架组合</w:t>
            </w:r>
            <w:r>
              <w:rPr>
                <w:rFonts w:hint="eastAsia" w:eastAsia="等线"/>
                <w:lang w:val="en-US"/>
              </w:rPr>
            </w:r>
            <w:r/>
          </w:p>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弹力带-2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乒乓球发球机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53340" cy="3543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0.0pt;mso-position-horizontal:absolute;mso-position-vertical-relative:text;margin-top:0.0pt;mso-position-vertical:absolute;width:4.2pt;height:27.9pt;mso-wrap-distance-left:9.0pt;mso-wrap-distance-top:0.0pt;mso-wrap-distance-right:9.0pt;mso-wrap-distance-bottom:0.0pt;" stroked="f">
                      <v:path textboxrect="0,0,0,0"/>
                      <v:imagedata r:id="rId17" o:title=""/>
                    </v:shape>
                  </w:pict>
                </mc:Fallback>
              </mc:AlternateContent>
            </w: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小篮球5号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小足球4号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排球5号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7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小足球门（3人制）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可升降移动小篮球架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3.6米竹节绳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4.2米竹节绳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跳高架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计时秒表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小跨栏架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篮球网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接力棒（比赛型）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足球标志盘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打印机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定制书柜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定制班级边柜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课桌椅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1455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核心产品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档案柜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异形阅览桌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阅览椅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软体组合</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布帘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活动柜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1800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屏风-1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43</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移动桌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校长储物柜-1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异形办公桌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后墙软木板-1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组合书柜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定制钢制卷帘门柜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eastAsia="zh-CN"/>
              </w:rPr>
            </w:pPr>
            <w:r>
              <w:rPr>
                <w:rFonts w:hint="eastAsia" w:eastAsia="等线"/>
                <w:lang w:val="en-US"/>
              </w:rPr>
              <w:t xml:space="preserve">19</w:t>
            </w:r>
            <w:r>
              <w:rPr>
                <w:rFonts w:hint="eastAsia" w:eastAsia="等线"/>
                <w:lang w:val="en-US" w:eastAsia="zh-CN"/>
              </w:rPr>
              <w:t xml:space="preserve">00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矮柜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接待椅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三门文件柜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双门文件柜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茶水柜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沙发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长茶几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钢制文件柜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eastAsia="zh-CN"/>
              </w:rPr>
              <w:t xml:space="preserve">8</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eastAsia="zh-CN"/>
              </w:rPr>
              <w:t xml:space="preserve">2</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屏风-2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35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午休椅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作业柜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后墙软木板-2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bl>
    <w:p>
      <w:pPr>
        <w:pStyle w:val="779"/>
        <w:ind w:left="0"/>
        <w:jc w:val="center"/>
        <w:spacing w:line="280" w:lineRule="exact"/>
        <w:rPr>
          <w:rFonts w:eastAsia="等线"/>
          <w:lang w:val="en-US"/>
        </w:rPr>
      </w:pPr>
      <w:r>
        <w:rPr>
          <w:rFonts w:eastAsia="等线"/>
          <w:lang w:val="en-US"/>
        </w:rPr>
      </w:r>
      <w:r/>
    </w:p>
    <w:p>
      <w:pPr>
        <w:pStyle w:val="767"/>
        <w:rPr>
          <w:rFonts w:hint="eastAsia" w:ascii="黑体" w:hAnsi="黑体" w:eastAsia="黑体"/>
          <w:sz w:val="24"/>
          <w:szCs w:val="24"/>
        </w:rPr>
      </w:pPr>
      <w:r>
        <w:rPr>
          <w:rFonts w:hint="eastAsia" w:ascii="黑体" w:hAnsi="黑体" w:eastAsia="黑体"/>
          <w:sz w:val="24"/>
          <w:szCs w:val="24"/>
        </w:rPr>
        <w:t xml:space="preserve">四、拟采购标的需要满足的技术、商务要求</w:t>
      </w:r>
      <w:r>
        <w:rPr>
          <w:rFonts w:hint="eastAsia" w:ascii="黑体" w:hAnsi="黑体" w:eastAsia="黑体"/>
          <w:sz w:val="24"/>
          <w:szCs w:val="24"/>
        </w:rPr>
      </w:r>
      <w:r/>
    </w:p>
    <w:p>
      <w:pPr>
        <w:pStyle w:val="767"/>
        <w:spacing w:line="360" w:lineRule="exact"/>
        <w:rPr>
          <w:rFonts w:hint="eastAsia"/>
          <w:bCs/>
          <w:sz w:val="24"/>
          <w:szCs w:val="24"/>
        </w:rPr>
      </w:pPr>
      <w:r>
        <w:rPr>
          <w:rFonts w:hint="eastAsia"/>
          <w:bCs/>
          <w:sz w:val="24"/>
          <w:szCs w:val="24"/>
        </w:rPr>
        <w:t xml:space="preserve">（一）技术要求</w:t>
      </w:r>
      <w:r>
        <w:rPr>
          <w:rFonts w:hint="eastAsia"/>
          <w:bCs/>
          <w:sz w:val="24"/>
          <w:szCs w:val="24"/>
        </w:rPr>
      </w:r>
      <w:r/>
    </w:p>
    <w:p>
      <w:pPr>
        <w:pStyle w:val="767"/>
        <w:spacing w:line="360" w:lineRule="exact"/>
        <w:rPr>
          <w:sz w:val="24"/>
          <w:szCs w:val="24"/>
        </w:rPr>
      </w:pPr>
      <w:r>
        <w:rPr>
          <w:rFonts w:hint="eastAsia"/>
          <w:bCs/>
          <w:sz w:val="24"/>
          <w:szCs w:val="24"/>
        </w:rPr>
        <w:t xml:space="preserve">1.产品技术指标</w:t>
      </w:r>
      <w:r>
        <w:rPr>
          <w:sz w:val="24"/>
          <w:szCs w:val="24"/>
        </w:rPr>
      </w:r>
      <w:r/>
    </w:p>
    <w:tbl>
      <w:tblPr>
        <w:tblW w:w="104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27"/>
        <w:gridCol w:w="7053"/>
      </w:tblGrid>
      <w:tr>
        <w:trPr>
          <w:trHeight w:val="90"/>
        </w:trPr>
        <w:tc>
          <w:tcPr>
            <w:shd w:val="clear" w:color="auto" w:fill="8db3e2"/>
            <w:tcW w:w="710"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序号</w:t>
            </w:r>
            <w:r>
              <w:rPr>
                <w:rFonts w:hint="eastAsia" w:ascii="宋体" w:hAnsi="宋体" w:cs="宋体"/>
                <w:b/>
                <w:bCs/>
                <w:szCs w:val="21"/>
                <w:lang w:val="zh-CN" w:bidi="zh-CN"/>
              </w:rPr>
            </w:r>
            <w:r/>
          </w:p>
        </w:tc>
        <w:tc>
          <w:tcPr>
            <w:shd w:val="clear" w:color="auto" w:fill="8db3e2"/>
            <w:tcW w:w="2727"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名称</w:t>
            </w:r>
            <w:r>
              <w:rPr>
                <w:rFonts w:hint="eastAsia" w:ascii="宋体" w:hAnsi="宋体" w:cs="宋体"/>
                <w:b/>
                <w:bCs/>
                <w:szCs w:val="21"/>
                <w:lang w:val="zh-CN" w:bidi="zh-CN"/>
              </w:rPr>
            </w:r>
            <w:r/>
          </w:p>
        </w:tc>
        <w:tc>
          <w:tcPr>
            <w:shd w:val="clear" w:color="auto" w:fill="8db3e2"/>
            <w:tcW w:w="7053"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技术参数不低于以下要求</w:t>
            </w:r>
            <w:r>
              <w:rPr>
                <w:rFonts w:hint="eastAsia" w:ascii="宋体" w:hAnsi="宋体" w:cs="宋体"/>
                <w:b/>
                <w:bCs/>
                <w:szCs w:val="21"/>
                <w:lang w:val="zh-CN" w:bidi="zh-CN"/>
              </w:rPr>
            </w:r>
            <w:r/>
          </w:p>
        </w:tc>
      </w:tr>
      <w:tr>
        <w:trPr>
          <w:trHeight w:val="1408"/>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摆位椅小号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1、规格：620*300*660mm；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382"/>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2</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摆位椅大号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1、规格：800*380*800mm；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658"/>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3</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摆位椅加大号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1、规格：850*460*960mm；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2249"/>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4</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壁挂式磁吸白板</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2、背板：采用冷轧工艺镀锌板，具有硬度高防潮防锈的作用，耐碰撞、不易折断、寿命长；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3、面板：环保树脂烤漆镀锌板，水性笔书写流畅，擦拭容易，耐磨寿命长、可吸磁；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4、边框：采用加厚铝合金边框，硬度高抗击力强防折弯；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5、角：采用ABS弧形护角，防撞击护孩子周全。</w:t>
            </w:r>
            <w:r>
              <w:rPr>
                <w:rFonts w:hint="eastAsia" w:ascii="宋体" w:hAnsi="宋体" w:cs="宋体"/>
                <w:szCs w:val="21"/>
                <w:lang w:bidi="zh-CN"/>
              </w:rPr>
            </w:r>
            <w:r/>
          </w:p>
        </w:tc>
      </w:tr>
      <w:tr>
        <w:trPr>
          <w:trHeight w:val="1974"/>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5</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后墙绿板</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2、背板：采用冷轧工艺镀锌板，具有硬度高防潮防锈的作用，耐碰撞、不易折断、寿命长；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3、面板：采用树脂磨砂颗粒涂层耐写耐磨，书写流畅不打滑；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4、边框：采用加厚铝合金边框，硬度高抗击力强防折弯；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5、角：采用ABS弧形护角，防撞击护孩子周全。</w:t>
            </w:r>
            <w:r>
              <w:rPr>
                <w:rFonts w:hint="eastAsia" w:ascii="宋体" w:hAnsi="宋体" w:cs="宋体"/>
                <w:szCs w:val="21"/>
                <w:lang w:bidi="zh-CN"/>
              </w:rPr>
            </w:r>
            <w:r/>
          </w:p>
        </w:tc>
      </w:tr>
      <w:tr>
        <w:trPr>
          <w:trHeight w:val="757"/>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6</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篮球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1、规格：球周745-760mm，重量567-650g；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w:t>
            </w:r>
            <w:r>
              <w:rPr>
                <w:rFonts w:hint="eastAsia" w:ascii="宋体" w:hAnsi="宋体" w:cs="宋体"/>
                <w:color w:val="000000"/>
                <w:sz w:val="18"/>
                <w:szCs w:val="18"/>
                <w:lang w:bidi="ar"/>
              </w:rPr>
              <w:t xml:space="preserve">：</w:t>
            </w:r>
            <w:r>
              <w:rPr>
                <w:rFonts w:hint="eastAsia" w:ascii="宋体" w:hAnsi="宋体"/>
                <w:color w:val="000000"/>
                <w:sz w:val="18"/>
                <w:szCs w:val="18"/>
              </w:rPr>
              <w:t xml:space="preserve">均衡颗粒PU表皮，醒目图案，耐磨防滑，室内外通用，</w:t>
            </w:r>
            <w:r>
              <w:rPr>
                <w:rFonts w:hint="eastAsia" w:ascii="宋体" w:hAnsi="宋体" w:cs="宋体"/>
                <w:color w:val="000000"/>
                <w:sz w:val="18"/>
                <w:szCs w:val="18"/>
                <w:lang w:bidi="ar"/>
              </w:rPr>
              <w:t xml:space="preserve">丁基内</w:t>
            </w:r>
            <w:r>
              <w:rPr>
                <w:rFonts w:hint="eastAsia" w:ascii="宋体" w:hAnsi="宋体" w:cs="宋体"/>
                <w:color w:val="000000"/>
                <w:sz w:val="20"/>
                <w:szCs w:val="20"/>
                <w:lang w:bidi="ar"/>
              </w:rPr>
              <w:t xml:space="preserve">胆。</w:t>
            </w:r>
            <w:r>
              <w:rPr>
                <w:rFonts w:hint="eastAsia" w:ascii="宋体" w:hAnsi="宋体" w:cs="宋体"/>
                <w:szCs w:val="21"/>
                <w:lang w:bidi="zh-CN"/>
              </w:rPr>
            </w:r>
            <w:r/>
          </w:p>
        </w:tc>
      </w:tr>
      <w:tr>
        <w:trPr>
          <w:trHeight w:val="715"/>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7</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足球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1、规格：周长680mm - 710mm，重量410克 - 450克；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2、材料：采用PU（聚氨酯）材料；内胆则采用丁基或乳胶等材料。</w:t>
            </w:r>
            <w:r>
              <w:rPr>
                <w:rFonts w:hint="eastAsia" w:ascii="宋体" w:hAnsi="宋体" w:cs="宋体"/>
                <w:szCs w:val="21"/>
                <w:lang w:bidi="zh-CN"/>
              </w:rPr>
            </w:r>
            <w:r/>
          </w:p>
        </w:tc>
      </w:tr>
      <w:tr>
        <w:trPr>
          <w:trHeight w:val="371"/>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8</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排球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1、规格：周长：650-670mm，重量：260-280；                               2、材质：生胶。</w:t>
            </w:r>
            <w:r>
              <w:rPr>
                <w:rFonts w:hint="eastAsia" w:ascii="宋体" w:hAnsi="宋体" w:cs="宋体"/>
                <w:szCs w:val="21"/>
                <w:lang w:bidi="zh-CN"/>
              </w:rPr>
            </w:r>
            <w:r/>
          </w:p>
        </w:tc>
      </w:tr>
      <w:tr>
        <w:trPr>
          <w:trHeight w:val="381"/>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9</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1、材质：铝合金；重量：85-89g/支。</w:t>
            </w:r>
            <w:r>
              <w:rPr>
                <w:rFonts w:hint="eastAsia" w:ascii="宋体" w:hAnsi="宋体" w:cs="宋体"/>
                <w:szCs w:val="21"/>
                <w:lang w:bidi="zh-CN"/>
              </w:rPr>
            </w:r>
            <w:r/>
          </w:p>
        </w:tc>
      </w:tr>
      <w:tr>
        <w:trPr>
          <w:trHeight w:val="622"/>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10</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1、规格：1打含12只，球重4克~6克；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2、材质：鹅弯毛， 泡沫球头。</w:t>
            </w:r>
            <w:r>
              <w:rPr>
                <w:rFonts w:hint="eastAsia" w:ascii="宋体" w:hAnsi="宋体" w:cs="宋体"/>
                <w:szCs w:val="21"/>
                <w:lang w:bidi="zh-CN"/>
              </w:rPr>
            </w:r>
            <w:r/>
          </w:p>
        </w:tc>
      </w:tr>
      <w:tr>
        <w:trPr>
          <w:trHeight w:val="9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11</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规格：装箱尺寸：420x350x320(mm)；</w:t>
            </w:r>
            <w:r>
              <w:rPr>
                <w:rFonts w:hint="eastAsia" w:ascii="宋体" w:hAnsi="宋体" w:cs="宋体"/>
                <w:color w:val="000000"/>
                <w:sz w:val="20"/>
                <w:szCs w:val="20"/>
                <w:lang w:bidi="ar"/>
              </w:rPr>
            </w:r>
            <w:r/>
          </w:p>
          <w:p>
            <w:pPr>
              <w:pStyle w:val="767"/>
              <w:numPr>
                <w:ilvl w:val="0"/>
                <w:numId w:val="5"/>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材质/结构 ：拍面材质：纯木底板，胶皮类型：双面反胶。</w:t>
            </w:r>
            <w:r>
              <w:rPr>
                <w:rFonts w:hint="eastAsia" w:ascii="宋体" w:hAnsi="宋体" w:cs="宋体"/>
                <w:szCs w:val="21"/>
                <w:lang w:bidi="zh-CN"/>
              </w:rPr>
            </w:r>
            <w:r/>
          </w:p>
        </w:tc>
      </w:tr>
      <w:tr>
        <w:trPr>
          <w:trHeight w:val="85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12</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1、规格：10只装，直径39-41mm；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2、材质：硝化纤维塑料。</w:t>
            </w:r>
            <w:r>
              <w:rPr>
                <w:rFonts w:hint="eastAsia" w:ascii="宋体" w:hAnsi="宋体" w:cs="宋体"/>
                <w:szCs w:val="21"/>
                <w:lang w:bidi="zh-CN"/>
              </w:rPr>
            </w:r>
            <w:r/>
          </w:p>
        </w:tc>
      </w:tr>
      <w:tr>
        <w:trPr>
          <w:trHeight w:val="98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13</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平衡木</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规格：长度：300 cm，面宽：8 cm，主体高度：30 cm，加厚：6 cm；</w:t>
            </w:r>
            <w:r>
              <w:rPr>
                <w:rFonts w:hint="eastAsia" w:ascii="宋体" w:hAnsi="宋体" w:cs="宋体"/>
                <w:color w:val="000000"/>
                <w:sz w:val="20"/>
                <w:szCs w:val="20"/>
                <w:lang w:bidi="ar"/>
              </w:rPr>
            </w:r>
            <w:r/>
          </w:p>
          <w:p>
            <w:pPr>
              <w:pStyle w:val="767"/>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材质：体：实木（如松木、橡木）、多层胶合板、塑料等；</w:t>
            </w:r>
            <w:r>
              <w:rPr>
                <w:rFonts w:hint="eastAsia" w:ascii="宋体" w:hAnsi="宋体" w:cs="宋体"/>
                <w:szCs w:val="21"/>
                <w:lang w:bidi="zh-CN"/>
              </w:rPr>
            </w:r>
            <w:r/>
          </w:p>
          <w:p>
            <w:pPr>
              <w:pStyle w:val="767"/>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表面：PU皮革、PVC、EVA泡棉、防滑橡胶等；承重：100公斤左右。</w:t>
            </w:r>
            <w:r>
              <w:rPr>
                <w:rFonts w:hint="eastAsia" w:ascii="宋体" w:hAnsi="宋体" w:cs="宋体"/>
                <w:szCs w:val="21"/>
                <w:lang w:bidi="zh-CN"/>
              </w:rPr>
            </w:r>
            <w:r/>
          </w:p>
        </w:tc>
      </w:tr>
      <w:tr>
        <w:trPr>
          <w:trHeight w:val="123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14</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1、球拍材质:杨木手柄材质；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2、PP球的材质:PVC直径60左右；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3、球拍尺寸:395*195mm；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4、球拍厚度:0.8cm。</w:t>
            </w:r>
            <w:r>
              <w:rPr>
                <w:rFonts w:hint="eastAsia" w:ascii="宋体" w:hAnsi="宋体" w:cs="宋体"/>
                <w:szCs w:val="21"/>
                <w:lang w:bidi="zh-CN"/>
              </w:rPr>
            </w:r>
            <w:r/>
          </w:p>
        </w:tc>
      </w:tr>
      <w:tr>
        <w:trPr>
          <w:trHeight w:val="539"/>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规格：直径:约7mm，重量:约26g；</w:t>
            </w:r>
            <w:r>
              <w:rPr>
                <w:rFonts w:hint="eastAsia" w:ascii="宋体" w:hAnsi="宋体" w:cs="宋体"/>
                <w:szCs w:val="21"/>
                <w:lang w:bidi="zh-CN"/>
              </w:rPr>
            </w:r>
            <w:r/>
          </w:p>
          <w:p>
            <w:pPr>
              <w:pStyle w:val="767"/>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 硬质镂空塑料，40孔。</w:t>
            </w:r>
            <w:r>
              <w:rPr>
                <w:rFonts w:hint="eastAsia" w:ascii="宋体" w:hAnsi="宋体" w:cs="宋体"/>
                <w:szCs w:val="21"/>
                <w:lang w:bidi="zh-CN"/>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 30cm/40cm/50cm ；</w:t>
            </w:r>
            <w:r>
              <w:rPr>
                <w:rFonts w:hint="eastAsia" w:ascii="宋体" w:hAnsi="宋体" w:cs="宋体"/>
                <w:color w:val="000000"/>
                <w:sz w:val="20"/>
                <w:szCs w:val="20"/>
                <w:lang w:bidi="ar"/>
              </w:rPr>
            </w:r>
            <w:r/>
          </w:p>
          <w:p>
            <w:pPr>
              <w:pStyle w:val="767"/>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材质：ABS材质。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韵律操踏板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1、规格：68*29*10/15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2、材质：PP。</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毽子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1、座子直径：25mm,；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2、羽毛高：60～70mm。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瑜伽砖</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1、材质：环保EVA，无异味。</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3、直径:约10寸；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竞速跳绳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规格：250cm；</w:t>
            </w:r>
            <w:r>
              <w:rPr>
                <w:rFonts w:hint="eastAsia" w:ascii="宋体" w:hAnsi="宋体" w:cs="宋体"/>
                <w:color w:val="000000"/>
                <w:sz w:val="20"/>
                <w:szCs w:val="20"/>
                <w:lang w:bidi="ar"/>
              </w:rPr>
            </w:r>
            <w:r/>
          </w:p>
          <w:p>
            <w:pPr>
              <w:pStyle w:val="767"/>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材质：全胶。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3、台面：采用12mm厚抗</w:t>
            </w:r>
            <w:r>
              <w:rPr>
                <w:rFonts w:hint="eastAsia" w:ascii="宋体" w:hAnsi="宋体" w:cs="宋体"/>
                <w:color w:val="000000"/>
                <w:sz w:val="20"/>
                <w:szCs w:val="20"/>
                <w:lang w:bidi="ar"/>
              </w:rPr>
              <w:t xml:space="preserve">倍特板边缘加厚至24mm，抗倍特板满足总挥发性有机化合物（TVOC）：依据GB/T7911-2024《热固性树脂浸渍纸高压装饰层积板(HPL)》标准，检测结果≤200μg/m³。防霉性能检测：依据JC/T2039-2010《抗菌防霉木质装饰板》标准，至少包含：黑曲霉、土曲霉、球毛壳霉、宛氏拟青霉、绳状青霉、出芽短梗霉等常见的霉菌检测，且防霉等级为0级或1级（▲提供所投抗倍特板（或所投礼堂椅的台面）的第三方检测报告，检测报告须由具备CMA或CNAS标识的第三方检测机构出具，出具日期不早于投标截止日前6个月）；</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4、主体框架：采用30*40mm工业级卡锁式铝型材，横拉30*38mm,壁厚≥1.5mm方形铝合金框架，表面用环氧树脂粉末喷涂，并作高温固化,环氧树脂喷涂理处理，ABS连接件、调节脚；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美术桌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规格：1800*1100*760mm；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2、钢木结构，桌面采用18mm厚橡胶木，边缘加厚至36mm；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3、桌腿采用30*50钢管，台身金属支撑架经酸洗磷化抛光等处理后，采用环氧树脂塑粉喷涂处理，电镀钢脚，钢管壁厚1.2mm厚，带可调节底脚；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4、桌面下部设有横撑隔板储物。</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桌垫</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规格：1800*1100*2mm；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2、PVC材质，无味抗菌，斜磨边磨砂材质；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3、2mm厚度，长度宽度依据学生桌定制。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圆凳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1、凳面：直径300mm×30mm 采用环保型PP改性塑料一次性注塑成型 ，表面细纹咬花，防滑不发光；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2、凳架：采用20×40×1.2mm椭圆形无缝钢管成型制作，全圆满焊接完成，结构牢固，经高温粉体烤漆处理；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3、升降螺杆：采用内置螺杆式螺旋升降，凳面升高后看不到螺杆,高度范围430-490mm；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4、托盘采用165*165*1.8mm钢板冲压而成，托盘与螺杆之间设有一个锥形盘加固；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5、脚垫：采用PP纤维质塑料注塑成型。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全板式静物台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1、尺寸：600mm*600mm*600mm/1220mmH，产品各项规格尺寸误差不超过3mm；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2、柜体采用18mm厚彩色实木颗粒板，专用连接件，2mmPVC封边条机械封边，台面设计双层合开板。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全板式拷贝台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1、尺寸：800mm*600mm*850mm，产品各项规格尺寸误差不超过3mm；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2、柜体采用≥18mm实木颗粒板，台面嵌5mm厚钢化玻璃，两侧20W日光灯，2㎜PVC封边条机器封边；阻尼铰链或液压阻尼铰链，铝合金一字型长条拉手。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作品晾晒架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1、全钢结构，主体采用30*30钢管，台身金属支撑架经酸洗磷化抛光等处理后，采用环氧树脂塑粉喷涂处理，电镀钢脚，钢管壁厚1.2mm厚，带4个万向轮，可移动；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2、支持A2，4K画纸晾晒，内含20个63X45CM金属网片，每层可抽拉，层距35mm。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1、尺寸：800*550*800mm±3mm；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2、柜体采用≥18mm实木颗粒板，2mm厚同色封边条，专用连接件，铝合金一字型拉手，阻尼铰链，对开门设计，石英石台面。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陶瓷水盆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规格：600*400mm；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2、材质：陶瓷，台下式。</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单口龙头</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1、规格：龙头高度：180 - 265 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2、材质：全铜主体搭配陶瓷阀芯，表面经过电镀或喷涂处理；款式：单把单孔；固定底座、垫片、接头，含下水套件。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室内水管对接及改造</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1、室内有水点，含少量点位位置调整，改造至指定位置。给水采用专用铝塑管软连接,排水采用PVC曲型管软连接，含所有改造所需材料、人工及垃圾清运，含水柜上下点位对接。</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1、尺寸：950*550*800Hmm，产品各项规格尺寸误差不超过3mm；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软木展板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1、规格：8300*1900H/mm；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2、采用聚酯纤维制成，厚度≥0.6mm,具有还具有阻燃、防潮、隔热、保温性能，安全无毒，不会散发有毒物质，展板基底采用9厘米木工板制成，外加木质装饰边框，边框宽度50mm。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1、尺寸：3000*700*850mm，产品各项规格尺寸误差不超过3mm；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铝木结构，主体立柱采用工业级卡锁式铝型材，矩形铝合金型材规格≥34*37mm，主框架壁厚≥1.5mm，横梁规格≥30*28mm,壁厚≥1.5mm,表面用环氧树脂粉末喷涂，并作高温固化处理或电泳、氧化处理，采用热铝拉制，热塑成型，并做加强筋和表面装饰处理；调节脚为尼龙螺栓注塑而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3、台面：采用12.7mm厚实芯理化板边缘加厚至25.4mm，实芯理化板满足烟气毒性检测：台面依据GB 8624-2012《建筑材料及制品燃烧性能分级》标准，产烟毒性危险等级达到准安全三级ZA3（▲提供台面制造厂商出具的2025年及以后版本带CMA或CNAS标志的检测报告进行佐证）；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4、柜体为18mm厚实木多层板,专用连接件,1.5mm厚封边条；所有板材加工截面必须封边，避免甲醛随意释放，确保达到环保标准。D阻尼铰链三节静音滑轨；拉手采用铝合金一字型拉手。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器材柜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1、尺寸：1000mm*500mm*2000mm，产品各项规格尺寸误差不超过3mm；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铝木结构，主体采用34*37mm铝合金框架壁厚≥1.2mm，表面用环氧树脂粉末喷涂，并作高温固化处理或电泳、氧化处理，采用热铝拉制，热塑成型，锌铝挤压，并做加强筋和表面装饰处理。连接件为工程塑料，模具注塑而成，接头与型材紧密结合；调节脚为尼龙螺栓注塑而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采用18mm厚实木多层板，2mm厚同色封边条，专用连接件，阻尼铰链，上门为木制边框玻璃对开门，下柜为板式对开门，铝合金一字型拉手。上部设二层活动层板，板前沿口加装“U”型钢槽，下门为板门内设一层隔板，主隔板需用钢管加强增加板承重率牢固不变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储物展示柜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1、柜体长度1米，深度400mm，总高度2200mm；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2、柜体采用18mm厚实木颗粒板，2mm同色封边条，专用连接件，对开门设计，板门内设多块横隔板，中标方需与校方确认生产。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画室卡纸置物架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1、规格：800*500*2000mm；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框架结构，柱子为60mm*40mm.横梁为30mm*40mm方钢，钢板1.0mm厚，表面经酸洗磷化静电喷涂处理。货架除顶底钢板之外，有八块钢层板，层板两头带有挂钩，可根据实际需求调节层板间距。层板钢板厚度1.0mm厚，下部设有横梁支撑。</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黑板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1、校方原有绿板利旧，协助拆装至新教室，包含所需人工及材料费用。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讲台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3、台面：采用12mm厚抗倍特板，边缘加厚至24mm；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主体框架：采用34*37mm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组合桌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1、六张外围组合，组合后规格800*1600*750mm,桌面：25mm厚E1级三聚氰胺防火板，耐磨、防静电、防火、抗污染；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2、桌兜：注塑书包兜；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3、台身结构：金属钢制框架结构，框架三角形 ，桌腿为50圆管，横管为32×28±1. 2mm方管，钢制框架的壁厚不小于1.2mm(±0.2 mm)。钢制框架表面静电喷塑；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4、桌架整体耐腐蚀、防火、防潮；所有板材外露端面采用高质量PVC封边条，利用机械封边机配以热溶胶高温封边，高密封性不吸水、不膨；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5、脚垫：ABS耐蚀注塑专用垫，可隐蔽固定，有效防潮。</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1、尺寸：W1800*D1200*H1125/750mm(±5mm)；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桌面采用25mm(±0.3mm)厚橡胶木指接板，面对人侧转角倒圆；木蜡油处理。整桌中间横向安装工具墙，双面挂件洞洞板采用壁厚1.2mm(±0.5mm)钢板，经冲压、折边成型。桌主体框架采用34*37mm工业级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2、柜体采用18mm厚实木颗粒板，2mm同色封边条，专用连接件，上部设抽屉，下部对开门设计，中标方需与校方确认生产。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展示高柜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1、尺寸1000*400*2200Hmm，产品各项规格尺寸误差不超过3mm；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2、柜体采用18mm厚彩色实木颗粒板，专用连接件，2mmPVC封边条机械封边；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3、柜体上部用于组合展示，下部带门可储物，配C型拉手。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2、柜体采用18mm厚实木颗粒板，2mm同色封边条，专用连接件，上部设抽屉，下部对开门设计，中标方需与校方确认生产。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洞洞板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1、尺寸：5700*200*1200mm±10mm；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2、材质：实木多层板+冷轧钢板；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3、工艺：储物格板材厚度≥18mm,基材采用实木多层板，PVC直封边制作。工具墙采用1.5mm厚冷轧钢板，表面采用高温粉体烤漆，耐腐蚀，不易生锈；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4、功能：模块化集成工具墙，储物格安全环保不易变形，可收纳工具及展示作品。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定制室内标识标牌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1、规格：5900*2300mm；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2、小学教室字（善恩多问勤学共进博学笃志养行正德）PVC+亚克力UV安装；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3、班牌、课程表、卫生、劳动等表格；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4、5mm亚克力四角镜钉安装，八礼四仪等；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5、A4插卡；                                                          6、PVC+亚克力uv安装。</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办公椅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1、参考尺寸：580*650*990mm±10mm；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2、材质：仿皮/电镀钢架；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3、工艺：采用直径≥25mm，管厚≥1.5mm电镀弓形脚，配塑料脚垫；坐垫采用40#高密海绵，厚度≥40mm，面层为仿皮材质。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行政柜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1、参考尺寸：长900mm*深400mm*高2000mm±10mm；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2、材质工艺：基材采用≥18mm厚E0级实木多层板，采用优质高温热熔胶封边，优质三合一连接件；优质五金铰链，达国家标准。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短跳绳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1、规格：绳子长240cm~280cm；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2、材质;钢丝绳，可调节。</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气排球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1、气排球重量：120-130g圆周：720-740mm；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 EVA材质；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3、包 装：一箱12个。</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规格:2kg；</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2、材质：橡胶。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4"/>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规格：50cm；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材质： ABS。</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1、规格：7.26*3.0M 移动式钢制.直径75mm钢管主材；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2、喷塑；网另配。所有表面经抛光、酸洗、磷化等初级处理后在自动喷涂线上采用纯聚酯粉末喷涂完成最后表面处理，涂层厚度70—80um,硬度达铅笔3H+能适合能适合潮湿和酸雨环境方不含毒元素；                                                   3、产品材料规格均为裸钢（管）厚度。</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1、规格：5.0*3.0M 移动式钢制.直径75mm钢管主材；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2、喷塑；网另配。所有表面经抛光、酸洗、磷化等初级处理后在自动喷涂线上采用纯聚酯粉末喷涂完成最后表面处理，涂层厚度70—80um,硬度达铅笔3H+，能适合能适合潮湿和酸雨环境方不含毒元素；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3、产品材料规格均为裸钢（管）厚度。</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货物架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规格：长200mm*宽40mm*高200mm；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2、材质：立柱材质 冷轧钢板（1.5mm厚），层板材质 0.8mm厚钢板，单层承重 100 - 200 kg。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规格：十一人制；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规格：七人制；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礼堂椅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规格尺寸：550W*660D*950H，标准中心距550mm，可定制范围540mm-580mm，背高950mm，座高450mm，座椅深度不大于480mm，总深度不大于620mm；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2、背外板：基材采用木皮贴面，背外板规格：高690mm × 宽490mm × 厚15mm，瓦型弧度R1200mm；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背海绵：外形根据人机工程学人体曲线设计，采用高密度聚氨脂定型海棉，外覆麻绒面料，表观密度为40±5Kg/m³，背海棉尺寸规格：背海棉尺寸为590mm*490mm*110mm。座海绵底部应有与座板匹配的凹槽或定位凸台，边缘厚度≥30mm，避免应力集中；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4、扶手盖：木实木扶手盖，经数控锣机锣型，表面采用五底三面工艺，喷环保聚氨酯油漆，尺寸为370mm*50mm*30mm；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5、座海绵：外形根据人体工程学人体曲线设计，采用高密度聚氨脂定型海棉，外覆麻绒面料，使坐感更加舒适，表观密度为55±5Kg /m³，座海棉尺寸规格：海棉长度为470mm*460mm*100mm；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6、阻燃性：所有海绵、织物、木皮材料均需符合GB 20286-2006中‘阻燃1级’要求，并提供第三方检测报告；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回复装置：座椅的回复采用弹簧加阻尼自动回位系统，回复装置应置于坚固的金属座框内，座框尺寸需与座椅整体结构匹配，保证动作顺畅。回复装置经≥10万次疲劳测试后，回位时间≤3秒，回位撞击声压级≤35dB(A)，无永久变形；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8、座外板：基材采用木皮贴面，座板规格：尺寸为430 mm*430mm*15mm，座板上需留吸音孔；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扶手架：主体采用铝锭压铸铝经模具一体压铸成型，站脚底部设计为宝塔状态，接触面大，往上依次递减，规格尺寸599mm*370mm65mm。壁厚为4mm，脚底板尺寸为299mm*65mm，扶手架高600mm，前后固定孔距260mm。铝合金主体站脚净重2.19kg，内部使用多条加强筋稳定整体结构，分体式设计，厚度为4mm，每椅固定螺栓不少于4颗（M8膨胀螺栓）。所有五金件表面经除锈、酸洗、磷化、静电喷涂处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折叠条桌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1、材质：台面板采用MFC 环保双面板饰面，甲醛释放量符合国家E1级（或ENF级）标准，具有防火、防刮、耐磨等特点的，厚度 25mm，封边采用≤2.0mm 厚 Pvc 封边。台面板颜色、规格可以根据实际需要多选定做；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2、.钢制脚架：采用冷轧钢管，厚度 1.5MM，表面处理，进行磷化处理，防腐， 防锈处理，最后再经 220 度高温静电喷涂处理；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3、连接杆：采用圆形冷轧钢管，厚度 1.2mm。表面处理，进行磷化处理，防腐，防锈处理，最后再经 220 度高温静电喷涂处理，有足够承受力；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4、二层书网管：使用 0.8MM 圆管冷轧管，方便盛放书本，表面采用高温防锈静电喷涂处理；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5、脚轮：采用 2.5 英寸 PU 材质，耐磨性好，静音效果好，带刹车装置；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外观设计:采用人体工程理念及个性化需求，整件产品拼接好，接缝整齐。桌子两侧设置旋钮开关，任何一侧均可扭动折叠，大方实用，节约空间结构稳定，根据实际需要，可拼接长方形、正方形等各种各样的形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55寸液晶拼接显示单元</w:t>
            </w:r>
            <w:r>
              <w:rPr>
                <w:rFonts w:hint="eastAsia" w:ascii="宋体" w:hAnsi="宋体" w:cs="宋体"/>
                <w:color w:val="000000"/>
                <w:sz w:val="20"/>
                <w:szCs w:val="20"/>
                <w:lang w:bidi="ar"/>
              </w:rPr>
            </w:r>
            <w:r/>
          </w:p>
        </w:tc>
        <w:tc>
          <w:tcPr>
            <w:tcW w:w="7053" w:type="dxa"/>
            <w:vAlign w:val="top"/>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1、采用面板物理拼缝3.5mm，单屏清晰度1080P。亮度500cd/㎡，高亮度,对比度3500：1，2K分辨率，支持7x24x365天开机；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2、单屏外观尺寸：1214mm*684mm*71mm,画面比率16：9，共16块，竖向4块×屏横向4块拼接，整体净画面尺寸高度2737mm×宽度4854mm；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3、全嵌入式数字处理单元，只作为显示单元，由外置处理器处理；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4、单屏重量≤30kg；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5、智能温控散热系统，支持温度监测与风扇自动调速；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6、LED直下式背光源，典型功耗≤170W，平均无故障时间（MTBF）≥60000小时。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拼接屏拼接支架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1、拼接屏支架：采用 ≥40×40×2.5mm 热镀锌方管焊接成整体框架，表面防锈处理。安装方式为液压前维护式，单个屏体可独立推出，方便维护。支架整体承重不低于 500kg，并提供结构计算书；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2、65寸壁挂广告机吊架：承重≥65kg，伸缩范围 1.5m ~ 2.75m（水平伸出墙面距离），可多角度调节。需提供安装位置图，确保与拼接屏无空间冲突。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拼接屏辅材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包含全部所需电源线（RVV 3×1.5mm²）、高品质HDMI 2.0线缆（长度根据实际布局）、控制网线、接线端子、知名品牌（不低于施耐德、正泰同档次品牌） 空气开关等；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2、（仅在超长距离传输时需要） 配置16套HDMI网线延长器，支持4K@30Hz，传输距离≥30米；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3、墙面收边：采用 1.0mm厚拉丝黑钛不锈钢，宽度根据整体装饰效果定制（建议10cm左右），用于覆盖拼接屏四周与墙体的缝隙。</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外置拼接处理器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1、输入：≥4路（包含2路DP/HDMI 4K@60Hz，2路HDMI 1080P@60Hz）；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2、输出：16路HDMI 1080P@60Hz，直接驱动16块拼接屏。</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拼接屏控制专用主机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1、CPU：i7-12700F；</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2、内存：16GB DDR4；</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3、硬盘：512GB NVMe SSD；</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4、显卡：NVIDIA GeForce RTX 3060 12GB（约2000-2500元，4个输出口，足够播放4K内容）；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5、电源：额定500W；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6、显示器：21.5英寸；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7、系统：Windows 11 专业版。</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65寸壁挂广告机</w:t>
            </w:r>
            <w:r>
              <w:rPr>
                <w:rFonts w:hint="eastAsia" w:ascii="宋体" w:hAnsi="宋体" w:cs="宋体"/>
                <w:color w:val="000000"/>
                <w:sz w:val="20"/>
                <w:szCs w:val="20"/>
                <w:lang w:bidi="ar"/>
              </w:rPr>
            </w:r>
            <w:r/>
          </w:p>
        </w:tc>
        <w:tc>
          <w:tcPr>
            <w:tcW w:w="7053" w:type="dxa"/>
            <w:vAlign w:val="top"/>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1、屏体：65英寸，4K (3840×2160)，≥350cd/m²；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2、配置：CPU瑞芯微RK3288或性能相当（可接受），内存2GB，存储16GB；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3、内置存储器：16G。最大EMMC32G(可选)；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4、内置：ROM 2KB EEPROM；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5、解码分辨率：最高支持 3840*2160；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6、操作系统：Android 11 或更高版本；</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7、播放模式： 支持循环、定时、插播等多种播放模式；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8、网络支持： 4G、以太网、支持 WiFi/蓝牙 4.0、无线外设展；</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9、视频播放： 支持 AVI（H.264、DIVX、DIVX、XVID）, rm，rmvb， MKV（H.264、DIVX、视频播放DIVX、XVID），WMV，MOV，MP4（.H.264、MPEG、DIVX、XVID），DAT（VCD格式），VOB（DVD 格式），PMP,MPEG，.MPG,， FLV（H.263，H.264），ASF ，TS， TP，3GP，MPG 等 30 种格式以上。</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手持无线话筒（一拖四）</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1、音频通信方式：超高频无线电波；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2、音频频率范围：610MHz - 664.75MHz；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3、音频信道数：≥32路；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4、控制通信方式：无线433MHz频段；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控制频率范围：422.4MHz - 439.4MHz；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控制信道数：16路；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 接收灵敏度：-100dBm；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8、信号覆盖范围：理想环境半径60米；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9、音频频率响应：50Hz-15KHz；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 音频总增益：最大输出电平 +10dBu；</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 信噪比：&gt;85dB；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12、音频总谐波失真：≦0.8%；</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13、消耗功率：&lt;  5W；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 电源输入：DC12V-15V，≧1A；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15、主控机尺寸（W×H×D）：485×100。</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无线话筒（一拖二）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1、指示灯：绿色LED开启话筒咪管灯环显示；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2、供电：直流3.7V-4.5V；</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3、消耗功率：开启话筒状态≦630mW；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4、麦克风类型：超心形指向性驻极体；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5、开关：电子轻触开关；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6、音频通信方式：超高频无线电波；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7、音频频率范围：610MHz - 664.75MHz，音频信道数：≥32信道，控制通信方式：无线433MHz频段；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8、控制频率范围：422.4MHz - 439.4MHz，控制信道数：16路；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9、接收灵敏度：-100dBm；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10、咪管长度：245mm；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11、底座规格（宽×深×高）：155mm×105mm×60mm。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天线分配放大器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1、天线分配系统由一台天线分配器、2个天线组成，可供多台接收机使用，让接收信号获得默较佳的噪讯比，增加接收距离及稳定性，提供4组电源输入给接收机使用，方便安装工程；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2、适用频带范围：500-900MHz；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3、输出/入增益： 0dB(频段中心）；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4、输出端绝缘度：20dB；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5、输出/入阻抗： 50欧姆；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6、增益：≥13dB；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7、频宽：400MHz；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8、接头：BNC插座；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9、电源供应：DC12-18V；</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10、消耗电流：170mA。</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天线支架及延长线缆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1、专用天线支架、信号延长线缆及配套固定接线配件，信号稳定、抗干扰强，适配无线话筒系统使用。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12路带编组调音台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1、8路话筒/线路两用输入，4路立体声输入；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2、高品质.低噪音的平衡式话筒输入；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3、内置USB，可连接电脑进行播放；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4、支持USB输入，可连接U盘播放音频文件；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5、支持蓝牙无线连接，可播放手机音频文件；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6、内置专业DSP数字效果器，具有双99种DSP效果；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7、2路主输出，4路编组输出，4路AUX输出；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8、输入通道个有四段均衡且带扫频功能；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9、分路带指示灯通道开关；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10、支持48V幻像供电；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11、主输出具有双七段图示均衡；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12、电路板采用双面SMT贴片技术，使性能稳定可靠；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13、高精度三色精确电平柱，准确显示输出电平；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14、60MM行程高精度推子。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数字话筒处理器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1、2.0寸IPS显示屏，配合设置旋钮可设置抑制器各项参数功能 ；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2、两路卡龙与6.35两用话筒输入接口，卡龙可选48V幻象供电开关；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3、线路输入阻抗：20kΩ；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4、两路卡龙、6.35mm输出接口，两路莲花输出接口；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5、混音模式与立体声模式切换开关；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6、线路输出阻抗：200Ω；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7、抑制啸叫方式：移频+自适应反馈抑制；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8、双通道，每通道可设1-50个频率自动搜寻反馈抑制点；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9、反馈抑制时间：≤0.4s @ 1KHz；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10、抑制深度：-10dB；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11、移频量：0-7Hz可设；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12、失真：&lt;0.1%@ 1KHz；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13、信噪比：&gt;90dB；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14、信号延迟：7ms；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15、采样率：48kHz；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 数字处理：采用32bit 450MHZ高速DSP；</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 频率响应：20Hz-20kHz，可在此范围内设置高通、低通频率。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专业功率放大器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1、采用Class-D（D类）数字功放技术，效率≥90%；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2、输出功率（8Ω立体声）：≥400W × 2 （为音箱额定功率220W的1.5-2倍，确保驱动余量）；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3、输出功率（4Ω立体声）：≥600W × 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4、桥接功率（8Ω）：≥1200W ；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5、1U机身高度，全铝合金面板，体积小，重量轻；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6、具有超强的抗干扰能力，声音解晰力高，还原能力强；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7、采用计算机模拟仿真设计，通道输入输出之间零干扰；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8、电源采用独立屏蔽方式，对信号的干扰减到最低，有更高的用电安全性；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9、独特的在线负载阻值检测，支持检测分析系统温度以调整输出累积功率；.提供立体声、桥接、并联三种工作模式可选；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10、前面板带有精确的音量旋钮控制，并具有保护、削峰、信号和电源指示灯；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11配备延时启动系统，有效避免开机浪涌，保护音箱不受冲击而损坏；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12、第五代散热架构，机器内部拥有从前到后的导风系统，风机会随机内的温度自动升高而加速排热；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13、提供全功能保护，包括直流保护、过载保护、短路保护、过热保护、软启动、失真限幅输出等。</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专业音柱音箱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1、低音单元：76mm（3"）圆锥外型喇叭8只；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2、高音单元：25mm（1"）丝膜喇叭*2；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3、频率响应：130Hz-20kHz；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4、额定功率：220W；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5、灵敏度：90dB（1W/m）；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6、声压级：113dB。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音箱壁挂支架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1、音箱万向壁挂支架；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2、承重:25kg；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3、水平调节范围180°；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4、垂直倾斜角度30°。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8路电源时序器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1、最大总输出电流：16A，最大总功率：3500W（阻性负载）；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2、每路插座最大输出电流：10A；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3、输入电压：220V 50Hz，配置3×2.5mm²国标电源线；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4、控制方式：前面板启动/钥匙锁/RS232/DC24V触发；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5、每路接通/关闭延时时间：1.5秒。</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LED会议灯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1、输入电压：AC100-240V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2、额定功率：200W； 灯珠功率：数量432颗，色温系统：3200K/4000K/5600K可选；</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3、显色指数：Ra≥95；</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4、光源寿命：5万小时（每天使用10小时，可使用13年）；</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5、光学系统：100%线性调光绝无频闪无噪音；</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6、出光角度：35°/40°/60°可选；</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7、冷却系统：自然风冷散热；</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8、操作方式：数码显示管控制地址码；</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9、LED会议灯蓝光危害等级为RG0无危险,依据GB/T 20145-2006《灯和灯系统的光生物安全性》及GB/Z 39942-2021进行评价，检测到的蓝光危害辐亮度≤2 W/(㎡ •sr) ，蓝光危害辐照度≤2 W/㎡ 。（▲提供具备CMA或CNAS资质的第三方检测机构出具的有效期内的检测报告予以佐证，报告须注明检测依据、RG0等级判定结果及实测辐亮度值）。</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中号灯钩</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1、中号灯钩，材质为铝材或铝合金材料做成；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2、抗拉力强度≥ 260N/mm，适合管径28-62mm，承载重量50KG。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保险绳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1、规格：4*85CM；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2、采用材质为铝材或铝合金材料做成，抗拉力强度≥ 260N/mm。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12路电源直通箱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1、输入电压：三相五线制AC380±10%，频率50HZ/60HZ±5%；</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2、输入电流：150A犀牛插/压线端子式；两者可选；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3、显示系统：具备三相A.B.C直读式独立电压表显示，无需切换即可实时监测各项数据；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4、额定功率：12路×4KW;可适用于任何负载。输出接口：12路40A胶木插（2芯）；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5、可选配10A或32A（接地）；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6、单路控制：每路独立分空开C20A，具备过载，短路双重保护。</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专业机柜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1、标准机柜，600*600*2000mm；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音频线材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1、含音频连接线、HDMI线、国标电源线、国标电源线及各类接线端子、连接件。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灯光线材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1、含灯光信号线、DMX控制线、电源线、接插件。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1、钢制定制灯光杆，现场焊接制作、防腐处理，含全套安装固定辅材。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1、高纯度无氧铜芯，双股音响专用线，耐磨外皮，抗氧化，传输损耗低，适配专业音箱、功放连接使用。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辅材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1、含25mmPVC管、卡侬头、大杆、3.5转双莲花线、铜地插*2只、各类安装固定配件；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2、含整套音响、灯光、线材、设备搬运、布线、安装、调试、开孔、焊接、现场施工、系统调试验收全部人工费用。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1、尺寸：1800*700*850mm，产品各项规格尺寸误差不超过3mm；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2、全实木结构，该讲台需要具备容纳电脑、中控等日常教学必须的功能；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3、桌面采用18mm厚橡胶木，加厚至36mm；柜体采用18mm厚橡胶木，内设一层隔板，暗拉手，阻尼铰链；讲台背面设计造型，四遍底漆，三遍面漆。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牛角椅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1、尺寸：640W*540D*450H/760H±3mm；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2、全橡胶木实木结构，榫头连接，表面光滑，无毛刺四遍底漆，三遍面漆。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学生书法桌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规格：1800mm*1100mm*720mm；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2、全实木结构，桌面采用18mm厚橡胶木，加厚至36mm，桌腿镂空造型，聚酯木器漆（清水漆、五底三面），四遍底漆，三遍面漆。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实木凳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规格：330*330*420mm；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2、产品各项规格尺寸误差不超过3mm，采用橡胶木实木，四周倒R15圆角，清水漆。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室内水管改造及地面处理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1、室内无水点，需根据需求开槽布置，改造至指定位置。给水采用专用铝塑管软连接,排水采用PVC曲型管软连接，含所有改造所需材料、人工项目及垃圾清运。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墙面处理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1、规格：7600*4750H/mm；                                              2、前后墙原有白色瓷砖墙裙拆除，找平后做木纹饰面背景，含所需材料及人工费用。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墙面乳胶漆出新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人工油漆面层材料费用不含基层等费用施工工艺：面层平整干燥，无油污无浮尘；满批腻子两道砂纸磨平后，上乳胶漆两道；验收标准：无刷纹无流坠，手感平整光滑，无明显颗粒感。无掉粉，无起皮，无裂缝；无透底，无咬色，色泽一致，净味乳胶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室内物品搬迁</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1、室内原有物品搬迁，含拆除所需人工及垃圾清运，按校方需求将需保留物品送至指定地点。</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1、尺寸：长2400mm宽1000mm高760mm，结构：钢木结构，成型钢架；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2、台面:采用12mm厚品牌抗倍特板，台面四周复边12mm厚，达24mm厚，四周倒R15圆角；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3、主体：主框架采用30*60方管，壁厚≥1.2mm，经酸洗磷化处理，表面喷塑；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4、柜体：采用18mmE1级环保实木颗粒板加工制作，1.5mm厚封边条机械封边；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5、五金：采用三节静音滑轨、阻尼铰链；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6、拉手：采用铝合金一字型拉手两端带防刮伤塑料堵头；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7、安全参数：台面立面倒角、打磨，各处光滑。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室内电位改造对接</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1、室内原有电位改造至指定位置，包含改造所需人工及地板、面板、电线等材料费用。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窗帘</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1、窗帘高度2米，宽度以实际为准进行分割；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2、布料采用1:1.8加厚遮光纤维布《厚度0.25 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3、布料为遮光纤维布，环保耐用，具有很好遮光隔热作用；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4、含罗马杆或铝合金加厚轨道，所有辅材，加工安装到位。</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LED护眼教室灯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1、结构材质</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一体式灯具，灯具长度≥595mm；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2、LED教室灯至少依据以下标准GB/T 26572-2011、GB/T39560.301-2020、GB/T 39560.4-2021、GB/T 39560.5-2021、GB/T 39560.6-2020、GB/T 39560.701-2020、GB/T 39560.702-2021</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第三方检测机构依据GB/T 26572-2011</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GB 26572-2025、GB/T 39560系列标准出具的电器电子产品有害物质检测合格报告（加盖CMA或CNAS标识）</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3、LED教室灯功率35±5W，功率因数≥0.95，光通量≥3000LM，光效≥85LM/W，色温在5000±300K区间，色容差＜5，显色指数≥95，特殊显色指数R9≥70。照明功率密度： 控标值≤9 W/m²，按300 LX维持照度计算；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4、蓝光危害等级为RG0无危险，符合GB 40070—2021要求；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5、当90Hz ＜ 光输出波形频率 ≤ 3125Hz时，波动深度 ≤ 频率（Hz）× 0.032；当光输出波形频率 ＞ 3125Hz时，免于考核波动深度。短期闪烁指数（P_st^LM）按照IEC TR 61547-1：2020的规定进行测量，要求P_st^LM ≤ 1.0。频闪效应可见度（SVM）按照IEC TR 63158的规定进行测量，要求SVM ≤ 1.0。</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6、为使课桌面达到最佳照度均匀度与防眩效果，LED教室灯半峰边角（50%）或1/2峰值光强夹角在C0-180面：85°±5°；C90-270面：80°±5°；</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7、为保证LED教室灯的使用寿命，防止灰尘、蚊虫等进入，灯具防护等级需达到IP20</w:t>
            </w:r>
            <w:r>
              <w:rPr>
                <w:rFonts w:hint="eastAsia" w:ascii="宋体" w:hAnsi="宋体" w:cs="宋体"/>
                <w:color w:val="000000"/>
                <w:sz w:val="20"/>
                <w:szCs w:val="20"/>
                <w:lang w:val="en-US" w:eastAsia="zh-CN" w:bidi="ar"/>
              </w:rPr>
              <w:t xml:space="preserve">及以上</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8、教室光环境课桌面维持平均照度值（LX)≥300、桌面照度照度均匀度＞0.7、统一眩光值（UGR）≤16；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9、整灯额定寿命： L70/B50≥50000小时；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10、驱动模块：TC点温度≤75℃，MTBF≥40000小时，提供第三方寿命推算报告；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▲注：3-8项指标须提供具备CMA</w:t>
            </w:r>
            <w:r>
              <w:rPr>
                <w:rFonts w:hint="eastAsia" w:ascii="宋体" w:hAnsi="宋体" w:cs="宋体"/>
                <w:color w:val="000000"/>
                <w:sz w:val="20"/>
                <w:szCs w:val="20"/>
                <w:lang w:val="en-US" w:eastAsia="zh-CN" w:bidi="ar"/>
              </w:rPr>
              <w:t xml:space="preserve">或</w:t>
            </w:r>
            <w:r>
              <w:rPr>
                <w:rFonts w:hint="eastAsia" w:ascii="宋体" w:hAnsi="宋体" w:cs="宋体"/>
                <w:color w:val="000000"/>
                <w:sz w:val="20"/>
                <w:szCs w:val="20"/>
                <w:lang w:bidi="ar"/>
              </w:rPr>
              <w:t xml:space="preserve">CNAS标识的第三方机构出具的检测报告（所有数据均针对同一样品）。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综合布线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顶部现有灯具拆除，搬至校方指定地点；</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2、含室内灯具重新布线改造，灯具安装到位。</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1、规格：450mm*360mm*110mm，注塑箱体，珍珠棉定位；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五金工具箱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1、规格：≥18寸，≥410*215*185mm；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2、材质：双层加强款塑料。</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1、含平口钳，细扁锉，大半圆锉，四方锉，圆锉，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三角锉，什锦锉，木工锯，U型拉花锯，手板锯，螺丝刀，F夹，双把拉铆枪（含铆钉），手摇钻，木雕刻刀套装，木工平凿，木工半圆凿，木锤，橡胶锤，迷你短柄羊角锤，木工锯练习辅助器，手钳，尖嘴钳，木工锯，练习辅助器，手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2、尖嘴钳各6套，红木短刨：1只，红木中刨：1只，木工斧：1只。</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木工开孔器套装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1、规格：15mm/20mm/25mm/30mm/35mm各一支，木盒包装，尺寸163*107*40mm；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2、材质：合金钢。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2、台面：采用12mm厚抗倍特板，边缘加厚至24mm；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框架：采用34*37mm工业级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1、尺寸：1200*1200*750mm±10mm；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2、材质：抗倍特板+钢架；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材质采用抗倍特一体成型。耐80度以上高温。防水：浸水24小时后的膨胀指数不多于0.1mm，面板四周采CNC修边，四周倒角，圆润光滑无任何毛边。；桌架采用钢架，满焊焊接而成，表面采用高温粉体烤漆，耐腐蚀，不易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4、功能：桌面设有防罩边角，悬挂抽屉储物功能，可收纳放置工具材料，钢制框架，结构牢固，具有超强承载能力。</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教师椅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1、参考尺寸：480*450*840mm±10mm；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2、材质：pp塑料；</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3、工艺要求：靠背一体注塑成型；座板扪布艺或皮艺软包；铁管≥19*1.2mm厚；表面静电喷涂，不掉漆不剥落，中标方需与校方确认生产。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1、尺寸：板式：W1340*D450*H900mm±10mm；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3、工艺：厚度≥18mm,基材采用实木多层板，PVC直封边制作。导轨尺寸：300*18*25mm，材质：ABS，螺丝孔位间距198mm ，收纳盒尺寸：430*305*100mm ，材质：PP新料，五金件采用液压铰链；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4、功能：配置PP收纳盒，可收纳各种教学用具。</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1、尺寸：950*450*800Hmm，产品各项规格尺寸误差不超过3mm；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乒乓球台（室内）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1、规格：2740*1525*760mm；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2、弹性:220-250mm；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3、性均匀度:≤5mm；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4、面光泽度:≤4度；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5、面摩擦系数:≤0.3；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6、台稳定性:≤7mm，1.5mm金属方管台脚，表面喷塑，内脚装直径100mm带刹车脚轮，外脚带高度微调装置单只台面两次折叠完成，配备脚轮制动装置;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7、采用特别研制的"新蓝"色,减少台面材料颜色对运动员的"视觉干扰"。</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乒乓球地面围挡</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1、规格：1400*750（mm）；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2、装箱数量10(块)；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3、装箱重量20(kg)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4、装箱尺寸1440*820*230(mm)。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 度:</w:t>
            </w:r>
            <w:r>
              <w:rPr>
                <w:rFonts w:hint="eastAsia" w:ascii="宋体" w:hAnsi="宋体" w:cs="宋体"/>
                <w:sz w:val="20"/>
                <w:szCs w:val="20"/>
                <w:lang w:bidi="ar"/>
              </w:rPr>
              <w:t xml:space="preserve">1550mm；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2、规 格 :590*330*100mm ；</w:t>
            </w:r>
            <w:r>
              <w:rPr>
                <w:rFonts w:hint="eastAsia" w:ascii="宋体" w:hAnsi="宋体" w:cs="宋体"/>
                <w:sz w:val="20"/>
                <w:szCs w:val="20"/>
                <w:lang w:bidi="ar"/>
              </w:rPr>
              <w:br w:type="textWrapping" w:clear="all"/>
            </w:r>
            <w:r>
              <w:rPr>
                <w:rFonts w:hint="eastAsia" w:ascii="宋体" w:hAnsi="宋体" w:cs="宋体"/>
                <w:color w:val="000000"/>
                <w:sz w:val="20"/>
                <w:szCs w:val="20"/>
                <w:lang w:bidi="ar"/>
              </w:rPr>
              <w:t xml:space="preserve">3、材质:ABS塑料/标准直径40钢管,；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4、重量:70公斤，水泥配重底座，静电喷塑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1、材质：丙纶/涤纶，产品颜色红色；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2、尺寸：6100*760mm；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3、产品重量：700G；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4、球网孔径2CM。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小足球门（含网）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1、规格：1200*800*600mm。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2、材质：低密度聚乙烯；</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小沙包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1、产品面料：加厚帆布面料做工细致，柔软耐磨边缘加厚，缝纫密实，不易破，不易漏；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2、填充材料：天然稻壳，每只重量约65g。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2、材质:聚录乙烯；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3、直径:约12寸；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50米卷尺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1、50m 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20米卷尺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1、20m 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花球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1、环保PES，色彩饱满不易掉色安全无异味。</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1、1kg，橡胶。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发令枪</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1、双发，金属。</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绳梯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1、材质：环保PP ；</w:t>
            </w:r>
            <w:r>
              <w:rPr>
                <w:rFonts w:hint="eastAsia" w:ascii="宋体" w:hAnsi="宋体" w:cs="宋体"/>
                <w:sz w:val="20"/>
                <w:szCs w:val="20"/>
                <w:lang w:bidi="ar"/>
              </w:rPr>
              <w:br w:type="textWrapping" w:clear="all"/>
            </w:r>
            <w:r>
              <w:rPr>
                <w:rFonts w:hint="eastAsia" w:ascii="宋体" w:hAnsi="宋体" w:cs="宋体"/>
                <w:sz w:val="20"/>
                <w:szCs w:val="20"/>
                <w:lang w:bidi="ar"/>
              </w:rPr>
              <w:t xml:space="preserve">2、长4200mm10节；</w:t>
            </w:r>
            <w:r>
              <w:rPr>
                <w:rFonts w:hint="eastAsia" w:ascii="宋体" w:hAnsi="宋体" w:cs="宋体"/>
                <w:sz w:val="20"/>
                <w:szCs w:val="20"/>
                <w:lang w:bidi="ar"/>
              </w:rPr>
              <w:br w:type="textWrapping" w:clear="all"/>
            </w:r>
            <w:r>
              <w:rPr>
                <w:rFonts w:hint="eastAsia" w:ascii="宋体" w:hAnsi="宋体" w:cs="宋体"/>
                <w:sz w:val="20"/>
                <w:szCs w:val="20"/>
                <w:lang w:bidi="ar"/>
              </w:rPr>
              <w:t xml:space="preserve">3、带包。</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1、宽度64mm~83mm ，20P。</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跳皮筋</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1、4m，PVC。</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山羊台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1、材质：皮革+钢材；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2、尺寸：500*220*230mm。</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1、材质：实木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2、规格：七节。</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助跳板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1、60*120cm四簧版 加粗弹簧高强度压缩木板,，防止弹簧生锈弹力大，不变形， 防止螺丝掉色，生锈提高产品安全稳固性，加厚木板支撑稳固安全。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肋木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1、镀锌管，76mm壁厚3.25mm,总高3500mm,宽为3000mm,横33mm,埋800mm,地埋固定铁为40mm*40mm角铁，长600mm；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2、产品材料规格均为裸钢（管）厚度；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3、所有表面经抛光、酸洗、磷化等初级处理后在自动喷涂线上采用纯聚酯粉末喷涂完成最后表面处理，涂层厚度70—80um,硬度达铅笔3H+。</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1、采用镀锌管，国标76mm壁厚3.25mm；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2、规格：4400*1100*2360mm 立柱管径为（φ114×3）mm标准焊管 产品材料规格均为裸钢（管）厚度,；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3、所有表面经抛光、酸洗、磷化等初级处理后在自动喷涂线上采用纯聚酯粉末喷涂完成最后表面处理，涂层厚度70—80um,硬度达铅笔3H+。</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身高体重测量仪</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1、简易型量程：90～210CM；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2、分度值： 0.1CM误差：±0.2%；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3、手动水平压板，人工读取数字，人工记录。</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画线小推车</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规格：线宽4cm，可装15升，可画300米，自重3.2公斤；</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软式跨栏架组合</w:t>
            </w:r>
            <w:r>
              <w:rPr>
                <w:rFonts w:hint="eastAsia" w:ascii="宋体" w:hAnsi="宋体" w:cs="宋体"/>
                <w:color w:val="000000"/>
                <w:sz w:val="20"/>
                <w:szCs w:val="20"/>
                <w:lang w:bidi="ar"/>
              </w:rPr>
            </w:r>
            <w:r/>
          </w:p>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材质：PE塑料</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                                                            2、规格：</w:t>
            </w:r>
            <w:r>
              <w:rPr>
                <w:rFonts w:hint="eastAsia" w:ascii="宋体" w:hAnsi="宋体" w:cs="宋体"/>
                <w:color w:val="000000"/>
                <w:sz w:val="20"/>
                <w:szCs w:val="20"/>
                <w:lang w:bidi="ar"/>
              </w:rPr>
              <w:t xml:space="preserve">底板和侧板构成，侧板与横板之间以及侧板与底座之间均为榫卯连接，横板长700mm，宽90mm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底板长700mm，宽220mm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侧板下底长220mm，高560mm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高度可三档调节</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300mm、500mm、600mm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所有板的厚度18mm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1、材质：乳胶；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2、长度：3M。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乒乓球发球机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1、净重量:6kg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2、出球频率:30-90球/分钟出球速度:4-45米/秒。</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3、直径:约10寸；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3、直径:约12寸；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小篮球5号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1、规格：圆周69 - 71 厘米，重量：470 - 500 克，直径：21.5 - 22.0cm；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2、材质：合成皮革(室内外 ）内胆：采用专用生胶制成，通过专利工艺加工，弹性柔和稳定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小足球4号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1、规格：420x350x320(mm)；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2、材质合成皮革，高弹力加强材料，双面反胶。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排球5号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1、采用高密度EVA/高强度EPMD材料缝制而成，外形采用18片设计。</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小足球门（3人制）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1、材质：LDPE；</w:t>
            </w:r>
            <w:r>
              <w:rPr>
                <w:rFonts w:hint="eastAsia" w:ascii="宋体" w:hAnsi="宋体" w:cs="宋体"/>
                <w:sz w:val="20"/>
                <w:szCs w:val="20"/>
                <w:lang w:bidi="ar"/>
              </w:rPr>
              <w:br w:type="textWrapping" w:clear="all"/>
            </w:r>
            <w:r>
              <w:rPr>
                <w:rFonts w:hint="eastAsia" w:ascii="宋体" w:hAnsi="宋体" w:cs="宋体"/>
                <w:sz w:val="20"/>
                <w:szCs w:val="20"/>
                <w:lang w:bidi="ar"/>
              </w:rPr>
              <w:t xml:space="preserve">2、规格：1200*800*600mm。</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可升降移动小篮球架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篮球架伸臂长750mm，小篮球架篮圈上沿离地面高度可调节，调节范围：1800-3050mm，球架上下支撑采用20x40x1.2mm方管焊合，立柱采用100x100x1.5mm方管焊接成型；篮架后拉杆采用Ø32x2.0圆管焊接。篮架箱体采用2.0mm铁板与方管焊接成型；</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尺寸：长X宽=1.1x0.8（m），篮架单只配重不少于120kg（儿童练习使用）。箱体后面配有定向轮，前面配有万向轮，移动轮单只承重300kg。篮架前立柱配有专用防护措施护套30mm厚,避免使用者撞伤。篮架总体重量（单只：90KG含保护套、篮板、篮筐、护套。）；</w:t>
            </w:r>
            <w:r>
              <w:rPr>
                <w:rFonts w:hint="eastAsia" w:ascii="宋体" w:hAnsi="宋体" w:cs="宋体"/>
                <w:sz w:val="20"/>
                <w:szCs w:val="20"/>
                <w:lang w:bidi="ar"/>
              </w:rPr>
              <w:br w:type="textWrapping" w:clear="all"/>
            </w:r>
            <w:r>
              <w:rPr>
                <w:rFonts w:hint="eastAsia" w:ascii="宋体" w:hAnsi="宋体" w:cs="宋体"/>
                <w:sz w:val="20"/>
                <w:szCs w:val="20"/>
                <w:lang w:bidi="ar"/>
              </w:rPr>
              <w:t xml:space="preserve">3、篮面为2.5mmPC板，规格900x1200x2.5（mm）；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4、适以人群：7岁以上。</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1、绳长：250cm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 重量：118g。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3.6米竹节绳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3、重量：189g。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4.2米竹节绳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3、重量：189g。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跳高架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规格：2000mm,50mm×50mm；产品高度可调节，产品重量约7kg刻度清晰精准测量无误差；</w:t>
            </w:r>
            <w:r>
              <w:rPr>
                <w:rFonts w:hint="eastAsia" w:ascii="宋体" w:hAnsi="宋体" w:cs="宋体"/>
                <w:color w:val="000000"/>
                <w:sz w:val="20"/>
                <w:szCs w:val="20"/>
                <w:lang w:bidi="ar"/>
              </w:rPr>
            </w:r>
            <w:r/>
          </w:p>
          <w:p>
            <w:pPr>
              <w:pStyle w:val="767"/>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加宽横杠摆放台底部加固支撑，台面防滑设计。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计时秒表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1、电子式60道电子- 0.5 ~ +0.5s/d。</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小跨栏架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材质：塑料；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2、规格30cm.40cm.50cm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1、装箱尺寸：600x340x500(mm)；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2、长度：1730mm 涤纶机织。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篮球网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材质：尼龙；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2、规格:重量：约 180g - 220g，线径：4mm，多股编织。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足球网-3</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规格：五人制；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打印机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1、支持纸张尺寸A4；                                                                                                                                                  2、支持自动双面；                                                            </w:t>
            </w:r>
            <w:r>
              <w:rPr>
                <w:rFonts w:hint="eastAsia" w:ascii="宋体" w:hAnsi="宋体" w:cs="宋体"/>
                <w:color w:val="000000"/>
                <w:sz w:val="20"/>
                <w:szCs w:val="20"/>
                <w:lang w:bidi="ar"/>
              </w:rPr>
              <w:t xml:space="preserve">                                                                                      3、黑白激光打印；                                                                                                                                                  4、打印速度25-34页/分；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5、打印方式：无线网络打印，有线网络打印，USB线直连打印；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6、具有打印、复印、扫描功能；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1、A4黑白激光打印机，自动双面，网络打印。</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定制书柜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1、规格：1000*400*2200mm；                                                2、材质：采用橡胶木，层板厚度≥25mm,顶板、立板厚度≥18mm。所有接触面均采用打磨光滑无毛刺处理；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3、油漆：采用环保水性油漆，经二底三面喷漆，颜色为清水本色；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4、五金件：采用五金配件，经防锈处理，达国家标准；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5、其他：上下平均分体对开门，踢脚线高度≥50mm，上门内两块隔板，上下门为木门，下门内一块隔板。踢脚线高度≥50mm。颜色由校方确认后制作。</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定制班级边柜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1、规格：2000*350*800mm；                                               2、材质：采用橡胶木，厚度≥18mm。所有接触面均采用打磨光滑无毛刺处理；                                                                   </w:t>
            </w:r>
            <w:r>
              <w:rPr>
                <w:rFonts w:hint="eastAsia" w:ascii="宋体" w:hAnsi="宋体" w:cs="宋体"/>
                <w:color w:val="000000"/>
                <w:sz w:val="20"/>
                <w:szCs w:val="20"/>
                <w:lang w:bidi="ar"/>
              </w:rPr>
              <w:t xml:space="preserve">                                                                                                            3、油漆：采用环保水性油漆，经二底三面喷漆，颜色为清水本色；                             4、五金件：采用五金配件，经防锈处理，达国家标准；                                  5、底部配橡胶软垫；其他：无柜门，踢脚线高60mm。    </w:t>
            </w:r>
            <w:r>
              <w:rPr>
                <w:rFonts w:hint="eastAsia" w:ascii="宋体" w:hAnsi="宋体" w:cs="宋体"/>
                <w:color w:val="000000"/>
                <w:sz w:val="20"/>
                <w:szCs w:val="20"/>
                <w:lang w:bidi="ar"/>
              </w:rPr>
            </w:r>
            <w:r/>
          </w:p>
        </w:tc>
      </w:tr>
      <w:tr>
        <w:trPr>
          <w:trHeight w:val="284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156</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课桌椅</w:t>
            </w:r>
            <w:r>
              <w:rPr>
                <w:rFonts w:hint="eastAsia" w:ascii="宋体" w:hAnsi="宋体" w:cs="宋体"/>
                <w:szCs w:val="21"/>
                <w:lang w:bidi="zh-CN"/>
              </w:rPr>
            </w:r>
            <w:r/>
          </w:p>
        </w:tc>
        <w:tc>
          <w:tcPr>
            <w:tcW w:w="7053" w:type="dxa"/>
            <w:vAlign w:val="top"/>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1、规格：桌面尺寸：长 618（±5）mm×宽 425（±5）mm×H（高度）mm；椅面尺寸：长400（±5）mm×宽 370（±5）mm×H（高度）mm；靠背尺寸：400（±5）mm×350（±5）mm；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2、桌面、桌斗均采用聚乙烯或聚丙烯等环保耐冲击塑料一体注塑成型，桌面厚度 22（±2）mm，桌面底部设有承重钢管，规格不小于 30mm×15mm×壁厚 1.2mm 并与桌面底部平齐，由螺丝锁付于面板底部，桌面靠胸部位置为内弧形造型，表面无反光现象，面板前端设置一冂字型防滑落凸条并与笔槽连成一体，笔槽设有排水孔，四周及底部完全不得有毛边、倒圆角、不刮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3、靠背与钢管结合方式，采用直插式，靠背设计有曲线弧度；座板前端有下凹设计，座板设计有通气缝，坐垫中间有内凹设计，座板设计有通气缝，座面板后倾0-2度。功能：书箱底部有排水槽缝之设计；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4、桌体、椅体钢架：采用椭圆形冷轧钢管、方管亮光钢管组合焊接而成，管材</w:t>
            </w:r>
            <w:r>
              <w:rPr>
                <w:rFonts w:hint="eastAsia" w:ascii="宋体" w:hAnsi="宋体" w:cs="宋体"/>
                <w:color w:val="000000"/>
                <w:sz w:val="20"/>
                <w:szCs w:val="20"/>
                <w:lang w:bidi="ar"/>
              </w:rPr>
              <w:t xml:space="preserve">要求壁厚不小于 1.2mm，管材焊接采用二氧化碳保护焊，并采用满焊工艺，桌腿之间采用椭圆形钢管加焊横档成外弧形，以保证其横向稳定。桌椅钢架：着地管30mm×50mm×壁厚1.2mm椭圆管、立管30mm×60mm× 壁厚1.2mm椭圆管、Y型支架20mm×40mm×壁厚1.5mm椭圆管、横拉管为20mm×40mm×壁厚1.2mm椭圆管，横拉管焊接工艺制作。调节管20mm×50mm×壁厚1.2mm椭圆管；座板下加焊两根16mm×34mm×壁厚1.5mm承重管，椅背管为20mm×40mm×壁厚1.5mm椭圆管；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5、桌椅课桌椅高度均可调节，调节方式为螺丝调节，桌椅两侧各两颗调节螺丝。可调高度范围需符合国标要求，可覆盖 0-5 号、4-9 号两种（具体高度待中标后由学校提供），调节管外侧根据实际高度印刷升降刻度，可实时观测升降高度情况；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6、课桌为单斗结构。桌斗高度（桌面至桌底高度）：0-3号桌为130mm；4-10号桌为120mm；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7、金属桌腿的脚套须使用聚乙烯或聚丙烯材料等环保塑料，厚度不小于3mm；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8、左右两侧各配有与书箱一体成型同色的挂钩，挂钩挂重物的垂直静承载力不小于 500N，钩端不超过桌侧缘之外；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9、桌椅的所有结构不得留有棱角和锋利边缝及不合规的洞孔；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10、产品涉及的各类辅材和配件，必须是合格正品。颜色由校方确认后制作。</w:t>
            </w:r>
            <w:r>
              <w:rPr>
                <w:rFonts w:hint="eastAsia" w:ascii="宋体" w:hAnsi="宋体" w:cs="宋体"/>
                <w:szCs w:val="21"/>
                <w:lang w:bidi="zh-CN"/>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157</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档案柜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1、规格：800*400*2000mm；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2、结构：上下分体对开门，上门占柜体2/3，下门占柜体1/3，上门为玻璃门，玻璃厚度4mm，上门内两块隔板，下门为木门，下门内一块隔板，踢脚线高度50mm，颜色由校方确认后制作；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3、材质：采用橡胶木，层板厚度≥25mm,顶板、立板厚度≥18mm，所有接触面均采用打磨光滑无毛刺处理；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4、油漆：采用清水聚酯漆涂装（亚光清水漆），五底三面喷漆，颜色为清水本色；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5、五金配件：采用锌合金三合一连接件、镀锌阻尼缓冲铰链、固定螺并经过防锈处理后安装。</w:t>
            </w:r>
            <w:r>
              <w:rPr>
                <w:rFonts w:hint="eastAsia" w:ascii="宋体" w:hAnsi="宋体" w:cs="宋体"/>
                <w:szCs w:val="21"/>
                <w:lang w:bidi="zh-CN"/>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158</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异形阅览桌</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1、规格：直径1800*700mm；                                             2、材</w:t>
            </w:r>
            <w:r>
              <w:rPr>
                <w:rFonts w:hint="eastAsia" w:ascii="宋体" w:hAnsi="宋体" w:cs="宋体"/>
                <w:color w:val="000000"/>
                <w:sz w:val="20"/>
                <w:szCs w:val="20"/>
                <w:lang w:bidi="ar"/>
              </w:rPr>
              <w:t xml:space="preserve">质：采用橡胶木，桌面厚度≥18mm。所有接触面均采用打磨光滑无毛刺处理；                                                                                3、工艺：采用传统卯榫结构和现代加工工艺相结合，卯榫紧配合不允许1mm间隙；                                                                4、油漆：采用清水聚酯漆涂装（亚光清水漆），经二底三面喷漆，颜色为白色烤漆。</w:t>
            </w:r>
            <w:r>
              <w:rPr>
                <w:rFonts w:hint="eastAsia" w:ascii="宋体" w:hAnsi="宋体" w:cs="宋体"/>
                <w:szCs w:val="21"/>
                <w:lang w:bidi="zh-CN"/>
              </w:rPr>
            </w:r>
            <w:r/>
          </w:p>
        </w:tc>
      </w:tr>
      <w:tr>
        <w:trPr>
          <w:trHeight w:val="9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159</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阅览椅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1、规格：370*380*500mm；                                                 2、材质：高密度聚乙烯（HDPE）；                                          3、颜色由校方确认后制作。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160</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软体组合</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1、规格：小象、小羊：700*670mm    沙发：630*450*660mm；                  2、框架：烘干松木骨架；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3、填充：高密度回弹海绵（密度≥45kg/㎡）+丝绵包裹；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4、面料：泰迪布；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5、底脚：橡木脚垫。</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161</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布帘</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1、规格：2000*2800mm；                        </w:t>
            </w:r>
            <w:r>
              <w:rPr>
                <w:rFonts w:hint="eastAsia" w:ascii="宋体" w:hAnsi="宋体" w:cs="宋体"/>
                <w:color w:val="000000"/>
                <w:sz w:val="20"/>
                <w:szCs w:val="20"/>
                <w:lang w:bidi="ar"/>
              </w:rPr>
              <w:t xml:space="preserve">                            2、面料：采用双面棉麻；                                                         3、克重：1274g/m加厚双面棉麻；                                                      4、遮光力度：98%加厚物理高遮光；                                            5、抗菌水平：7A级抗菌。颜色由校方确认后制作。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162</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1、规格：1800*400*1000mm；                                                 2、材质：所有板材均采用AA级橡胶木指接板制作，顶板厚度 25mm，其他板材厚度≥18mm，背板采用≥9mm厚实木多层板，表面贴0.6mm厚橡胶木皮，踢脚线 50mm，所有板边倒圆边；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5、外表面和内表面以及手指可触及的隐蔽处，无锐利的棱角、毛刺以及小五金部件露出的锐利尖锐；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6、保证45个书包格；按现场实际尺寸微调。</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163</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1、规格：1000*300*1340mm；                                                2、材质：所有板材均采用≥18mm厚AA级橡胶木指接板制作，背板采用≥9mm厚实木多层板，表面贴0.6mm厚橡胶木皮；所有材料达到环保E1级要求，所有板边倒圆边，板面光滑，无毛刺，格造型；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5、外表面和内表面以及手指可触及的隐蔽处，无锐利的棱角、毛刺以及小五金部件露出的锐利尖锐。</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164</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1、规格：1200*600*760mm；                                                   2、材质：采用厚度≥25mm实木多层板；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6、结构：桌面开φ60mm走线孔，带键盘抽。颜色由校方确认后制作。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1、规格：1400*400*1800mm；                                                2、材质：实木多层板，层板≥25mm，立板≥18mm。安装挂衣钩，高度尺寸为1000mm，下方离地高度为500mm，柜顶上方为50mm高度造型档条；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6、结构：两扇柜门，带锁，带拉手，颜色由校方确认后制作。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活动柜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1、规格：400*480*630mm；                                                2、材质：实木多层板，厚度≥18mm；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6、结构：二小一大抽屉，带锁，带拉手，五金配件三节静音导轨和耐磨万向轮。颜色由校方确认后制作。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1、规格：1800*1600*750mm；                                                  2、材质：厚度≥25mm实木多层板；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w:t>
            </w:r>
            <w:r>
              <w:rPr>
                <w:rFonts w:hint="eastAsia" w:ascii="宋体" w:hAnsi="宋体" w:cs="宋体"/>
                <w:color w:val="000000"/>
                <w:sz w:val="20"/>
                <w:szCs w:val="20"/>
                <w:lang w:bidi="ar"/>
              </w:rPr>
              <w:t xml:space="preserve">金配件：采用锌合金三合一连接件、固定螺并经过防锈处理后安装；                                                                                                                                                                6、结构：附柜采用45度拼接结构，拉米诺连接方式，预留主机位，线缆等收纳空间，配铝合金翻转线盖，配机械密码锁。颜色由校方确认后制作。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1、规格：1200*600*760mm；                                                      2、材质：实木多层板；                                                      3、产品结构：钢木结构；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台面：采用≥25mm实木多层板，≥2.0mm厚封边条机械封边.台面开孔，预留盖线盒，键盘抽采用PP成型材质，台身采用≥60mm*30mm金属支撑架,扁管经酸洗磷化抛光等处理后，采用环氧树脂塑粉喷涂处理；钢管壁厚≥1.5mm厚，钢架模具成型；活动柜及主机托采用18mm实木多层板，≥2.0mm厚封边条机械封边。(含一个活动柜尺寸：400mm*400mm*600mm，主机托：450mm*268mm*150mm)；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1、规格：1500*400*1200mm；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3、产品结构：板式结构；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工艺要求：柜身板材采用厚度≥18mm实木多层板,≥2mm厚同色封边条，专用连接件；柜体分为三张竖版，右侧上下为开门设计，下门可收纳杂物，上门柜内设置挂衣杆可挂置衣物；左侧为敞开式设计，离地750mm处设置25mm实木多层横隔板，以保证底部空间足以满足放置尺寸较大物品，上方为三层不规则层板设计，可放置书籍。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1、规格：600*40*1200/1200*40*1200mm；                                      2、材质：铝型材,厚度为4公分。壁厚为1.2mm。双面板，经过成型工艺制作而成；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移动桌</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1、规格：1600*600*750mm；                                               2、材质：厚度≥25mm实木多层板；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w:t>
            </w:r>
            <w:r>
              <w:rPr>
                <w:rFonts w:hint="eastAsia" w:ascii="宋体" w:hAnsi="宋体" w:cs="宋体"/>
                <w:color w:val="000000"/>
                <w:sz w:val="20"/>
                <w:szCs w:val="20"/>
                <w:lang w:bidi="ar"/>
              </w:rPr>
              <w:t xml:space="preserve">金三合一连接件、固定螺并经过防锈处理后安装；                                                                                                                                                                6、结构：预留主机位，线缆等收纳空间，桌面开φ60mm走线孔，桌一侧为三抽结构，带通锁，另一侧为一抽加开放格，中间加抽屉带锁。颜色由校方确认后制作。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1、规格：1800*700*760mm；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6、钢架桌脚：采用品牌钢管，颜色由校方确认后制作。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1、规格：1600*450*650mm；                                                2、材质工艺：基材采用≥18mm厚实木多层板；                             3、封边：采用高温热熔胶封边；                                         4、配件：采用三合一连接件，五金铰链；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5、颜色可选，颜色由校方确认后制作。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1、规格：326*508*465mm；                                                 2、材质：柜门为A级ABS原料，（聚苯乙烯树脂）工程塑料一体成型；柜体采用高强度HIPS工程塑料制成，柜体统一灰白色；柜门上下硅胶防撞软护角材质；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3、副门内设计超大储物盒＋挂钩，置物盒内径尺寸：长298*深86*高60mm±2mm；可放直径80mm的物品；门副板与门板四周12个卡扣固定，采用四方环绕方形加固柱对卡结构，副门凸起外高7mm*门框宽14mm±2mm加强筋；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4、门板、单侧板厚度尺寸：板材正视立面边框厚度尺寸:单侧板厚度≥21mm，双侧板厚度≥42mm，门侧板≥25mm、顶板≥30mm、底板≥30mm；门板≥36mm、底座≥30mm±2mm；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5、铰链孔加强筋：铰链孔孔边缘设凸点加强筋骨；加强因门转动带出的力度，防止铰链孔断裂；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高强度尼龙料铰链U型开口设计+360度L型门轴，为确保摩擦环节年限15年以上不松动，特设计双门，12个卡扣以上二次固定。柜门与柜体连接采用高强度尼龙铰链连接设计；铰链由柜门U型铰链、U型插销、L销、固定块3个部件组成，两端采用弹性卡钩固定在门端、柜体端，轻按卡勾即可拆下，每门一套，不需要任何辅助螺丝连接，易拆易装；尼龙料360度门轴转动次数无上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7、其他：颜色由校方确认后制作。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异形办公桌</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1、规格：1400*600/700*760mm；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2、材质：桌面采用18mm厚橡胶木机拼板，桌面开φ60mm走线孔，桌下一侧为柜门结构，侧板厚度18mm，桌下带背板，背板落地；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1、规格：4000*1200mm；                                                 2、材质：作品展部分采用5mm厚软木板；内层10mm厚聚苯乙烯泡沫板材；背板采用防锈热镀锌钢板，厚度≥0.27mm；板面与衬板粘贴采用环保多元醇胶，机械化制作，高温一次成型；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3、工艺要求：隐形安装、没有外露的挂接件；                              4、其他：颜色由校方确认后制作。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1、规格：1000*400*2000mm；                                               2、材质：采用冷轧钢板，壁厚0.8材质。塑通锁具，柜体经酸洗，磷化等工艺处理；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3、高压环保型静电喷塑，所用塑粉均符合国家环保要求，柜门带锁。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1、规格：1600*700*760mm；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2、材质：：桌面采用18mm厚AA级橡胶木机拼板，四周挂边至36mm，桌面开φ60mm走线孔，桌下一侧为三抽结构，中间带抽屉，带通锁，侧板厚度18mm，桌下带背板，背板高度400mm；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组合书柜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1、规格：1600*400*1550mm；                                                 2、材质：采用18mm厚AA级橡胶木指接板制作，背板采用9mm厚实木多层板，表面贴0.6mm厚橡胶木皮；带门处为挂衣区，安装挂衣钩，高度尺寸为1000mm，下方离地高度为500mm，柜顶上方为50mm高度造型档条；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1、规格：500*480*850mm；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2、材质：采用橡胶木，凳面厚度20mm，框架厚度30mm，所有接触面均采用打磨光滑无毛刺处理；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定制钢制卷帘门柜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1、规格：900*400*2200mm；                                                 2、柜体：采用spcc0.7mm 冷轧钢板，卷帘门板：0.5~0.6m；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3、卷帘结构：铝合金导轨+PVC/钢制帘片；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4、承重：每层搁板 ≥60kg；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表面处理：静电喷塑、酸洗磷化防锈；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配置：可调节层板4块，静音卷帘，带锁。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教师办公桌-4</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1、规格：1400*700*750mm；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2、材质：桌面采用18mm厚橡胶木机拼板，四周挂边至36mm，桌面开φ60mm走线孔，侧板和背板厚度20mm；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矮柜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1、规格：800*450*650mm；                                                  2、材质：采用18mm厚橡胶木机拼板，柜一侧为三抽结构，带通锁，另一侧为开放格，带一层板；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1、规格：1800*800*760mm；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2、结构：桌面四周挂边至36mm，桌面开孔60mm，边角倒圆处理；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3、材质：侧板和背板厚度18mm，桌面及站板厚度25mm；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1、规格：1200*450*660mm；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2、结构：柜体一侧为三抽结构，带通锁，另一侧为开放格，带一层板，边角倒圆处理；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3、材质：柜体顶板、层板厚度25mm，面材采用胡桃木皮贴面,厚度0.6mm,经过涂研工艺处理，实木封边；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4、油漆：采用水性漆，五底三面喷漆，所有接触面均采用打磨光滑无毛刺处理；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5、五金配件：采用锌合金三合一连接件、抽屉道轨、不锈钢螺丝等经过防锈防腐处理后安装。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1、规格：520*490*1255mm；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2、材质：采用透气1.5mm西皮，35n/mm、断裂伸长率80%；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接待椅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1、规格：570*660*900mm；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2、材质：采用透气1.5mm西皮，35n/mm、断裂伸长率80%；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三门文件柜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1、规格：1200*420*2000mm；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2、结构：柜体下半部为木门，内设一块活动层板，上半部一扇木门内设挂衣杆，两扇玻璃门，内设两块活动层板，木质边框，玻璃厚度为4mm；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5、油漆：采用水性漆，五底三面喷漆，所有接触面均采用打磨光滑无毛刺处理；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双门文件柜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1、规格：800*420*2000mm；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2、结构：柜体下半部为木门，内设一块活动层板，上半部为玻璃门，内设两块活动层板，木质边框，玻璃厚度为4mm；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3、材质：柜体顶板、层板采用厚度25mm，其余厚度均使用18mm；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茶水柜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1、规格：1200*420*830mm；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2、结构：两抽两门设计，三边围挡设计；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3、材质：柜体顶板、层板厚度采用25mm，其余厚度均使用18mm；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6、五金配件：采用锌合金三合一连接件、镀锌阻尼缓冲铰链、抽屉道轨、太空铝拉手、固定螺经过防锈处理后安装。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沙发</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1、规格：三人位；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2、材质：采用1.5mm西皮，撕裂强求度35n/mm、断裂伸长率80%；                                                         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4、基架：采用橡木实木，曲木板材厚12mm，并经防潮、防腐、防虫处理后组装。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长茶几</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1、规格：1200*600*450mm；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2、材质：台面及边站板板材厚度采用25mm，其余厚度板材均使用18mm；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4、油漆：采用水性漆，五底三面喷漆，所有接触面均采用打磨光滑无毛刺处理。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钢制文件柜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1、规格：900*400*1850mm；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2、结构：上下共四层层板，中间带两个抽屉；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3、材质：厚度采用0.8mm冷轧钢板，侧板经过折弯成形，铁门采用双层内封，锁叉杆全部封置于内部，隔板经轧压成型，每面采用三个90°轧压弯边。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1、规格：2320*400*1000mm；                                              2、结构：三层格挡设计，每层格挡设置6个，边角倒圆处理；                                                                3、基材：采用橡胶木制作，柜面及站板厚度≥25（mm），其余板材厚度要求≥18（mm）。具有不变形，不开裂木质硬等特点，木材纹理清晰，颜色无差异，所有接触面均要求打磨光滑无毛刺；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1、规格：1550*400*1000mm；                                            2、结构：三层格挡设计，每层格挡设置3个，边角倒圆处理；                                                                3、基材：采用橡胶木制作，柜面及站板厚度≥25（mm），其余板材厚度要求≥18（mm），所有接触面均要求打磨光滑无毛刺；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1、规格：750*400*1000mm；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2、结构：采用三层格挡设计，无柜门，踢脚线高60mm，边角倒圆处理，底部配橡胶软垫；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3、材质：采用橡胶木制作，板材厚度≥18mm，所有接触面均采用打磨光滑无毛刺处理；                                                                                                                                                                                  4、油漆：采用清水聚酯漆涂装（亚光清水漆），五底三面喷漆，颜色为清水本色；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教师办公桌-5</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1、规格：1200*800*760mm；                                              2、材质：采用≥25mm厚实木多层板；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1、规格：1600*400*1100mm；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1、规格：800*40*1100/1200*40*1100mm；                                  2、材质：厚度为4公分。壁厚为1.2mm。双面板；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午休椅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1、规格：590*1000*790/1250mm；                                                 2、材质：采用尼龙3D立体头枕，尼龙脚轮。五星铝合金脚；                                                           3、背框塑料，腰托采用软尼龙18根超大龙骨腰托 ， 多功能钢制厚底盘，全镂空尼龙坐垫，高密度一体海绵，三级气压棒。</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1、规格：1600*800*760mm；                                               2、材质：采用≥25mm厚实木多层板；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储物柜-4</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1、规格：1600*450*650mm；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6、结构：采用45度拼接结构，拉米诺连接方式，预留主机位，线缆等收纳空间，配铝合金翻转线盖，配机械密码锁。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1、规格：620*620*1250-1330mm；                                        2、面料:选用西皮；                                                                           </w:t>
            </w:r>
            <w:r>
              <w:rPr>
                <w:rFonts w:hint="eastAsia" w:ascii="宋体" w:hAnsi="宋体" w:cs="宋体"/>
                <w:color w:val="000000"/>
                <w:sz w:val="20"/>
                <w:szCs w:val="20"/>
                <w:lang w:bidi="ar"/>
              </w:rPr>
              <w:t xml:space="preserve">                                   3、辅料:采用PU成型发泡高密度海绵,表面有一层保护面,可防氧化,防碎,经过HD测试永不变形；                                                                                             4、配件：气压棒（受力250kg）；伸缩30万次不漏气；                                                     </w:t>
            </w:r>
            <w:r>
              <w:rPr>
                <w:rFonts w:hint="eastAsia" w:ascii="宋体" w:hAnsi="宋体" w:cs="宋体"/>
                <w:color w:val="000000"/>
                <w:sz w:val="20"/>
                <w:szCs w:val="20"/>
                <w:lang w:bidi="ar"/>
              </w:rPr>
              <w:t xml:space="preserve">                                                                    5、脚架：铝合金五星脚；                                                                                                                                                           6、功能：具备升降、倾仰、多段式锁定功能；</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储物柜-5</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1、规格：800*400*2000mm；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w:t>
            </w:r>
            <w:r>
              <w:rPr>
                <w:rFonts w:hint="eastAsia" w:ascii="宋体" w:hAnsi="宋体" w:cs="宋体"/>
                <w:color w:val="000000"/>
                <w:sz w:val="20"/>
                <w:szCs w:val="20"/>
                <w:lang w:bidi="ar"/>
              </w:rPr>
              <w:t xml:space="preserve">过防锈处理后安装；                                                                                                                                                                6、结构：上下分体对开门，上门占柜体2/3，下门占柜体1/3，踢脚线高度≥50mm，上门内两块隔板，上下门为木门，下门内一块隔板。踢脚线高度≥50mm。颜色由校方确认后制作。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作业柜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1、规格：800*400*1000mm；                                             2、材质：采用≥18mm厚E实木多层板；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6、结构：三层层板。</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1、规格：5600*1000mm；                                                     2、基材：厚度≥8mm软木板；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3、边框：采用厚度≥16mm橡胶木；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4、底层：阻燃板厚度≥9mm，板材圆角圆边；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5、油漆：木器漆，三底两面工艺。   </w:t>
            </w:r>
            <w:r>
              <w:rPr>
                <w:rFonts w:ascii="宋体" w:hAnsi="宋体"/>
                <w:szCs w:val="21"/>
              </w:rPr>
            </w:r>
            <w:r/>
          </w:p>
        </w:tc>
      </w:tr>
    </w:tbl>
    <w:p>
      <w:pPr>
        <w:pStyle w:val="767"/>
      </w:pPr>
      <w:r/>
      <w:r/>
    </w:p>
    <w:p>
      <w:pPr>
        <w:pStyle w:val="779"/>
        <w:rPr>
          <w:rFonts w:eastAsia="等线"/>
          <w:lang w:val="en-US"/>
        </w:rPr>
      </w:pPr>
      <w:r>
        <w:rPr>
          <w:rFonts w:eastAsia="等线"/>
          <w:lang w:val="en-US"/>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★2.其他技术要求 </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（1）供应商中标后，应提供家具材质清单、原材料产地证明，须就拟投入本项目生产的原材料和主要辅材进行送检，送检内容和受检机构需经采购人认可。</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（2）原材料及辅材应符合国家规定的强制性环保指标。</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★（二）商务要求</w:t>
      </w:r>
      <w:r>
        <w:rPr>
          <w:rFonts w:hint="eastAsia" w:ascii="宋体" w:hAnsi="宋体" w:cs="宋体"/>
          <w:color w:val="000000"/>
          <w:sz w:val="24"/>
          <w:szCs w:val="24"/>
        </w:rPr>
      </w:r>
      <w:r/>
    </w:p>
    <w:p>
      <w:pPr>
        <w:pStyle w:val="767"/>
        <w:ind w:firstLine="480"/>
        <w:spacing w:line="360" w:lineRule="auto"/>
        <w:rPr>
          <w:rFonts w:hint="eastAsia" w:ascii="宋体" w:hAnsi="宋体" w:cs="宋体"/>
          <w:b/>
          <w:sz w:val="24"/>
          <w:szCs w:val="24"/>
        </w:rPr>
      </w:pPr>
      <w:r/>
      <w:bookmarkStart w:id="162" w:name="_Toc120614281"/>
      <w:r>
        <w:rPr>
          <w:rFonts w:hint="eastAsia" w:ascii="宋体" w:hAnsi="宋体" w:cs="宋体"/>
          <w:b/>
          <w:sz w:val="24"/>
          <w:szCs w:val="24"/>
        </w:rPr>
        <w:t xml:space="preserve">1.报价要求</w:t>
      </w:r>
      <w:r>
        <w:rPr>
          <w:rFonts w:hint="eastAsia" w:ascii="宋体" w:hAnsi="宋体" w:cs="宋体"/>
          <w:b/>
          <w:sz w:val="24"/>
          <w:szCs w:val="24"/>
        </w:rPr>
      </w:r>
      <w:r/>
    </w:p>
    <w:p>
      <w:pPr>
        <w:pStyle w:val="767"/>
        <w:ind w:firstLine="480"/>
        <w:spacing w:line="360" w:lineRule="auto"/>
        <w:rPr>
          <w:rFonts w:ascii="宋体" w:hAnsi="宋体" w:cs="宋体"/>
          <w:bCs/>
          <w:sz w:val="24"/>
          <w:szCs w:val="24"/>
        </w:rPr>
      </w:pPr>
      <w:r>
        <w:rPr>
          <w:rFonts w:hint="eastAsia" w:ascii="宋体" w:hAnsi="宋体" w:cs="宋体"/>
          <w:bCs/>
          <w:sz w:val="24"/>
          <w:szCs w:val="24"/>
        </w:rPr>
        <w:t xml:space="preserve">（1）投标供应商报价应包含与本次采购项目有关的所有费用，包含但不限于人员、设备、安装、调试、验收、售后服务、伴随配套服务等所有含税费用。同时，还应包含支付给员工的工资和国家强制缴纳的各种社会保障资金，以及投标供应商认为需要的其他费用等。2、代理费。</w:t>
      </w:r>
      <w:r>
        <w:rPr>
          <w:rFonts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（2）投标供应商的任何错漏、优惠、竞争性报价不得作为减轻责任、减少服务、增加收费、降低服务质量的理由。</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（3）投标供应商报价除包含招标文件中列明的项目外还应包括保障项目正常实施应当具有的物资和服务，对项目正常实施应当具有的物资和服务理解不一致的以采购单位理解为准。</w:t>
      </w:r>
      <w:r>
        <w:rPr>
          <w:rFonts w:hint="eastAsia" w:ascii="宋体" w:hAnsi="宋体" w:cs="宋体"/>
          <w:bCs/>
          <w:sz w:val="24"/>
          <w:szCs w:val="24"/>
        </w:rPr>
      </w:r>
      <w:r/>
    </w:p>
    <w:p>
      <w:pPr>
        <w:pStyle w:val="767"/>
        <w:ind w:firstLine="480"/>
        <w:spacing w:line="360" w:lineRule="auto"/>
        <w:rPr>
          <w:rFonts w:hint="eastAsia" w:ascii="宋体" w:hAnsi="宋体" w:cs="宋体"/>
          <w:b/>
          <w:sz w:val="24"/>
          <w:szCs w:val="24"/>
        </w:rPr>
      </w:pPr>
      <w:r>
        <w:rPr>
          <w:rFonts w:hint="eastAsia" w:ascii="宋体" w:hAnsi="宋体" w:cs="宋体"/>
          <w:b/>
          <w:sz w:val="24"/>
          <w:szCs w:val="24"/>
        </w:rPr>
        <w:t xml:space="preserve">2.实施要求</w:t>
      </w:r>
      <w:r>
        <w:rPr>
          <w:rFonts w:hint="eastAsia" w:ascii="宋体" w:hAnsi="宋体" w:cs="宋体"/>
          <w:b/>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中标供应商提供设备供货、安装与调试日程计划，</w:t>
      </w:r>
      <w:r>
        <w:rPr>
          <w:rFonts w:hint="eastAsia" w:ascii="宋体" w:hAnsi="宋体" w:cs="宋体"/>
          <w:color w:val="000000"/>
          <w:sz w:val="24"/>
          <w:szCs w:val="24"/>
        </w:rPr>
        <w:t xml:space="preserve">严格依据招标文件及合同条款，完成包括产品供货、安装调试、培训交付、质保服务及项目全过程管理在内的所有履约内容。</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中标供应商应及时与采购人联系，对本项目所有产品的规格尺寸、款式、颜色等要求进一步确认，得到采购人的签字盖章认可后方可提供，并确保产品质量。</w:t>
      </w:r>
      <w:r>
        <w:rPr>
          <w:rFonts w:hint="eastAsia" w:ascii="宋体" w:hAnsi="宋体" w:cs="宋体"/>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（2）安全施工要求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验收要求</w:t>
      </w:r>
      <w:r>
        <w:rPr>
          <w:rFonts w:hint="eastAsia" w:ascii="宋体" w:hAnsi="宋体" w:cs="宋体"/>
          <w:bCs/>
          <w:sz w:val="24"/>
          <w:szCs w:val="24"/>
        </w:rPr>
      </w:r>
      <w:r/>
    </w:p>
    <w:p>
      <w:pPr>
        <w:pStyle w:val="767"/>
        <w:ind w:firstLine="480"/>
        <w:spacing w:line="360" w:lineRule="auto"/>
        <w:rPr>
          <w:rFonts w:hint="eastAsia" w:ascii="宋体" w:hAnsi="宋体" w:cs="宋体"/>
          <w:bCs/>
          <w:color w:val="ff0000"/>
          <w:sz w:val="24"/>
          <w:szCs w:val="24"/>
        </w:rPr>
      </w:pPr>
      <w:r>
        <w:rPr>
          <w:rFonts w:hint="eastAsia" w:ascii="宋体" w:hAnsi="宋体" w:cs="宋体"/>
          <w:bCs/>
          <w:sz w:val="24"/>
          <w:szCs w:val="24"/>
        </w:rPr>
        <w:t xml:space="preserve">项目实施完成，中标供应商完成文档整理并按采购人要求提供全过程资料。采购人根据《江苏省政府采购履约验收管理办法》（苏财规〔2024〕7号）要求进行验收。</w:t>
      </w:r>
      <w:r>
        <w:rPr>
          <w:rFonts w:hint="eastAsia" w:ascii="宋体" w:hAnsi="宋体" w:cs="宋体"/>
          <w:bCs/>
          <w:color w:val="ff0000"/>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（4）质保及售后要求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中标供应商提供项目整体上门质保三年（含）以上（自验收报告签字确认日起开始进入质保期）。</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在质保期内，因</w:t>
      </w:r>
      <w:r>
        <w:rPr>
          <w:rFonts w:hint="eastAsia" w:ascii="宋体" w:hAnsi="宋体" w:cs="宋体"/>
          <w:sz w:val="24"/>
          <w:szCs w:val="24"/>
        </w:rPr>
        <w:t xml:space="preserve">中标</w:t>
      </w:r>
      <w:r>
        <w:rPr>
          <w:rFonts w:hint="eastAsia" w:ascii="宋体" w:hAnsi="宋体" w:cs="宋体"/>
          <w:bCs/>
          <w:sz w:val="24"/>
          <w:szCs w:val="24"/>
        </w:rPr>
        <w:t xml:space="preserve">供应商原因出现设备、材料或安装调试的质量故障，必须2小时以内响应，4小时内维修人员到达现场，8小时以内免费予以排除、修复或更换零部件直至恢复使用，必要时向采购人提供应急备用设备。</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质保期内中标供应商应每年暑期到现场进行设备的维护保养，使设备处于最佳使用效果。</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sz w:val="24"/>
          <w:szCs w:val="24"/>
        </w:rPr>
        <w:t xml:space="preserve">在</w:t>
      </w:r>
      <w:r>
        <w:rPr>
          <w:rFonts w:hint="eastAsia" w:ascii="宋体" w:hAnsi="宋体" w:cs="宋体"/>
          <w:bCs/>
          <w:sz w:val="24"/>
          <w:szCs w:val="24"/>
        </w:rPr>
        <w:t xml:space="preserve">质保期满后提供不低于十年零配件的供给和技术支持，如发生故障，</w:t>
      </w:r>
      <w:r>
        <w:rPr>
          <w:rFonts w:hint="eastAsia" w:ascii="宋体" w:hAnsi="宋体" w:cs="宋体"/>
          <w:sz w:val="24"/>
          <w:szCs w:val="24"/>
        </w:rPr>
        <w:t xml:space="preserve">中标</w:t>
      </w:r>
      <w:r>
        <w:rPr>
          <w:rFonts w:hint="eastAsia" w:ascii="宋体" w:hAnsi="宋体" w:cs="宋体"/>
          <w:bCs/>
          <w:sz w:val="24"/>
          <w:szCs w:val="24"/>
        </w:rPr>
        <w:t xml:space="preserve">供应商在接采购人通知后，应按质保期内售后服务要求排除故障，需更换零部件时，酌情收取成本费。</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（5）平台监管</w:t>
      </w:r>
      <w:r>
        <w:rPr>
          <w:rFonts w:hint="eastAsia" w:ascii="宋体" w:hAnsi="宋体" w:cs="宋体"/>
          <w:bCs/>
          <w:sz w:val="24"/>
          <w:szCs w:val="24"/>
        </w:rPr>
      </w:r>
      <w:r/>
    </w:p>
    <w:p>
      <w:pPr>
        <w:pStyle w:val="767"/>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bCs/>
          <w:spacing w:val="-12"/>
          <w:sz w:val="24"/>
          <w:szCs w:val="24"/>
        </w:rPr>
        <w:t xml:space="preserve">供应商必须接受“南京市教育装备项目管理平台”（平台网址</w:t>
      </w:r>
      <w:r>
        <w:rPr>
          <w:rFonts w:hint="eastAsia"/>
          <w:szCs w:val="21"/>
        </w:rPr>
        <w:fldChar w:fldCharType="begin"/>
      </w:r>
      <w:r>
        <w:instrText xml:space="preserve"> HYPERLINK "http://nj.cneefix.com" </w:instrText>
      </w:r>
      <w:r>
        <w:rPr>
          <w:rFonts w:hint="eastAsia"/>
          <w:szCs w:val="21"/>
        </w:rPr>
        <w:fldChar w:fldCharType="separate"/>
      </w:r>
      <w:r>
        <w:rPr>
          <w:rFonts w:hint="eastAsia" w:ascii="宋体" w:hAnsi="宋体" w:cs="宋体"/>
          <w:bCs/>
          <w:color w:val="0563c1"/>
          <w:spacing w:val="-12"/>
          <w:sz w:val="24"/>
          <w:szCs w:val="24"/>
          <w:u w:val="single"/>
        </w:rPr>
        <w:t xml:space="preserve">http://nj.cneefix.com</w:t>
      </w:r>
      <w:r>
        <w:rPr>
          <w:rFonts w:hint="eastAsia" w:ascii="宋体" w:hAnsi="宋体" w:cs="宋体"/>
          <w:bCs/>
          <w:color w:val="0563c1"/>
          <w:spacing w:val="-12"/>
          <w:sz w:val="24"/>
          <w:szCs w:val="24"/>
          <w:u w:val="single"/>
        </w:rPr>
        <w:fldChar w:fldCharType="end"/>
      </w:r>
      <w:r>
        <w:rPr>
          <w:rFonts w:hint="eastAsia" w:ascii="宋体" w:hAnsi="宋体" w:cs="宋体"/>
          <w:bCs/>
          <w:spacing w:val="-12"/>
          <w:sz w:val="24"/>
          <w:szCs w:val="24"/>
        </w:rPr>
        <w:t xml:space="preserve">)</w:t>
      </w:r>
      <w:r>
        <w:rPr>
          <w:rFonts w:hint="eastAsia" w:ascii="宋体" w:hAnsi="宋体" w:cs="宋体"/>
          <w:bCs/>
          <w:sz w:val="24"/>
          <w:szCs w:val="24"/>
        </w:rPr>
        <w:t xml:space="preserve">的全过程信息化管理，包括公开投标文件、合同与合同清单，在规定的时间节点，提供相应的合同履约过程资料与照片，项目实施结束申请验收等；</w:t>
      </w:r>
      <w:r>
        <w:rPr>
          <w:rFonts w:hint="eastAsia" w:ascii="宋体" w:hAnsi="宋体" w:cs="宋体"/>
          <w:sz w:val="24"/>
          <w:szCs w:val="24"/>
        </w:rPr>
        <w:t xml:space="preserve">中标</w:t>
      </w:r>
      <w:r>
        <w:rPr>
          <w:rFonts w:hint="eastAsia" w:ascii="宋体" w:hAnsi="宋体" w:cs="宋体"/>
          <w:bCs/>
          <w:sz w:val="24"/>
          <w:szCs w:val="24"/>
        </w:rPr>
        <w:t xml:space="preserve">供应商必须对属于固定资产的设备，通过平台制作二维码标签，并张贴到对应设备上。</w:t>
      </w:r>
      <w:r>
        <w:rPr>
          <w:rFonts w:hint="eastAsia" w:ascii="宋体" w:hAnsi="宋体" w:cs="宋体"/>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（7）其他要求</w:t>
      </w:r>
      <w:r>
        <w:rPr>
          <w:rFonts w:hint="eastAsia" w:ascii="宋体" w:hAnsi="宋体" w:cs="宋体"/>
          <w:bCs/>
          <w:sz w:val="24"/>
          <w:szCs w:val="24"/>
        </w:rPr>
      </w:r>
      <w:r/>
    </w:p>
    <w:p>
      <w:pPr>
        <w:pStyle w:val="767"/>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sz w:val="24"/>
          <w:szCs w:val="24"/>
        </w:rPr>
        <w:t xml:space="preserve">供应商提供的货物（含配件）为全新的、未使用过的原装合格正品，并保证所提供货物的开箱合格率为100%，外观和内在质量都不得有任何问题。符合合同规定的质量、规格和性能要求；在规定的质保期内，中标供应商应对由于安装、工艺或材料的缺陷或故障负责；在未验收前，货物保管、安全均由中标供应商负责。</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保证所提供的技术资料（含软件源代码、操作手册及相关电子文件）完整、规范、准确，符合本项目技术标准和行业规范要求。所提供的技术参数、性能指标、安装调试说明等数据须真实有效且与投标文件及合同条款完全一致，能够满足设备按设计规范安装、系统化调试及验收的技术支撑需求；同时须包含设备全生命周期内必要的运维保障资料（含维修手册、零部件清单及安全操作指南），确保设备投用后具备可持续运行及标准化维护的技术条件。</w:t>
      </w:r>
      <w:r>
        <w:rPr>
          <w:rFonts w:hint="eastAsia" w:ascii="宋体" w:hAnsi="宋体" w:cs="宋体"/>
          <w:sz w:val="24"/>
          <w:szCs w:val="24"/>
        </w:rPr>
      </w:r>
      <w:r/>
    </w:p>
    <w:p>
      <w:pPr>
        <w:pStyle w:val="767"/>
        <w:ind w:firstLine="480"/>
        <w:spacing w:line="360" w:lineRule="auto"/>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付款条件</w:t>
      </w:r>
      <w:r>
        <w:rPr>
          <w:rFonts w:hint="eastAsia" w:ascii="宋体" w:hAnsi="宋体" w:cs="宋体"/>
          <w:b/>
          <w:sz w:val="24"/>
          <w:szCs w:val="24"/>
        </w:rPr>
      </w:r>
      <w:r/>
    </w:p>
    <w:p>
      <w:pPr>
        <w:pStyle w:val="76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rPr>
          <w:rFonts w:hint="eastAsia" w:ascii="宋体" w:hAnsi="宋体" w:cs="宋体"/>
          <w:sz w:val="24"/>
          <w:szCs w:val="24"/>
          <w:u w:val="single"/>
        </w:rPr>
      </w:r>
      <w:r/>
    </w:p>
    <w:p>
      <w:pPr>
        <w:pStyle w:val="76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具体</w:t>
      </w:r>
      <w:r>
        <w:rPr>
          <w:rFonts w:ascii="宋体" w:hAnsi="宋体" w:cs="宋体"/>
          <w:sz w:val="24"/>
          <w:szCs w:val="24"/>
          <w:u w:val="single"/>
        </w:rPr>
        <w:t xml:space="preserve">以第三章合同文本</w:t>
      </w:r>
      <w:r>
        <w:rPr>
          <w:rFonts w:hint="eastAsia" w:ascii="宋体" w:hAnsi="宋体" w:cs="宋体"/>
          <w:sz w:val="24"/>
          <w:szCs w:val="24"/>
          <w:u w:val="single"/>
        </w:rPr>
        <w:t xml:space="preserve">内容</w:t>
      </w:r>
      <w:r>
        <w:rPr>
          <w:rFonts w:ascii="宋体" w:hAnsi="宋体" w:cs="宋体"/>
          <w:sz w:val="24"/>
          <w:szCs w:val="24"/>
          <w:u w:val="single"/>
        </w:rPr>
        <w:t xml:space="preserve">为准。</w:t>
      </w:r>
      <w:r>
        <w:rPr>
          <w:rFonts w:hint="eastAsia" w:ascii="宋体" w:hAnsi="宋体" w:cs="宋体"/>
          <w:sz w:val="24"/>
          <w:szCs w:val="24"/>
          <w:u w:val="single"/>
        </w:rPr>
      </w:r>
      <w:r/>
    </w:p>
    <w:p>
      <w:pPr>
        <w:pStyle w:val="767"/>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w:t>
      </w:r>
      <w:r>
        <w:rPr>
          <w:rFonts w:hint="eastAsia" w:ascii="宋体" w:hAnsi="宋体" w:cs="宋体"/>
          <w:b/>
          <w:bCs/>
          <w:sz w:val="24"/>
          <w:szCs w:val="24"/>
        </w:rPr>
        <w:t xml:space="preserve">交付时间及地点</w:t>
      </w:r>
      <w:r>
        <w:rPr>
          <w:rFonts w:hint="eastAsia" w:ascii="宋体" w:hAnsi="宋体" w:cs="宋体"/>
          <w:b/>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合同签订后，中标供应商</w:t>
      </w:r>
      <w:r>
        <w:rPr>
          <w:rFonts w:hint="eastAsia" w:ascii="宋体" w:hAnsi="宋体" w:cs="宋体"/>
          <w:b/>
          <w:sz w:val="24"/>
          <w:szCs w:val="24"/>
        </w:rPr>
        <w:t xml:space="preserve">45天</w:t>
      </w:r>
      <w:r>
        <w:rPr>
          <w:rFonts w:hint="eastAsia" w:ascii="宋体" w:hAnsi="宋体" w:cs="宋体"/>
          <w:bCs/>
          <w:sz w:val="24"/>
          <w:szCs w:val="24"/>
        </w:rPr>
        <w:t xml:space="preserve">内交付并完成安装调试及验收等相关工作。</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详见“分校清单”。</w:t>
      </w:r>
      <w:r>
        <w:rPr>
          <w:rFonts w:hint="eastAsia" w:ascii="宋体" w:hAnsi="宋体" w:cs="宋体"/>
          <w:bCs/>
          <w:sz w:val="24"/>
          <w:szCs w:val="24"/>
        </w:rPr>
      </w:r>
      <w:r/>
    </w:p>
    <w:p>
      <w:pPr>
        <w:pStyle w:val="779"/>
        <w:ind w:left="0"/>
        <w:jc w:val="center"/>
        <w:rPr>
          <w:rFonts w:hint="eastAsia" w:ascii="宋体" w:hAnsi="宋体" w:eastAsia="宋体"/>
          <w:b/>
          <w:sz w:val="18"/>
          <w:szCs w:val="18"/>
        </w:rPr>
      </w:pPr>
      <w:r>
        <w:rPr>
          <w:rFonts w:hint="eastAsia" w:ascii="宋体" w:hAnsi="宋体" w:eastAsia="宋体"/>
          <w:b/>
          <w:sz w:val="18"/>
          <w:szCs w:val="18"/>
        </w:rPr>
        <w:t xml:space="preserve">分校清单</w:t>
      </w:r>
      <w:r>
        <w:rPr>
          <w:rFonts w:hint="eastAsia" w:ascii="宋体" w:hAnsi="宋体" w:eastAsia="宋体"/>
          <w:b/>
          <w:sz w:val="18"/>
          <w:szCs w:val="18"/>
        </w:rPr>
      </w:r>
      <w:r/>
    </w:p>
    <w:tbl>
      <w:tblPr>
        <w:tblW w:w="10065" w:type="dxa"/>
        <w:tblInd w:w="-10" w:type="dxa"/>
        <w:tblLayout w:type="fixed"/>
        <w:tblCellMar>
          <w:left w:w="108" w:type="dxa"/>
          <w:top w:w="0" w:type="dxa"/>
          <w:right w:w="108" w:type="dxa"/>
          <w:bottom w:w="0" w:type="dxa"/>
        </w:tblCellMar>
        <w:tblLook w:val="04A0" w:firstRow="1" w:lastRow="0" w:firstColumn="1" w:lastColumn="0" w:noHBand="0" w:noVBand="1"/>
      </w:tblPr>
      <w:tblGrid>
        <w:gridCol w:w="511"/>
        <w:gridCol w:w="690"/>
        <w:gridCol w:w="585"/>
        <w:gridCol w:w="555"/>
        <w:gridCol w:w="525"/>
        <w:gridCol w:w="600"/>
        <w:gridCol w:w="630"/>
        <w:gridCol w:w="510"/>
        <w:gridCol w:w="495"/>
        <w:gridCol w:w="485"/>
        <w:gridCol w:w="527"/>
        <w:gridCol w:w="293"/>
        <w:gridCol w:w="345"/>
        <w:gridCol w:w="345"/>
        <w:gridCol w:w="405"/>
        <w:gridCol w:w="375"/>
        <w:gridCol w:w="450"/>
        <w:gridCol w:w="450"/>
        <w:gridCol w:w="405"/>
        <w:gridCol w:w="435"/>
        <w:gridCol w:w="449"/>
      </w:tblGrid>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货物名称</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合计数量</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特殊教育学校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双语小学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龙池初级中学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蒋湾小学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教师发展中心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北京东路小学棠城分校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复兴路初级中学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雄州中心小学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城西学校小学部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竹镇民族初级中学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马鞍中心小学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方州小学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冶山中心小学</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摆位椅小号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摆位椅加大号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壁挂式磁吸白板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后墙绿板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平衡木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韵律操踏板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毽子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瑜伽砖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软式垒球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竞速跳绳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美术桌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桌垫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561340</wp:posOffset>
                      </wp:positionH>
                      <wp:positionV relativeFrom="paragraph">
                        <wp:posOffset>0</wp:posOffset>
                      </wp:positionV>
                      <wp:extent cx="964565" cy="120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6;o:allowoverlap:true;o:allowincell:true;mso-position-horizontal-relative:text;margin-left:44.2pt;mso-position-horizontal:absolute;mso-position-vertical-relative:text;margin-top:0.0pt;mso-position-vertical:absolute;width:76.0pt;height:0.9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600710</wp:posOffset>
                      </wp:positionH>
                      <wp:positionV relativeFrom="paragraph">
                        <wp:posOffset>0</wp:posOffset>
                      </wp:positionV>
                      <wp:extent cx="961390" cy="1206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7;o:allowoverlap:true;o:allowincell:true;mso-position-horizontal-relative:text;margin-left:47.3pt;mso-position-horizontal:absolute;mso-position-vertical-relative:text;margin-top:0.0pt;mso-position-vertical:absolute;width:75.7pt;height:0.9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686435</wp:posOffset>
                      </wp:positionH>
                      <wp:positionV relativeFrom="paragraph">
                        <wp:posOffset>0</wp:posOffset>
                      </wp:positionV>
                      <wp:extent cx="617855" cy="12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8;o:allowoverlap:true;o:allowincell:true;mso-position-horizontal-relative:text;margin-left:54.0pt;mso-position-horizontal:absolute;mso-position-vertical-relative:text;margin-top:0.0pt;mso-position-vertical:absolute;width:48.6pt;height:0.9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0</wp:posOffset>
                      </wp:positionV>
                      <wp:extent cx="599440" cy="120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9;o:allowoverlap:true;o:allowincell:true;mso-position-horizontal-relative:text;margin-left:54.0pt;mso-position-horizontal:absolute;mso-position-vertical-relative:text;margin-top:0.0pt;mso-position-vertical:absolute;width:47.2pt;height:0.9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18"/>
                <w:szCs w:val="18"/>
                <w:lang w:bidi="ar"/>
              </w:rPr>
              <w:t xml:space="preserve">全板式静物台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349250</wp:posOffset>
                      </wp:positionH>
                      <wp:positionV relativeFrom="paragraph">
                        <wp:posOffset>0</wp:posOffset>
                      </wp:positionV>
                      <wp:extent cx="961390" cy="120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0;o:allowoverlap:true;o:allowincell:true;mso-position-horizontal-relative:text;margin-left:27.5pt;mso-position-horizontal:absolute;mso-position-vertical-relative:text;margin-top:0.0pt;mso-position-vertical:absolute;width:75.7pt;height:0.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349250</wp:posOffset>
                      </wp:positionH>
                      <wp:positionV relativeFrom="paragraph">
                        <wp:posOffset>0</wp:posOffset>
                      </wp:positionV>
                      <wp:extent cx="964565" cy="120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1;o:allowoverlap:true;o:allowincell:true;mso-position-horizontal-relative:text;margin-left:27.5pt;mso-position-horizontal:absolute;mso-position-vertical-relative:text;margin-top:0.0pt;mso-position-vertical:absolute;width:76.0pt;height:0.9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349250</wp:posOffset>
                      </wp:positionH>
                      <wp:positionV relativeFrom="paragraph">
                        <wp:posOffset>0</wp:posOffset>
                      </wp:positionV>
                      <wp:extent cx="617855" cy="120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2;o:allowoverlap:true;o:allowincell:true;mso-position-horizontal-relative:text;margin-left:27.5pt;mso-position-horizontal:absolute;mso-position-vertical-relative:text;margin-top:0.0pt;mso-position-vertical:absolute;width:48.6pt;height:0.9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349250</wp:posOffset>
                      </wp:positionH>
                      <wp:positionV relativeFrom="paragraph">
                        <wp:posOffset>0</wp:posOffset>
                      </wp:positionV>
                      <wp:extent cx="599440" cy="120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3;o:allowoverlap:true;o:allowincell:true;mso-position-horizontal-relative:text;margin-left:27.5pt;mso-position-horizontal:absolute;mso-position-vertical-relative:text;margin-top:0.0pt;mso-position-vertical:absolute;width:47.2pt;height:0.9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全板式拷贝台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作品晾晒架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陶瓷水盆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单口龙头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室内水管对接及改造</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软木展板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准备台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器材柜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储物展示柜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画室卡纸置物架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黑板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47180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4;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4146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5;o:allowoverlap:true;o:allowincell:true;mso-position-horizontal-relative:text;margin-left:0.0pt;mso-position-horizontal:absolute;mso-position-vertical-relative:text;margin-top:0.0pt;mso-position-vertical:absolute;width:0.8pt;height:32.6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展示高柜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洞洞板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定制室内标识标牌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短跳绳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气排球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货物架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礼堂椅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折叠条桌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55寸液晶拼接显示单元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拼接屏拼接支架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外置拼接处理器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拼接屏控制专用主机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65寸壁挂广告机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手持无线话筒（一拖四）</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无线话筒（一拖二）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只</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天线分配放大器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天线支架及延长线缆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12路带编组调音台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数字话筒处理器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专业功率放大器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专业音柱音箱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音箱壁挂支架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8路电源时序器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LED会议灯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中号灯钩</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保险绳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12路电源直通箱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20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6;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120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7;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20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206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9;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音频线材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107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952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1;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25" cy="107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牛角椅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学生书法桌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实木凳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室内水管改造及地面处理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墙面乳胶漆出新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室内物品搬迁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室内电位改造对接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窗帘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LED护眼教室灯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综合布线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五金工具箱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木工开孔器套装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9525" cy="4191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3;o:allowoverlap:true;o:allowincell:true;mso-position-horizontal-relative:text;margin-left:0.0pt;mso-position-horizontal:absolute;mso-position-vertical-relative:text;margin-top:0.0pt;mso-position-vertical:absolute;width:0.8pt;height:33.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乒乓球台(室内）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乒乓球地面围挡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面</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小足球门（含网）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小沙包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花球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发令枪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跳皮筋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山羊台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助跳板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肋木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身高体重测量仪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画线小推车</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1245"/>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软式跨栏架组合</w:t>
            </w:r>
            <w:r>
              <w:rPr>
                <w:rFonts w:hint="eastAsia" w:ascii="宋体" w:hAnsi="宋体" w:cs="宋体"/>
                <w:color w:val="000000"/>
                <w:sz w:val="18"/>
                <w:szCs w:val="18"/>
              </w:rPr>
            </w:r>
            <w:r/>
          </w:p>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乒乓球发球机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小篮球5号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小足球4号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小足球门（3人制）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可升降移动小篮球架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跳高架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计时秒表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小跨栏架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接力棒（比赛型）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足球标志盘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打印机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定制书柜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定制班级边柜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课桌椅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档案柜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异形阅览桌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阅览椅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软体组合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布帘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异形办公桌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组合书柜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定制钢制卷帘门柜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矮柜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接待椅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茶水柜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沙发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长茶几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钢制文件柜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午休椅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bl>
    <w:p>
      <w:pPr>
        <w:pStyle w:val="767"/>
      </w:pPr>
      <w:r/>
      <w:r/>
    </w:p>
    <w:p>
      <w:pPr>
        <w:pStyle w:val="779"/>
        <w:rPr>
          <w:rFonts w:hint="eastAsia" w:ascii="宋体" w:hAnsi="宋体"/>
          <w:bCs/>
          <w:sz w:val="24"/>
          <w:szCs w:val="24"/>
        </w:rPr>
      </w:pPr>
      <w:r>
        <w:rPr>
          <w:rFonts w:hint="eastAsia" w:ascii="宋体" w:hAnsi="宋体"/>
          <w:bCs/>
          <w:sz w:val="24"/>
          <w:szCs w:val="24"/>
        </w:rPr>
      </w:r>
      <w:r/>
    </w:p>
    <w:p>
      <w:pPr>
        <w:pStyle w:val="767"/>
        <w:rPr>
          <w:rFonts w:hint="eastAsia"/>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1701" w:equalWidth="1"/>
          <w:docGrid w:linePitch="360"/>
          <w:titlePg/>
        </w:sectPr>
      </w:pPr>
      <w:r>
        <w:rPr>
          <w:rFonts w:hint="eastAsia"/>
        </w:rPr>
      </w:r>
      <w:r/>
    </w:p>
    <w:p>
      <w:pPr>
        <w:pStyle w:val="767"/>
        <w:jc w:val="center"/>
        <w:keepNext/>
        <w:rPr>
          <w:rFonts w:hint="eastAsia" w:ascii="黑体" w:eastAsia="黑体"/>
          <w:bCs/>
          <w:sz w:val="44"/>
          <w:szCs w:val="28"/>
        </w:rPr>
        <w:outlineLvl w:val="0"/>
      </w:pPr>
      <w:r>
        <w:rPr>
          <w:rFonts w:hint="eastAsia" w:ascii="黑体" w:eastAsia="黑体"/>
          <w:sz w:val="44"/>
          <w:szCs w:val="44"/>
        </w:rPr>
        <w:t xml:space="preserve">第五章  评标方法与评标标准</w:t>
      </w:r>
      <w:r>
        <w:rPr>
          <w:rFonts w:hint="eastAsia" w:ascii="黑体" w:eastAsia="黑体"/>
          <w:bCs/>
          <w:sz w:val="44"/>
          <w:szCs w:val="28"/>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一、评审方法</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1.采用综合评分法的，评标结果按评审后得分由高到低顺序排列。得分相同的，按投标报价由低到高顺序排列。得分且投标报价相同的，按“三、评标标准中2.2-2.6项”得分由高到低顺序排列。在投标文件满足招标文件全部实质性要求的供应商中，按照评审得分由高到低推荐3名中标候选人。</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二、小微企业价格扣除</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1.</w:t>
      </w:r>
      <w:r>
        <w:rPr>
          <w:rFonts w:hint="eastAsia" w:ascii="宋体" w:hAnsi="宋体" w:cs="宋体"/>
          <w:b w:val="0"/>
          <w:bCs w:val="0"/>
          <w:sz w:val="24"/>
          <w:szCs w:val="24"/>
          <w:lang w:val="zh-CN"/>
        </w:rPr>
        <w:t xml:space="preserve">本项目服务全部由小微企业承接的，</w:t>
      </w:r>
      <w:r>
        <w:rPr>
          <w:rFonts w:hint="eastAsia" w:ascii="宋体" w:hAnsi="宋体" w:cs="宋体"/>
          <w:b w:val="0"/>
          <w:bCs w:val="0"/>
          <w:sz w:val="24"/>
          <w:szCs w:val="24"/>
        </w:rPr>
        <w:t xml:space="preserve">对报价给予15</w:t>
      </w:r>
      <w:r>
        <w:rPr>
          <w:rFonts w:hint="eastAsia" w:ascii="宋体" w:hAnsi="宋体" w:cs="宋体"/>
          <w:b w:val="0"/>
          <w:bCs w:val="0"/>
          <w:sz w:val="24"/>
          <w:szCs w:val="24"/>
          <w:lang w:val="zh-CN"/>
        </w:rPr>
        <w:t xml:space="preserve">%</w:t>
      </w:r>
      <w:r>
        <w:rPr>
          <w:rFonts w:hint="eastAsia" w:ascii="宋体" w:hAnsi="宋体" w:cs="宋体"/>
          <w:b w:val="0"/>
          <w:bCs w:val="0"/>
          <w:sz w:val="24"/>
          <w:szCs w:val="24"/>
        </w:rPr>
        <w:t xml:space="preserve">的扣除，用扣除后的价格参与评审。</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3.上述价格扣除政策仅适用于“非专门面向中小企业采购项目”。</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备注：</w:t>
      </w:r>
      <w:r>
        <w:rPr>
          <w:rFonts w:hint="eastAsia" w:ascii="宋体" w:hAnsi="宋体" w:cs="宋体"/>
          <w:b w:val="0"/>
          <w:bCs w:val="0"/>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的扣除（500万元（含）以上的项目为4%，500万元以内的项目为6%），用扣除后的价格参与评审。</w:t>
      </w:r>
      <w:r>
        <w:rPr>
          <w:rFonts w:hint="eastAsia" w:ascii="宋体" w:hAnsi="宋体" w:cs="宋体"/>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767"/>
        <w:ind w:firstLine="480"/>
        <w:keepNext/>
        <w:spacing w:line="264" w:lineRule="auto"/>
        <w:rPr>
          <w:rFonts w:ascii="黑体" w:hAnsi="黑体" w:eastAsia="黑体" w:cs="黑体"/>
          <w:sz w:val="24"/>
          <w:szCs w:val="24"/>
        </w:rPr>
      </w:pPr>
      <w:r>
        <w:rPr>
          <w:rFonts w:ascii="黑体" w:hAnsi="黑体" w:eastAsia="黑体" w:cs="黑体"/>
          <w:sz w:val="24"/>
          <w:szCs w:val="24"/>
        </w:rPr>
      </w:r>
      <w:r/>
    </w:p>
    <w:p>
      <w:pPr>
        <w:pStyle w:val="767"/>
        <w:keepNext/>
        <w:spacing w:line="264" w:lineRule="auto"/>
        <w:rPr>
          <w:rFonts w:ascii="黑体" w:hAnsi="黑体" w:eastAsia="黑体" w:cs="黑体"/>
          <w:sz w:val="24"/>
          <w:szCs w:val="24"/>
        </w:rPr>
      </w:pPr>
      <w:r>
        <w:rPr>
          <w:rFonts w:hint="eastAsia" w:ascii="黑体" w:hAnsi="黑体" w:eastAsia="黑体" w:cs="黑体"/>
          <w:sz w:val="24"/>
          <w:szCs w:val="24"/>
        </w:rPr>
        <w:t xml:space="preserve">三、评分标准</w:t>
      </w:r>
      <w:r>
        <w:rPr>
          <w:rFonts w:ascii="黑体" w:hAnsi="黑体" w:eastAsia="黑体" w:cs="黑体"/>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2"/>
        <w:gridCol w:w="6397"/>
        <w:gridCol w:w="647"/>
        <w:gridCol w:w="900"/>
      </w:tblGrid>
      <w:tr>
        <w:trPr>
          <w:trHeight w:val="793"/>
          <w:tblHeader/>
        </w:trPr>
        <w:tc>
          <w:tcPr>
            <w:tcW w:w="519"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W w:w="1112"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W w:w="6397"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W w:w="647"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W w:w="900"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W w:w="9575" w:type="dxa"/>
            <w:vAlign w:val="top"/>
            <w:textDirection w:val="lrTb"/>
            <w:noWrap w:val="false"/>
          </w:tcPr>
          <w:p>
            <w:pPr>
              <w:pStyle w:val="767"/>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W w:w="519" w:type="dxa"/>
            <w:vAlign w:val="center"/>
            <w:textDirection w:val="lrTb"/>
            <w:noWrap w:val="false"/>
          </w:tcPr>
          <w:p>
            <w:pPr>
              <w:pStyle w:val="767"/>
              <w:jc w:val="center"/>
              <w:spacing w:before="68"/>
              <w:rPr>
                <w:rFonts w:hint="eastAsia" w:ascii="宋体" w:hAnsi="宋体" w:cs="宋体"/>
              </w:rPr>
            </w:pPr>
            <w:r/>
            <w:bookmarkStart w:id="163" w:name="OLE_LINK57"/>
            <w:r/>
            <w:bookmarkStart w:id="164" w:name="OLE_LINK58"/>
            <w:r/>
            <w:bookmarkStart w:id="165" w:name="_Hlk230521580"/>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W w:w="1112" w:type="dxa"/>
            <w:vAlign w:val="center"/>
            <w:textDirection w:val="lrTb"/>
            <w:noWrap w:val="false"/>
          </w:tcPr>
          <w:p>
            <w:pPr>
              <w:pStyle w:val="767"/>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W w:w="6397" w:type="dxa"/>
            <w:vAlign w:val="center"/>
            <w:textDirection w:val="lrTb"/>
            <w:noWrap w:val="false"/>
          </w:tcPr>
          <w:p>
            <w:pPr>
              <w:pStyle w:val="767"/>
              <w:jc w:val="lef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r>
              <w:rPr>
                <w:rFonts w:hint="eastAsia" w:ascii="宋体" w:hAnsi="宋体" w:cs="宋体"/>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30</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767"/>
              <w:ind w:left="114"/>
              <w:spacing w:before="123"/>
              <w:rPr>
                <w:rFonts w:hint="eastAsia" w:ascii="宋体" w:hAnsi="宋体" w:cs="宋体"/>
              </w:rPr>
            </w:pPr>
            <w:r/>
            <w:bookmarkEnd w:id="163"/>
            <w:r/>
            <w:bookmarkEnd w:id="164"/>
            <w:r/>
            <w:bookmarkEnd w:id="165"/>
            <w:r>
              <w:rPr>
                <w:rFonts w:hint="eastAsia" w:ascii="宋体" w:hAnsi="宋体" w:cs="宋体"/>
                <w:b/>
                <w:bCs/>
                <w:spacing w:val="-3"/>
              </w:rPr>
              <w:t xml:space="preserve">2.技术</w:t>
            </w:r>
            <w:r>
              <w:rPr>
                <w:rFonts w:hint="eastAsia" w:ascii="宋体" w:hAnsi="宋体" w:cs="宋体"/>
              </w:rPr>
            </w:r>
            <w:r/>
          </w:p>
        </w:tc>
      </w:tr>
      <w:tr>
        <w:trPr>
          <w:trHeight w:val="891"/>
        </w:trPr>
        <w:tc>
          <w:tcPr>
            <w:tcW w:w="519" w:type="dxa"/>
            <w:vAlign w:val="center"/>
            <w:textDirection w:val="lrTb"/>
            <w:noWrap w:val="false"/>
          </w:tcPr>
          <w:p>
            <w:pPr>
              <w:pStyle w:val="767"/>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rPr>
                <w:rFonts w:ascii="宋体" w:hAnsi="宋体" w:cs="宋体"/>
                <w:spacing w:val="-2"/>
              </w:rPr>
              <w:t xml:space="preserve">产品技术参数</w:t>
            </w:r>
            <w:r>
              <w:rPr>
                <w:rFonts w:hint="eastAsia" w:ascii="宋体" w:hAnsi="宋体" w:cs="宋体"/>
                <w:color w:val="0000ff"/>
                <w:spacing w:val="-2"/>
              </w:rPr>
            </w:r>
            <w:r/>
          </w:p>
        </w:tc>
        <w:tc>
          <w:tcPr>
            <w:tcW w:w="6397" w:type="dxa"/>
            <w:vAlign w:val="center"/>
            <w:textDirection w:val="lrTb"/>
            <w:noWrap w:val="false"/>
          </w:tcPr>
          <w:p>
            <w:pPr>
              <w:pStyle w:val="767"/>
              <w:rPr>
                <w:rFonts w:hint="eastAsia" w:ascii="宋体" w:hAnsi="宋体" w:cs="宋体"/>
                <w:spacing w:val="1"/>
              </w:rPr>
            </w:pPr>
            <w:r/>
            <w:bookmarkStart w:id="166" w:name="OLE_LINK65"/>
            <w:r>
              <w:rPr>
                <w:rFonts w:hint="eastAsia" w:ascii="宋体" w:hAnsi="宋体" w:cs="宋体"/>
                <w:spacing w:val="1"/>
              </w:rPr>
              <w:t xml:space="preserve">设备技术参数全部满足招标要求的得满分22分，打▲号指标为重要指标，有一项负偏离扣3分；其他指标，有一项负偏离扣1分，扣完为止。指标中要求提供佐证材料的必须提供，否则视为该条指标未响应。严重负偏离影响设备性能的经半数以上评委认定，本项得零分。</w:t>
            </w:r>
            <w:bookmarkEnd w:id="166"/>
            <w:r>
              <w:rPr>
                <w:rFonts w:hint="eastAsia" w:ascii="宋体" w:hAnsi="宋体" w:cs="宋体"/>
                <w:spacing w:val="1"/>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22</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393"/>
        </w:trPr>
        <w:tc>
          <w:tcPr>
            <w:tcW w:w="519" w:type="dxa"/>
            <w:vAlign w:val="center"/>
            <w:textDirection w:val="lrTb"/>
            <w:noWrap w:val="false"/>
          </w:tcPr>
          <w:p>
            <w:pPr>
              <w:pStyle w:val="767"/>
              <w:jc w:val="center"/>
              <w:spacing w:before="68"/>
              <w:rPr>
                <w:rFonts w:hint="eastAsia" w:ascii="宋体" w:hAnsi="宋体" w:cs="宋体"/>
                <w:spacing w:val="-2"/>
              </w:rPr>
            </w:pPr>
            <w:r/>
            <w:bookmarkStart w:id="167" w:name="_Hlk230521947"/>
            <w:r/>
            <w:bookmarkStart w:id="168" w:name="OLE_LINK61"/>
            <w:r/>
            <w:bookmarkStart w:id="169" w:name="OLE_LINK60"/>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bookmarkStart w:id="170" w:name="OLE_LINK59"/>
            <w:r>
              <w:rPr>
                <w:rFonts w:ascii="宋体" w:hAnsi="宋体" w:cs="宋体"/>
                <w:spacing w:val="-2"/>
              </w:rPr>
              <w:t xml:space="preserve">原材料检测报告</w:t>
            </w:r>
            <w:r>
              <w:rPr>
                <w:rFonts w:hint="eastAsia" w:ascii="宋体" w:hAnsi="宋体" w:cs="宋体"/>
                <w:spacing w:val="-2"/>
              </w:rPr>
            </w:r>
            <w:r/>
          </w:p>
          <w:p>
            <w:pPr>
              <w:pStyle w:val="767"/>
              <w:jc w:val="left"/>
              <w:spacing w:before="68"/>
              <w:rPr>
                <w:rFonts w:hint="eastAsia" w:ascii="宋体" w:hAnsi="宋体" w:cs="宋体"/>
                <w:color w:val="0000ff"/>
                <w:spacing w:val="-2"/>
              </w:rPr>
            </w:pPr>
            <w:r/>
            <w:bookmarkEnd w:id="170"/>
            <w:r>
              <w:rPr>
                <w:rFonts w:hint="eastAsia" w:ascii="宋体" w:hAnsi="宋体" w:cs="宋体"/>
                <w:color w:val="0000ff"/>
                <w:spacing w:val="-2"/>
              </w:rPr>
            </w:r>
            <w:r/>
          </w:p>
        </w:tc>
        <w:tc>
          <w:tcPr>
            <w:tcW w:w="6397" w:type="dxa"/>
            <w:vAlign w:val="center"/>
            <w:textDirection w:val="lrTb"/>
            <w:noWrap w:val="false"/>
          </w:tcPr>
          <w:p>
            <w:pPr>
              <w:pStyle w:val="767"/>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rPr>
                <w:rFonts w:hint="eastAsia" w:ascii="宋体" w:hAnsi="宋体" w:cs="宋体"/>
                <w:spacing w:val="1"/>
              </w:rPr>
            </w:r>
            <w:r/>
          </w:p>
          <w:p>
            <w:pPr>
              <w:pStyle w:val="767"/>
              <w:rPr>
                <w:rFonts w:hint="eastAsia" w:ascii="宋体" w:hAnsi="宋体" w:cs="宋体"/>
                <w:spacing w:val="1"/>
              </w:rPr>
            </w:pPr>
            <w:r>
              <w:rPr>
                <w:rFonts w:hint="eastAsia" w:ascii="宋体" w:hAnsi="宋体" w:cs="宋体"/>
                <w:spacing w:val="1"/>
              </w:rPr>
              <w:t xml:space="preserve">1、所投“办公桌”产品原材料实木多层板的抽样检测报告，检测项至少包含：(1)依据GB/T35601-2024，苯、甲苯、二甲苯、TVOC、甲醛释放量检测结果为合格或符合；(2)依据LY/T2230-2013，防霉菌性能检测结果为合格或符合。提供符合要求的报告得2分，不提供不得分。</w:t>
            </w:r>
            <w:r>
              <w:rPr>
                <w:rFonts w:hint="eastAsia" w:ascii="宋体" w:hAnsi="宋体" w:cs="宋体"/>
                <w:spacing w:val="1"/>
              </w:rPr>
            </w:r>
            <w:r/>
          </w:p>
          <w:p>
            <w:pPr>
              <w:pStyle w:val="767"/>
              <w:rPr>
                <w:rFonts w:hint="eastAsia" w:ascii="宋体" w:hAnsi="宋体" w:cs="宋体"/>
                <w:spacing w:val="1"/>
              </w:rPr>
            </w:pPr>
            <w:r>
              <w:rPr>
                <w:rFonts w:hint="eastAsia" w:ascii="宋体" w:hAnsi="宋体" w:cs="宋体"/>
                <w:spacing w:val="1"/>
              </w:rPr>
              <w:t xml:space="preserve">2、所投“课桌椅”产品原材料ABS塑料的抽样检测报告，检测项至少包含：（1）依据 GB/T32487-2016，冲击强度保持率不小于80%，冲击强度不小于15J/㎡；（2）依据QB/T4371-2012，抗菌性能检测结果为合格或符合；(3)依据GB/T24128-2018，耐霉菌性能检测结果为合格或符合。提供符合要求的报告得2分，不提供不得分。</w:t>
            </w:r>
            <w:r>
              <w:rPr>
                <w:rFonts w:hint="eastAsia" w:ascii="宋体" w:hAnsi="宋体" w:cs="宋体"/>
                <w:spacing w:val="1"/>
              </w:rPr>
            </w:r>
            <w:r/>
          </w:p>
          <w:p>
            <w:pPr>
              <w:pStyle w:val="767"/>
              <w:rPr>
                <w:rFonts w:hint="eastAsia" w:ascii="宋体" w:hAnsi="宋体" w:cs="宋体"/>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lang w:bidi="ar"/>
              </w:rPr>
              <w:t xml:space="preserve">。</w:t>
            </w:r>
            <w:r>
              <w:rPr>
                <w:rFonts w:hint="eastAsia" w:ascii="宋体" w:hAnsi="宋体" w:cs="宋体"/>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W w:w="519" w:type="dxa"/>
            <w:vAlign w:val="center"/>
            <w:textDirection w:val="lrTb"/>
            <w:noWrap w:val="false"/>
          </w:tcPr>
          <w:p>
            <w:pPr>
              <w:pStyle w:val="767"/>
              <w:jc w:val="center"/>
              <w:spacing w:before="68"/>
              <w:rPr>
                <w:rFonts w:hint="eastAsia" w:ascii="宋体" w:hAnsi="宋体" w:cs="宋体"/>
                <w:spacing w:val="-2"/>
              </w:rPr>
            </w:pPr>
            <w:r/>
            <w:bookmarkEnd w:id="167"/>
            <w:r/>
            <w:bookmarkEnd w:id="168"/>
            <w:r/>
            <w:bookmarkEnd w:id="169"/>
            <w:r/>
            <w:bookmarkStart w:id="171" w:name="OLE_LINK63"/>
            <w:r/>
            <w:bookmarkStart w:id="172" w:name="OLE_LINK64"/>
            <w:r/>
            <w:bookmarkStart w:id="173" w:name="_Hlk230522072"/>
            <w:r>
              <w:rPr>
                <w:rFonts w:hint="eastAsia" w:ascii="宋体" w:hAnsi="宋体" w:cs="宋体"/>
                <w:spacing w:val="-2"/>
              </w:rPr>
              <w:t xml:space="preserve">2.3</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bookmarkStart w:id="174" w:name="OLE_LINK62"/>
            <w:r>
              <w:rPr>
                <w:rFonts w:ascii="宋体" w:hAnsi="宋体" w:cs="宋体"/>
                <w:spacing w:val="-2"/>
              </w:rPr>
              <w:t xml:space="preserve">成品检测报告</w:t>
            </w:r>
            <w:r>
              <w:rPr>
                <w:rFonts w:hint="eastAsia" w:ascii="宋体" w:hAnsi="宋体" w:cs="宋体"/>
                <w:spacing w:val="-2"/>
              </w:rPr>
            </w:r>
            <w:r/>
          </w:p>
          <w:p>
            <w:pPr>
              <w:pStyle w:val="767"/>
              <w:jc w:val="left"/>
              <w:spacing w:before="68"/>
              <w:rPr>
                <w:rFonts w:hint="eastAsia" w:ascii="宋体" w:hAnsi="宋体" w:cs="宋体"/>
                <w:color w:val="0000ff"/>
                <w:spacing w:val="-2"/>
              </w:rPr>
            </w:pPr>
            <w:r/>
            <w:bookmarkEnd w:id="174"/>
            <w:r>
              <w:rPr>
                <w:rFonts w:hint="eastAsia" w:ascii="宋体" w:hAnsi="宋体" w:cs="宋体"/>
                <w:color w:val="0000ff"/>
                <w:spacing w:val="-2"/>
              </w:rPr>
            </w:r>
            <w:r/>
          </w:p>
        </w:tc>
        <w:tc>
          <w:tcPr>
            <w:tcW w:w="6397" w:type="dxa"/>
            <w:vAlign w:val="center"/>
            <w:textDirection w:val="lrTb"/>
            <w:noWrap w:val="false"/>
          </w:tcPr>
          <w:p>
            <w:pPr>
              <w:pStyle w:val="767"/>
              <w:spacing w:line="240" w:lineRule="atLeast"/>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所投“课桌椅”的检测报告，检测项至少包含：（1）依据QB/T4071-2021，课椅力学性能、课桌力学性能检测结果为符合或合格；（2）依据GB/T9343-2008，燃烧性、闪燃温度、自燃温度检测结果为符合或合格；（3）依据QB/T4371-2012，抗菌性能≥99.9%；（4）依据GB/T24128-2018，耐霉菌性能0级。符合检测要求项数对应的评审分值如下：全部4项检测均符合要求的，得2分；符合其中任意3项要求的，得1分；符合不足3项或不符合要求的</w:t>
            </w:r>
            <w:r>
              <w:rPr>
                <w:rFonts w:hint="eastAsia" w:ascii="宋体" w:hAnsi="宋体" w:cs="宋体"/>
                <w:spacing w:val="1"/>
              </w:rPr>
              <w:t xml:space="preserve">，不得分。本项得分合计不超过2分；                                             2、所投“礼堂椅”的检测报告，检测项至少包含：（1）依据QB/T 2602-2013，结构要求、消音装置、用料、理化性能、力学性能、有害物质检测结果为符合或合格；（2）依据GB/T 35607-2024，产品寿命检测结果为符合或合格。符合检测要求项数对应的评审分值如下： 全部2项检测均符合要求的，得2分；符合其中任意1项要求的，得1分；不符合或未提供的，不得分。本项得分合计不超过2分。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pacing w:val="1"/>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270"/>
        </w:trPr>
        <w:tc>
          <w:tcPr>
            <w:tcW w:w="519" w:type="dxa"/>
            <w:vAlign w:val="center"/>
            <w:textDirection w:val="lrTb"/>
            <w:noWrap w:val="false"/>
          </w:tcPr>
          <w:p>
            <w:pPr>
              <w:pStyle w:val="767"/>
              <w:jc w:val="center"/>
              <w:spacing w:before="68"/>
              <w:rPr>
                <w:rFonts w:hint="eastAsia" w:ascii="宋体" w:hAnsi="宋体" w:cs="宋体"/>
                <w:spacing w:val="-2"/>
              </w:rPr>
            </w:pPr>
            <w:r/>
            <w:bookmarkEnd w:id="171"/>
            <w:r/>
            <w:bookmarkEnd w:id="172"/>
            <w:r/>
            <w:bookmarkEnd w:id="173"/>
            <w:r>
              <w:rPr>
                <w:rFonts w:hint="eastAsia" w:ascii="宋体" w:hAnsi="宋体" w:cs="宋体"/>
                <w:spacing w:val="-2"/>
              </w:rPr>
              <w:t xml:space="preserve">2.4</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rPr>
                <w:rFonts w:hint="eastAsia" w:ascii="宋体" w:hAnsi="宋体" w:cs="宋体"/>
              </w:rPr>
              <w:t xml:space="preserve">深化设计方案</w:t>
            </w:r>
            <w:r>
              <w:rPr>
                <w:rFonts w:hint="eastAsia" w:ascii="宋体" w:hAnsi="宋体" w:cs="宋体"/>
                <w:color w:val="0000ff"/>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投标人根据招标文件，结合学校现场情况进行深化设计。提供本项目的南师大附属实验学校小学劳技教室、龙池初级中学美术教室、雄州中心小学报告厅、城西学校小学部书法教室、竹镇民族中学劳技室、马鞍中心小学劳技教室共6间功能室，深化设计方案与图纸，包含但不限于平面布局图、效果图（效果图需包含3个角度：前视图、后视图、俯视图）。评委根据图纸规范性、完整性、准确性、系统结构合理性进行综合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1、每间功能室图纸完整齐全、符合规范、尺寸精确、流线合理 ，得1分；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2、每间功能室图纸基本齐全，有少量缺漏或标注不准确 ，得0.5分；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3、每间功能室图纸不齐全，但方案思路基本明确 ，得0.2分；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4、提供或完全不符合，得0分。</w:t>
            </w:r>
            <w:r>
              <w:rPr>
                <w:rFonts w:hint="eastAsia" w:ascii="宋体" w:hAnsi="宋体" w:cs="宋体"/>
                <w:spacing w:val="1"/>
              </w:rPr>
            </w:r>
            <w:r/>
          </w:p>
          <w:p>
            <w:pPr>
              <w:pStyle w:val="767"/>
              <w:jc w:val="left"/>
              <w:spacing w:line="264" w:lineRule="auto"/>
              <w:rPr>
                <w:rFonts w:ascii="宋体" w:hAnsi="宋体" w:cs="宋体"/>
                <w:spacing w:val="1"/>
              </w:rPr>
            </w:pPr>
            <w:r>
              <w:rPr>
                <w:rFonts w:hint="eastAsia" w:ascii="宋体" w:hAnsi="宋体" w:cs="宋体"/>
                <w:spacing w:val="1"/>
              </w:rPr>
              <w:t xml:space="preserve">备注：</w:t>
            </w:r>
            <w:r>
              <w:rPr>
                <w:rFonts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1、每个功能室的平面布局图与效果图应合并为一个PDF文件或文件夹，文件命名规则为‘学校名称+功能室名称’，以便评委对应评分；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2、效果图的具体要求：若需要三维立体效果，可以要求“效果图应为彩色渲染图，能够清晰展示功能室内家具、设备、墙面、地面、顶面的材质与色彩关系”。也可以接受黑白线框图，需提前写明。</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3、相关建筑图纸见附件，投标人须依据附件中的原始建筑平面图进行深化设计，不得擅自改变建筑主体结构。</w:t>
            </w:r>
            <w:r>
              <w:rPr>
                <w:rFonts w:hint="eastAsia" w:ascii="宋体" w:hAnsi="宋体" w:cs="宋体"/>
                <w:spacing w:val="1"/>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889"/>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2.5</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bookmarkStart w:id="175" w:name="OLE_LINK66"/>
            <w:r>
              <w:rPr>
                <w:rFonts w:hint="eastAsia" w:ascii="宋体" w:hAnsi="宋体" w:cs="宋体"/>
              </w:rPr>
              <w:t xml:space="preserve">视频演示</w:t>
            </w:r>
            <w:bookmarkEnd w:id="175"/>
            <w:r>
              <w:rPr>
                <w:rFonts w:hint="eastAsia" w:ascii="宋体" w:hAnsi="宋体" w:cs="宋体"/>
                <w:color w:val="0000ff"/>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评委根据投标人提供的“课桌椅”产品视频演示</w:t>
            </w:r>
            <w:r>
              <w:rPr>
                <w:rFonts w:hint="eastAsia" w:ascii="宋体" w:hAnsi="宋体" w:cs="宋体"/>
                <w:spacing w:val="1"/>
                <w:lang w:eastAsia="zh-CN"/>
              </w:rPr>
              <w:t xml:space="preserve">（</w:t>
            </w:r>
            <w:r>
              <w:rPr>
                <w:rFonts w:hint="eastAsia" w:ascii="宋体" w:hAnsi="宋体" w:cs="宋体"/>
                <w:spacing w:val="1"/>
              </w:rPr>
              <w:t xml:space="preserve">演示总时长≤5分钟，演示人员可非真人</w:t>
            </w:r>
            <w:r>
              <w:rPr>
                <w:rFonts w:hint="eastAsia" w:ascii="宋体" w:hAnsi="宋体" w:cs="宋体"/>
                <w:spacing w:val="1"/>
                <w:lang w:eastAsia="zh-CN"/>
              </w:rPr>
              <w:t xml:space="preserve">）</w:t>
            </w:r>
            <w:r>
              <w:rPr>
                <w:rFonts w:hint="eastAsia" w:ascii="宋体" w:hAnsi="宋体" w:cs="宋体"/>
                <w:spacing w:val="1"/>
              </w:rPr>
              <w:t xml:space="preserve">。评委根据以下客观演示内容评分：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1、整体</w:t>
            </w:r>
            <w:r>
              <w:rPr>
                <w:rFonts w:hint="eastAsia" w:ascii="宋体" w:hAnsi="宋体" w:cs="宋体"/>
                <w:spacing w:val="1"/>
                <w:lang w:val="en-US" w:eastAsia="zh-CN"/>
              </w:rPr>
              <w:t xml:space="preserve">结构展示</w:t>
            </w:r>
            <w:r>
              <w:rPr>
                <w:rFonts w:hint="eastAsia" w:ascii="宋体" w:hAnsi="宋体" w:cs="宋体"/>
                <w:spacing w:val="1"/>
              </w:rPr>
              <w:t xml:space="preserve">：展示产品全景（正面、侧面、背面各1个角度），至少拍摄3个以上角度，色彩、整体比例协调。演示内容指标：展示3个角度及以上，评分标准：满足所有角度展示要求，得2分；不满足或缺少任一角度展示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2、力学性能演示</w:t>
            </w:r>
            <w:r>
              <w:rPr>
                <w:rFonts w:hint="eastAsia" w:ascii="宋体" w:hAnsi="宋体" w:cs="宋体"/>
                <w:spacing w:val="1"/>
                <w:lang w:eastAsia="zh-CN"/>
              </w:rPr>
              <w:t xml:space="preserve">：</w:t>
            </w:r>
            <w:r>
              <w:rPr>
                <w:rFonts w:hint="eastAsia" w:ascii="宋体" w:hAnsi="宋体" w:cs="宋体"/>
                <w:spacing w:val="1"/>
              </w:rPr>
              <w:t xml:space="preserve">视频中清晰展示（1）人工水平推拉课桌桌面，左右各3次，桌面无明显侧向位移；（2）人工垂直按压椅面3次（可负载成年男性或注明等重砝码），椅架无可见变形；（3）空载状态下，桌椅四脚同时平稳接触地面。三项清晰、完整展示且动作符合描述的，得3分；缺一项或某项演示不清晰，得1分；缺两项及以上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3、主要尺寸符合性： 视频中清晰展示一名身高1</w:t>
            </w:r>
            <w:r>
              <w:rPr>
                <w:rFonts w:hint="eastAsia" w:ascii="宋体" w:hAnsi="宋体" w:cs="宋体"/>
                <w:spacing w:val="1"/>
                <w:lang w:val="en-US" w:eastAsia="zh-CN"/>
              </w:rPr>
              <w:t xml:space="preserve">5</w:t>
            </w:r>
            <w:r>
              <w:rPr>
                <w:rFonts w:hint="eastAsia" w:ascii="宋体" w:hAnsi="宋体" w:cs="宋体"/>
                <w:spacing w:val="1"/>
              </w:rPr>
              <w:t xml:space="preserve">0cm-1</w:t>
            </w:r>
            <w:r>
              <w:rPr>
                <w:rFonts w:hint="eastAsia" w:ascii="宋体" w:hAnsi="宋体" w:cs="宋体"/>
                <w:spacing w:val="1"/>
                <w:lang w:val="en-US" w:eastAsia="zh-CN"/>
              </w:rPr>
              <w:t xml:space="preserve">7</w:t>
            </w:r>
            <w:r>
              <w:rPr>
                <w:rFonts w:hint="eastAsia" w:ascii="宋体" w:hAnsi="宋体" w:cs="宋体"/>
                <w:spacing w:val="1"/>
              </w:rPr>
              <w:t xml:space="preserve">5cm间的演示人员就坐后：（1）大腿上表面与桌面下沿之间有明显可见的垂直间隙（≥2cm）；（2）椅面前端与膝盖后侧之间有明显可见的水平间隙（≥2cm）。两项均清晰展示且有明显间隙得2分，仅展示一项得1分，均未展示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4、细节与工艺： 视频中使用测量工具（如钢直尺） 清晰展示：（1）桌面至少三处不同方向的边角圆角半径≥15mm；（2）钢管焊接处无裂缝、无贯穿性气孔；（3）桌斗、座/靠板边缘无肉眼可见的毛刺或锐边。三项均清晰、完整展示且满足要求得3分；满足两项得2分；满足一项得1分；均不满足或无法测量判定不得分。</w:t>
            </w:r>
            <w:r>
              <w:rPr>
                <w:rFonts w:hint="eastAsia" w:ascii="宋体" w:hAnsi="宋体" w:cs="宋体"/>
                <w:spacing w:val="1"/>
              </w:rPr>
            </w:r>
            <w:r/>
          </w:p>
          <w:p>
            <w:pPr>
              <w:pStyle w:val="767"/>
              <w:jc w:val="left"/>
              <w:spacing w:line="264" w:lineRule="auto"/>
              <w:rPr>
                <w:rFonts w:hint="eastAsia" w:ascii="宋体" w:hAnsi="宋体" w:cs="宋体"/>
              </w:rPr>
            </w:pPr>
            <w:r>
              <w:rPr>
                <w:rFonts w:hint="eastAsia" w:ascii="宋体" w:hAnsi="宋体" w:cs="宋体"/>
                <w:lang w:val="en-US" w:eastAsia="zh-CN"/>
              </w:rPr>
              <w:t xml:space="preserve">备注：1、推荐使用H.264编码的MP4文件，分辨率1920x1080，总大小不超过500MB，并提供测试链接或告知代理机构提前测试上传；        2、</w:t>
            </w:r>
            <w:r>
              <w:rPr>
                <w:rFonts w:hint="eastAsia" w:ascii="宋体" w:hAnsi="宋体" w:cs="宋体"/>
              </w:rPr>
              <w:t xml:space="preserve">若因电子交易平台系统故障、普遍性的视频编码兼容问题导致2家及以上投标人视频无法正常播放，评标委员会应中止对此项的评审，并全部按‘得满分’或‘不扣分’处理，或组织现场重新播放。</w:t>
            </w:r>
            <w:r>
              <w:rPr>
                <w:rFonts w:hint="eastAsia" w:ascii="宋体" w:hAnsi="宋体" w:cs="宋体"/>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767"/>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90"/>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ascii="宋体" w:hAnsi="宋体" w:cs="宋体"/>
                <w:spacing w:val="-2"/>
              </w:rPr>
              <w:t xml:space="preserve">实施方案</w:t>
            </w:r>
            <w:r>
              <w:rPr>
                <w:rFonts w:hint="eastAsia" w:ascii="宋体" w:hAnsi="宋体" w:cs="宋体"/>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评委根据投标人提供的项目实施方案（包括实施目标与组织架构、供货与进度保障措施、质量保证措施、包装、运输与交付方案、应急保障措施）综合评分： </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（1）实施目标与组织架构：明确项目总体目标（如：交付时间、验收标准、服务水平）。建立针对本项目的专门实施团队，包括项目经理、技术对接、物流交付、售后服务等角色的具体职责分工与沟通机制； </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供货与进度保障措施：实施方案中供货计划与进度较详细，基本保障学校开学使用，供货质量标准较明确，质量检验流程与方法基本科学，项目实施流程图较清晰，人员职责较明确，应急预案制定与演练有可操作性的；</w:t>
            </w:r>
            <w:r>
              <w:rPr>
                <w:rFonts w:hint="eastAsia" w:ascii="宋体" w:hAnsi="宋体" w:cs="宋体"/>
                <w:spacing w:val="1"/>
              </w:rPr>
            </w:r>
            <w:r/>
          </w:p>
          <w:p>
            <w:pPr>
              <w:pStyle w:val="767"/>
              <w:jc w:val="left"/>
              <w:spacing w:line="264" w:lineRule="auto"/>
              <w:rPr>
                <w:rFonts w:ascii="宋体" w:hAnsi="宋体" w:cs="宋体"/>
                <w:spacing w:val="1"/>
              </w:rPr>
            </w:pPr>
            <w:r>
              <w:rPr>
                <w:rFonts w:hint="eastAsia" w:ascii="宋体" w:hAnsi="宋体" w:cs="宋体"/>
                <w:spacing w:val="1"/>
              </w:rPr>
              <w:t xml:space="preserve">（3）质量保证措施：</w:t>
            </w:r>
            <w:r>
              <w:rPr>
                <w:rFonts w:ascii="宋体" w:hAnsi="宋体" w:cs="宋体"/>
                <w:spacing w:val="1"/>
              </w:rPr>
              <w:t xml:space="preserve">详细阐述产品从来源（如出厂检验、第三方检测报告）到交付（到货开箱验收）全过程的质量控制流程。提供不合格品的退换承诺及处理流程</w:t>
            </w:r>
            <w:r>
              <w:rPr>
                <w:rFonts w:hint="eastAsia" w:ascii="宋体" w:hAnsi="宋体" w:cs="宋体"/>
                <w:spacing w:val="1"/>
              </w:rPr>
              <w:t xml:space="preserve">；                            </w:t>
            </w:r>
            <w:r>
              <w:rPr>
                <w:rFonts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（4）运输与</w:t>
            </w:r>
            <w:r>
              <w:rPr>
                <w:rFonts w:hint="eastAsia" w:ascii="宋体" w:hAnsi="宋体" w:cs="宋体"/>
                <w:spacing w:val="1"/>
              </w:rPr>
              <w:t xml:space="preserve">交付方案： 提供符合产品特性的包装方案（防潮、防震、防锈等）。规划最优运输路线与方式。明确交付现场的接收、清点、签收流程，以及必要的开箱检验和初步安装（如有）的规范操作说明。（5）应急保障措施：针对可能出现的突发状况（如运输事故、产品大面积瑕疵、交货延期、关键人员变动等），制定具体的应急预案。每项预案需包含：触发条件、处理流程、责任人、备选方案及补救时限（如：承诺在接到货物破损报告后24小时内完成补发）。                     (1) 上述每项内容完整、科学性、合理性、操作性强的，得1分；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 上述每项内容基本完整、基本科学合理，有可操作性的，得0.5分；</w:t>
            </w:r>
            <w:r>
              <w:rPr>
                <w:rFonts w:hint="eastAsia" w:ascii="宋体" w:hAnsi="宋体" w:cs="宋体"/>
                <w:spacing w:val="1"/>
              </w:rPr>
            </w:r>
            <w:r/>
          </w:p>
          <w:p>
            <w:pPr>
              <w:pStyle w:val="767"/>
              <w:jc w:val="left"/>
              <w:spacing w:line="264" w:lineRule="auto"/>
              <w:rPr>
                <w:rFonts w:hint="eastAsia"/>
              </w:rPr>
            </w:pPr>
            <w:r>
              <w:rPr>
                <w:rFonts w:hint="eastAsia" w:ascii="宋体" w:hAnsi="宋体" w:cs="宋体"/>
                <w:spacing w:val="1"/>
              </w:rPr>
              <w:t xml:space="preserve">(3) 上述每项内容不完整、不科学合理、不具可操作性或未提供的不得分。                </w:t>
            </w:r>
            <w:r>
              <w:rPr>
                <w:rFonts w:hint="eastAsi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330"/>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ascii="宋体" w:hAnsi="宋体" w:cs="宋体"/>
                <w:spacing w:val="-2"/>
              </w:rPr>
              <w:t xml:space="preserve">售后服务方案</w:t>
            </w:r>
            <w:r>
              <w:rPr>
                <w:rFonts w:hint="eastAsia" w:ascii="宋体" w:hAnsi="宋体" w:cs="宋体"/>
                <w:spacing w:val="-2"/>
              </w:rPr>
            </w:r>
            <w:r/>
          </w:p>
        </w:tc>
        <w:tc>
          <w:tcPr>
            <w:tcW w:w="6397" w:type="dxa"/>
            <w:vAlign w:val="center"/>
            <w:textDirection w:val="lrTb"/>
            <w:noWrap w:val="false"/>
          </w:tcPr>
          <w:p>
            <w:pPr>
              <w:pStyle w:val="892"/>
              <w:rPr>
                <w:rFonts w:hint="eastAsia"/>
                <w:spacing w:val="1"/>
                <w:lang w:val="en-US" w:bidi="ar-SA"/>
              </w:rPr>
            </w:pPr>
            <w:r>
              <w:rPr>
                <w:rFonts w:hint="eastAsia"/>
                <w:spacing w:val="1"/>
                <w:lang w:val="en-US" w:bidi="ar-SA"/>
              </w:rPr>
              <w:t xml:space="preserve">评委根据投标人提供的项目售后服务方案（包括服务内容承诺、故障解决方案、响应时效承诺、服务团队保障、培训方案）综合评分：</w:t>
            </w:r>
            <w:r>
              <w:rPr>
                <w:rFonts w:hint="eastAsia"/>
                <w:spacing w:val="1"/>
                <w:lang w:val="en-US" w:bidi="ar-SA"/>
              </w:rPr>
            </w:r>
            <w:r/>
          </w:p>
          <w:p>
            <w:pPr>
              <w:pStyle w:val="892"/>
              <w:rPr>
                <w:spacing w:val="1"/>
                <w:lang w:val="en-US" w:bidi="ar-SA"/>
              </w:rPr>
            </w:pPr>
            <w:r>
              <w:rPr>
                <w:rFonts w:hint="eastAsia"/>
                <w:spacing w:val="1"/>
                <w:lang w:val="en-US" w:bidi="ar-SA"/>
              </w:rPr>
              <w:t xml:space="preserve">（1）服务内容承诺：</w:t>
            </w:r>
            <w:r>
              <w:rPr>
                <w:spacing w:val="1"/>
                <w:lang w:val="en-US" w:bidi="ar-SA"/>
              </w:rPr>
              <w:t xml:space="preserve">明确质保期限、质保范围（整机/主要部件/易耗品）、服务方式（远程/现场/送修）。承诺质保期内外的具体服务标准，如：是否提供上门服务</w:t>
            </w:r>
            <w:r>
              <w:rPr>
                <w:rFonts w:hint="eastAsia"/>
                <w:spacing w:val="1"/>
                <w:lang w:val="en-US" w:bidi="ar-SA"/>
              </w:rPr>
              <w:t xml:space="preserve">，</w:t>
            </w:r>
            <w:r>
              <w:rPr>
                <w:spacing w:val="1"/>
                <w:lang w:val="en-US" w:bidi="ar-SA"/>
              </w:rPr>
              <w:t xml:space="preserve">是否提供7×24小时技术支持</w:t>
            </w:r>
            <w:r>
              <w:rPr>
                <w:rFonts w:hint="eastAsia"/>
                <w:spacing w:val="1"/>
                <w:lang w:val="en-US" w:bidi="ar-SA"/>
              </w:rPr>
              <w:t xml:space="preserve">，</w:t>
            </w:r>
            <w:r>
              <w:rPr>
                <w:spacing w:val="1"/>
                <w:lang w:val="en-US" w:bidi="ar-SA"/>
              </w:rPr>
              <w:t xml:space="preserve">是否提供备机服务</w:t>
            </w:r>
            <w:r>
              <w:rPr>
                <w:rFonts w:hint="eastAsia"/>
                <w:spacing w:val="1"/>
                <w:lang w:val="en-US" w:bidi="ar-SA"/>
              </w:rPr>
              <w:t xml:space="preserve">，</w:t>
            </w:r>
            <w:r>
              <w:rPr>
                <w:spacing w:val="1"/>
                <w:lang w:val="en-US" w:bidi="ar-SA"/>
              </w:rPr>
              <w:t xml:space="preserve">质保期后维修如何收费</w:t>
            </w:r>
            <w:r>
              <w:rPr>
                <w:rFonts w:hint="eastAsia"/>
                <w:spacing w:val="1"/>
                <w:lang w:val="en-US" w:bidi="ar-SA"/>
              </w:rPr>
              <w:t xml:space="preserve">；                        </w:t>
            </w:r>
            <w:r>
              <w:rPr>
                <w:spacing w:val="1"/>
                <w:lang w:val="en-US" w:bidi="ar-SA"/>
              </w:rPr>
            </w:r>
            <w:r/>
          </w:p>
          <w:p>
            <w:pPr>
              <w:pStyle w:val="892"/>
              <w:rPr>
                <w:spacing w:val="1"/>
                <w:lang w:val="en-US" w:bidi="ar-SA"/>
              </w:rPr>
            </w:pPr>
            <w:r>
              <w:rPr>
                <w:rFonts w:hint="eastAsia"/>
                <w:spacing w:val="1"/>
                <w:lang w:val="en-US" w:bidi="ar-SA"/>
              </w:rPr>
              <w:t xml:space="preserve">（2）故障解决方案：详细描述从接到报修到故障关闭的全流程：故障报修渠道、故障初步诊断、远程指导解决、现场维修或更换部件、维修后测试、客户确认。明确各级故障（如严重/一般）的处理流程及升级机制；</w:t>
            </w:r>
            <w:r>
              <w:rPr>
                <w:spacing w:val="1"/>
                <w:lang w:val="en-US" w:bidi="ar-SA"/>
              </w:rPr>
            </w:r>
            <w:r/>
          </w:p>
          <w:p>
            <w:pPr>
              <w:pStyle w:val="892"/>
              <w:jc w:val="left"/>
              <w:rPr>
                <w:rFonts w:hint="eastAsia"/>
                <w:spacing w:val="1"/>
                <w:lang w:val="en-US" w:bidi="ar-SA"/>
              </w:rPr>
            </w:pPr>
            <w:r>
              <w:rPr>
                <w:rFonts w:hint="eastAsia"/>
                <w:spacing w:val="1"/>
                <w:lang w:val="en-US" w:bidi="ar-SA"/>
              </w:rPr>
              <w:t xml:space="preserve">（3）响应时效承诺：响应时间，接到报修后与客户联系时间；到达现场时间；故障解决时限；延迟处罚：明确未达时限的补救或补偿措施；</w:t>
            </w:r>
            <w:r>
              <w:rPr>
                <w:rFonts w:hint="eastAsia"/>
                <w:spacing w:val="1"/>
                <w:lang w:val="en-US" w:bidi="ar-SA"/>
              </w:rPr>
            </w:r>
            <w:r/>
          </w:p>
          <w:p>
            <w:pPr>
              <w:pStyle w:val="892"/>
              <w:jc w:val="left"/>
              <w:rPr>
                <w:spacing w:val="1"/>
                <w:lang w:val="en-US" w:bidi="ar-SA"/>
              </w:rPr>
            </w:pPr>
            <w:r>
              <w:rPr>
                <w:rFonts w:hint="eastAsia"/>
                <w:spacing w:val="1"/>
                <w:lang w:val="en-US" w:bidi="ar-SA"/>
              </w:rPr>
              <w:t xml:space="preserve">（4）服务团队保障：服务团队结构：团队人数、技术资质（认证证书）、分工（客户经理/技术工程师/备件管理员）。提供7×24小时服务热线和在线报修平台/邮箱等多种联系渠道。说明备件库情况（如有），确保快速维修；</w:t>
            </w:r>
            <w:r>
              <w:rPr>
                <w:spacing w:val="1"/>
                <w:lang w:val="en-US" w:bidi="ar-SA"/>
              </w:rPr>
            </w:r>
            <w:r/>
          </w:p>
          <w:p>
            <w:pPr>
              <w:pStyle w:val="892"/>
              <w:jc w:val="left"/>
              <w:rPr>
                <w:rFonts w:hint="eastAsia"/>
                <w:spacing w:val="1"/>
                <w:lang w:val="en-US" w:bidi="ar-SA"/>
              </w:rPr>
            </w:pPr>
            <w:r>
              <w:rPr>
                <w:rFonts w:hint="eastAsia"/>
                <w:spacing w:val="1"/>
                <w:lang w:val="en-US" w:bidi="ar-SA"/>
              </w:rPr>
              <w:t xml:space="preserve">（5)培训方案 : 培训对象、培训内容、培训教材、培训时长、培训方式（现场/远程/视频）、考核方式、培训人员资质。                 (1) 上述每项内容完整、科学性、合理性、操作性强的，得1分；</w:t>
            </w:r>
            <w:r>
              <w:rPr>
                <w:rFonts w:hint="eastAsia"/>
                <w:spacing w:val="1"/>
                <w:lang w:val="en-US" w:bidi="ar-SA"/>
              </w:rPr>
            </w:r>
            <w:r/>
          </w:p>
          <w:p>
            <w:pPr>
              <w:pStyle w:val="892"/>
              <w:jc w:val="left"/>
              <w:rPr>
                <w:rFonts w:hint="eastAsia"/>
                <w:spacing w:val="1"/>
                <w:lang w:val="en-US" w:bidi="ar-SA"/>
              </w:rPr>
            </w:pPr>
            <w:r>
              <w:rPr>
                <w:rFonts w:hint="eastAsia"/>
                <w:spacing w:val="1"/>
                <w:lang w:val="en-US" w:bidi="ar-SA"/>
              </w:rPr>
              <w:t xml:space="preserve">(2) 上述每项内容基本完整、基本科学合理，有可操作性的，得0.5分；</w:t>
            </w:r>
            <w:r>
              <w:rPr>
                <w:rFonts w:hint="eastAsia"/>
                <w:spacing w:val="1"/>
                <w:lang w:val="en-US" w:bidi="ar-SA"/>
              </w:rPr>
            </w:r>
            <w:r/>
          </w:p>
          <w:p>
            <w:pPr>
              <w:pStyle w:val="892"/>
              <w:jc w:val="left"/>
              <w:rPr>
                <w:rFonts w:hint="eastAsia"/>
                <w:lang w:val="en-US" w:bidi="ar-SA"/>
              </w:rPr>
            </w:pPr>
            <w:r>
              <w:rPr>
                <w:rFonts w:hint="eastAsia"/>
                <w:spacing w:val="1"/>
                <w:lang w:val="en-US" w:bidi="ar-SA"/>
              </w:rPr>
              <w:t xml:space="preserve">(3) 上述每项内容不完整、不科学合理、不具可操作性或未提供的不得分。                  </w:t>
            </w:r>
            <w:r>
              <w:rPr>
                <w:rFonts w:hint="eastAsia"/>
                <w:lang w:val="en-US" w:bidi="ar-SA"/>
              </w:rPr>
              <w:t xml:space="preserve">                        </w:t>
            </w:r>
            <w:r>
              <w:rPr>
                <w:rFonts w:hint="eastAsia"/>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753"/>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3.3</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hint="eastAsia" w:ascii="宋体" w:hAnsi="宋体"/>
                <w:szCs w:val="21"/>
              </w:rPr>
              <w:t xml:space="preserve">质保期承诺</w:t>
            </w:r>
            <w:r>
              <w:rPr>
                <w:rFonts w:hint="eastAsia" w:ascii="宋体" w:hAnsi="宋体" w:cs="宋体"/>
                <w:spacing w:val="-2"/>
              </w:rPr>
            </w:r>
            <w:r/>
          </w:p>
        </w:tc>
        <w:tc>
          <w:tcPr>
            <w:tcW w:w="6397" w:type="dxa"/>
            <w:vAlign w:val="center"/>
            <w:textDirection w:val="lrTb"/>
            <w:noWrap w:val="false"/>
          </w:tcPr>
          <w:p>
            <w:pPr>
              <w:pStyle w:val="892"/>
              <w:jc w:val="left"/>
              <w:rPr>
                <w:rFonts w:hint="eastAsia"/>
                <w:lang w:val="en-US" w:bidi="ar-SA"/>
              </w:rPr>
            </w:pPr>
            <w:r/>
            <w:bookmarkStart w:id="176" w:name="OLE_LINK71"/>
            <w:r>
              <w:rPr>
                <w:rFonts w:hint="eastAsia"/>
                <w:spacing w:val="1"/>
                <w:lang w:val="en-US" w:bidi="ar-SA"/>
              </w:rPr>
              <w:t xml:space="preserve">投标人提供质保期限承诺，在满足基本质保期要求的基础上，每增加1年得1分，此项最高得3分。（质保期从项目验收合格签字确认之日开始算）。</w:t>
            </w:r>
            <w:bookmarkEnd w:id="176"/>
            <w:r>
              <w:rPr>
                <w:rFonts w:hint="eastAsia"/>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W w:w="9575" w:type="dxa"/>
            <w:vAlign w:val="center"/>
            <w:textDirection w:val="lrTb"/>
            <w:noWrap w:val="false"/>
          </w:tcPr>
          <w:p>
            <w:pPr>
              <w:pStyle w:val="767"/>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209"/>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W w:w="1112" w:type="dxa"/>
            <w:vAlign w:val="center"/>
            <w:textDirection w:val="lrTb"/>
            <w:noWrap w:val="false"/>
          </w:tcPr>
          <w:p>
            <w:pPr>
              <w:pStyle w:val="892"/>
              <w:jc w:val="left"/>
              <w:rPr>
                <w:rFonts w:hint="eastAsia"/>
                <w:spacing w:val="1"/>
                <w:lang w:val="en-US" w:bidi="ar-SA"/>
              </w:rPr>
            </w:pPr>
            <w:r>
              <w:rPr>
                <w:spacing w:val="1"/>
                <w:lang w:val="en-US" w:bidi="ar-SA"/>
              </w:rPr>
              <w:t xml:space="preserve">投标人业绩</w:t>
            </w:r>
            <w:r>
              <w:rPr>
                <w:rFonts w:hint="eastAsia"/>
                <w:spacing w:val="1"/>
                <w:lang w:val="en-US" w:bidi="ar-SA"/>
              </w:rPr>
            </w:r>
            <w:r/>
          </w:p>
        </w:tc>
        <w:tc>
          <w:tcPr>
            <w:tcW w:w="6397" w:type="dxa"/>
            <w:vAlign w:val="center"/>
            <w:textDirection w:val="lrTb"/>
            <w:noWrap w:val="false"/>
          </w:tcPr>
          <w:p>
            <w:pPr>
              <w:pStyle w:val="892"/>
              <w:jc w:val="left"/>
              <w:rPr>
                <w:rFonts w:hint="eastAsia"/>
                <w:spacing w:val="1"/>
                <w:lang w:val="en-US" w:bidi="ar-SA"/>
              </w:rPr>
            </w:pPr>
            <w:r>
              <w:rPr>
                <w:rFonts w:hint="eastAsia"/>
                <w:spacing w:val="1"/>
                <w:lang w:val="en-US" w:bidi="ar-SA"/>
              </w:rPr>
              <w:t xml:space="preserve">投标人提供自2022年1月1日（含）以来类似项目业绩（至少包含核心产品或主要产品），每提供1个得2分，最多得6分（时间以合同签订时间为准，提供合同、验收材料及至少一项能够佐证履约完成的材料（如发票、银行收款凭证等）。</w:t>
            </w:r>
            <w:r>
              <w:rPr>
                <w:rFonts w:hint="eastAsia"/>
                <w:spacing w:val="1"/>
                <w:lang w:val="en-US" w:bidi="ar-SA"/>
              </w:rPr>
            </w:r>
            <w:r/>
          </w:p>
        </w:tc>
        <w:tc>
          <w:tcPr>
            <w:tcW w:w="647" w:type="dxa"/>
            <w:vAlign w:val="center"/>
            <w:textDirection w:val="lrTb"/>
            <w:noWrap w:val="false"/>
          </w:tcPr>
          <w:p>
            <w:pPr>
              <w:pStyle w:val="767"/>
              <w:jc w:val="center"/>
              <w:rPr>
                <w:rFonts w:hint="eastAsia"/>
                <w:szCs w:val="21"/>
              </w:rPr>
            </w:pPr>
            <w:r>
              <w:rPr>
                <w:rFonts w:hint="eastAsia" w:ascii="宋体" w:hAnsi="宋体" w:cs="宋体"/>
              </w:rPr>
              <w:t xml:space="preserve">6</w:t>
            </w:r>
            <w:r>
              <w:rPr>
                <w:rFonts w:hint="eastAsia"/>
                <w:szCs w:val="21"/>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48"/>
        </w:trPr>
        <w:tc>
          <w:tcPr>
            <w:gridSpan w:val="5"/>
            <w:tcW w:w="9575" w:type="dxa"/>
            <w:vAlign w:val="top"/>
            <w:textDirection w:val="lrTb"/>
            <w:noWrap w:val="false"/>
          </w:tcPr>
          <w:p>
            <w:pPr>
              <w:pStyle w:val="767"/>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1852"/>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5.1</w:t>
            </w:r>
            <w:r>
              <w:rPr>
                <w:rFonts w:hint="eastAsia" w:ascii="宋体" w:hAnsi="宋体" w:cs="宋体"/>
                <w:spacing w:val="-2"/>
              </w:rPr>
            </w:r>
            <w:r/>
          </w:p>
        </w:tc>
        <w:tc>
          <w:tcPr>
            <w:tcW w:w="1112" w:type="dxa"/>
            <w:vAlign w:val="center"/>
            <w:textDirection w:val="lrTb"/>
            <w:noWrap w:val="false"/>
          </w:tcPr>
          <w:p>
            <w:pPr>
              <w:pStyle w:val="892"/>
              <w:jc w:val="left"/>
              <w:rPr>
                <w:rFonts w:hint="eastAsia"/>
                <w:spacing w:val="1"/>
                <w:lang w:val="en-US" w:bidi="ar-SA"/>
              </w:rPr>
            </w:pPr>
            <w:r>
              <w:rPr>
                <w:rFonts w:hint="eastAsia"/>
                <w:spacing w:val="1"/>
                <w:lang w:val="en-US" w:bidi="ar-SA"/>
              </w:rPr>
              <w:t xml:space="preserve">履约能力</w:t>
            </w:r>
            <w:r>
              <w:rPr>
                <w:rFonts w:hint="eastAsia"/>
                <w:spacing w:val="1"/>
                <w:lang w:val="en-US" w:bidi="ar-SA"/>
              </w:rPr>
            </w:r>
            <w:r/>
          </w:p>
        </w:tc>
        <w:tc>
          <w:tcPr>
            <w:tcW w:w="6397" w:type="dxa"/>
            <w:vAlign w:val="center"/>
            <w:textDirection w:val="lrTb"/>
            <w:noWrap w:val="false"/>
          </w:tcPr>
          <w:p>
            <w:pPr>
              <w:pStyle w:val="892"/>
              <w:jc w:val="left"/>
              <w:rPr>
                <w:rFonts w:hint="eastAsia"/>
                <w:spacing w:val="1"/>
                <w:lang w:val="en-US" w:bidi="ar-SA"/>
              </w:rPr>
            </w:pPr>
            <w:r>
              <w:rPr>
                <w:rFonts w:hint="eastAsia"/>
                <w:spacing w:val="1"/>
                <w:lang w:val="en-US" w:bidi="ar-SA"/>
              </w:rPr>
              <w:t xml:space="preserve">投标人或所投产品生产商提供有效期内的家具产品低VOCs家具产品认证证书、家具产品环保卫士认证证书、中国绿色产品认证证书，每提供1个得1分，最多得3分。</w:t>
            </w:r>
            <w:r>
              <w:rPr>
                <w:rFonts w:hint="eastAsia"/>
                <w:spacing w:val="1"/>
                <w:lang w:val="en-US" w:bidi="ar-SA"/>
              </w:rPr>
            </w:r>
            <w:r/>
          </w:p>
          <w:p>
            <w:pPr>
              <w:pStyle w:val="892"/>
              <w:jc w:val="left"/>
              <w:rPr>
                <w:spacing w:val="1"/>
                <w:lang w:val="en-US" w:bidi="ar-SA"/>
              </w:rPr>
            </w:pPr>
            <w:r>
              <w:rPr>
                <w:rFonts w:hint="eastAsia"/>
                <w:spacing w:val="1"/>
                <w:lang w:val="en-US" w:bidi="ar-SA"/>
              </w:rPr>
              <w:t xml:space="preserve">注：</w:t>
            </w:r>
            <w:r>
              <w:rPr>
                <w:spacing w:val="1"/>
                <w:lang w:val="en-US" w:bidi="ar-SA"/>
              </w:rPr>
            </w:r>
            <w:r/>
          </w:p>
          <w:p>
            <w:pPr>
              <w:pStyle w:val="892"/>
              <w:jc w:val="left"/>
              <w:rPr>
                <w:spacing w:val="1"/>
                <w:lang w:val="en-US" w:bidi="ar-SA"/>
              </w:rPr>
            </w:pPr>
            <w:r>
              <w:rPr>
                <w:rFonts w:hint="eastAsia"/>
                <w:spacing w:val="1"/>
                <w:lang w:val="en-US" w:bidi="ar-SA"/>
              </w:rPr>
              <w:t xml:space="preserve">1、以上认证证书认证范围须至少包含本次产品采购类别（课桌椅、办公桌、办公椅、礼堂椅）任意一类或多类产品，且与所投产品类别相符。</w:t>
            </w:r>
            <w:r>
              <w:rPr>
                <w:spacing w:val="1"/>
                <w:lang w:val="en-US" w:bidi="ar-SA"/>
              </w:rPr>
            </w:r>
            <w:r/>
          </w:p>
          <w:p>
            <w:pPr>
              <w:pStyle w:val="892"/>
              <w:jc w:val="left"/>
              <w:rPr>
                <w:rFonts w:hint="eastAsia"/>
                <w:spacing w:val="1"/>
                <w:lang w:val="en-US" w:bidi="ar-SA"/>
              </w:rPr>
            </w:pPr>
            <w:r>
              <w:rPr>
                <w:rFonts w:hint="eastAsia"/>
                <w:spacing w:val="1"/>
                <w:lang w:val="en-US" w:bidi="ar-SA"/>
              </w:rPr>
              <w:t xml:space="preserve">2、所提供证书认证范围“产品名称”与评标标准给定名称不同时(如“课桌椅”与“课桌和课椅”），应提供符合要求的内容（功能）说明及关键信息，否则不予认可。为方便评委评审，相关信息可用箭头、标红或下划线等进行明显标注。</w:t>
            </w:r>
            <w:r>
              <w:rPr>
                <w:rFonts w:hint="eastAsia"/>
                <w:spacing w:val="1"/>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33"/>
        </w:trPr>
        <w:tc>
          <w:tcPr>
            <w:gridSpan w:val="5"/>
            <w:tcW w:w="9575" w:type="dxa"/>
            <w:vAlign w:val="center"/>
            <w:textDirection w:val="lrTb"/>
            <w:noWrap w:val="false"/>
          </w:tcPr>
          <w:p>
            <w:pPr>
              <w:pStyle w:val="767"/>
              <w:spacing w:before="68"/>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134"/>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6.1</w:t>
            </w:r>
            <w:r>
              <w:rPr>
                <w:rFonts w:hint="eastAsia" w:ascii="宋体" w:hAnsi="宋体" w:cs="宋体"/>
                <w:spacing w:val="-2"/>
              </w:rPr>
            </w:r>
            <w:r/>
          </w:p>
        </w:tc>
        <w:tc>
          <w:tcPr>
            <w:tcW w:w="1112" w:type="dxa"/>
            <w:vAlign w:val="center"/>
            <w:textDirection w:val="lrTb"/>
            <w:noWrap w:val="false"/>
          </w:tcPr>
          <w:p>
            <w:pPr>
              <w:pStyle w:val="767"/>
              <w:spacing w:before="69"/>
              <w:rPr>
                <w:rFonts w:hint="eastAsia" w:ascii="宋体" w:hAnsi="宋体" w:cs="宋体"/>
                <w:spacing w:val="1"/>
              </w:rPr>
            </w:pPr>
            <w:r/>
            <w:bookmarkStart w:id="177" w:name="OLE_LINK67"/>
            <w:r>
              <w:rPr>
                <w:rFonts w:hint="eastAsia" w:ascii="宋体" w:hAnsi="宋体" w:cs="宋体"/>
                <w:spacing w:val="1"/>
              </w:rPr>
              <w:t xml:space="preserve">节能环保</w:t>
            </w:r>
            <w:bookmarkEnd w:id="177"/>
            <w:r>
              <w:rPr>
                <w:rFonts w:hint="eastAsia" w:ascii="宋体" w:hAnsi="宋体" w:cs="宋体"/>
                <w:spacing w:val="1"/>
              </w:rPr>
            </w:r>
            <w:r/>
          </w:p>
        </w:tc>
        <w:tc>
          <w:tcPr>
            <w:tcW w:w="6397" w:type="dxa"/>
            <w:vAlign w:val="center"/>
            <w:textDirection w:val="lrTb"/>
            <w:noWrap w:val="false"/>
          </w:tcPr>
          <w:p>
            <w:pPr>
              <w:pStyle w:val="767"/>
              <w:spacing w:line="264" w:lineRule="auto"/>
              <w:rPr>
                <w:rFonts w:hint="eastAsia" w:ascii="宋体" w:hAnsi="宋体" w:cs="宋体"/>
                <w:spacing w:val="1"/>
              </w:rPr>
            </w:pPr>
            <w:r>
              <w:rPr>
                <w:rFonts w:hint="eastAsia" w:ascii="宋体" w:hAnsi="宋体" w:cs="宋体"/>
                <w:spacing w:val="1"/>
              </w:rPr>
              <w:t xml:space="preserve">1.投标产品属于财政部、国家发改委公布的《节能产品政府采购品目清单》（财库〔2019〕19号）范围内的，投标人提供国家确定的认证机构出具的、处于有效期之内的该节能产品认证证书的，有1个得0.5分，最多得1分。</w:t>
            </w:r>
            <w:r>
              <w:rPr>
                <w:rFonts w:hint="eastAsia" w:ascii="宋体" w:hAnsi="宋体" w:cs="宋体"/>
                <w:spacing w:val="1"/>
              </w:rPr>
            </w:r>
            <w:r/>
          </w:p>
          <w:p>
            <w:pPr>
              <w:pStyle w:val="767"/>
              <w:spacing w:line="264" w:lineRule="auto"/>
              <w:rPr>
                <w:rFonts w:hint="eastAsia" w:ascii="宋体" w:hAnsi="宋体" w:cs="宋体"/>
                <w:spacing w:val="1"/>
              </w:rPr>
            </w:pPr>
            <w:r>
              <w:rPr>
                <w:rFonts w:hint="eastAsia" w:ascii="宋体" w:hAnsi="宋体" w:cs="宋体"/>
                <w:spacing w:val="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rPr>
                <w:rFonts w:hint="eastAsia" w:ascii="宋体" w:hAnsi="宋体" w:cs="宋体"/>
                <w:spacing w:val="1"/>
              </w:rPr>
            </w:r>
            <w:r/>
          </w:p>
        </w:tc>
        <w:tc>
          <w:tcPr>
            <w:tcW w:w="647" w:type="dxa"/>
            <w:vAlign w:val="center"/>
            <w:textDirection w:val="lrTb"/>
            <w:noWrap w:val="false"/>
          </w:tcPr>
          <w:p>
            <w:pPr>
              <w:pStyle w:val="767"/>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584"/>
        </w:trPr>
        <w:tc>
          <w:tcPr>
            <w:tcW w:w="519" w:type="dxa"/>
            <w:vAlign w:val="center"/>
            <w:textDirection w:val="lrTb"/>
            <w:noWrap w:val="false"/>
          </w:tcPr>
          <w:p>
            <w:pPr>
              <w:pStyle w:val="767"/>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767"/>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W w:w="1547" w:type="dxa"/>
            <w:vAlign w:val="center"/>
            <w:textDirection w:val="lrTb"/>
            <w:noWrap w:val="false"/>
          </w:tcPr>
          <w:p>
            <w:pPr>
              <w:pStyle w:val="767"/>
              <w:jc w:val="center"/>
            </w:pPr>
            <w:r>
              <w:rPr>
                <w:rFonts w:ascii="宋体" w:hAnsi="宋体" w:cs="宋体"/>
                <w:spacing w:val="-11"/>
              </w:rPr>
              <w:t xml:space="preserve">1</w:t>
            </w:r>
            <w:r>
              <w:rPr>
                <w:rFonts w:hint="eastAsia" w:ascii="宋体" w:hAnsi="宋体" w:cs="宋体"/>
                <w:spacing w:val="-11"/>
              </w:rPr>
              <w:t xml:space="preserve">00</w:t>
            </w:r>
            <w:r>
              <w:rPr>
                <w:rFonts w:ascii="宋体" w:hAnsi="宋体" w:cs="宋体"/>
                <w:spacing w:val="-11"/>
              </w:rPr>
              <w:t xml:space="preserve">分</w:t>
            </w:r>
            <w:r/>
          </w:p>
        </w:tc>
      </w:tr>
    </w:tbl>
    <w:p>
      <w:pPr>
        <w:pStyle w:val="767"/>
        <w:jc w:val="left"/>
        <w:rPr>
          <w:rFonts w:hint="eastAsia" w:ascii="宋体" w:hAnsi="宋体" w:cs="宋体"/>
          <w:b/>
          <w:bCs/>
          <w:spacing w:val="-11"/>
        </w:rPr>
      </w:pPr>
      <w:r>
        <w:rPr>
          <w:rFonts w:hint="eastAsia" w:ascii="黑体" w:hAnsi="黑体" w:eastAsia="黑体" w:cs="黑体"/>
          <w:sz w:val="24"/>
          <w:szCs w:val="24"/>
        </w:rPr>
        <w:t xml:space="preserve"> 附 </w:t>
      </w:r>
      <w:r>
        <w:rPr>
          <w:rFonts w:hint="eastAsia" w:ascii="宋体" w:hAnsi="宋体" w:cs="宋体"/>
          <w:b/>
          <w:bCs/>
          <w:spacing w:val="-11"/>
        </w:rPr>
        <w:t xml:space="preserve">件：产品设计图纸、参考图片等（参考图片款式仅作参考，供应商应按照产品技术要求中的规格、材质和工艺生产，定制家具需按照采购人实际场地尺寸或确定的方案进行加工，供应商在投标时要考虑这一因素）</w:t>
      </w:r>
      <w:r>
        <w:rPr>
          <w:rFonts w:hint="eastAsia" w:ascii="宋体" w:hAnsi="宋体" w:cs="宋体"/>
          <w:b/>
          <w:bCs/>
          <w:spacing w:val="-11"/>
        </w:rPr>
      </w:r>
      <w:r/>
    </w:p>
    <w:p>
      <w:pPr>
        <w:pStyle w:val="767"/>
        <w:rPr>
          <w:rFonts w:hint="eastAsia"/>
          <w:color w:val="ffffff"/>
        </w:rPr>
      </w:pPr>
      <w:r>
        <w:rPr>
          <w:rFonts w:hint="eastAsia"/>
          <w:color w:val="ffffff"/>
        </w:rPr>
        <mc:AlternateContent>
          <mc:Choice Requires="wpg">
            <w:drawing>
              <wp:inline xmlns:wp="http://schemas.openxmlformats.org/drawingml/2006/wordprocessingDrawing" distT="0" distB="0" distL="0" distR="0">
                <wp:extent cx="6182487" cy="575557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82487" cy="575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8pt;height:453.2pt;mso-wrap-distance-left:0.0pt;mso-wrap-distance-top:0.0pt;mso-wrap-distance-right:0.0pt;mso-wrap-distance-bottom:0.0pt;" stroked="f">
                <v:path textboxrect="0,0,0,0"/>
                <v:imagedata r:id="rId36" o:title=""/>
              </v:shape>
            </w:pict>
          </mc:Fallback>
        </mc:AlternateContent>
      </w:r>
      <w:r>
        <w:rPr>
          <w:rFonts w:hint="eastAsia"/>
          <w:color w:val="ffffff"/>
        </w:rPr>
        <mc:AlternateContent>
          <mc:Choice Requires="wpg">
            <w:drawing>
              <wp:inline xmlns:wp="http://schemas.openxmlformats.org/drawingml/2006/wordprocessingDrawing" distT="0" distB="0" distL="0" distR="0">
                <wp:extent cx="6182297" cy="29528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82297" cy="2952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8pt;height:232.5pt;mso-wrap-distance-left:0.0pt;mso-wrap-distance-top:0.0pt;mso-wrap-distance-right:0.0pt;mso-wrap-distance-bottom:0.0pt;" stroked="f">
                <v:path textboxrect="0,0,0,0"/>
                <v:imagedata r:id="rId37" o:title=""/>
              </v:shape>
            </w:pict>
          </mc:Fallback>
        </mc:AlternateContent>
      </w:r>
      <w:r>
        <w:rPr>
          <w:rFonts w:hint="eastAsia"/>
          <w:color w:val="ffffff"/>
        </w:rPr>
        <mc:AlternateContent>
          <mc:Choice Requires="wpg">
            <w:drawing>
              <wp:inline xmlns:wp="http://schemas.openxmlformats.org/drawingml/2006/wordprocessingDrawing" distT="0" distB="0" distL="0" distR="0">
                <wp:extent cx="6184290" cy="37375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4290" cy="37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0pt;height:294.3pt;mso-wrap-distance-left:0.0pt;mso-wrap-distance-top:0.0pt;mso-wrap-distance-right:0.0pt;mso-wrap-distance-bottom:0.0pt;" stroked="f">
                <v:path textboxrect="0,0,0,0"/>
                <v:imagedata r:id="rId38" o:title=""/>
              </v:shape>
            </w:pict>
          </mc:Fallback>
        </mc:AlternateContent>
      </w:r>
      <w:r>
        <w:rPr>
          <w:rFonts w:hint="eastAsia"/>
          <w:color w:val="ffffff"/>
        </w:rPr>
        <mc:AlternateContent>
          <mc:Choice Requires="wpg">
            <w:drawing>
              <wp:inline xmlns:wp="http://schemas.openxmlformats.org/drawingml/2006/wordprocessingDrawing" distT="0" distB="0" distL="0" distR="0">
                <wp:extent cx="6184240" cy="75165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4240" cy="7516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591.9pt;mso-wrap-distance-left:0.0pt;mso-wrap-distance-top:0.0pt;mso-wrap-distance-right:0.0pt;mso-wrap-distance-bottom:0.0pt;" stroked="f">
                <v:path textboxrect="0,0,0,0"/>
                <v:imagedata r:id="rId39" o:title=""/>
              </v:shape>
            </w:pict>
          </mc:Fallback>
        </mc:AlternateContent>
      </w:r>
      <w:r>
        <w:rPr>
          <w:rFonts w:hint="eastAsia"/>
          <w:color w:val="ffffff"/>
        </w:rPr>
        <mc:AlternateContent>
          <mc:Choice Requires="wpg">
            <w:drawing>
              <wp:inline xmlns:wp="http://schemas.openxmlformats.org/drawingml/2006/wordprocessingDrawing" distT="0" distB="0" distL="0" distR="0">
                <wp:extent cx="6177255" cy="416558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77255" cy="4165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4pt;height:328.0pt;mso-wrap-distance-left:0.0pt;mso-wrap-distance-top:0.0pt;mso-wrap-distance-right:0.0pt;mso-wrap-distance-bottom:0.0pt;" stroked="f">
                <v:path textboxrect="0,0,0,0"/>
                <v:imagedata r:id="rId40" o:title=""/>
              </v:shape>
            </w:pict>
          </mc:Fallback>
        </mc:AlternateContent>
      </w:r>
      <w:r>
        <w:rPr>
          <w:rFonts w:hint="eastAsia"/>
          <w:color w:val="ffffff"/>
        </w:rPr>
        <mc:AlternateContent>
          <mc:Choice Requires="wpg">
            <w:drawing>
              <wp:inline xmlns:wp="http://schemas.openxmlformats.org/drawingml/2006/wordprocessingDrawing" distT="0" distB="0" distL="0" distR="0">
                <wp:extent cx="6186805" cy="505333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805" cy="505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397.9pt;mso-wrap-distance-left:0.0pt;mso-wrap-distance-top:0.0pt;mso-wrap-distance-right:0.0pt;mso-wrap-distance-bottom:0.0pt;" stroked="f">
                <v:path textboxrect="0,0,0,0"/>
                <v:imagedata r:id="rId41" o:title=""/>
              </v:shape>
            </w:pict>
          </mc:Fallback>
        </mc:AlternateContent>
      </w:r>
      <w:r>
        <w:rPr>
          <w:rFonts w:hint="eastAsia"/>
          <w:color w:val="ffffff"/>
        </w:rPr>
      </w:r>
      <w:r/>
    </w:p>
    <w:p>
      <w:pPr>
        <w:pStyle w:val="767"/>
        <w:keepNext/>
        <w:spacing w:line="264" w:lineRule="auto"/>
        <w:rPr>
          <w:rFonts w:ascii="黑体" w:hAnsi="黑体" w:eastAsia="黑体" w:cs="黑体"/>
          <w:sz w:val="24"/>
          <w:szCs w:val="24"/>
        </w:rPr>
      </w:pPr>
      <w:r>
        <w:rPr>
          <w:rFonts w:ascii="黑体" w:hAnsi="黑体" w:eastAsia="黑体" w:cs="黑体"/>
          <w:sz w:val="24"/>
          <w:szCs w:val="24"/>
        </w:rPr>
      </w:r>
      <w:r/>
    </w:p>
    <w:p>
      <w:pPr>
        <w:pStyle w:val="767"/>
        <w:jc w:val="center"/>
        <w:keepNext/>
        <w:rPr>
          <w:rFonts w:hint="eastAsia"/>
        </w:rPr>
        <w:outlineLvl w:val="0"/>
      </w:pPr>
      <w:r>
        <w:rPr>
          <w:rFonts w:hint="eastAsia"/>
        </w:rPr>
      </w:r>
      <w:r/>
    </w:p>
    <w:p>
      <w:pPr>
        <w:pStyle w:val="767"/>
        <w:jc w:val="center"/>
        <w:keepNext/>
        <w:rPr>
          <w:rFonts w:hint="eastAsia" w:ascii="黑体" w:eastAsia="黑体"/>
          <w:bCs/>
          <w:sz w:val="44"/>
          <w:szCs w:val="28"/>
        </w:rPr>
        <w:outlineLvl w:val="0"/>
      </w:pPr>
      <w:r>
        <w:rPr>
          <w:rFonts w:hint="eastAsia" w:ascii="黑体" w:eastAsia="黑体"/>
          <w:sz w:val="44"/>
          <w:szCs w:val="44"/>
        </w:rPr>
        <w:t xml:space="preserve">第六章  </w:t>
      </w:r>
      <w:bookmarkEnd w:id="160"/>
      <w:r/>
      <w:bookmarkEnd w:id="161"/>
      <w:r/>
      <w:bookmarkEnd w:id="162"/>
      <w:r>
        <w:rPr>
          <w:rFonts w:hint="eastAsia" w:ascii="黑体" w:eastAsia="黑体"/>
          <w:sz w:val="44"/>
          <w:szCs w:val="44"/>
        </w:rPr>
        <w:t xml:space="preserve">投标文件格式 </w:t>
      </w:r>
      <w:r>
        <w:rPr>
          <w:rFonts w:hint="eastAsia" w:ascii="黑体" w:eastAsia="黑体"/>
          <w:bCs/>
          <w:sz w:val="44"/>
          <w:szCs w:val="28"/>
        </w:rPr>
      </w:r>
      <w:r/>
    </w:p>
    <w:p>
      <w:pPr>
        <w:pStyle w:val="767"/>
        <w:jc w:val="center"/>
        <w:keepNext/>
        <w:rPr>
          <w:rFonts w:hint="eastAsia" w:ascii="宋体" w:hAnsi="宋体"/>
          <w:b/>
          <w:sz w:val="72"/>
          <w:szCs w:val="21"/>
        </w:rPr>
      </w:pPr>
      <w:r/>
      <w:bookmarkStart w:id="178" w:name="_Hlt26955039"/>
      <w:r/>
      <w:bookmarkEnd w:id="178"/>
      <w:r/>
      <w:bookmarkStart w:id="179" w:name="_Hlt26671244"/>
      <w:r/>
      <w:bookmarkEnd w:id="179"/>
      <w:r/>
      <w:bookmarkStart w:id="180" w:name="_Toc120614282"/>
      <w:r/>
      <w:bookmarkStart w:id="181" w:name="_Toc26554094"/>
      <w:r/>
      <w:bookmarkStart w:id="182" w:name="_Toc49090576"/>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rPr>
        <w:t xml:space="preserve">投  标  文  件</w:t>
      </w:r>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ind w:firstLine="1084"/>
        <w:keepNext/>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7"/>
        <w:ind w:firstLine="1084"/>
        <w:keepNext/>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7"/>
        <w:keepNext/>
        <w:rPr>
          <w:rFonts w:ascii="宋体" w:hAnsi="宋体"/>
          <w:b/>
          <w:sz w:val="36"/>
          <w:szCs w:val="21"/>
          <w:u w:val="single"/>
        </w:rPr>
      </w:pPr>
      <w:r>
        <w:rPr>
          <w:rFonts w:hint="eastAsia" w:ascii="宋体" w:hAnsi="宋体"/>
          <w:b/>
          <w:sz w:val="36"/>
          <w:szCs w:val="21"/>
        </w:rPr>
        <w:t xml:space="preserve">      </w:t>
      </w:r>
      <w:r>
        <w:rPr>
          <w:rFonts w:hint="eastAsia" w:ascii="宋体" w:hAnsi="宋体"/>
          <w:b/>
          <w:sz w:val="36"/>
        </w:rPr>
        <w:t xml:space="preserve">投标人名称</w:t>
      </w:r>
      <w:r>
        <w:rPr>
          <w:rFonts w:hint="eastAsia" w:ascii="宋体" w:hAnsi="宋体"/>
          <w:b/>
          <w:sz w:val="36"/>
          <w:szCs w:val="21"/>
        </w:rPr>
        <w:t xml:space="preserve"> ：</w:t>
      </w:r>
      <w:r>
        <w:rPr>
          <w:rFonts w:hint="eastAsia" w:ascii="宋体" w:hAnsi="宋体"/>
          <w:b/>
          <w:sz w:val="36"/>
          <w:szCs w:val="21"/>
          <w:u w:val="single"/>
        </w:rPr>
        <w:t xml:space="preserve">（加盖电子公章）   </w:t>
      </w:r>
      <w:r>
        <w:rPr>
          <w:rFonts w:ascii="宋体" w:hAnsi="宋体"/>
          <w:b/>
          <w:sz w:val="36"/>
          <w:szCs w:val="21"/>
          <w:u w:val="single"/>
        </w:rPr>
      </w:r>
      <w:r/>
    </w:p>
    <w:p>
      <w:pPr>
        <w:pStyle w:val="767"/>
        <w:keepNext/>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7"/>
        <w:jc w:val="center"/>
        <w:keepNext/>
        <w:spacing w:line="440" w:lineRule="exact"/>
        <w:rPr>
          <w:rFonts w:hint="eastAsia" w:ascii="宋体" w:hAnsi="宋体"/>
          <w:b/>
          <w:bCs/>
          <w:sz w:val="32"/>
          <w:szCs w:val="32"/>
        </w:rPr>
      </w:pPr>
      <w:r>
        <w:rPr>
          <w:rFonts w:hint="eastAsia" w:ascii="宋体" w:hAnsi="宋体"/>
          <w:b/>
          <w:bCs/>
          <w:sz w:val="32"/>
          <w:szCs w:val="32"/>
        </w:rPr>
      </w:r>
      <w:r/>
    </w:p>
    <w:p>
      <w:pPr>
        <w:pStyle w:val="767"/>
        <w:keepNext/>
        <w:spacing w:line="440" w:lineRule="exact"/>
        <w:rPr>
          <w:rFonts w:ascii="宋体" w:hAnsi="宋体"/>
          <w:szCs w:val="21"/>
        </w:rPr>
      </w:pPr>
      <w:r>
        <w:rPr>
          <w:rFonts w:ascii="宋体" w:hAnsi="宋体"/>
          <w:szCs w:val="21"/>
        </w:rPr>
      </w:r>
      <w:r/>
    </w:p>
    <w:p>
      <w:pPr>
        <w:pStyle w:val="767"/>
        <w:jc w:val="center"/>
        <w:keepNext/>
        <w:rPr>
          <w:rFonts w:hint="eastAsia" w:ascii="宋体" w:hAnsi="宋体"/>
          <w:b/>
          <w:bCs/>
          <w:sz w:val="32"/>
          <w:szCs w:val="32"/>
        </w:rPr>
      </w:pPr>
      <w:r>
        <w:rPr>
          <w:rFonts w:ascii="宋体" w:hAnsi="宋体"/>
          <w:b/>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十二、南京市政府采购供应商信用记录表暨信用承诺书</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keepNext/>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67"/>
        <w:jc w:val="center"/>
        <w:keepNext/>
        <w:spacing w:line="360" w:lineRule="auto"/>
        <w:rPr>
          <w:rFonts w:hint="eastAsia" w:ascii="方正小标宋简体" w:hAnsi="方正小标宋简体" w:eastAsia="方正小标宋简体" w:cs="方正小标宋简体"/>
          <w:sz w:val="32"/>
          <w:szCs w:val="32"/>
        </w:rPr>
        <w:outlineLvl w:val="0"/>
      </w:pPr>
      <w:r/>
      <w:bookmarkStart w:id="183" w:name="OLE_LINK73"/>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767"/>
        <w:ind w:firstLine="1680"/>
        <w:keepNext/>
        <w:spacing w:line="460" w:lineRule="exact"/>
        <w:rPr>
          <w:rFonts w:hint="eastAsia" w:ascii="宋体" w:hAnsi="宋体"/>
          <w:sz w:val="24"/>
          <w:szCs w:val="24"/>
        </w:rPr>
      </w:pPr>
      <w:r>
        <w:rPr>
          <w:rFonts w:hint="eastAsia" w:ascii="宋体" w:hAnsi="宋体"/>
          <w:sz w:val="24"/>
          <w:szCs w:val="24"/>
        </w:rPr>
        <w:t xml:space="preserve">公司：</w:t>
      </w:r>
      <w:r>
        <w:rPr>
          <w:rFonts w:hint="eastAsia" w:ascii="宋体" w:hAnsi="宋体"/>
          <w:sz w:val="24"/>
          <w:szCs w:val="24"/>
        </w:rPr>
      </w:r>
      <w:r/>
    </w:p>
    <w:p>
      <w:pPr>
        <w:pStyle w:val="767"/>
        <w:ind w:firstLine="492"/>
        <w:keepNext/>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767"/>
        <w:ind w:firstLine="492"/>
        <w:keepNext/>
        <w:spacing w:line="460" w:lineRule="exact"/>
        <w:rPr>
          <w:rFonts w:hint="eastAsia" w:ascii="宋体" w:hAnsi="宋体"/>
          <w:sz w:val="24"/>
          <w:szCs w:val="24"/>
        </w:rPr>
      </w:pPr>
      <w:r>
        <w:rPr>
          <w:rFonts w:hint="eastAsia" w:ascii="宋体" w:hAnsi="宋体"/>
          <w:sz w:val="24"/>
          <w:szCs w:val="24"/>
        </w:rPr>
        <w:t xml:space="preserve">我公司符合下列要求：</w:t>
      </w:r>
      <w:r>
        <w:rPr>
          <w:rFonts w:hint="eastAsia" w:ascii="宋体" w:hAnsi="宋体"/>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本公司对上述承诺内容的真实性、合法性、有效性负责，如有虚假，将依法承担相应责任。</w:t>
      </w:r>
      <w:r>
        <w:rPr>
          <w:rFonts w:hint="eastAsia" w:ascii="宋体" w:hAnsi="宋体"/>
          <w:color w:val="000000"/>
          <w:sz w:val="24"/>
          <w:szCs w:val="24"/>
        </w:rPr>
      </w:r>
      <w:r/>
    </w:p>
    <w:p>
      <w:pPr>
        <w:pStyle w:val="767"/>
        <w:ind w:firstLine="492"/>
        <w:keepNext/>
        <w:spacing w:line="460" w:lineRule="exact"/>
        <w:rPr>
          <w:sz w:val="24"/>
          <w:szCs w:val="24"/>
        </w:rPr>
      </w:pPr>
      <w:r>
        <w:rPr>
          <w:sz w:val="24"/>
          <w:szCs w:val="24"/>
        </w:rPr>
      </w:r>
      <w:r/>
    </w:p>
    <w:p>
      <w:pPr>
        <w:pStyle w:val="918"/>
        <w:keepNext/>
        <w:rPr>
          <w:sz w:val="24"/>
          <w:szCs w:val="24"/>
        </w:rPr>
      </w:pPr>
      <w:r>
        <w:rPr>
          <w:sz w:val="24"/>
          <w:szCs w:val="24"/>
        </w:rPr>
      </w:r>
      <w:r/>
    </w:p>
    <w:p>
      <w:pPr>
        <w:pStyle w:val="767"/>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keepNext/>
        <w:rPr>
          <w:sz w:val="24"/>
          <w:szCs w:val="24"/>
        </w:rPr>
      </w:pPr>
      <w:r/>
      <w:bookmarkEnd w:id="183"/>
      <w:r>
        <w:rPr>
          <w:sz w:val="24"/>
          <w:szCs w:val="24"/>
        </w:rPr>
      </w:r>
      <w:r/>
    </w:p>
    <w:p>
      <w:pPr>
        <w:pStyle w:val="767"/>
        <w:keepNext/>
        <w:spacing w:line="440" w:lineRule="exact"/>
        <w:rPr>
          <w:rFonts w:hint="eastAsia" w:ascii="宋体" w:hAnsi="宋体"/>
          <w:sz w:val="24"/>
          <w:szCs w:val="24"/>
        </w:rPr>
      </w:pPr>
      <w:r>
        <w:rPr>
          <w:rFonts w:hint="eastAsia" w:ascii="宋体" w:hAnsi="宋体"/>
          <w:sz w:val="24"/>
          <w:szCs w:val="24"/>
        </w:rPr>
      </w:r>
      <w:r/>
    </w:p>
    <w:p>
      <w:pPr>
        <w:pStyle w:val="767"/>
        <w:ind w:firstLine="480"/>
        <w:keepNext/>
        <w:spacing w:line="440" w:lineRule="exact"/>
        <w:rPr>
          <w:rFonts w:hint="eastAsia" w:ascii="宋体" w:hAnsi="宋体"/>
          <w:sz w:val="24"/>
          <w:szCs w:val="24"/>
        </w:rPr>
      </w:pPr>
      <w:r>
        <w:rPr>
          <w:rFonts w:hint="eastAsia" w:ascii="宋体" w:hAnsi="宋体"/>
          <w:sz w:val="24"/>
          <w:szCs w:val="24"/>
        </w:rPr>
      </w:r>
      <w:r/>
    </w:p>
    <w:p>
      <w:pPr>
        <w:pStyle w:val="767"/>
        <w:keepNext/>
        <w:spacing w:line="440" w:lineRule="exact"/>
        <w:rPr>
          <w:rFonts w:hint="eastAsia" w:ascii="宋体" w:hAnsi="宋体"/>
          <w:b/>
          <w:bCs/>
          <w:szCs w:val="21"/>
        </w:rPr>
      </w:pPr>
      <w:r>
        <w:rPr>
          <w:rFonts w:hint="eastAsia" w:ascii="宋体" w:hAnsi="宋体"/>
          <w:b/>
          <w:bCs/>
          <w:szCs w:val="21"/>
        </w:rPr>
      </w:r>
      <w:r/>
    </w:p>
    <w:p>
      <w:pPr>
        <w:pStyle w:val="779"/>
        <w:keepNext/>
        <w:rPr>
          <w:rFonts w:hint="eastAsia"/>
        </w:rPr>
      </w:pPr>
      <w:r>
        <w:rPr>
          <w:rFonts w:hint="eastAsia"/>
        </w:rPr>
      </w:r>
      <w:r/>
    </w:p>
    <w:p>
      <w:pPr>
        <w:pStyle w:val="767"/>
        <w:keepNext/>
        <w:rPr>
          <w:rFonts w:hint="eastAsia" w:ascii="黑体" w:hAnsi="黑体" w:eastAsia="黑体"/>
          <w:sz w:val="32"/>
          <w:szCs w:val="32"/>
        </w:rPr>
      </w:pPr>
      <w:r/>
      <w:bookmarkEnd w:id="180"/>
      <w:r/>
      <w:bookmarkEnd w:id="181"/>
      <w:r/>
      <w:bookmarkEnd w:id="182"/>
      <w:r/>
      <w:bookmarkStart w:id="184" w:name="_Toc120614284"/>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767"/>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767"/>
        <w:keepNext/>
        <w:spacing w:line="460" w:lineRule="exact"/>
        <w:rPr>
          <w:rFonts w:hint="eastAsia" w:ascii="宋体" w:hAnsi="宋体"/>
          <w:bCs/>
          <w:sz w:val="24"/>
          <w:szCs w:val="21"/>
        </w:rPr>
      </w:pPr>
      <w:r>
        <w:rPr>
          <w:rFonts w:hint="eastAsia" w:ascii="宋体" w:hAnsi="宋体"/>
          <w:bCs/>
          <w:sz w:val="24"/>
          <w:szCs w:val="21"/>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lang w:val="zh-CN"/>
        </w:rPr>
        <w:t xml:space="preserve">法人授权书</w:t>
      </w:r>
      <w:r>
        <w:rPr>
          <w:rFonts w:hint="eastAsia" w:ascii="方正小标宋简体" w:hAnsi="方正小标宋简体" w:eastAsia="方正小标宋简体" w:cs="方正小标宋简体"/>
          <w:sz w:val="32"/>
          <w:szCs w:val="32"/>
          <w:lang w:val="zh-CN"/>
        </w:rPr>
      </w:r>
      <w:r/>
    </w:p>
    <w:p>
      <w:pPr>
        <w:pStyle w:val="915"/>
        <w:ind w:firstLine="480"/>
        <w:keepNext/>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15"/>
        <w:ind w:firstLine="480"/>
        <w:keepNext/>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15"/>
        <w:ind w:firstLine="0"/>
        <w:keepNext/>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15"/>
        <w:ind w:firstLine="480"/>
        <w:keepNext/>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15"/>
        <w:ind w:firstLine="480"/>
        <w:keepNext/>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15"/>
        <w:ind w:firstLine="480"/>
        <w:keepNext/>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15"/>
        <w:ind w:firstLine="480"/>
        <w:keepNext/>
        <w:spacing w:line="480" w:lineRule="auto"/>
        <w:tabs>
          <w:tab w:val="left" w:pos="360" w:leader="none"/>
        </w:tabs>
        <w:rPr>
          <w:rFonts w:hint="eastAsia"/>
          <w:sz w:val="24"/>
          <w:szCs w:val="24"/>
        </w:rPr>
      </w:pPr>
      <w:r>
        <w:rPr>
          <w:rFonts w:hint="eastAsia"/>
          <w:sz w:val="24"/>
          <w:szCs w:val="24"/>
        </w:rPr>
        <w:t xml:space="preserve">日    期：</w:t>
      </w:r>
      <w:bookmarkStart w:id="185" w:name="_格式3__银行出具的资信证明"/>
      <w:r/>
      <w:bookmarkEnd w:id="185"/>
      <w:r/>
      <w:bookmarkStart w:id="186" w:name="_Hlt26671380"/>
      <w:r/>
      <w:bookmarkEnd w:id="186"/>
      <w:r/>
      <w:bookmarkStart w:id="187" w:name="_Hlt26955070"/>
      <w:r/>
      <w:bookmarkEnd w:id="187"/>
      <w:r>
        <w:rPr>
          <w:rFonts w:hint="eastAsia"/>
          <w:sz w:val="24"/>
          <w:szCs w:val="24"/>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keepNext/>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67"/>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767"/>
        <w:jc w:val="left"/>
        <w:keepNext/>
        <w:spacing w:line="360" w:lineRule="auto"/>
        <w:rPr>
          <w:rFonts w:hint="eastAsia" w:ascii="宋体" w:hAnsi="宋体"/>
          <w:sz w:val="24"/>
          <w:szCs w:val="21"/>
        </w:rPr>
      </w:pPr>
      <w:r>
        <w:rPr>
          <w:rFonts w:hint="eastAsia" w:ascii="宋体" w:hAnsi="宋体"/>
          <w:sz w:val="24"/>
          <w:szCs w:val="21"/>
        </w:rPr>
        <w:t xml:space="preserve">致：   公司</w:t>
      </w:r>
      <w:r>
        <w:rPr>
          <w:rFonts w:hint="eastAsia" w:ascii="宋体" w:hAnsi="宋体"/>
          <w:sz w:val="24"/>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（项目编号） 的</w:t>
      </w:r>
      <w:r>
        <w:rPr>
          <w:rFonts w:hint="eastAsia" w:ascii="宋体" w:hAnsi="宋体"/>
          <w:color w:val="000000"/>
          <w:u w:val="single"/>
        </w:rPr>
        <w:t xml:space="preserve">                 </w:t>
      </w:r>
      <w:r>
        <w:rPr>
          <w:rFonts w:hint="eastAsia" w:ascii="宋体" w:hAnsi="宋体"/>
          <w:szCs w:val="21"/>
        </w:rPr>
        <w:t xml:space="preserve">项目（项目名称）</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09"/>
        <w:keepNext/>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09"/>
        <w:keepNext/>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67"/>
        <w:ind w:firstLine="480"/>
        <w:jc w:val="left"/>
        <w:keepNex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09"/>
        <w:keepNext/>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09"/>
        <w:keepNext/>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09"/>
        <w:keepNext/>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09"/>
        <w:keepNext/>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09"/>
        <w:keepNext/>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09"/>
        <w:keepNext/>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67"/>
        <w:ind w:right="180" w:firstLine="480"/>
        <w:keepNex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09"/>
        <w:keepNext/>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5"/>
        <w:ind w:firstLine="640"/>
        <w:keepNext/>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5"/>
        <w:ind w:firstLine="400"/>
        <w:keepNext/>
        <w:rPr>
          <w:rFonts w:hint="eastAsia"/>
        </w:rPr>
      </w:pPr>
      <w:r>
        <w:rPr>
          <w:rFonts w:hint="eastAsia"/>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67"/>
        <w:jc w:val="center"/>
        <w:keepNext/>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67"/>
        <w:keepNext/>
        <w:rPr>
          <w:rFonts w:hint="eastAsia" w:ascii="宋体" w:hAnsi="宋体"/>
          <w:sz w:val="24"/>
          <w:szCs w:val="24"/>
        </w:rPr>
      </w:pPr>
      <w:r>
        <w:rPr>
          <w:rFonts w:hint="eastAsia" w:ascii="宋体" w:hAnsi="宋体"/>
          <w:sz w:val="24"/>
          <w:szCs w:val="24"/>
        </w:rPr>
        <w:t xml:space="preserve">投标人名称：（加盖电子公章） </w:t>
      </w:r>
      <w:r>
        <w:rPr>
          <w:rFonts w:hint="eastAsia" w:ascii="宋体" w:hAnsi="宋体"/>
          <w:sz w:val="24"/>
          <w:szCs w:val="24"/>
        </w:rPr>
      </w:r>
      <w:r/>
    </w:p>
    <w:p>
      <w:pPr>
        <w:pStyle w:val="767"/>
        <w:keepNext/>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767"/>
        <w:keepNext/>
        <w:widowControl/>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67"/>
              <w:jc w:val="center"/>
              <w:keepNext/>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09"/>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67"/>
        <w:keepNext/>
        <w:spacing w:line="480" w:lineRule="auto"/>
        <w:rPr>
          <w:rFonts w:ascii="宋体" w:hAnsi="宋体"/>
          <w:sz w:val="24"/>
          <w:szCs w:val="24"/>
        </w:rPr>
      </w:pPr>
      <w:r>
        <w:rPr>
          <w:rFonts w:ascii="宋体" w:hAnsi="宋体"/>
          <w:sz w:val="24"/>
          <w:szCs w:val="24"/>
        </w:rPr>
      </w:r>
      <w:r/>
    </w:p>
    <w:p>
      <w:pPr>
        <w:pStyle w:val="767"/>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67"/>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79"/>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67"/>
        <w:keepNext/>
        <w:rPr>
          <w:rFonts w:hint="eastAsia"/>
        </w:rPr>
      </w:pPr>
      <w:r>
        <w:rPr>
          <w:rFonts w:hint="eastAsia"/>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767"/>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767"/>
        <w:keepNext/>
        <w:rPr>
          <w:rFonts w:hint="eastAsia"/>
        </w:rPr>
      </w:pPr>
      <w:r>
        <w:rPr>
          <w:rFonts w:hint="eastAsia"/>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767"/>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767"/>
        <w:ind w:right="180" w:firstLine="480"/>
        <w:keepNext/>
        <w:spacing w:line="360" w:lineRule="auto"/>
        <w:rPr>
          <w:rFonts w:hint="eastAsia" w:ascii="宋体" w:hAnsi="宋体"/>
          <w:sz w:val="24"/>
          <w:szCs w:val="24"/>
        </w:rPr>
      </w:pPr>
      <w:r>
        <w:rPr>
          <w:rFonts w:hint="eastAsia" w:ascii="宋体" w:hAnsi="宋体"/>
          <w:sz w:val="24"/>
          <w:szCs w:val="24"/>
        </w:r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67"/>
        <w:keepNext/>
        <w:spacing w:line="360" w:lineRule="auto"/>
        <w:rPr>
          <w:rFonts w:ascii="宋体" w:hAnsi="宋体"/>
          <w:sz w:val="24"/>
        </w:rPr>
      </w:pPr>
      <w:r>
        <w:rPr>
          <w:rFonts w:ascii="宋体" w:hAnsi="宋体"/>
          <w:sz w:val="24"/>
        </w:rPr>
      </w:r>
      <w:r/>
    </w:p>
    <w:p>
      <w:pPr>
        <w:pStyle w:val="836"/>
        <w:ind w:firstLine="480"/>
        <w:jc w:val="both"/>
        <w:keepNext/>
        <w:spacing w:before="0" w:beforeAutospacing="0" w:after="0" w:afterAutospacing="0" w:line="360" w:lineRule="auto"/>
      </w:pPr>
      <w:r>
        <w:t xml:space="preserve">备注： </w:t>
      </w:r>
      <w:r/>
    </w:p>
    <w:p>
      <w:pPr>
        <w:pStyle w:val="836"/>
        <w:ind w:firstLine="480"/>
        <w:jc w:val="both"/>
        <w:keepNext/>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836"/>
        <w:ind w:firstLine="480"/>
        <w:jc w:val="both"/>
        <w:keepNext/>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836"/>
        <w:ind w:firstLine="480"/>
        <w:jc w:val="both"/>
        <w:keepNext/>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836"/>
        <w:ind w:firstLine="480"/>
        <w:jc w:val="both"/>
        <w:keepNext/>
        <w:spacing w:before="0" w:beforeAutospacing="0" w:after="0" w:afterAutospacing="0" w:line="360" w:lineRule="auto"/>
        <w:rPr>
          <w:rFonts w:hint="eastAsia"/>
        </w:rPr>
      </w:pPr>
      <w:r>
        <w:rPr>
          <w:rFonts w:hint="eastAsia"/>
        </w:rPr>
        <w:t xml:space="preserve">4.行数不够，可自行添加。</w:t>
      </w:r>
      <w:r>
        <w:rPr>
          <w:rFonts w:hint="eastAsia"/>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keepNext/>
        <w:spacing w:line="360" w:lineRule="auto"/>
        <w:rPr>
          <w:rFonts w:ascii="宋体" w:hAnsi="宋体"/>
          <w:sz w:val="24"/>
        </w:rPr>
      </w:pPr>
      <w:r>
        <w:rPr>
          <w:rFonts w:ascii="宋体" w:hAnsi="宋体"/>
          <w:sz w:val="24"/>
        </w:rPr>
      </w:r>
      <w:r/>
    </w:p>
    <w:p>
      <w:pPr>
        <w:pStyle w:val="836"/>
        <w:jc w:val="both"/>
        <w:keepNext/>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58"/>
      <w:r/>
      <w:bookmarkEnd w:id="159"/>
      <w:r/>
      <w:bookmarkEnd w:id="184"/>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rPr>
          <w:rFonts w:hint="eastAsia" w:ascii="黑体" w:hAnsi="黑体" w:eastAsia="黑体" w:cs="Times New Roman"/>
          <w:iCs/>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767"/>
              <w:jc w:val="center"/>
              <w:keepNex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bl>
    <w:p>
      <w:pPr>
        <w:pStyle w:val="836"/>
        <w:jc w:val="both"/>
        <w:keepNext/>
        <w:spacing w:before="0" w:beforeAutospacing="0" w:after="0" w:afterAutospacing="0"/>
      </w:p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keepNext/>
        <w:rPr>
          <w:rFonts w:hint="eastAsia" w:ascii="宋体" w:hAnsi="宋体"/>
          <w:sz w:val="24"/>
          <w:szCs w:val="24"/>
        </w:rPr>
      </w:pPr>
      <w:r>
        <w:rPr>
          <w:rFonts w:hint="eastAsia" w:ascii="宋体" w:hAnsi="宋体"/>
          <w:sz w:val="24"/>
          <w:szCs w:val="24"/>
        </w:rPr>
      </w:r>
      <w:r/>
    </w:p>
    <w:p>
      <w:pPr>
        <w:pStyle w:val="836"/>
        <w:ind w:firstLine="480"/>
        <w:jc w:val="both"/>
        <w:keepNext/>
        <w:spacing w:before="0" w:beforeAutospacing="0" w:after="0" w:afterAutospacing="0" w:line="360" w:lineRule="auto"/>
      </w:pPr>
      <w:r>
        <w:t xml:space="preserve">备注： </w:t>
      </w:r>
      <w:r/>
    </w:p>
    <w:p>
      <w:pPr>
        <w:pStyle w:val="836"/>
        <w:ind w:firstLine="480"/>
        <w:jc w:val="both"/>
        <w:spacing w:before="0" w:beforeAutospacing="0" w:after="0" w:afterAutospacing="0" w:line="360" w:lineRule="auto"/>
      </w:pPr>
      <w:r>
        <w:t xml:space="preserve">备注： </w:t>
      </w:r>
      <w:r/>
    </w:p>
    <w:p>
      <w:pPr>
        <w:pStyle w:val="83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836"/>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83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67"/>
        <w:keepNext/>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67"/>
        <w:jc w:val="center"/>
        <w:keepNext/>
        <w:rPr>
          <w:rFonts w:hint="eastAsia" w:ascii="方正小标宋简体" w:hAnsi="方正小标宋简体" w:eastAsia="方正小标宋简体" w:cs="方正小标宋简体"/>
          <w:sz w:val="32"/>
          <w:szCs w:val="32"/>
        </w:rPr>
      </w:pPr>
      <w:r/>
      <w:bookmarkStart w:id="188" w:name="OLE_LINK72"/>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767"/>
              <w:jc w:val="center"/>
              <w:keepNext/>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bl>
    <w:p>
      <w:pPr>
        <w:pStyle w:val="836"/>
        <w:jc w:val="both"/>
        <w:keepNext/>
        <w:spacing w:before="0" w:beforeAutospacing="0" w:after="0" w:afterAutospacing="0"/>
      </w:p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ind w:firstLine="480"/>
        <w:keepNext/>
        <w:rPr>
          <w:rFonts w:hint="eastAsia" w:ascii="宋体" w:hAnsi="宋体"/>
          <w:sz w:val="24"/>
          <w:szCs w:val="24"/>
        </w:rPr>
      </w:pPr>
      <w:r>
        <w:rPr>
          <w:rFonts w:hint="eastAsia" w:ascii="宋体" w:hAnsi="宋体"/>
          <w:sz w:val="24"/>
          <w:szCs w:val="24"/>
        </w:rPr>
      </w:r>
      <w:r/>
    </w:p>
    <w:p>
      <w:pPr>
        <w:pStyle w:val="836"/>
        <w:ind w:firstLine="480"/>
        <w:jc w:val="both"/>
        <w:keepNext/>
        <w:spacing w:before="0" w:beforeAutospacing="0" w:after="0" w:afterAutospacing="0" w:line="360" w:lineRule="auto"/>
        <w:rPr>
          <w:rFonts w:hint="eastAsia"/>
        </w:rPr>
      </w:pPr>
      <w:r>
        <w:rPr>
          <w:rFonts w:hint="eastAsia"/>
        </w:rPr>
        <w:t xml:space="preserve">备注： </w:t>
      </w:r>
      <w:r>
        <w:rPr>
          <w:rFonts w:hint="eastAsia"/>
        </w:rPr>
      </w:r>
      <w:r/>
    </w:p>
    <w:p>
      <w:pPr>
        <w:pStyle w:val="836"/>
        <w:ind w:firstLine="480"/>
        <w:jc w:val="both"/>
        <w:keepNext/>
        <w:spacing w:before="0" w:beforeAutospacing="0" w:after="0" w:afterAutospacing="0" w:line="360" w:lineRule="auto"/>
      </w:pPr>
      <w:r>
        <w:rPr>
          <w:rFonts w:hint="eastAsia"/>
        </w:rPr>
        <w:t xml:space="preserve">1.供应商须对招标文件商务要求中的实质性要求（斜体下划线内容或打“★”内容）做出明确响应，否则视为无效响应。</w:t>
      </w:r>
      <w:r/>
    </w:p>
    <w:p>
      <w:pPr>
        <w:pStyle w:val="836"/>
        <w:ind w:firstLine="480"/>
        <w:jc w:val="both"/>
        <w:keepNext/>
        <w:spacing w:before="0" w:beforeAutospacing="0" w:after="0" w:afterAutospacing="0" w:line="360" w:lineRule="auto"/>
        <w:rPr>
          <w:rFonts w:hint="eastAsia"/>
        </w:rPr>
      </w:pPr>
      <w:r>
        <w:rPr>
          <w:rFonts w:hint="eastAsia"/>
        </w:rPr>
        <w:t xml:space="preserve">2.行数不够，可自行添加。</w:t>
      </w:r>
      <w:r>
        <w:rPr>
          <w:rFonts w:hint="eastAsia"/>
        </w:rPr>
      </w:r>
      <w:r/>
    </w:p>
    <w:p>
      <w:pPr>
        <w:pStyle w:val="767"/>
        <w:keepNext/>
      </w:pPr>
      <w:r/>
      <w:r/>
    </w:p>
    <w:p>
      <w:pPr>
        <w:pStyle w:val="767"/>
        <w:jc w:val="center"/>
        <w:keepNext/>
        <w:rPr>
          <w:rFonts w:hint="eastAsia" w:ascii="宋体" w:hAnsi="宋体" w:cs="仿宋"/>
          <w:b/>
          <w:bCs/>
          <w:sz w:val="32"/>
          <w:szCs w:val="32"/>
        </w:rPr>
      </w:pPr>
      <w:r>
        <w:rPr>
          <w:rFonts w:hint="eastAsia" w:ascii="宋体" w:hAnsi="宋体" w:cs="仿宋"/>
          <w:b/>
          <w:bCs/>
          <w:sz w:val="32"/>
          <w:szCs w:val="32"/>
        </w:rPr>
      </w:r>
      <w:r/>
    </w:p>
    <w:p>
      <w:pPr>
        <w:pStyle w:val="779"/>
        <w:keepNext/>
        <w:rPr>
          <w:rFonts w:hint="eastAsia" w:ascii="宋体" w:hAnsi="宋体" w:cs="仿宋"/>
          <w:b/>
          <w:bCs/>
          <w:sz w:val="32"/>
          <w:szCs w:val="32"/>
        </w:rPr>
      </w:pPr>
      <w:r>
        <w:rPr>
          <w:rFonts w:hint="eastAsia" w:ascii="宋体" w:hAnsi="宋体" w:cs="仿宋"/>
          <w:b/>
          <w:bCs/>
          <w:sz w:val="32"/>
          <w:szCs w:val="32"/>
        </w:rPr>
      </w:r>
      <w:r/>
    </w:p>
    <w:p>
      <w:pPr>
        <w:pStyle w:val="767"/>
        <w:keepNext/>
        <w:rPr>
          <w:rFonts w:ascii="宋体" w:hAnsi="宋体" w:cs="仿宋"/>
          <w:b/>
          <w:bCs/>
          <w:sz w:val="32"/>
          <w:szCs w:val="32"/>
        </w:rPr>
      </w:pPr>
      <w:r>
        <w:rPr>
          <w:rFonts w:ascii="宋体" w:hAnsi="宋体" w:cs="仿宋"/>
          <w:b/>
          <w:bCs/>
          <w:sz w:val="32"/>
          <w:szCs w:val="32"/>
        </w:rPr>
      </w:r>
      <w:r/>
    </w:p>
    <w:p>
      <w:pPr>
        <w:pStyle w:val="767"/>
        <w:keepNext/>
        <w:rPr>
          <w:rFonts w:ascii="宋体" w:hAnsi="宋体" w:cs="仿宋"/>
          <w:b/>
          <w:bCs/>
          <w:sz w:val="32"/>
          <w:szCs w:val="32"/>
        </w:rPr>
      </w:pPr>
      <w:r>
        <w:rPr>
          <w:rFonts w:ascii="宋体" w:hAnsi="宋体" w:cs="仿宋"/>
          <w:b/>
          <w:bCs/>
          <w:sz w:val="32"/>
          <w:szCs w:val="32"/>
        </w:rPr>
      </w:r>
      <w:r/>
    </w:p>
    <w:p>
      <w:pPr>
        <w:pStyle w:val="767"/>
        <w:keepNext/>
        <w:rPr>
          <w:rFonts w:hint="eastAsia" w:ascii="宋体" w:hAnsi="宋体" w:cs="仿宋"/>
          <w:b/>
          <w:bCs/>
          <w:sz w:val="32"/>
          <w:szCs w:val="32"/>
        </w:rPr>
      </w:pPr>
      <w:r>
        <w:rPr>
          <w:rFonts w:hint="eastAsia" w:ascii="宋体" w:hAnsi="宋体" w:cs="仿宋"/>
          <w:b/>
          <w:bCs/>
          <w:sz w:val="32"/>
          <w:szCs w:val="32"/>
        </w:rPr>
      </w:r>
      <w:r/>
    </w:p>
    <w:p>
      <w:pPr>
        <w:pStyle w:val="767"/>
        <w:keepNext/>
        <w:rPr>
          <w:rFonts w:hint="eastAsia" w:ascii="黑体" w:hAnsi="黑体" w:eastAsia="黑体"/>
          <w:iCs/>
          <w:sz w:val="32"/>
          <w:szCs w:val="32"/>
        </w:rPr>
      </w:pPr>
      <w:r/>
      <w:bookmarkEnd w:id="188"/>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67"/>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767"/>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67"/>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79"/>
        <w:spacing w:line="336" w:lineRule="auto"/>
        <w:rPr>
          <w:rFonts w:hint="eastAsia" w:ascii="宋体" w:hAnsi="宋体"/>
          <w:sz w:val="24"/>
          <w:szCs w:val="24"/>
        </w:rPr>
      </w:pPr>
      <w:r>
        <w:rPr>
          <w:rFonts w:hint="eastAsia" w:ascii="宋体" w:hAnsi="宋体"/>
          <w:sz w:val="24"/>
          <w:szCs w:val="24"/>
        </w:rPr>
      </w:r>
      <w:r/>
    </w:p>
    <w:p>
      <w:pPr>
        <w:pStyle w:val="767"/>
        <w:spacing w:line="336" w:lineRule="auto"/>
        <w:rPr>
          <w:rFonts w:hint="eastAsia"/>
        </w:rPr>
      </w:pPr>
      <w:r>
        <w:rPr>
          <w:rFonts w:hint="eastAsia"/>
        </w:rPr>
      </w:r>
      <w:r/>
    </w:p>
    <w:p>
      <w:pPr>
        <w:pStyle w:val="767"/>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67"/>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67"/>
        <w:ind w:firstLine="480"/>
        <w:spacing w:line="336" w:lineRule="auto"/>
        <w:rPr>
          <w:rFonts w:hint="eastAsia" w:ascii="宋体" w:hAnsi="宋体"/>
          <w:sz w:val="24"/>
          <w:szCs w:val="24"/>
        </w:rPr>
      </w:pP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hint="eastAsia" w:ascii="宋体" w:hAnsi="宋体"/>
          <w:sz w:val="24"/>
          <w:szCs w:val="24"/>
        </w:rPr>
      </w:r>
      <w:r/>
    </w:p>
    <w:p>
      <w:pPr>
        <w:pStyle w:val="767"/>
        <w:jc w:val="left"/>
        <w:keepNex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pPr>
      <w:r/>
      <w:bookmarkStart w:id="189" w:name="OLE_LINK74"/>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67"/>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767"/>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79"/>
        <w:keepNext/>
        <w:spacing w:line="360" w:lineRule="auto"/>
        <w:rPr>
          <w:rFonts w:hint="eastAsia" w:ascii="宋体" w:hAnsi="宋体"/>
          <w:sz w:val="24"/>
          <w:szCs w:val="24"/>
        </w:rPr>
      </w:pPr>
      <w:r>
        <w:rPr>
          <w:rFonts w:hint="eastAsia" w:ascii="宋体" w:hAnsi="宋体"/>
          <w:sz w:val="24"/>
          <w:szCs w:val="24"/>
        </w:rPr>
      </w:r>
      <w:r/>
    </w:p>
    <w:p>
      <w:pPr>
        <w:pStyle w:val="767"/>
        <w:keepNext/>
        <w:spacing w:line="360" w:lineRule="auto"/>
        <w:rPr>
          <w:rFonts w:hint="eastAsia"/>
        </w:rPr>
      </w:pPr>
      <w:r>
        <w:rPr>
          <w:rFonts w:hint="eastAsia"/>
        </w:rPr>
      </w:r>
      <w:r/>
    </w:p>
    <w:p>
      <w:pPr>
        <w:pStyle w:val="767"/>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67"/>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767"/>
        <w:ind w:firstLine="480"/>
        <w:keepNext/>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67"/>
        <w:ind w:firstLine="480"/>
        <w:keepNext/>
        <w:spacing w:line="480" w:lineRule="exact"/>
        <w:rPr>
          <w:rFonts w:ascii="宋体" w:hAnsi="宋体"/>
          <w:sz w:val="24"/>
        </w:rPr>
      </w:pPr>
      <w:r>
        <w:rPr>
          <w:rFonts w:ascii="宋体" w:hAnsi="宋体"/>
          <w:sz w:val="24"/>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iCs/>
          <w:sz w:val="32"/>
          <w:szCs w:val="32"/>
        </w:rPr>
      </w:pPr>
      <w:r/>
      <w:bookmarkEnd w:id="189"/>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67"/>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67"/>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67"/>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67"/>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67"/>
        <w:ind w:firstLine="645"/>
        <w:keepNext/>
        <w:spacing w:line="360" w:lineRule="auto"/>
        <w:rPr>
          <w:rFonts w:hint="eastAsia" w:ascii="宋体" w:hAnsi="宋体"/>
          <w:sz w:val="24"/>
        </w:rPr>
      </w:pPr>
      <w:r>
        <w:rPr>
          <w:rFonts w:hint="eastAsia" w:ascii="宋体" w:hAnsi="宋体"/>
          <w:sz w:val="24"/>
        </w:rPr>
      </w:r>
      <w:r/>
    </w:p>
    <w:p>
      <w:pPr>
        <w:pStyle w:val="767"/>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67"/>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67"/>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szCs w:val="24"/>
        </w:rPr>
        <w:t xml:space="preserve">招标</w:t>
      </w:r>
      <w:r>
        <w:rPr>
          <w:rFonts w:hint="eastAsia" w:ascii="宋体" w:hAnsi="宋体"/>
          <w:sz w:val="24"/>
        </w:rPr>
        <w:t xml:space="preserve">文件要求加盖电子公章之处，加盖牵头单位的电子公章即可。</w:t>
      </w:r>
      <w:r>
        <w:rPr>
          <w:rFonts w:hint="eastAsia" w:ascii="宋体" w:hAnsi="宋体"/>
          <w:sz w:val="24"/>
        </w:rPr>
      </w:r>
      <w:r/>
    </w:p>
    <w:p>
      <w:pPr>
        <w:pStyle w:val="855"/>
        <w:ind w:firstLine="480"/>
        <w:keepNext/>
        <w:rPr>
          <w:sz w:val="24"/>
        </w:rPr>
      </w:pPr>
      <w:r>
        <w:rPr>
          <w:sz w:val="24"/>
        </w:r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rPr>
          <w:rFonts w:hint="eastAsia"/>
        </w:rPr>
      </w:pPr>
      <w:r>
        <w:rPr>
          <w:rFonts w:hint="eastAsia"/>
        </w:rPr>
      </w:r>
      <w:r/>
    </w:p>
    <w:p>
      <w:pPr>
        <w:pStyle w:val="779"/>
        <w:ind w:left="0"/>
        <w:jc w:val="left"/>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附件十二、关于符合本国产品标准的声明函</w:t>
      </w:r>
      <w:r>
        <w:rPr>
          <w:rFonts w:ascii="方正小标宋简体" w:hAnsi="方正小标宋简体" w:eastAsia="方正小标宋简体" w:cs="方正小标宋简体"/>
          <w:sz w:val="32"/>
          <w:szCs w:val="32"/>
          <w:lang w:val="en-US"/>
        </w:rPr>
      </w:r>
      <w:r/>
    </w:p>
    <w:p>
      <w:pPr>
        <w:pStyle w:val="779"/>
        <w:ind w:left="0"/>
        <w:jc w:val="center"/>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关于符合本国产品标准的声明函</w:t>
      </w:r>
      <w:r>
        <w:rPr>
          <w:rFonts w:ascii="方正小标宋简体" w:hAnsi="方正小标宋简体" w:eastAsia="方正小标宋简体" w:cs="方正小标宋简体"/>
          <w:sz w:val="32"/>
          <w:szCs w:val="32"/>
          <w:lang w:val="en-US"/>
        </w:rPr>
      </w:r>
      <w:r/>
    </w:p>
    <w:p>
      <w:pPr>
        <w:pStyle w:val="779"/>
        <w:keepNext/>
        <w:rPr>
          <w:lang w:val="en-US"/>
        </w:rPr>
      </w:pPr>
      <w:r>
        <w:rPr>
          <w:lang w:val="en-US"/>
        </w:rPr>
        <w:t xml:space="preserve"> </w:t>
      </w:r>
      <w:r>
        <w:rPr>
          <w:lang w:val="en-US"/>
        </w:rPr>
      </w:r>
      <w:r/>
    </w:p>
    <w:p>
      <w:pPr>
        <w:pStyle w:val="779"/>
        <w:ind w:left="0" w:firstLine="72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本公司（单位</w:t>
      </w:r>
      <w:bookmarkStart w:id="190" w:name="_GoBack"/>
      <w:r>
        <w:rPr>
          <w:rFonts w:hint="eastAsia" w:ascii="宋体" w:hAnsi="宋体" w:eastAsia="宋体" w:cs="Times New Roman"/>
          <w:sz w:val="24"/>
          <w:lang w:val="en-US"/>
        </w:rPr>
        <w:t xml:space="preserve">）郑重声明，根据《国务院办公厅关于在政府采购中实施本国产品标准及相关政策的通知》（国办发〔2025〕34号）的规定，本公司（单位）提供的以下产品属于本国产品。具体情况如下：</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1.（产品名称1）1，生产厂为（厂名）2，厂址为（生产厂址）。 / 的中国境内生产的组件成本占比</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3。  /  的  /  4在中国境内生产。  /  的  /  5在中国境内完成。</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2.（产品名称2），生产厂为（厂名），厂址为（生产厂址）。 /  的中国境内生产的组件成本占比</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  /  的  /  在中国境内生产。  /  的  /  在中国境内完成。</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本公司（单位）对上述声明内容的真实性负责。如有虚假，愿承担相应法律责任。</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   公司（单位）名称（加盖CA电子公章）：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           日期：      年   月   日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_________________</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1.产品如有型号，请在</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产品名称</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栏一并填写。</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2.生产厂名与厂址应与生产厂营业执照载明的相关信息保持一致。</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3.该产品的中国境内生产的组件成本占比相关要求实施前，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规定比例</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4.该产品的关键组件要求实施前，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关键组件</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5.该产品的关键工序要求实施前，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关键工序</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6.《声明函》中标注</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”的地方无需填写。</w:t>
      </w:r>
      <w:r>
        <w:rPr>
          <w:rFonts w:ascii="宋体" w:hAnsi="宋体" w:eastAsia="宋体" w:cs="Times New Roman"/>
          <w:sz w:val="24"/>
          <w:lang w:val="en-US"/>
        </w:rPr>
      </w:r>
      <w:r/>
    </w:p>
    <w:p>
      <w:pPr>
        <w:pStyle w:val="779"/>
        <w:keepNext/>
        <w:rPr>
          <w:rFonts w:hint="eastAsia" w:eastAsia="等线"/>
          <w:lang w:val="en-US"/>
        </w:rPr>
      </w:pPr>
      <w:r>
        <w:rPr>
          <w:lang w:val="en-US"/>
        </w:rPr>
        <w:t xml:space="preserve"> </w:t>
      </w:r>
      <w:bookmarkEnd w:id="190"/>
      <w:r>
        <w:rPr>
          <w:rFonts w:hint="eastAsia" w:eastAsia="等线"/>
          <w:lang w:val="en-US"/>
        </w:rPr>
      </w:r>
      <w:r/>
    </w:p>
    <w:p>
      <w:pPr>
        <w:pStyle w:val="767"/>
        <w:jc w:val="left"/>
        <w:keepNext/>
        <w:spacing w:line="360" w:lineRule="auto"/>
        <w:rPr>
          <w:rFonts w:hint="eastAsia" w:ascii="黑体" w:hAnsi="黑体" w:eastAsia="黑体"/>
          <w:iCs/>
          <w:sz w:val="32"/>
          <w:szCs w:val="32"/>
        </w:rPr>
      </w:pPr>
      <w:r>
        <w:rPr>
          <w:rFonts w:hint="eastAsia" w:ascii="黑体" w:hAnsi="黑体" w:eastAsia="黑体"/>
          <w:iCs/>
          <w:sz w:val="32"/>
          <w:szCs w:val="32"/>
        </w:rPr>
        <w:t xml:space="preserve">附件十三、南京市政府采购供应商信用记录表暨信用承诺书（网站在线打印盖章上传）</w:t>
      </w:r>
      <w:r>
        <w:rPr>
          <w:rFonts w:hint="eastAsia" w:ascii="黑体" w:hAnsi="黑体" w:eastAsia="黑体"/>
          <w:iCs/>
          <w:sz w:val="32"/>
          <w:szCs w:val="32"/>
        </w:rPr>
      </w:r>
      <w:r/>
    </w:p>
    <w:p>
      <w:pPr>
        <w:pStyle w:val="767"/>
        <w:keepNext/>
        <w:rPr>
          <w:rFonts w:hint="eastAsia" w:ascii="宋体" w:hAnsi="宋体"/>
          <w:sz w:val="24"/>
        </w:rPr>
      </w:pPr>
      <w:r>
        <w:rPr>
          <w:rFonts w:hint="eastAsia" w:ascii="宋体" w:hAnsi="宋体"/>
          <w:sz w:val="24"/>
        </w:rPr>
      </w:r>
      <w:r/>
    </w:p>
    <w:p>
      <w:pPr>
        <w:pStyle w:val="779"/>
        <w:keepNext/>
        <w:rPr>
          <w:rFonts w:eastAsia="等线"/>
          <w:lang w:val="en-US"/>
        </w:rPr>
      </w:pPr>
      <w:r>
        <w:rPr>
          <w:rFonts w:eastAsia="等线"/>
          <w:lang w:val="en-US"/>
        </w:rPr>
      </w:r>
      <w:r/>
    </w:p>
    <w:p>
      <w:pPr>
        <w:pStyle w:val="767"/>
      </w:pPr>
      <w:r/>
      <w:r/>
    </w:p>
    <w:p>
      <w:pPr>
        <w:pStyle w:val="767"/>
      </w:pPr>
      <w:r/>
      <w:r/>
    </w:p>
    <w:p>
      <w:pPr>
        <w:pStyle w:val="767"/>
      </w:pPr>
      <w:r/>
      <w:r/>
    </w:p>
    <w:p>
      <w:pPr>
        <w:pStyle w:val="767"/>
        <w:rPr>
          <w:rFonts w:hint="eastAsia"/>
        </w:rPr>
      </w:pPr>
      <w:r>
        <w:rPr>
          <w:rFonts w:hint="eastAsia"/>
        </w:rPr>
      </w:r>
      <w:r/>
    </w:p>
    <w:p>
      <w:pPr>
        <w:pStyle w:val="767"/>
        <w:jc w:val="center"/>
        <w:keepNex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rPr>
          <w:rFonts w:hint="eastAsia" w:ascii="宋体" w:hAnsi="宋体"/>
          <w:sz w:val="24"/>
          <w:szCs w:val="24"/>
        </w:rPr>
      </w:pPr>
      <w:r>
        <w:rPr>
          <w:rFonts w:hint="eastAsia" w:ascii="宋体" w:hAnsi="宋体"/>
          <w:sz w:val="24"/>
          <w:szCs w:val="24"/>
        </w:rPr>
      </w:r>
      <w:r/>
    </w:p>
    <w:p>
      <w:pPr>
        <w:pStyle w:val="767"/>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67"/>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67"/>
        <w:ind w:firstLine="480"/>
        <w:keepNext/>
        <w:spacing w:line="480" w:lineRule="exact"/>
        <w:rPr>
          <w:rFonts w:hint="eastAsia" w:ascii="宋体" w:hAnsi="宋体"/>
          <w:bCs/>
          <w:sz w:val="24"/>
          <w:szCs w:val="24"/>
        </w:rPr>
      </w:pPr>
      <w:r>
        <w:rPr>
          <w:rFonts w:hint="eastAsia" w:ascii="宋体" w:hAnsi="宋体"/>
          <w:bCs/>
          <w:sz w:val="24"/>
          <w:szCs w:val="24"/>
        </w:rPr>
      </w:r>
      <w:r/>
    </w:p>
    <w:p>
      <w:pPr>
        <w:pStyle w:val="767"/>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r>
                          <w:r/>
                        </w:p>
                        <w:p>
                          <w:pPr>
                            <w:pStyle w:val="76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r>
                    <w:r/>
                  </w:p>
                  <w:p>
                    <w:pPr>
                      <w:pStyle w:val="76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7"/>
                    </w:pPr>
                    <w:r/>
                    <w:r/>
                  </w:p>
                </w:txbxContent>
              </v:textbox>
            </v:shape>
          </w:pict>
        </mc:Fallback>
      </mc:AlternateContent>
    </w:r>
    <w:r>
      <w:rPr>
        <w:rFonts w:hint="eastAsia"/>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7"/>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861"/>
      <w:isLgl w:val="false"/>
      <w:suff w:val="tab"/>
      <w:lvlText w:val="附录%1."/>
      <w:lvlJc w:val="left"/>
      <w:pPr>
        <w:pStyle w:val="7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07"/>
      <w:isLgl w:val="false"/>
      <w:suff w:val="tab"/>
      <w:lvlText w:val="%1."/>
      <w:lvlJc w:val="left"/>
      <w:pPr>
        <w:pStyle w:val="767"/>
        <w:ind w:left="709" w:hanging="709"/>
        <w:tabs>
          <w:tab w:val="num" w:pos="709" w:leader="none"/>
        </w:tabs>
      </w:pPr>
      <w:rPr>
        <w:rFonts w:hint="eastAsia"/>
      </w:rPr>
    </w:lvl>
    <w:lvl w:ilvl="1">
      <w:start w:val="1"/>
      <w:numFmt w:val="decimal"/>
      <w:isLgl w:val="false"/>
      <w:suff w:val="tab"/>
      <w:lvlText w:val="%1.%2"/>
      <w:lvlJc w:val="left"/>
      <w:pPr>
        <w:pStyle w:val="767"/>
        <w:ind w:left="709" w:hanging="709"/>
        <w:tabs>
          <w:tab w:val="num" w:pos="709" w:leader="none"/>
        </w:tabs>
      </w:pPr>
      <w:rPr>
        <w:rFonts w:hint="eastAsia"/>
      </w:rPr>
    </w:lvl>
    <w:lvl w:ilvl="2">
      <w:start w:val="1"/>
      <w:numFmt w:val="decimal"/>
      <w:isLgl w:val="false"/>
      <w:suff w:val="tab"/>
      <w:lvlText w:val="%1.%2.%3."/>
      <w:lvlJc w:val="left"/>
      <w:pPr>
        <w:pStyle w:val="767"/>
        <w:ind w:left="425" w:hanging="425"/>
        <w:tabs>
          <w:tab w:val="num" w:pos="425" w:leader="none"/>
        </w:tabs>
      </w:pPr>
      <w:rPr>
        <w:rFonts w:hint="eastAsia"/>
      </w:rPr>
    </w:lvl>
    <w:lvl w:ilvl="3">
      <w:start w:val="1"/>
      <w:numFmt w:val="decimal"/>
      <w:isLgl w:val="false"/>
      <w:suff w:val="tab"/>
      <w:lvlText w:val="%1.%2.%3.%4."/>
      <w:lvlJc w:val="left"/>
      <w:pPr>
        <w:pStyle w:val="767"/>
        <w:ind w:left="851" w:hanging="851"/>
        <w:tabs>
          <w:tab w:val="num" w:pos="851" w:leader="none"/>
        </w:tabs>
      </w:pPr>
      <w:rPr>
        <w:rFonts w:hint="eastAsia"/>
      </w:rPr>
    </w:lvl>
    <w:lvl w:ilvl="4">
      <w:start w:val="1"/>
      <w:numFmt w:val="decimal"/>
      <w:isLgl w:val="false"/>
      <w:suff w:val="tab"/>
      <w:lvlText w:val="%1.%2.%3.%4.%5."/>
      <w:lvlJc w:val="left"/>
      <w:pPr>
        <w:pStyle w:val="767"/>
        <w:ind w:left="992" w:hanging="992"/>
        <w:tabs>
          <w:tab w:val="num" w:pos="992" w:leader="none"/>
        </w:tabs>
      </w:pPr>
      <w:rPr>
        <w:rFonts w:hint="eastAsia"/>
      </w:rPr>
    </w:lvl>
    <w:lvl w:ilvl="5">
      <w:start w:val="1"/>
      <w:numFmt w:val="decimal"/>
      <w:isLgl w:val="false"/>
      <w:suff w:val="tab"/>
      <w:lvlText w:val="%1.%2.%3.%4.%5.%6."/>
      <w:lvlJc w:val="left"/>
      <w:pPr>
        <w:pStyle w:val="767"/>
        <w:ind w:left="1134" w:hanging="1134"/>
        <w:tabs>
          <w:tab w:val="num" w:pos="1134" w:leader="none"/>
        </w:tabs>
      </w:pPr>
      <w:rPr>
        <w:rFonts w:hint="eastAsia"/>
      </w:rPr>
    </w:lvl>
    <w:lvl w:ilvl="6">
      <w:start w:val="1"/>
      <w:numFmt w:val="decimal"/>
      <w:isLgl w:val="false"/>
      <w:suff w:val="tab"/>
      <w:lvlText w:val="%1.%2.%3.%4.%5.%6.%7."/>
      <w:lvlJc w:val="left"/>
      <w:pPr>
        <w:pStyle w:val="767"/>
        <w:ind w:left="1276" w:hanging="1276"/>
        <w:tabs>
          <w:tab w:val="num" w:pos="1276" w:leader="none"/>
        </w:tabs>
      </w:pPr>
      <w:rPr>
        <w:rFonts w:hint="eastAsia"/>
      </w:rPr>
    </w:lvl>
    <w:lvl w:ilvl="7">
      <w:start w:val="1"/>
      <w:numFmt w:val="decimal"/>
      <w:isLgl w:val="false"/>
      <w:suff w:val="tab"/>
      <w:lvlText w:val="%1.%2.%3.%4.%5.%6.%7.%8."/>
      <w:lvlJc w:val="left"/>
      <w:pPr>
        <w:pStyle w:val="767"/>
        <w:ind w:left="1418" w:hanging="1418"/>
        <w:tabs>
          <w:tab w:val="num" w:pos="1418" w:leader="none"/>
        </w:tabs>
      </w:pPr>
      <w:rPr>
        <w:rFonts w:hint="eastAsia"/>
      </w:rPr>
    </w:lvl>
    <w:lvl w:ilvl="8">
      <w:start w:val="1"/>
      <w:numFmt w:val="decimal"/>
      <w:isLgl w:val="false"/>
      <w:suff w:val="tab"/>
      <w:lvlText w:val="%1.%2.%3.%4.%5.%6.%7.%8.%9."/>
      <w:lvlJc w:val="left"/>
      <w:pPr>
        <w:pStyle w:val="767"/>
        <w:ind w:left="1559" w:hanging="1559"/>
        <w:tabs>
          <w:tab w:val="num" w:pos="1559" w:leader="none"/>
        </w:tabs>
      </w:pPr>
      <w:rPr>
        <w:rFonts w:hint="eastAsia"/>
      </w:rPr>
    </w:lvl>
  </w:abstractNum>
  <w:abstractNum w:abstractNumId="1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767"/>
        <w:ind w:left="0" w:firstLine="0"/>
      </w:pPr>
      <w:rPr>
        <w:rFonts w:hint="eastAsia"/>
      </w:rPr>
    </w:lvl>
    <w:lvl w:ilvl="1">
      <w:start w:val="1"/>
      <w:numFmt w:val="decimal"/>
      <w:isLgl w:val="false"/>
      <w:suff w:val="nothing"/>
      <w:lvlText w:val="%2、"/>
      <w:lvlJc w:val="left"/>
      <w:pPr>
        <w:pStyle w:val="767"/>
        <w:ind w:left="0" w:firstLine="0"/>
      </w:pPr>
      <w:rPr>
        <w:rFonts w:hint="eastAsia"/>
      </w:rPr>
    </w:lvl>
    <w:lvl w:ilvl="2">
      <w:start w:val="1"/>
      <w:numFmt w:val="decimal"/>
      <w:isLgl w:val="false"/>
      <w:suff w:val="nothing"/>
      <w:lvlText w:val="%2.%3 "/>
      <w:lvlJc w:val="left"/>
      <w:pPr>
        <w:pStyle w:val="767"/>
        <w:ind w:left="0" w:firstLine="0"/>
      </w:pPr>
      <w:rPr>
        <w:rFonts w:hint="eastAsia"/>
      </w:rPr>
    </w:lvl>
    <w:lvl w:ilvl="3">
      <w:start w:val="1"/>
      <w:numFmt w:val="decimal"/>
      <w:isLgl w:val="false"/>
      <w:suff w:val="nothing"/>
      <w:lvlText w:val="%2.%3.%4 "/>
      <w:lvlJc w:val="left"/>
      <w:pPr>
        <w:pStyle w:val="767"/>
        <w:ind w:left="0" w:firstLine="0"/>
      </w:pPr>
      <w:rPr>
        <w:rFonts w:hint="eastAsia"/>
      </w:rPr>
    </w:lvl>
    <w:lvl w:ilvl="4">
      <w:start w:val="1"/>
      <w:numFmt w:val="decimal"/>
      <w:isLgl w:val="false"/>
      <w:suff w:val="nothing"/>
      <w:lvlText w:val="%2.%3.%4.%5 "/>
      <w:lvlJc w:val="left"/>
      <w:pPr>
        <w:pStyle w:val="767"/>
        <w:ind w:left="0" w:firstLine="0"/>
      </w:pPr>
      <w:rPr>
        <w:rFonts w:hint="eastAsia"/>
      </w:rPr>
    </w:lvl>
    <w:lvl w:ilvl="5">
      <w:start w:val="1"/>
      <w:numFmt w:val="decimal"/>
      <w:pStyle w:val="773"/>
      <w:isLgl w:val="false"/>
      <w:suff w:val="nothing"/>
      <w:lvlText w:val=""/>
      <w:lvlJc w:val="left"/>
      <w:pPr>
        <w:pStyle w:val="767"/>
        <w:ind w:left="0" w:firstLine="0"/>
      </w:pPr>
      <w:rPr>
        <w:rFonts w:hint="eastAsia"/>
      </w:rPr>
    </w:lvl>
    <w:lvl w:ilvl="6">
      <w:start w:val="1"/>
      <w:numFmt w:val="decimal"/>
      <w:pStyle w:val="774"/>
      <w:isLgl w:val="false"/>
      <w:suff w:val="nothing"/>
      <w:lvlText w:val=""/>
      <w:lvlJc w:val="left"/>
      <w:pPr>
        <w:pStyle w:val="767"/>
        <w:ind w:left="0" w:firstLine="0"/>
      </w:pPr>
      <w:rPr>
        <w:rFonts w:hint="eastAsia"/>
      </w:rPr>
    </w:lvl>
    <w:lvl w:ilvl="7">
      <w:start w:val="1"/>
      <w:numFmt w:val="decimal"/>
      <w:pStyle w:val="775"/>
      <w:isLgl w:val="false"/>
      <w:suff w:val="nothing"/>
      <w:lvlText w:val=""/>
      <w:lvlJc w:val="left"/>
      <w:pPr>
        <w:pStyle w:val="767"/>
        <w:ind w:left="0" w:firstLine="0"/>
      </w:pPr>
      <w:rPr>
        <w:rFonts w:hint="eastAsia"/>
      </w:rPr>
    </w:lvl>
    <w:lvl w:ilvl="8">
      <w:start w:val="1"/>
      <w:numFmt w:val="decimal"/>
      <w:pStyle w:val="776"/>
      <w:isLgl w:val="false"/>
      <w:suff w:val="nothing"/>
      <w:lvlText w:val=""/>
      <w:lvlJc w:val="left"/>
      <w:pPr>
        <w:pStyle w:val="767"/>
        <w:ind w:left="0" w:firstLine="0"/>
      </w:pPr>
      <w:rPr>
        <w:rFonts w:hint="eastAsia"/>
      </w:rPr>
    </w:lvl>
  </w:abstractNum>
  <w:abstractNum w:abstractNumId="2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880"/>
      <w:isLgl w:val="false"/>
      <w:suff w:val="nothing"/>
      <w:lvlText w:val="%1注："/>
      <w:lvlJc w:val="left"/>
      <w:pPr>
        <w:pStyle w:val="767"/>
        <w:ind w:left="726" w:hanging="363"/>
      </w:pPr>
      <w:rPr>
        <w:rFonts w:hint="eastAsia" w:ascii="黑体" w:hAnsi="Times New Roman" w:eastAsia="黑体"/>
        <w:b w:val="0"/>
        <w:i w:val="0"/>
        <w:sz w:val="21"/>
        <w:lang w:val="en-US"/>
      </w:rPr>
    </w:lvl>
    <w:lvl w:ilvl="1">
      <w:start w:val="1"/>
      <w:numFmt w:val="lowerLetter"/>
      <w:isLgl w:val="false"/>
      <w:suff w:val="tab"/>
      <w:lvlText w:val="%2)"/>
      <w:lvlJc w:val="left"/>
      <w:pPr>
        <w:pStyle w:val="767"/>
        <w:ind w:left="726" w:hanging="363"/>
        <w:tabs>
          <w:tab w:val="num" w:pos="1140" w:leader="none"/>
        </w:tabs>
      </w:pPr>
      <w:rPr>
        <w:rFonts w:hint="eastAsia"/>
      </w:rPr>
    </w:lvl>
    <w:lvl w:ilvl="2">
      <w:start w:val="1"/>
      <w:numFmt w:val="lowerRoman"/>
      <w:isLgl w:val="false"/>
      <w:suff w:val="tab"/>
      <w:lvlText w:val="%3."/>
      <w:lvlJc w:val="right"/>
      <w:pPr>
        <w:pStyle w:val="767"/>
        <w:ind w:left="726" w:hanging="363"/>
        <w:tabs>
          <w:tab w:val="num" w:pos="1140" w:leader="none"/>
        </w:tabs>
      </w:pPr>
      <w:rPr>
        <w:rFonts w:hint="eastAsia"/>
      </w:rPr>
    </w:lvl>
    <w:lvl w:ilvl="3">
      <w:start w:val="1"/>
      <w:numFmt w:val="decimal"/>
      <w:isLgl w:val="false"/>
      <w:suff w:val="tab"/>
      <w:lvlText w:val="%4."/>
      <w:lvlJc w:val="left"/>
      <w:pPr>
        <w:pStyle w:val="767"/>
        <w:ind w:left="726" w:hanging="363"/>
        <w:tabs>
          <w:tab w:val="num" w:pos="1140" w:leader="none"/>
        </w:tabs>
      </w:pPr>
      <w:rPr>
        <w:rFonts w:hint="eastAsia"/>
      </w:rPr>
    </w:lvl>
    <w:lvl w:ilvl="4">
      <w:start w:val="1"/>
      <w:numFmt w:val="lowerLetter"/>
      <w:isLgl w:val="false"/>
      <w:suff w:val="tab"/>
      <w:lvlText w:val="%5)"/>
      <w:lvlJc w:val="left"/>
      <w:pPr>
        <w:pStyle w:val="767"/>
        <w:ind w:left="726" w:hanging="363"/>
        <w:tabs>
          <w:tab w:val="num" w:pos="1140" w:leader="none"/>
        </w:tabs>
      </w:pPr>
      <w:rPr>
        <w:rFonts w:hint="eastAsia"/>
      </w:rPr>
    </w:lvl>
    <w:lvl w:ilvl="5">
      <w:start w:val="1"/>
      <w:numFmt w:val="lowerRoman"/>
      <w:isLgl w:val="false"/>
      <w:suff w:val="tab"/>
      <w:lvlText w:val="%6."/>
      <w:lvlJc w:val="right"/>
      <w:pPr>
        <w:pStyle w:val="767"/>
        <w:ind w:left="726" w:hanging="363"/>
        <w:tabs>
          <w:tab w:val="num" w:pos="1140" w:leader="none"/>
        </w:tabs>
      </w:pPr>
      <w:rPr>
        <w:rFonts w:hint="eastAsia"/>
      </w:rPr>
    </w:lvl>
    <w:lvl w:ilvl="6">
      <w:start w:val="1"/>
      <w:numFmt w:val="decimal"/>
      <w:isLgl w:val="false"/>
      <w:suff w:val="tab"/>
      <w:lvlText w:val="%7."/>
      <w:lvlJc w:val="left"/>
      <w:pPr>
        <w:pStyle w:val="767"/>
        <w:ind w:left="726" w:hanging="363"/>
        <w:tabs>
          <w:tab w:val="num" w:pos="1140" w:leader="none"/>
        </w:tabs>
      </w:pPr>
      <w:rPr>
        <w:rFonts w:hint="eastAsia"/>
      </w:rPr>
    </w:lvl>
    <w:lvl w:ilvl="7">
      <w:start w:val="1"/>
      <w:numFmt w:val="lowerLetter"/>
      <w:isLgl w:val="false"/>
      <w:suff w:val="tab"/>
      <w:lvlText w:val="%8)"/>
      <w:lvlJc w:val="left"/>
      <w:pPr>
        <w:pStyle w:val="767"/>
        <w:ind w:left="726" w:hanging="363"/>
        <w:tabs>
          <w:tab w:val="num" w:pos="1140" w:leader="none"/>
        </w:tabs>
      </w:pPr>
      <w:rPr>
        <w:rFonts w:hint="eastAsia"/>
      </w:rPr>
    </w:lvl>
    <w:lvl w:ilvl="8">
      <w:start w:val="1"/>
      <w:numFmt w:val="lowerRoman"/>
      <w:isLgl w:val="false"/>
      <w:suff w:val="tab"/>
      <w:lvlText w:val="%9."/>
      <w:lvlJc w:val="right"/>
      <w:pPr>
        <w:pStyle w:val="767"/>
        <w:ind w:left="726" w:hanging="363"/>
        <w:tabs>
          <w:tab w:val="num" w:pos="1140" w:leader="none"/>
        </w:tabs>
      </w:pPr>
      <w:rPr>
        <w:rFonts w:hint="eastAsia"/>
      </w:rPr>
    </w:lvl>
  </w:abstractNum>
  <w:abstractNum w:abstractNumId="2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0"/>
  </w:num>
  <w:num w:numId="3">
    <w:abstractNumId w:val="23"/>
  </w:num>
  <w:num w:numId="4">
    <w:abstractNumId w:val="16"/>
  </w:num>
  <w:num w:numId="5">
    <w:abstractNumId w:val="15"/>
  </w:num>
  <w:num w:numId="6">
    <w:abstractNumId w:val="27"/>
  </w:num>
  <w:num w:numId="7">
    <w:abstractNumId w:val="14"/>
  </w:num>
  <w:num w:numId="8">
    <w:abstractNumId w:val="5"/>
  </w:num>
  <w:num w:numId="9">
    <w:abstractNumId w:val="9"/>
  </w:num>
  <w:num w:numId="10">
    <w:abstractNumId w:val="26"/>
  </w:num>
  <w:num w:numId="11">
    <w:abstractNumId w:val="6"/>
  </w:num>
  <w:num w:numId="12">
    <w:abstractNumId w:val="22"/>
  </w:num>
  <w:num w:numId="13">
    <w:abstractNumId w:val="11"/>
  </w:num>
  <w:num w:numId="14">
    <w:abstractNumId w:val="8"/>
  </w:num>
  <w:num w:numId="15">
    <w:abstractNumId w:val="18"/>
  </w:num>
  <w:num w:numId="16">
    <w:abstractNumId w:val="25"/>
  </w:num>
  <w:num w:numId="17">
    <w:abstractNumId w:val="4"/>
  </w:num>
  <w:num w:numId="18">
    <w:abstractNumId w:val="2"/>
  </w:num>
  <w:num w:numId="19">
    <w:abstractNumId w:val="19"/>
  </w:num>
  <w:num w:numId="20">
    <w:abstractNumId w:val="24"/>
  </w:num>
  <w:num w:numId="21">
    <w:abstractNumId w:val="0"/>
  </w:num>
  <w:num w:numId="22">
    <w:abstractNumId w:val="3"/>
  </w:num>
  <w:num w:numId="23">
    <w:abstractNumId w:val="12"/>
  </w:num>
  <w:num w:numId="24">
    <w:abstractNumId w:val="1"/>
  </w:num>
  <w:num w:numId="25">
    <w:abstractNumId w:val="17"/>
  </w:num>
  <w:num w:numId="26">
    <w:abstractNumId w:val="13"/>
  </w:num>
  <w:num w:numId="27">
    <w:abstractNumId w:val="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7"/>
    <w:next w:val="7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7"/>
    <w:next w:val="7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7"/>
    <w:next w:val="7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7"/>
    <w:next w:val="7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7"/>
    <w:next w:val="7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7"/>
    <w:next w:val="7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7"/>
    <w:next w:val="7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7"/>
    <w:next w:val="7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7"/>
    <w:next w:val="7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7"/>
    <w:next w:val="7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7"/>
    <w:next w:val="767"/>
    <w:uiPriority w:val="39"/>
    <w:unhideWhenUsed/>
    <w:pPr>
      <w:ind w:left="0" w:right="0" w:firstLine="0"/>
      <w:spacing w:after="57"/>
    </w:pPr>
  </w:style>
  <w:style w:type="paragraph" w:styleId="181">
    <w:name w:val="toc 2"/>
    <w:basedOn w:val="767"/>
    <w:next w:val="767"/>
    <w:uiPriority w:val="39"/>
    <w:unhideWhenUsed/>
    <w:pPr>
      <w:ind w:left="283" w:right="0" w:firstLine="0"/>
      <w:spacing w:after="57"/>
    </w:pPr>
  </w:style>
  <w:style w:type="paragraph" w:styleId="182">
    <w:name w:val="toc 3"/>
    <w:basedOn w:val="767"/>
    <w:next w:val="767"/>
    <w:uiPriority w:val="39"/>
    <w:unhideWhenUsed/>
    <w:pPr>
      <w:ind w:left="567" w:right="0" w:firstLine="0"/>
      <w:spacing w:after="57"/>
    </w:pPr>
  </w:style>
  <w:style w:type="paragraph" w:styleId="183">
    <w:name w:val="toc 4"/>
    <w:basedOn w:val="767"/>
    <w:next w:val="767"/>
    <w:uiPriority w:val="39"/>
    <w:unhideWhenUsed/>
    <w:pPr>
      <w:ind w:left="850" w:right="0" w:firstLine="0"/>
      <w:spacing w:after="57"/>
    </w:pPr>
  </w:style>
  <w:style w:type="paragraph" w:styleId="184">
    <w:name w:val="toc 5"/>
    <w:basedOn w:val="767"/>
    <w:next w:val="767"/>
    <w:uiPriority w:val="39"/>
    <w:unhideWhenUsed/>
    <w:pPr>
      <w:ind w:left="1134" w:right="0" w:firstLine="0"/>
      <w:spacing w:after="57"/>
    </w:pPr>
  </w:style>
  <w:style w:type="paragraph" w:styleId="185">
    <w:name w:val="toc 6"/>
    <w:basedOn w:val="767"/>
    <w:next w:val="767"/>
    <w:uiPriority w:val="39"/>
    <w:unhideWhenUsed/>
    <w:pPr>
      <w:ind w:left="1417" w:right="0" w:firstLine="0"/>
      <w:spacing w:after="57"/>
    </w:pPr>
  </w:style>
  <w:style w:type="paragraph" w:styleId="186">
    <w:name w:val="toc 7"/>
    <w:basedOn w:val="767"/>
    <w:next w:val="767"/>
    <w:uiPriority w:val="39"/>
    <w:unhideWhenUsed/>
    <w:pPr>
      <w:ind w:left="1701" w:right="0" w:firstLine="0"/>
      <w:spacing w:after="57"/>
    </w:pPr>
  </w:style>
  <w:style w:type="paragraph" w:styleId="187">
    <w:name w:val="toc 8"/>
    <w:basedOn w:val="767"/>
    <w:next w:val="767"/>
    <w:uiPriority w:val="39"/>
    <w:unhideWhenUsed/>
    <w:pPr>
      <w:ind w:left="1984" w:right="0" w:firstLine="0"/>
      <w:spacing w:after="57"/>
    </w:pPr>
  </w:style>
  <w:style w:type="paragraph" w:styleId="188">
    <w:name w:val="toc 9"/>
    <w:basedOn w:val="767"/>
    <w:next w:val="7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7"/>
    <w:next w:val="767"/>
    <w:uiPriority w:val="99"/>
    <w:unhideWhenUsed/>
    <w:pPr>
      <w:spacing w:after="0" w:afterAutospacing="0"/>
    </w:pPr>
  </w:style>
  <w:style w:type="paragraph" w:styleId="767" w:default="1">
    <w:name w:val="Normal"/>
    <w:next w:val="779"/>
    <w:link w:val="767"/>
    <w:qFormat/>
    <w:pPr>
      <w:jc w:val="both"/>
      <w:widowControl w:val="off"/>
    </w:pPr>
    <w:rPr>
      <w:sz w:val="21"/>
      <w:szCs w:val="22"/>
      <w:lang w:val="en-US" w:eastAsia="zh-CN" w:bidi="ar-SA"/>
    </w:rPr>
  </w:style>
  <w:style w:type="paragraph" w:styleId="768">
    <w:name w:val="标题 1"/>
    <w:basedOn w:val="767"/>
    <w:next w:val="767"/>
    <w:link w:val="780"/>
    <w:qFormat/>
    <w:pPr>
      <w:jc w:val="center"/>
      <w:keepNext/>
      <w:outlineLvl w:val="0"/>
    </w:pPr>
    <w:rPr>
      <w:rFonts w:ascii="楷体_GB2312" w:eastAsia="楷体_GB2312"/>
      <w:sz w:val="28"/>
      <w:szCs w:val="28"/>
    </w:rPr>
  </w:style>
  <w:style w:type="paragraph" w:styleId="769">
    <w:name w:val="标题 2"/>
    <w:basedOn w:val="767"/>
    <w:next w:val="782"/>
    <w:link w:val="781"/>
    <w:qFormat/>
    <w:pPr>
      <w:jc w:val="center"/>
      <w:keepLines/>
      <w:keepNext/>
      <w:spacing w:before="260" w:after="260" w:line="416" w:lineRule="auto"/>
      <w:outlineLvl w:val="1"/>
    </w:pPr>
    <w:rPr>
      <w:rFonts w:ascii="Arial" w:hAnsi="Arial" w:eastAsia="幼圆"/>
      <w:b/>
      <w:bCs/>
      <w:sz w:val="44"/>
      <w:szCs w:val="44"/>
    </w:rPr>
  </w:style>
  <w:style w:type="paragraph" w:styleId="770">
    <w:name w:val="标题 3"/>
    <w:basedOn w:val="767"/>
    <w:next w:val="767"/>
    <w:link w:val="784"/>
    <w:qFormat/>
    <w:pPr>
      <w:keepLines/>
      <w:keepNext/>
      <w:spacing w:before="260" w:after="260" w:line="416" w:lineRule="auto"/>
      <w:outlineLvl w:val="2"/>
    </w:pPr>
    <w:rPr>
      <w:b/>
      <w:bCs/>
      <w:sz w:val="32"/>
      <w:szCs w:val="32"/>
    </w:rPr>
  </w:style>
  <w:style w:type="paragraph" w:styleId="771">
    <w:name w:val="标题 4"/>
    <w:basedOn w:val="767"/>
    <w:next w:val="767"/>
    <w:link w:val="785"/>
    <w:qFormat/>
    <w:pPr>
      <w:keepLines/>
      <w:keepNext/>
      <w:spacing w:before="280" w:after="290" w:line="376" w:lineRule="auto"/>
      <w:outlineLvl w:val="3"/>
    </w:pPr>
    <w:rPr>
      <w:rFonts w:ascii="Arial" w:hAnsi="Arial" w:eastAsia="黑体"/>
      <w:b/>
      <w:bCs/>
      <w:sz w:val="28"/>
      <w:szCs w:val="28"/>
    </w:rPr>
  </w:style>
  <w:style w:type="paragraph" w:styleId="772">
    <w:name w:val="标题 5"/>
    <w:basedOn w:val="767"/>
    <w:next w:val="782"/>
    <w:link w:val="786"/>
    <w:qFormat/>
    <w:pPr>
      <w:keepNext/>
      <w:outlineLvl w:val="4"/>
    </w:pPr>
    <w:rPr>
      <w:rFonts w:ascii="宋体"/>
      <w:color w:val="000000"/>
      <w:sz w:val="28"/>
      <w:szCs w:val="28"/>
    </w:rPr>
  </w:style>
  <w:style w:type="paragraph" w:styleId="773">
    <w:name w:val="标题 6"/>
    <w:basedOn w:val="767"/>
    <w:next w:val="767"/>
    <w:link w:val="787"/>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name w:val="标题 7"/>
    <w:basedOn w:val="767"/>
    <w:next w:val="767"/>
    <w:link w:val="788"/>
    <w:qFormat/>
    <w:pPr>
      <w:numPr>
        <w:ilvl w:val="6"/>
        <w:numId w:val="1"/>
      </w:numPr>
      <w:keepLines/>
      <w:keepNext/>
      <w:spacing w:before="240" w:after="64" w:line="320" w:lineRule="auto"/>
      <w:outlineLvl w:val="6"/>
    </w:pPr>
    <w:rPr>
      <w:b/>
      <w:bCs/>
      <w:sz w:val="24"/>
      <w:szCs w:val="24"/>
    </w:rPr>
  </w:style>
  <w:style w:type="paragraph" w:styleId="775">
    <w:name w:val="标题 8"/>
    <w:basedOn w:val="767"/>
    <w:next w:val="767"/>
    <w:link w:val="789"/>
    <w:qFormat/>
    <w:pPr>
      <w:numPr>
        <w:ilvl w:val="7"/>
        <w:numId w:val="1"/>
      </w:numPr>
      <w:keepLines/>
      <w:keepNext/>
      <w:spacing w:before="240" w:after="64" w:line="320" w:lineRule="auto"/>
      <w:outlineLvl w:val="7"/>
    </w:pPr>
    <w:rPr>
      <w:rFonts w:ascii="Arial" w:hAnsi="Arial" w:eastAsia="黑体"/>
      <w:sz w:val="24"/>
      <w:szCs w:val="24"/>
    </w:rPr>
  </w:style>
  <w:style w:type="paragraph" w:styleId="776">
    <w:name w:val="标题 9"/>
    <w:basedOn w:val="767"/>
    <w:next w:val="767"/>
    <w:link w:val="790"/>
    <w:qFormat/>
    <w:pPr>
      <w:numPr>
        <w:ilvl w:val="8"/>
        <w:numId w:val="1"/>
      </w:numPr>
      <w:keepLines/>
      <w:keepNext/>
      <w:spacing w:before="240" w:after="64" w:line="320" w:lineRule="auto"/>
      <w:outlineLvl w:val="8"/>
    </w:pPr>
    <w:rPr>
      <w:rFonts w:ascii="Arial" w:hAnsi="Arial" w:eastAsia="黑体"/>
      <w:sz w:val="20"/>
      <w:szCs w:val="21"/>
    </w:rPr>
  </w:style>
  <w:style w:type="character" w:styleId="777">
    <w:name w:val="默认段落字体"/>
    <w:next w:val="777"/>
    <w:link w:val="767"/>
    <w:uiPriority w:val="1"/>
    <w:unhideWhenUsed/>
  </w:style>
  <w:style w:type="table" w:styleId="778">
    <w:name w:val="普通表格"/>
    <w:next w:val="778"/>
    <w:link w:val="767"/>
    <w:uiPriority w:val="99"/>
    <w:unhideWhenUsed/>
    <w:tblPr/>
  </w:style>
  <w:style w:type="paragraph" w:styleId="779">
    <w:name w:val="索引 41"/>
    <w:basedOn w:val="767"/>
    <w:next w:val="767"/>
    <w:link w:val="767"/>
    <w:semiHidden/>
    <w:qFormat/>
    <w:pPr>
      <w:ind w:left="1260"/>
    </w:pPr>
    <w:rPr>
      <w:rFonts w:ascii="Calibri" w:hAnsi="Calibri" w:eastAsia="Calibri" w:cs="宋体"/>
      <w:sz w:val="20"/>
      <w:lang w:val="zh-CN"/>
    </w:rPr>
  </w:style>
  <w:style w:type="character" w:styleId="780">
    <w:name w:val="标题 1 字符"/>
    <w:next w:val="780"/>
    <w:link w:val="768"/>
    <w:rPr>
      <w:rFonts w:ascii="楷体_GB2312" w:hAnsi="Times New Roman" w:eastAsia="楷体_GB2312" w:cs="Times New Roman"/>
      <w:sz w:val="28"/>
      <w:szCs w:val="28"/>
    </w:rPr>
  </w:style>
  <w:style w:type="character" w:styleId="781">
    <w:name w:val="标题 2 字符"/>
    <w:next w:val="781"/>
    <w:link w:val="769"/>
    <w:rPr>
      <w:rFonts w:ascii="Arial" w:hAnsi="Arial" w:eastAsia="幼圆" w:cs="Arial"/>
      <w:b/>
      <w:bCs/>
      <w:sz w:val="44"/>
      <w:szCs w:val="44"/>
    </w:rPr>
  </w:style>
  <w:style w:type="paragraph" w:styleId="782">
    <w:name w:val="正文缩进"/>
    <w:basedOn w:val="767"/>
    <w:next w:val="782"/>
    <w:link w:val="783"/>
    <w:pPr>
      <w:ind w:firstLine="420"/>
    </w:pPr>
    <w:rPr>
      <w:sz w:val="20"/>
      <w:szCs w:val="21"/>
    </w:rPr>
  </w:style>
  <w:style w:type="character" w:styleId="783">
    <w:name w:val="正文缩进 字符"/>
    <w:next w:val="783"/>
    <w:link w:val="782"/>
    <w:rPr>
      <w:szCs w:val="21"/>
    </w:rPr>
  </w:style>
  <w:style w:type="character" w:styleId="784">
    <w:name w:val="标题 3 字符"/>
    <w:next w:val="784"/>
    <w:link w:val="770"/>
    <w:rPr>
      <w:rFonts w:ascii="Times New Roman" w:hAnsi="Times New Roman" w:eastAsia="宋体" w:cs="Times New Roman"/>
      <w:b/>
      <w:bCs/>
      <w:sz w:val="32"/>
      <w:szCs w:val="32"/>
    </w:rPr>
  </w:style>
  <w:style w:type="character" w:styleId="785">
    <w:name w:val="标题 4 字符"/>
    <w:next w:val="785"/>
    <w:link w:val="771"/>
    <w:rPr>
      <w:rFonts w:ascii="Arial" w:hAnsi="Arial" w:eastAsia="黑体" w:cs="Arial"/>
      <w:b/>
      <w:bCs/>
      <w:sz w:val="28"/>
      <w:szCs w:val="28"/>
    </w:rPr>
  </w:style>
  <w:style w:type="character" w:styleId="786">
    <w:name w:val="标题 5 字符"/>
    <w:next w:val="786"/>
    <w:link w:val="772"/>
    <w:rPr>
      <w:rFonts w:ascii="宋体" w:hAnsi="Times New Roman" w:eastAsia="宋体" w:cs="Times New Roman"/>
      <w:color w:val="000000"/>
      <w:sz w:val="28"/>
      <w:szCs w:val="28"/>
    </w:rPr>
  </w:style>
  <w:style w:type="character" w:styleId="787">
    <w:name w:val="标题 6 字符"/>
    <w:next w:val="787"/>
    <w:link w:val="773"/>
    <w:rPr>
      <w:rFonts w:ascii="Arial" w:hAnsi="Arial" w:eastAsia="黑体" w:cs="Times New Roman"/>
      <w:b/>
      <w:bCs/>
      <w:sz w:val="24"/>
      <w:szCs w:val="24"/>
    </w:rPr>
  </w:style>
  <w:style w:type="character" w:styleId="788">
    <w:name w:val="标题 7 字符"/>
    <w:next w:val="788"/>
    <w:link w:val="774"/>
    <w:rPr>
      <w:rFonts w:ascii="Times New Roman" w:hAnsi="Times New Roman" w:eastAsia="宋体" w:cs="Times New Roman"/>
      <w:b/>
      <w:bCs/>
      <w:sz w:val="24"/>
      <w:szCs w:val="24"/>
    </w:rPr>
  </w:style>
  <w:style w:type="character" w:styleId="789">
    <w:name w:val="标题 8 字符"/>
    <w:next w:val="789"/>
    <w:link w:val="775"/>
    <w:rPr>
      <w:rFonts w:ascii="Arial" w:hAnsi="Arial" w:eastAsia="黑体" w:cs="Times New Roman"/>
      <w:sz w:val="24"/>
      <w:szCs w:val="24"/>
    </w:rPr>
  </w:style>
  <w:style w:type="character" w:styleId="790">
    <w:name w:val="标题 9 字符"/>
    <w:next w:val="790"/>
    <w:link w:val="776"/>
    <w:rPr>
      <w:rFonts w:ascii="Arial" w:hAnsi="Arial" w:eastAsia="黑体" w:cs="Times New Roman"/>
      <w:szCs w:val="21"/>
    </w:rPr>
  </w:style>
  <w:style w:type="paragraph" w:styleId="791">
    <w:name w:val="列表 3"/>
    <w:basedOn w:val="767"/>
    <w:next w:val="791"/>
    <w:link w:val="767"/>
    <w:pPr>
      <w:ind w:left="100" w:hanging="200"/>
    </w:pPr>
    <w:rPr>
      <w:rFonts w:ascii="Times New Roman" w:hAnsi="Times New Roman" w:eastAsia="宋体" w:cs="Times New Roman"/>
      <w:szCs w:val="21"/>
    </w:rPr>
  </w:style>
  <w:style w:type="paragraph" w:styleId="792">
    <w:name w:val="目录 7"/>
    <w:basedOn w:val="767"/>
    <w:next w:val="767"/>
    <w:link w:val="767"/>
    <w:semiHidden/>
    <w:pPr>
      <w:ind w:left="1260"/>
      <w:jc w:val="left"/>
    </w:pPr>
    <w:rPr>
      <w:rFonts w:ascii="Times New Roman" w:hAnsi="Times New Roman" w:eastAsia="宋体" w:cs="Times New Roman"/>
      <w:szCs w:val="21"/>
    </w:rPr>
  </w:style>
  <w:style w:type="paragraph" w:styleId="793">
    <w:name w:val="文档结构图"/>
    <w:basedOn w:val="767"/>
    <w:next w:val="793"/>
    <w:link w:val="794"/>
    <w:semiHidden/>
    <w:pPr>
      <w:shd w:val="clear" w:color="auto" w:fill="000080"/>
    </w:pPr>
    <w:rPr>
      <w:sz w:val="20"/>
      <w:szCs w:val="21"/>
    </w:rPr>
  </w:style>
  <w:style w:type="character" w:styleId="794">
    <w:name w:val="文档结构图 字符"/>
    <w:next w:val="794"/>
    <w:link w:val="793"/>
    <w:semiHidden/>
    <w:rPr>
      <w:rFonts w:ascii="Times New Roman" w:hAnsi="Times New Roman" w:eastAsia="宋体" w:cs="Times New Roman"/>
      <w:szCs w:val="21"/>
      <w:shd w:val="clear" w:color="auto" w:fill="000080"/>
    </w:rPr>
  </w:style>
  <w:style w:type="paragraph" w:styleId="795">
    <w:name w:val="批注文字"/>
    <w:basedOn w:val="767"/>
    <w:next w:val="795"/>
    <w:link w:val="796"/>
    <w:unhideWhenUsed/>
    <w:pPr>
      <w:jc w:val="left"/>
    </w:pPr>
  </w:style>
  <w:style w:type="character" w:styleId="796">
    <w:name w:val="批注文字 字符"/>
    <w:next w:val="796"/>
    <w:link w:val="795"/>
    <w:uiPriority w:val="99"/>
    <w:semiHidden/>
  </w:style>
  <w:style w:type="paragraph" w:styleId="797">
    <w:name w:val="正文文本 3"/>
    <w:basedOn w:val="767"/>
    <w:next w:val="797"/>
    <w:link w:val="798"/>
    <w:rPr>
      <w:rFonts w:ascii="仿宋_GB2312" w:hAnsi="Arial" w:eastAsia="仿宋_GB2312"/>
      <w:sz w:val="32"/>
      <w:szCs w:val="32"/>
    </w:rPr>
  </w:style>
  <w:style w:type="character" w:styleId="798">
    <w:name w:val="正文文本 3 字符"/>
    <w:next w:val="798"/>
    <w:link w:val="797"/>
    <w:rPr>
      <w:rFonts w:ascii="仿宋_GB2312" w:hAnsi="Arial" w:eastAsia="仿宋_GB2312" w:cs="Times New Roman"/>
      <w:sz w:val="32"/>
      <w:szCs w:val="32"/>
    </w:rPr>
  </w:style>
  <w:style w:type="paragraph" w:styleId="799">
    <w:name w:val="正文文本"/>
    <w:basedOn w:val="767"/>
    <w:next w:val="801"/>
    <w:link w:val="800"/>
    <w:rPr>
      <w:rFonts w:ascii="楷体_GB2312" w:hAnsi="Arial" w:eastAsia="楷体_GB2312"/>
      <w:sz w:val="28"/>
      <w:szCs w:val="28"/>
    </w:rPr>
  </w:style>
  <w:style w:type="character" w:styleId="800">
    <w:name w:val="正文文本 字符"/>
    <w:next w:val="800"/>
    <w:link w:val="799"/>
    <w:rPr>
      <w:rFonts w:ascii="楷体_GB2312" w:hAnsi="Arial" w:eastAsia="楷体_GB2312" w:cs="Times New Roman"/>
      <w:sz w:val="28"/>
      <w:szCs w:val="28"/>
    </w:rPr>
  </w:style>
  <w:style w:type="paragraph" w:styleId="801">
    <w:name w:val="一级条标题"/>
    <w:basedOn w:val="802"/>
    <w:next w:val="803"/>
    <w:link w:val="767"/>
    <w:qFormat/>
    <w:pPr>
      <w:ind w:left="907" w:hanging="907"/>
      <w:tabs>
        <w:tab w:val="left" w:pos="810" w:leader="none"/>
        <w:tab w:val="left" w:pos="907" w:leader="none"/>
        <w:tab w:val="left" w:pos="1265" w:leader="none"/>
      </w:tabs>
      <w:outlineLvl w:val="2"/>
    </w:pPr>
    <w:rPr>
      <w:rFonts w:hAnsi="宋体"/>
      <w:sz w:val="20"/>
    </w:rPr>
  </w:style>
  <w:style w:type="paragraph" w:styleId="802">
    <w:name w:val="章标题"/>
    <w:next w:val="767"/>
    <w:link w:val="767"/>
    <w:qFormat/>
    <w:pPr>
      <w:jc w:val="both"/>
      <w:spacing w:before="156" w:after="156"/>
      <w:outlineLvl w:val="1"/>
    </w:pPr>
    <w:rPr>
      <w:rFonts w:eastAsia="黑体"/>
      <w:sz w:val="21"/>
      <w:lang w:val="en-US" w:eastAsia="zh-CN" w:bidi="ar-SA"/>
    </w:rPr>
  </w:style>
  <w:style w:type="paragraph" w:styleId="803">
    <w:name w:val="段"/>
    <w:next w:val="767"/>
    <w:link w:val="767"/>
    <w:qFormat/>
    <w:pPr>
      <w:ind w:firstLine="200"/>
      <w:jc w:val="both"/>
    </w:pPr>
    <w:rPr>
      <w:rFonts w:ascii="宋体"/>
      <w:sz w:val="21"/>
      <w:lang w:val="en-US" w:eastAsia="zh-CN" w:bidi="ar-SA"/>
    </w:rPr>
  </w:style>
  <w:style w:type="paragraph" w:styleId="804">
    <w:name w:val="正文文本缩进"/>
    <w:basedOn w:val="767"/>
    <w:next w:val="806"/>
    <w:link w:val="805"/>
    <w:uiPriority w:val="99"/>
    <w:unhideWhenUsed/>
    <w:pPr>
      <w:ind w:left="420"/>
      <w:spacing w:after="120"/>
    </w:pPr>
  </w:style>
  <w:style w:type="character" w:styleId="805">
    <w:name w:val="正文文本缩进 字符"/>
    <w:next w:val="805"/>
    <w:link w:val="804"/>
    <w:uiPriority w:val="99"/>
    <w:semiHidden/>
  </w:style>
  <w:style w:type="paragraph" w:styleId="806">
    <w:name w:val="寄信人地址"/>
    <w:basedOn w:val="767"/>
    <w:next w:val="806"/>
    <w:link w:val="767"/>
    <w:qFormat/>
    <w:rPr>
      <w:rFonts w:ascii="Arial" w:hAnsi="Arial" w:eastAsia="宋体" w:cs="宋体"/>
    </w:rPr>
  </w:style>
  <w:style w:type="paragraph" w:styleId="807">
    <w:name w:val="列表 2"/>
    <w:basedOn w:val="767"/>
    <w:next w:val="807"/>
    <w:link w:val="767"/>
    <w:pPr>
      <w:ind w:left="100" w:hanging="200"/>
    </w:pPr>
    <w:rPr>
      <w:rFonts w:ascii="Times New Roman" w:hAnsi="Times New Roman" w:eastAsia="宋体" w:cs="Times New Roman"/>
      <w:szCs w:val="21"/>
    </w:rPr>
  </w:style>
  <w:style w:type="paragraph" w:styleId="808">
    <w:name w:val="索引 4"/>
    <w:basedOn w:val="767"/>
    <w:next w:val="767"/>
    <w:link w:val="767"/>
    <w:semiHidden/>
    <w:qFormat/>
    <w:pPr>
      <w:ind w:left="1260"/>
    </w:pPr>
    <w:rPr>
      <w:rFonts w:ascii="Calibri" w:hAnsi="Calibri" w:eastAsia="Calibri" w:cs="宋体"/>
      <w:sz w:val="20"/>
      <w:lang w:val="zh-CN"/>
    </w:rPr>
  </w:style>
  <w:style w:type="paragraph" w:styleId="809">
    <w:name w:val="目录 5"/>
    <w:basedOn w:val="767"/>
    <w:next w:val="767"/>
    <w:link w:val="767"/>
    <w:semiHidden/>
    <w:pPr>
      <w:ind w:left="840"/>
      <w:jc w:val="left"/>
    </w:pPr>
    <w:rPr>
      <w:rFonts w:ascii="Times New Roman" w:hAnsi="Times New Roman" w:eastAsia="宋体" w:cs="Times New Roman"/>
      <w:szCs w:val="21"/>
    </w:rPr>
  </w:style>
  <w:style w:type="paragraph" w:styleId="810">
    <w:name w:val="目录 3"/>
    <w:basedOn w:val="767"/>
    <w:next w:val="767"/>
    <w:link w:val="767"/>
    <w:semiHidden/>
    <w:pPr>
      <w:ind w:left="420"/>
      <w:jc w:val="left"/>
    </w:pPr>
    <w:rPr>
      <w:rFonts w:ascii="Times New Roman" w:hAnsi="Times New Roman" w:eastAsia="宋体" w:cs="Times New Roman"/>
      <w:i/>
      <w:iCs/>
      <w:szCs w:val="24"/>
    </w:rPr>
  </w:style>
  <w:style w:type="paragraph" w:styleId="811">
    <w:name w:val="纯文本"/>
    <w:basedOn w:val="767"/>
    <w:next w:val="811"/>
    <w:link w:val="812"/>
    <w:rPr>
      <w:rFonts w:ascii="宋体" w:hAnsi="Courier New"/>
      <w:sz w:val="20"/>
      <w:szCs w:val="21"/>
    </w:rPr>
  </w:style>
  <w:style w:type="character" w:styleId="812">
    <w:name w:val="纯文本 字符"/>
    <w:next w:val="812"/>
    <w:link w:val="811"/>
    <w:rPr>
      <w:rFonts w:ascii="宋体" w:hAnsi="Courier New" w:eastAsia="宋体" w:cs="Courier New"/>
      <w:szCs w:val="21"/>
    </w:rPr>
  </w:style>
  <w:style w:type="paragraph" w:styleId="813">
    <w:name w:val="目录 8"/>
    <w:basedOn w:val="767"/>
    <w:next w:val="767"/>
    <w:link w:val="767"/>
    <w:semiHidden/>
    <w:pPr>
      <w:ind w:left="1470"/>
      <w:jc w:val="left"/>
    </w:pPr>
    <w:rPr>
      <w:rFonts w:ascii="Times New Roman" w:hAnsi="Times New Roman" w:eastAsia="宋体" w:cs="Times New Roman"/>
      <w:szCs w:val="21"/>
    </w:rPr>
  </w:style>
  <w:style w:type="paragraph" w:styleId="814">
    <w:name w:val="日期"/>
    <w:basedOn w:val="767"/>
    <w:next w:val="767"/>
    <w:link w:val="815"/>
    <w:rPr>
      <w:sz w:val="24"/>
      <w:szCs w:val="24"/>
    </w:rPr>
  </w:style>
  <w:style w:type="character" w:styleId="815">
    <w:name w:val="日期 字符"/>
    <w:next w:val="815"/>
    <w:link w:val="814"/>
    <w:rPr>
      <w:rFonts w:ascii="Times New Roman" w:hAnsi="Times New Roman" w:eastAsia="宋体" w:cs="Times New Roman"/>
      <w:sz w:val="24"/>
      <w:szCs w:val="24"/>
    </w:rPr>
  </w:style>
  <w:style w:type="paragraph" w:styleId="816">
    <w:name w:val="正文文本缩进 2"/>
    <w:basedOn w:val="767"/>
    <w:next w:val="816"/>
    <w:link w:val="817"/>
    <w:pPr>
      <w:ind w:left="630" w:firstLine="645"/>
    </w:pPr>
    <w:rPr>
      <w:rFonts w:ascii="Arial" w:hAnsi="Arial" w:eastAsia="仿宋_GB2312"/>
      <w:sz w:val="32"/>
      <w:szCs w:val="32"/>
    </w:rPr>
  </w:style>
  <w:style w:type="character" w:styleId="817">
    <w:name w:val="正文文本缩进 2 字符"/>
    <w:next w:val="817"/>
    <w:link w:val="816"/>
    <w:rPr>
      <w:rFonts w:ascii="Arial" w:hAnsi="Arial" w:eastAsia="仿宋_GB2312" w:cs="Arial"/>
      <w:sz w:val="32"/>
      <w:szCs w:val="32"/>
    </w:rPr>
  </w:style>
  <w:style w:type="paragraph" w:styleId="818">
    <w:name w:val="批注框文本"/>
    <w:basedOn w:val="767"/>
    <w:next w:val="818"/>
    <w:link w:val="819"/>
    <w:semiHidden/>
    <w:rPr>
      <w:sz w:val="18"/>
      <w:szCs w:val="18"/>
    </w:rPr>
  </w:style>
  <w:style w:type="character" w:styleId="819">
    <w:name w:val="批注框文本 字符"/>
    <w:next w:val="819"/>
    <w:link w:val="818"/>
    <w:semiHidden/>
    <w:rPr>
      <w:rFonts w:ascii="Times New Roman" w:hAnsi="Times New Roman" w:eastAsia="宋体" w:cs="Times New Roman"/>
      <w:sz w:val="18"/>
      <w:szCs w:val="18"/>
    </w:rPr>
  </w:style>
  <w:style w:type="paragraph" w:styleId="820">
    <w:name w:val="页脚"/>
    <w:basedOn w:val="767"/>
    <w:next w:val="820"/>
    <w:link w:val="821"/>
    <w:pPr>
      <w:jc w:val="left"/>
      <w:tabs>
        <w:tab w:val="center" w:pos="4153" w:leader="none"/>
        <w:tab w:val="right" w:pos="8306" w:leader="none"/>
      </w:tabs>
    </w:pPr>
    <w:rPr>
      <w:sz w:val="18"/>
      <w:szCs w:val="18"/>
    </w:rPr>
  </w:style>
  <w:style w:type="character" w:styleId="821">
    <w:name w:val="页脚 字符"/>
    <w:next w:val="821"/>
    <w:link w:val="820"/>
    <w:rPr>
      <w:rFonts w:ascii="Times New Roman" w:hAnsi="Times New Roman" w:eastAsia="宋体" w:cs="Times New Roman"/>
      <w:sz w:val="18"/>
      <w:szCs w:val="18"/>
    </w:rPr>
  </w:style>
  <w:style w:type="paragraph" w:styleId="822">
    <w:name w:val="页眉"/>
    <w:basedOn w:val="767"/>
    <w:next w:val="822"/>
    <w:link w:val="823"/>
    <w:pPr>
      <w:jc w:val="center"/>
      <w:tabs>
        <w:tab w:val="center" w:pos="4153" w:leader="none"/>
        <w:tab w:val="right" w:pos="8306" w:leader="none"/>
      </w:tabs>
      <w:pBdr>
        <w:bottom w:val="single" w:color="000000" w:sz="6" w:space="1"/>
      </w:pBdr>
    </w:pPr>
    <w:rPr>
      <w:sz w:val="18"/>
      <w:szCs w:val="18"/>
    </w:rPr>
  </w:style>
  <w:style w:type="character" w:styleId="823">
    <w:name w:val="页眉 字符"/>
    <w:next w:val="823"/>
    <w:link w:val="822"/>
    <w:rPr>
      <w:rFonts w:ascii="Times New Roman" w:hAnsi="Times New Roman" w:eastAsia="宋体" w:cs="Times New Roman"/>
      <w:sz w:val="18"/>
      <w:szCs w:val="18"/>
    </w:rPr>
  </w:style>
  <w:style w:type="paragraph" w:styleId="824">
    <w:name w:val="目录 1"/>
    <w:basedOn w:val="767"/>
    <w:next w:val="767"/>
    <w:link w:val="7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5">
    <w:name w:val="目录 4"/>
    <w:basedOn w:val="767"/>
    <w:next w:val="767"/>
    <w:link w:val="767"/>
    <w:semiHidden/>
    <w:pPr>
      <w:ind w:left="630"/>
      <w:jc w:val="left"/>
    </w:pPr>
    <w:rPr>
      <w:rFonts w:ascii="Times New Roman" w:hAnsi="Times New Roman" w:eastAsia="宋体" w:cs="Times New Roman"/>
      <w:szCs w:val="21"/>
    </w:rPr>
  </w:style>
  <w:style w:type="paragraph" w:styleId="826">
    <w:name w:val="列表"/>
    <w:basedOn w:val="767"/>
    <w:next w:val="826"/>
    <w:link w:val="767"/>
    <w:pPr>
      <w:ind w:left="200" w:hanging="200"/>
    </w:pPr>
    <w:rPr>
      <w:rFonts w:ascii="Times New Roman" w:hAnsi="Times New Roman" w:eastAsia="宋体" w:cs="Times New Roman"/>
      <w:szCs w:val="21"/>
    </w:rPr>
  </w:style>
  <w:style w:type="paragraph" w:styleId="827">
    <w:name w:val="目录 6"/>
    <w:basedOn w:val="767"/>
    <w:next w:val="767"/>
    <w:link w:val="767"/>
    <w:semiHidden/>
    <w:pPr>
      <w:ind w:left="1050"/>
      <w:jc w:val="left"/>
    </w:pPr>
    <w:rPr>
      <w:rFonts w:ascii="Times New Roman" w:hAnsi="Times New Roman" w:eastAsia="宋体" w:cs="Times New Roman"/>
      <w:szCs w:val="21"/>
    </w:rPr>
  </w:style>
  <w:style w:type="paragraph" w:styleId="828">
    <w:name w:val="正文文本缩进 3"/>
    <w:basedOn w:val="767"/>
    <w:next w:val="828"/>
    <w:link w:val="829"/>
    <w:pPr>
      <w:ind w:left="645" w:firstLine="645"/>
    </w:pPr>
    <w:rPr>
      <w:rFonts w:ascii="Arial" w:hAnsi="Arial" w:eastAsia="仿宋_GB2312"/>
      <w:color w:val="ffff00"/>
      <w:sz w:val="32"/>
      <w:szCs w:val="32"/>
    </w:rPr>
  </w:style>
  <w:style w:type="character" w:styleId="829">
    <w:name w:val="正文文本缩进 3 字符"/>
    <w:next w:val="829"/>
    <w:link w:val="828"/>
    <w:rPr>
      <w:rFonts w:ascii="Arial" w:hAnsi="Arial" w:eastAsia="仿宋_GB2312" w:cs="Arial"/>
      <w:color w:val="ffff00"/>
      <w:sz w:val="32"/>
      <w:szCs w:val="32"/>
    </w:rPr>
  </w:style>
  <w:style w:type="paragraph" w:styleId="830">
    <w:name w:val="图表目录"/>
    <w:basedOn w:val="767"/>
    <w:next w:val="767"/>
    <w:link w:val="767"/>
    <w:semiHidden/>
    <w:pPr>
      <w:ind w:left="840" w:hanging="420"/>
    </w:pPr>
    <w:rPr>
      <w:rFonts w:ascii="Times New Roman" w:hAnsi="Times New Roman" w:eastAsia="宋体" w:cs="Times New Roman"/>
      <w:szCs w:val="21"/>
    </w:rPr>
  </w:style>
  <w:style w:type="paragraph" w:styleId="831">
    <w:name w:val="目录 2"/>
    <w:basedOn w:val="767"/>
    <w:next w:val="767"/>
    <w:link w:val="767"/>
    <w:semiHidden/>
    <w:pPr>
      <w:ind w:left="210"/>
      <w:jc w:val="left"/>
    </w:pPr>
    <w:rPr>
      <w:rFonts w:ascii="Times New Roman" w:hAnsi="Times New Roman" w:eastAsia="宋体" w:cs="Times New Roman"/>
      <w:smallCaps/>
      <w:szCs w:val="24"/>
    </w:rPr>
  </w:style>
  <w:style w:type="paragraph" w:styleId="832">
    <w:name w:val="目录 9"/>
    <w:basedOn w:val="767"/>
    <w:next w:val="767"/>
    <w:link w:val="767"/>
    <w:semiHidden/>
    <w:pPr>
      <w:ind w:left="1680"/>
      <w:jc w:val="left"/>
    </w:pPr>
    <w:rPr>
      <w:rFonts w:ascii="Times New Roman" w:hAnsi="Times New Roman" w:eastAsia="宋体" w:cs="Times New Roman"/>
      <w:szCs w:val="21"/>
    </w:rPr>
  </w:style>
  <w:style w:type="paragraph" w:styleId="833">
    <w:name w:val="正文文本 2"/>
    <w:basedOn w:val="767"/>
    <w:next w:val="833"/>
    <w:link w:val="834"/>
    <w:pPr>
      <w:jc w:val="center"/>
      <w:widowControl/>
    </w:pPr>
    <w:rPr>
      <w:rFonts w:ascii="楷体_GB2312" w:eastAsia="楷体_GB2312"/>
      <w:sz w:val="28"/>
      <w:szCs w:val="28"/>
    </w:rPr>
  </w:style>
  <w:style w:type="character" w:styleId="834">
    <w:name w:val="正文文本 2 字符"/>
    <w:next w:val="834"/>
    <w:link w:val="833"/>
    <w:rPr>
      <w:rFonts w:ascii="楷体_GB2312" w:hAnsi="Times New Roman" w:eastAsia="楷体_GB2312" w:cs="Times New Roman"/>
      <w:sz w:val="28"/>
      <w:szCs w:val="28"/>
    </w:rPr>
  </w:style>
  <w:style w:type="paragraph" w:styleId="835">
    <w:name w:val="HTML 预设格式"/>
    <w:basedOn w:val="767"/>
    <w:next w:val="835"/>
    <w:link w:val="767"/>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36">
    <w:name w:val="普通(网站)"/>
    <w:basedOn w:val="767"/>
    <w:next w:val="836"/>
    <w:link w:val="767"/>
    <w:uiPriority w:val="99"/>
    <w:pPr>
      <w:jc w:val="left"/>
      <w:spacing w:before="100" w:beforeAutospacing="1" w:after="100" w:afterAutospacing="1"/>
      <w:widowControl/>
    </w:pPr>
    <w:rPr>
      <w:rFonts w:ascii="宋体" w:hAnsi="宋体" w:eastAsia="宋体" w:cs="宋体"/>
      <w:sz w:val="24"/>
      <w:szCs w:val="24"/>
    </w:rPr>
  </w:style>
  <w:style w:type="paragraph" w:styleId="837">
    <w:name w:val="索引 1"/>
    <w:basedOn w:val="767"/>
    <w:next w:val="767"/>
    <w:link w:val="767"/>
    <w:semiHidden/>
    <w:pPr>
      <w:spacing w:line="240" w:lineRule="atLeast"/>
    </w:pPr>
    <w:rPr>
      <w:rFonts w:ascii="Times New Roman" w:hAnsi="Times New Roman" w:eastAsia="宋体" w:cs="Times New Roman"/>
      <w:b/>
      <w:bCs/>
      <w:szCs w:val="21"/>
    </w:rPr>
  </w:style>
  <w:style w:type="paragraph" w:styleId="838">
    <w:name w:val="批注主题"/>
    <w:basedOn w:val="795"/>
    <w:next w:val="795"/>
    <w:link w:val="839"/>
    <w:semiHidden/>
    <w:rPr>
      <w:b/>
      <w:bCs/>
      <w:sz w:val="20"/>
      <w:szCs w:val="21"/>
    </w:rPr>
  </w:style>
  <w:style w:type="character" w:styleId="839">
    <w:name w:val="批注主题 字符"/>
    <w:next w:val="839"/>
    <w:link w:val="838"/>
    <w:semiHidden/>
    <w:rPr>
      <w:rFonts w:ascii="Times New Roman" w:hAnsi="Times New Roman" w:eastAsia="宋体" w:cs="Times New Roman"/>
      <w:b/>
      <w:bCs/>
      <w:szCs w:val="21"/>
    </w:rPr>
  </w:style>
  <w:style w:type="paragraph" w:styleId="840">
    <w:name w:val="正文首行缩进"/>
    <w:basedOn w:val="767"/>
    <w:next w:val="840"/>
    <w:link w:val="841"/>
    <w:pPr>
      <w:ind w:firstLine="200"/>
      <w:spacing w:line="360" w:lineRule="auto"/>
    </w:pPr>
    <w:rPr>
      <w:rFonts w:ascii="仿宋_GB2312" w:eastAsia="仿宋_GB2312"/>
      <w:sz w:val="30"/>
      <w:szCs w:val="30"/>
    </w:rPr>
  </w:style>
  <w:style w:type="character" w:styleId="841">
    <w:name w:val="正文文本首行缩进 字符"/>
    <w:next w:val="841"/>
    <w:link w:val="840"/>
    <w:rPr>
      <w:rFonts w:ascii="仿宋_GB2312" w:hAnsi="Times New Roman" w:eastAsia="仿宋_GB2312" w:cs="Times New Roman"/>
      <w:sz w:val="30"/>
      <w:szCs w:val="30"/>
    </w:rPr>
  </w:style>
  <w:style w:type="paragraph" w:styleId="842">
    <w:name w:val="正文首行缩进 2"/>
    <w:basedOn w:val="843"/>
    <w:next w:val="842"/>
    <w:link w:val="767"/>
    <w:qFormat/>
    <w:pPr>
      <w:ind w:left="0" w:firstLine="420"/>
      <w:spacing w:after="0" w:line="360" w:lineRule="auto"/>
    </w:pPr>
    <w:rPr>
      <w:rFonts w:ascii="宋体" w:hAnsi="宋体"/>
      <w:sz w:val="20"/>
      <w:szCs w:val="20"/>
      <w:lang w:val="en-US" w:eastAsia="en-US"/>
    </w:rPr>
  </w:style>
  <w:style w:type="paragraph" w:styleId="843">
    <w:name w:val="正文文本缩进1"/>
    <w:basedOn w:val="767"/>
    <w:next w:val="842"/>
    <w:link w:val="767"/>
    <w:uiPriority w:val="99"/>
    <w:unhideWhenUsed/>
    <w:qFormat/>
    <w:pPr>
      <w:ind w:left="420"/>
      <w:spacing w:after="120"/>
    </w:pPr>
  </w:style>
  <w:style w:type="table" w:styleId="844">
    <w:name w:val="网格型"/>
    <w:basedOn w:val="778"/>
    <w:next w:val="844"/>
    <w:link w:val="767"/>
    <w:pPr>
      <w:jc w:val="both"/>
      <w:widowControl w:val="off"/>
    </w:pPr>
    <w:rPr>
      <w:rFonts w:ascii="Times New Roman" w:hAnsi="Times New Roman" w:eastAsia="宋体" w:cs="Times New Roman"/>
      <w:sz w:val="20"/>
      <w:szCs w:val="20"/>
    </w:rPr>
    <w:tblPr/>
  </w:style>
  <w:style w:type="character" w:styleId="845">
    <w:name w:val="要点"/>
    <w:next w:val="845"/>
    <w:link w:val="767"/>
    <w:qFormat/>
    <w:rPr>
      <w:b/>
      <w:bCs/>
    </w:rPr>
  </w:style>
  <w:style w:type="character" w:styleId="846">
    <w:name w:val="页码"/>
    <w:next w:val="846"/>
    <w:link w:val="767"/>
  </w:style>
  <w:style w:type="character" w:styleId="847">
    <w:name w:val="已访问的超链接"/>
    <w:next w:val="847"/>
    <w:link w:val="767"/>
    <w:uiPriority w:val="99"/>
    <w:rPr>
      <w:color w:val="800080"/>
      <w:u w:val="single"/>
    </w:rPr>
  </w:style>
  <w:style w:type="character" w:styleId="848">
    <w:name w:val="超链接"/>
    <w:next w:val="848"/>
    <w:link w:val="767"/>
    <w:uiPriority w:val="99"/>
    <w:rPr>
      <w:color w:val="0000ff"/>
      <w:u w:val="single"/>
    </w:rPr>
  </w:style>
  <w:style w:type="character" w:styleId="849">
    <w:name w:val="批注引用"/>
    <w:next w:val="849"/>
    <w:link w:val="767"/>
    <w:semiHidden/>
    <w:rPr>
      <w:sz w:val="21"/>
      <w:szCs w:val="21"/>
    </w:rPr>
  </w:style>
  <w:style w:type="character" w:styleId="850">
    <w:name w:val="font11"/>
    <w:next w:val="850"/>
    <w:link w:val="767"/>
    <w:rPr>
      <w:rFonts w:ascii="Times New Roman" w:hAnsi="Times New Roman" w:cs="Times New Roman"/>
      <w:i w:val="0"/>
      <w:color w:val="000000"/>
      <w:sz w:val="22"/>
      <w:szCs w:val="22"/>
      <w:u w:val="none"/>
    </w:rPr>
  </w:style>
  <w:style w:type="character" w:styleId="851">
    <w:name w:val="font161"/>
    <w:next w:val="851"/>
    <w:link w:val="767"/>
    <w:rPr>
      <w:rFonts w:ascii="Times New Roman" w:hAnsi="Times New Roman" w:cs="Times New Roman"/>
      <w:b/>
      <w:i w:val="0"/>
      <w:color w:val="000000"/>
      <w:sz w:val="22"/>
      <w:szCs w:val="22"/>
      <w:u w:val="none"/>
    </w:rPr>
  </w:style>
  <w:style w:type="character" w:styleId="852">
    <w:name w:val="font121"/>
    <w:next w:val="852"/>
    <w:link w:val="767"/>
    <w:rPr>
      <w:rFonts w:ascii="Times New Roman" w:hAnsi="Times New Roman" w:cs="Times New Roman"/>
      <w:b/>
      <w:i w:val="0"/>
      <w:color w:val="000000"/>
      <w:sz w:val="24"/>
      <w:szCs w:val="24"/>
      <w:u w:val="none"/>
    </w:rPr>
  </w:style>
  <w:style w:type="character" w:styleId="853">
    <w:name w:val="font5 Char"/>
    <w:next w:val="853"/>
    <w:link w:val="767"/>
    <w:rPr>
      <w:rFonts w:ascii="宋体" w:hAnsi="宋体" w:eastAsia="宋体"/>
      <w:sz w:val="28"/>
      <w:szCs w:val="28"/>
      <w:lang w:val="en-US" w:eastAsia="zh-CN" w:bidi="ar-SA"/>
    </w:rPr>
  </w:style>
  <w:style w:type="character" w:styleId="854">
    <w:name w:val="正文文本首行缩进 2 字符"/>
    <w:next w:val="854"/>
    <w:link w:val="855"/>
    <w:rPr>
      <w:rFonts w:ascii="宋体" w:hAnsi="宋体" w:eastAsia="宋体" w:cs="Times New Roman"/>
      <w:szCs w:val="20"/>
    </w:rPr>
  </w:style>
  <w:style w:type="paragraph" w:styleId="855">
    <w:name w:val="正文首行缩进 21"/>
    <w:basedOn w:val="804"/>
    <w:next w:val="767"/>
    <w:link w:val="854"/>
    <w:pPr>
      <w:ind w:left="0" w:firstLine="420"/>
      <w:spacing w:after="0" w:line="360" w:lineRule="auto"/>
    </w:pPr>
    <w:rPr>
      <w:rFonts w:ascii="宋体" w:hAnsi="宋体"/>
      <w:sz w:val="20"/>
      <w:szCs w:val="20"/>
    </w:rPr>
  </w:style>
  <w:style w:type="character" w:styleId="856">
    <w:name w:val="font132"/>
    <w:next w:val="856"/>
    <w:link w:val="767"/>
    <w:rPr>
      <w:rFonts w:ascii="Times New Roman" w:hAnsi="Times New Roman" w:cs="Times New Roman"/>
      <w:i w:val="0"/>
      <w:color w:val="000000"/>
      <w:sz w:val="22"/>
      <w:szCs w:val="22"/>
      <w:u w:val="none"/>
    </w:rPr>
  </w:style>
  <w:style w:type="character" w:styleId="857">
    <w:name w:val="font91"/>
    <w:next w:val="857"/>
    <w:link w:val="767"/>
    <w:rPr>
      <w:rFonts w:hint="eastAsia" w:ascii="宋体" w:hAnsi="宋体" w:eastAsia="宋体" w:cs="宋体"/>
      <w:i w:val="0"/>
      <w:color w:val="000000"/>
      <w:sz w:val="22"/>
      <w:szCs w:val="22"/>
      <w:u w:val="none"/>
    </w:rPr>
  </w:style>
  <w:style w:type="character" w:styleId="858">
    <w:name w:val="font51"/>
    <w:next w:val="858"/>
    <w:link w:val="767"/>
    <w:rPr>
      <w:rFonts w:ascii="Times New Roman" w:hAnsi="Times New Roman" w:cs="Times New Roman"/>
      <w:i w:val="0"/>
      <w:color w:val="000000"/>
      <w:sz w:val="20"/>
      <w:szCs w:val="20"/>
      <w:u w:val="none"/>
    </w:rPr>
  </w:style>
  <w:style w:type="character" w:styleId="859">
    <w:name w:val="font41"/>
    <w:next w:val="859"/>
    <w:link w:val="767"/>
    <w:rPr>
      <w:rFonts w:hint="eastAsia" w:ascii="宋体" w:hAnsi="宋体" w:eastAsia="宋体" w:cs="宋体"/>
      <w:b/>
      <w:i w:val="0"/>
      <w:color w:val="000000"/>
      <w:sz w:val="24"/>
      <w:szCs w:val="24"/>
      <w:u w:val="none"/>
    </w:rPr>
  </w:style>
  <w:style w:type="character" w:styleId="860">
    <w:name w:val="二级目录 Char"/>
    <w:next w:val="860"/>
    <w:link w:val="861"/>
    <w:rPr>
      <w:b/>
      <w:sz w:val="30"/>
      <w:szCs w:val="28"/>
      <w:lang w:val="en-US" w:eastAsia="zh-CN" w:bidi="ar-SA"/>
    </w:rPr>
  </w:style>
  <w:style w:type="paragraph" w:styleId="861">
    <w:name w:val="二级目录"/>
    <w:next w:val="767"/>
    <w:link w:val="860"/>
    <w:pPr>
      <w:numPr>
        <w:ilvl w:val="0"/>
        <w:numId w:val="2"/>
      </w:numPr>
      <w:tabs>
        <w:tab w:val="left" w:pos="907" w:leader="none"/>
        <w:tab w:val="left" w:pos="1145" w:leader="none"/>
      </w:tabs>
      <w:outlineLvl w:val="1"/>
    </w:pPr>
    <w:rPr>
      <w:b/>
      <w:sz w:val="30"/>
      <w:szCs w:val="28"/>
      <w:lang w:val="en-US" w:eastAsia="zh-CN" w:bidi="ar-SA"/>
    </w:rPr>
  </w:style>
  <w:style w:type="character" w:styleId="862">
    <w:name w:val="font31"/>
    <w:next w:val="862"/>
    <w:link w:val="767"/>
    <w:rPr>
      <w:rFonts w:hint="eastAsia" w:ascii="宋体" w:hAnsi="宋体" w:eastAsia="宋体" w:cs="宋体"/>
      <w:b/>
      <w:i w:val="0"/>
      <w:color w:val="000000"/>
      <w:sz w:val="22"/>
      <w:szCs w:val="22"/>
      <w:u w:val="none"/>
    </w:rPr>
  </w:style>
  <w:style w:type="character" w:styleId="863">
    <w:name w:val="列出段落 Char,Bullet List Char,numbered Char,FooterText Char,List Paragraph1 Char,Paragraphe de liste1 Char"/>
    <w:next w:val="863"/>
    <w:link w:val="864"/>
    <w:rPr>
      <w:rFonts w:ascii="Calibri" w:hAnsi="Calibri"/>
      <w:sz w:val="24"/>
      <w:szCs w:val="24"/>
      <w:lang w:eastAsia="en-US" w:bidi="en-US"/>
    </w:rPr>
  </w:style>
  <w:style w:type="paragraph" w:styleId="864">
    <w:name w:val="列出段落1"/>
    <w:basedOn w:val="767"/>
    <w:next w:val="864"/>
    <w:link w:val="863"/>
    <w:qFormat/>
    <w:pPr>
      <w:contextualSpacing/>
      <w:ind w:left="720"/>
      <w:jc w:val="left"/>
      <w:widowControl/>
    </w:pPr>
    <w:rPr>
      <w:rFonts w:ascii="Calibri" w:hAnsi="Calibri"/>
      <w:sz w:val="24"/>
      <w:szCs w:val="24"/>
      <w:lang w:eastAsia="en-US" w:bidi="en-US"/>
    </w:rPr>
  </w:style>
  <w:style w:type="character" w:styleId="865">
    <w:name w:val="font81"/>
    <w:next w:val="865"/>
    <w:link w:val="767"/>
    <w:rPr>
      <w:rFonts w:hint="eastAsia" w:ascii="宋体" w:hAnsi="宋体" w:eastAsia="宋体" w:cs="宋体"/>
      <w:i w:val="0"/>
      <w:color w:val="000000"/>
      <w:sz w:val="22"/>
      <w:szCs w:val="22"/>
      <w:u w:val="none"/>
    </w:rPr>
  </w:style>
  <w:style w:type="character" w:styleId="866">
    <w:name w:val="font12"/>
    <w:next w:val="866"/>
    <w:link w:val="767"/>
    <w:rPr>
      <w:rFonts w:ascii="Times New Roman" w:hAnsi="Times New Roman" w:cs="Times New Roman"/>
      <w:i w:val="0"/>
      <w:color w:val="000000"/>
      <w:sz w:val="20"/>
      <w:szCs w:val="20"/>
      <w:u w:val="none"/>
      <w:vertAlign w:val="superscript"/>
    </w:rPr>
  </w:style>
  <w:style w:type="character" w:styleId="867">
    <w:name w:val="font101"/>
    <w:next w:val="867"/>
    <w:link w:val="767"/>
    <w:rPr>
      <w:rFonts w:ascii="微软雅黑" w:hAnsi="微软雅黑" w:eastAsia="微软雅黑" w:cs="微软雅黑"/>
      <w:i w:val="0"/>
      <w:color w:val="000000"/>
      <w:sz w:val="22"/>
      <w:szCs w:val="22"/>
      <w:u w:val="none"/>
    </w:rPr>
  </w:style>
  <w:style w:type="character" w:styleId="868">
    <w:name w:val="font21"/>
    <w:next w:val="868"/>
    <w:link w:val="767"/>
    <w:rPr>
      <w:rFonts w:ascii="Times New Roman" w:hAnsi="Times New Roman" w:cs="Times New Roman"/>
      <w:b/>
      <w:i w:val="0"/>
      <w:color w:val="000000"/>
      <w:sz w:val="22"/>
      <w:szCs w:val="22"/>
      <w:u w:val="none"/>
    </w:rPr>
  </w:style>
  <w:style w:type="character" w:styleId="869">
    <w:name w:val="font13"/>
    <w:next w:val="869"/>
    <w:link w:val="767"/>
    <w:rPr>
      <w:rFonts w:hint="eastAsia" w:ascii="宋体" w:hAnsi="宋体" w:eastAsia="宋体" w:cs="宋体"/>
      <w:b/>
      <w:i w:val="0"/>
      <w:color w:val="000000"/>
      <w:sz w:val="24"/>
      <w:szCs w:val="24"/>
      <w:u w:val="none"/>
    </w:rPr>
  </w:style>
  <w:style w:type="character" w:styleId="870">
    <w:name w:val="font71"/>
    <w:next w:val="870"/>
    <w:link w:val="767"/>
    <w:rPr>
      <w:rFonts w:hint="eastAsia" w:ascii="宋体" w:hAnsi="宋体" w:eastAsia="宋体" w:cs="宋体"/>
      <w:b/>
      <w:i w:val="0"/>
      <w:color w:val="000000"/>
      <w:sz w:val="24"/>
      <w:szCs w:val="24"/>
      <w:u w:val="none"/>
    </w:rPr>
  </w:style>
  <w:style w:type="character" w:styleId="871">
    <w:name w:val="font61"/>
    <w:next w:val="871"/>
    <w:link w:val="767"/>
    <w:rPr>
      <w:rFonts w:hint="eastAsia" w:ascii="宋体" w:hAnsi="宋体" w:eastAsia="宋体" w:cs="宋体"/>
      <w:i w:val="0"/>
      <w:color w:val="000000"/>
      <w:sz w:val="22"/>
      <w:szCs w:val="22"/>
      <w:u w:val="none"/>
    </w:rPr>
  </w:style>
  <w:style w:type="paragraph" w:styleId="872">
    <w:name w:val="Table Text"/>
    <w:basedOn w:val="767"/>
    <w:next w:val="872"/>
    <w:link w:val="767"/>
    <w:semiHidden/>
    <w:qFormat/>
    <w:rPr>
      <w:rFonts w:ascii="宋体" w:hAnsi="宋体" w:cs="宋体"/>
      <w:szCs w:val="21"/>
      <w:lang w:eastAsia="en-US"/>
    </w:rPr>
  </w:style>
  <w:style w:type="paragraph" w:styleId="873">
    <w:name w:val="xl28"/>
    <w:basedOn w:val="767"/>
    <w:next w:val="873"/>
    <w:link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4">
    <w:name w:val="xl63"/>
    <w:basedOn w:val="767"/>
    <w:next w:val="874"/>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75">
    <w:name w:val="正文文本1"/>
    <w:basedOn w:val="767"/>
    <w:next w:val="767"/>
    <w:link w:val="767"/>
    <w:semiHidden/>
    <w:qFormat/>
    <w:rPr>
      <w:rFonts w:ascii="Arial" w:hAnsi="Arial" w:eastAsia="Arial" w:cs="Arial"/>
      <w:sz w:val="21"/>
      <w:szCs w:val="21"/>
      <w:lang w:val="en-US" w:eastAsia="en-US" w:bidi="ar-SA"/>
    </w:rPr>
  </w:style>
  <w:style w:type="paragraph" w:styleId="876">
    <w:name w:val="附录1"/>
    <w:next w:val="876"/>
    <w:link w:val="767"/>
    <w:pPr>
      <w:numPr>
        <w:ilvl w:val="0"/>
        <w:numId w:val="2"/>
      </w:numPr>
      <w:spacing w:before="240" w:line="600" w:lineRule="atLeast"/>
      <w:tabs>
        <w:tab w:val="left" w:pos="907" w:leader="none"/>
      </w:tabs>
    </w:pPr>
    <w:rPr>
      <w:b/>
      <w:i/>
      <w:sz w:val="28"/>
      <w:lang w:val="en-US" w:eastAsia="zh-CN" w:bidi="ar-SA"/>
    </w:rPr>
  </w:style>
  <w:style w:type="paragraph" w:styleId="877">
    <w:name w:val="xl26"/>
    <w:basedOn w:val="767"/>
    <w:next w:val="877"/>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8">
    <w:name w:val="标题 31"/>
    <w:basedOn w:val="767"/>
    <w:next w:val="879"/>
    <w:link w:val="767"/>
    <w:qFormat/>
    <w:pPr>
      <w:keepLines/>
      <w:keepNext/>
      <w:spacing w:before="260" w:after="260" w:line="416" w:lineRule="auto"/>
      <w:outlineLvl w:val="2"/>
    </w:pPr>
    <w:rPr>
      <w:b/>
      <w:bCs/>
      <w:sz w:val="32"/>
      <w:szCs w:val="32"/>
    </w:rPr>
  </w:style>
  <w:style w:type="paragraph" w:styleId="879">
    <w:name w:val="正文缩进1"/>
    <w:basedOn w:val="767"/>
    <w:next w:val="879"/>
    <w:link w:val="767"/>
    <w:qFormat/>
    <w:pPr>
      <w:ind w:firstLine="420"/>
    </w:pPr>
  </w:style>
  <w:style w:type="paragraph" w:styleId="880">
    <w:name w:val="注："/>
    <w:next w:val="803"/>
    <w:link w:val="767"/>
    <w:qFormat/>
    <w:pPr>
      <w:numPr>
        <w:ilvl w:val="0"/>
        <w:numId w:val="3"/>
      </w:numPr>
      <w:jc w:val="both"/>
      <w:widowControl w:val="off"/>
    </w:pPr>
    <w:rPr>
      <w:rFonts w:ascii="宋体"/>
      <w:sz w:val="18"/>
      <w:szCs w:val="18"/>
      <w:lang w:val="en-US" w:eastAsia="zh-CN" w:bidi="ar-SA"/>
    </w:rPr>
  </w:style>
  <w:style w:type="paragraph" w:styleId="881">
    <w:name w:val="font7"/>
    <w:basedOn w:val="767"/>
    <w:next w:val="881"/>
    <w:link w:val="767"/>
    <w:pPr>
      <w:jc w:val="left"/>
      <w:spacing w:before="100" w:beforeAutospacing="1" w:after="100" w:afterAutospacing="1"/>
      <w:widowControl/>
    </w:pPr>
    <w:rPr>
      <w:rFonts w:hint="eastAsia" w:ascii="宋体" w:hAnsi="宋体" w:eastAsia="宋体" w:cs="Times New Roman"/>
      <w:sz w:val="18"/>
      <w:szCs w:val="18"/>
    </w:rPr>
  </w:style>
  <w:style w:type="paragraph" w:styleId="882">
    <w:name w:val="xl30"/>
    <w:basedOn w:val="767"/>
    <w:next w:val="882"/>
    <w:link w:val="767"/>
    <w:pPr>
      <w:jc w:val="center"/>
      <w:spacing w:before="100" w:beforeAutospacing="1" w:after="100" w:afterAutospacing="1"/>
      <w:widowControl/>
    </w:pPr>
    <w:rPr>
      <w:rFonts w:ascii="宋体" w:hAnsi="宋体" w:eastAsia="宋体" w:cs="Times New Roman"/>
      <w:b/>
      <w:bCs/>
      <w:sz w:val="36"/>
      <w:szCs w:val="36"/>
    </w:rPr>
  </w:style>
  <w:style w:type="paragraph" w:styleId="883">
    <w:name w:val="xl77"/>
    <w:basedOn w:val="767"/>
    <w:next w:val="883"/>
    <w:link w:val="767"/>
    <w:pPr>
      <w:jc w:val="center"/>
      <w:spacing w:before="100" w:beforeAutospacing="1" w:after="100" w:afterAutospacing="1"/>
      <w:shd w:val="clear" w:color="000000" w:fill="8db3e2"/>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84">
    <w:name w:val="msonormal"/>
    <w:basedOn w:val="767"/>
    <w:next w:val="884"/>
    <w:link w:val="767"/>
    <w:pPr>
      <w:jc w:val="left"/>
      <w:spacing w:before="100" w:beforeAutospacing="1" w:after="100" w:afterAutospacing="1"/>
      <w:widowControl/>
    </w:pPr>
    <w:rPr>
      <w:rFonts w:ascii="宋体" w:hAnsi="宋体" w:cs="宋体"/>
      <w:sz w:val="24"/>
      <w:szCs w:val="24"/>
    </w:rPr>
  </w:style>
  <w:style w:type="paragraph" w:styleId="885">
    <w:name w:val="标题3"/>
    <w:basedOn w:val="767"/>
    <w:next w:val="767"/>
    <w:link w:val="767"/>
    <w:pPr>
      <w:ind w:firstLine="624"/>
      <w:spacing w:line="590" w:lineRule="atLeast"/>
    </w:pPr>
    <w:rPr>
      <w:rFonts w:ascii="方正黑体_GBK" w:hAnsi="Times New Roman" w:eastAsia="方正黑体_GBK" w:cs="Times New Roman"/>
      <w:sz w:val="32"/>
      <w:szCs w:val="32"/>
    </w:rPr>
  </w:style>
  <w:style w:type="paragraph" w:styleId="886">
    <w:name w:val=" Char Char Char Char Char Char Char Char Char Char"/>
    <w:basedOn w:val="767"/>
    <w:next w:val="886"/>
    <w:link w:val="767"/>
    <w:pPr>
      <w:spacing w:line="360" w:lineRule="auto"/>
    </w:pPr>
    <w:rPr>
      <w:rFonts w:ascii="Times New Roman" w:hAnsi="Times New Roman" w:eastAsia="宋体" w:cs="Times New Roman"/>
      <w:sz w:val="24"/>
      <w:szCs w:val="20"/>
    </w:rPr>
  </w:style>
  <w:style w:type="paragraph" w:styleId="887">
    <w:name w:val="纯文本1"/>
    <w:basedOn w:val="767"/>
    <w:next w:val="887"/>
    <w:link w:val="767"/>
    <w:qFormat/>
    <w:rPr>
      <w:rFonts w:ascii="宋体" w:hAnsi="Courier New" w:cs="Courier New"/>
    </w:rPr>
  </w:style>
  <w:style w:type="paragraph" w:styleId="888">
    <w:name w:val="修订"/>
    <w:next w:val="888"/>
    <w:link w:val="767"/>
    <w:uiPriority w:val="99"/>
    <w:semiHidden/>
    <w:rPr>
      <w:sz w:val="21"/>
      <w:szCs w:val="21"/>
      <w:lang w:val="en-US" w:eastAsia="zh-CN" w:bidi="ar-SA"/>
    </w:rPr>
  </w:style>
  <w:style w:type="paragraph" w:styleId="889">
    <w:name w:val=" Char"/>
    <w:basedOn w:val="793"/>
    <w:next w:val="889"/>
    <w:link w:val="767"/>
    <w:rPr>
      <w:rFonts w:ascii="Tahoma" w:hAnsi="Tahoma"/>
      <w:sz w:val="24"/>
      <w:szCs w:val="24"/>
    </w:rPr>
  </w:style>
  <w:style w:type="paragraph" w:styleId="890">
    <w:name w:val="图标"/>
    <w:basedOn w:val="767"/>
    <w:next w:val="767"/>
    <w:link w:val="7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1">
    <w:name w:val="xl76"/>
    <w:basedOn w:val="767"/>
    <w:next w:val="891"/>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92">
    <w:name w:val="Table Paragraph"/>
    <w:basedOn w:val="767"/>
    <w:next w:val="892"/>
    <w:link w:val="767"/>
    <w:uiPriority w:val="1"/>
    <w:qFormat/>
    <w:rPr>
      <w:rFonts w:ascii="宋体" w:hAnsi="宋体" w:eastAsia="宋体" w:cs="宋体"/>
      <w:lang w:val="zh-CN" w:eastAsia="zh-CN" w:bidi="zh-CN"/>
    </w:rPr>
  </w:style>
  <w:style w:type="paragraph" w:styleId="893">
    <w:name w:val="Char Char Char Char Char Char Char Char"/>
    <w:basedOn w:val="767"/>
    <w:next w:val="893"/>
    <w:link w:val="767"/>
    <w:pPr>
      <w:jc w:val="left"/>
      <w:spacing w:after="160" w:line="240" w:lineRule="exact"/>
      <w:widowControl/>
    </w:pPr>
    <w:rPr>
      <w:rFonts w:ascii="Verdana" w:hAnsi="Verdana" w:eastAsia="宋体" w:cs="Times New Roman"/>
      <w:sz w:val="20"/>
      <w:szCs w:val="20"/>
      <w:lang w:eastAsia="en-US"/>
    </w:rPr>
  </w:style>
  <w:style w:type="paragraph" w:styleId="894">
    <w:name w:val="Body Text(ch)"/>
    <w:basedOn w:val="767"/>
    <w:next w:val="799"/>
    <w:link w:val="767"/>
    <w:pPr>
      <w:spacing w:after="120"/>
    </w:pPr>
    <w:rPr>
      <w:rFonts w:ascii="宋体" w:hAnsi="Arial" w:eastAsia="宋体" w:cs="Times New Roman"/>
      <w:bCs/>
      <w:iCs/>
      <w:szCs w:val="24"/>
    </w:rPr>
  </w:style>
  <w:style w:type="paragraph" w:styleId="895">
    <w:name w:val="table_1stline"/>
    <w:basedOn w:val="767"/>
    <w:next w:val="895"/>
    <w:link w:val="767"/>
    <w:pPr>
      <w:jc w:val="left"/>
      <w:spacing w:before="120"/>
      <w:widowControl/>
    </w:pPr>
    <w:rPr>
      <w:rFonts w:ascii="Times New Roman" w:hAnsi="Times New Roman" w:eastAsia="宋体" w:cs="Times New Roman"/>
      <w:bCs/>
      <w:sz w:val="20"/>
      <w:szCs w:val="20"/>
      <w:lang w:val="de-DE" w:eastAsia="de-DE"/>
    </w:rPr>
  </w:style>
  <w:style w:type="paragraph" w:styleId="896">
    <w:name w:val="列表段落"/>
    <w:basedOn w:val="767"/>
    <w:next w:val="896"/>
    <w:link w:val="767"/>
    <w:qFormat/>
    <w:pPr>
      <w:contextualSpacing/>
      <w:ind w:left="720"/>
      <w:jc w:val="left"/>
      <w:widowControl/>
    </w:pPr>
    <w:rPr>
      <w:rFonts w:ascii="Calibri" w:hAnsi="Calibri" w:eastAsia="宋体" w:cs="Times New Roman"/>
      <w:sz w:val="24"/>
      <w:szCs w:val="24"/>
      <w:lang w:eastAsia="en-US" w:bidi="en-US"/>
    </w:rPr>
  </w:style>
  <w:style w:type="paragraph" w:styleId="897">
    <w:name w:val="xl29"/>
    <w:basedOn w:val="767"/>
    <w:next w:val="897"/>
    <w:link w:val="7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98">
    <w:name w:val="正文文本12"/>
    <w:basedOn w:val="767"/>
    <w:next w:val="898"/>
    <w:link w:val="767"/>
    <w:uiPriority w:val="1"/>
    <w:qFormat/>
    <w:pPr>
      <w:ind w:left="120"/>
    </w:pPr>
    <w:rPr>
      <w:rFonts w:ascii="宋体" w:hAnsi="宋体" w:eastAsia="宋体" w:cs="宋体"/>
      <w:sz w:val="21"/>
      <w:szCs w:val="21"/>
      <w:lang w:val="zh-CN" w:eastAsia="zh-CN" w:bidi="zh-CN"/>
    </w:rPr>
  </w:style>
  <w:style w:type="paragraph" w:styleId="899">
    <w:name w:val="无间隔"/>
    <w:next w:val="899"/>
    <w:link w:val="767"/>
    <w:uiPriority w:val="99"/>
    <w:qFormat/>
    <w:pPr>
      <w:jc w:val="both"/>
      <w:widowControl w:val="off"/>
    </w:pPr>
    <w:rPr>
      <w:sz w:val="21"/>
      <w:szCs w:val="21"/>
      <w:lang w:val="en-US" w:eastAsia="zh-CN" w:bidi="ar-SA"/>
    </w:rPr>
  </w:style>
  <w:style w:type="paragraph" w:styleId="900">
    <w:name w:val="xl27"/>
    <w:basedOn w:val="767"/>
    <w:next w:val="900"/>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1">
    <w:name w:val="标题1"/>
    <w:basedOn w:val="767"/>
    <w:next w:val="767"/>
    <w:link w:val="7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2">
    <w:name w:val="xl25"/>
    <w:basedOn w:val="767"/>
    <w:next w:val="902"/>
    <w:link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3">
    <w:name w:val="标题 41"/>
    <w:basedOn w:val="767"/>
    <w:next w:val="879"/>
    <w:link w:val="767"/>
    <w:qFormat/>
    <w:pPr>
      <w:keepLines/>
      <w:keepNext/>
      <w:spacing w:before="120" w:after="120"/>
      <w:outlineLvl w:val="3"/>
    </w:pPr>
    <w:rPr>
      <w:rFonts w:ascii="Arial" w:hAnsi="Arial" w:eastAsia="黑体"/>
      <w:b/>
      <w:sz w:val="28"/>
    </w:rPr>
  </w:style>
  <w:style w:type="paragraph" w:styleId="904">
    <w:name w:val="4"/>
    <w:basedOn w:val="767"/>
    <w:next w:val="828"/>
    <w:link w:val="767"/>
    <w:pPr>
      <w:ind w:firstLine="420"/>
      <w:spacing w:line="360" w:lineRule="auto"/>
    </w:pPr>
    <w:rPr>
      <w:rFonts w:ascii="Times New Roman" w:hAnsi="Times New Roman" w:eastAsia="宋体" w:cs="Times New Roman"/>
      <w:color w:val="ff0000"/>
      <w:sz w:val="24"/>
      <w:szCs w:val="24"/>
    </w:rPr>
  </w:style>
  <w:style w:type="paragraph" w:styleId="905">
    <w:name w:val="xl75"/>
    <w:basedOn w:val="767"/>
    <w:next w:val="905"/>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06">
    <w:name w:val="xl24"/>
    <w:basedOn w:val="767"/>
    <w:next w:val="906"/>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7">
    <w:name w:val="样式1"/>
    <w:basedOn w:val="767"/>
    <w:next w:val="907"/>
    <w:link w:val="767"/>
    <w:pPr>
      <w:numPr>
        <w:ilvl w:val="0"/>
        <w:numId w:val="4"/>
      </w:numPr>
      <w:tabs>
        <w:tab w:val="left" w:pos="709" w:leader="none"/>
      </w:tabs>
    </w:pPr>
    <w:rPr>
      <w:rFonts w:ascii="宋体" w:hAnsi="宋体" w:eastAsia="宋体" w:cs="Times New Roman"/>
      <w:szCs w:val="21"/>
    </w:rPr>
  </w:style>
  <w:style w:type="paragraph" w:styleId="908">
    <w:name w:val="普通 (Web)"/>
    <w:basedOn w:val="767"/>
    <w:next w:val="908"/>
    <w:link w:val="767"/>
    <w:pPr>
      <w:jc w:val="left"/>
      <w:spacing w:before="100" w:beforeAutospacing="1" w:after="100" w:afterAutospacing="1"/>
      <w:widowControl/>
    </w:pPr>
    <w:rPr>
      <w:rFonts w:ascii="宋体" w:hAnsi="宋体" w:eastAsia="宋体" w:cs="Times New Roman"/>
      <w:sz w:val="24"/>
      <w:szCs w:val="24"/>
    </w:rPr>
  </w:style>
  <w:style w:type="paragraph" w:styleId="909">
    <w:name w:val="普通正文"/>
    <w:basedOn w:val="767"/>
    <w:next w:val="909"/>
    <w:link w:val="767"/>
    <w:pPr>
      <w:ind w:firstLine="480"/>
      <w:jc w:val="left"/>
      <w:spacing w:before="120" w:after="120" w:line="360" w:lineRule="auto"/>
    </w:pPr>
    <w:rPr>
      <w:rFonts w:ascii="Arial" w:hAnsi="Arial" w:eastAsia="宋体" w:cs="Times New Roman"/>
      <w:sz w:val="24"/>
      <w:szCs w:val="24"/>
    </w:rPr>
  </w:style>
  <w:style w:type="paragraph" w:styleId="910">
    <w:name w:val="font5"/>
    <w:basedOn w:val="767"/>
    <w:next w:val="910"/>
    <w:link w:val="767"/>
    <w:pPr>
      <w:jc w:val="left"/>
      <w:spacing w:before="100" w:beforeAutospacing="1" w:after="100" w:afterAutospacing="1"/>
      <w:widowControl/>
    </w:pPr>
    <w:rPr>
      <w:rFonts w:hint="eastAsia" w:ascii="宋体" w:hAnsi="宋体" w:eastAsia="宋体" w:cs="Times New Roman"/>
      <w:sz w:val="28"/>
      <w:szCs w:val="28"/>
    </w:rPr>
  </w:style>
  <w:style w:type="paragraph" w:styleId="911">
    <w:name w:val="xl74"/>
    <w:basedOn w:val="767"/>
    <w:next w:val="911"/>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12">
    <w:name w:val="font6"/>
    <w:basedOn w:val="767"/>
    <w:next w:val="912"/>
    <w:link w:val="767"/>
    <w:pPr>
      <w:jc w:val="left"/>
      <w:spacing w:before="100" w:beforeAutospacing="1" w:after="100" w:afterAutospacing="1"/>
      <w:widowControl/>
    </w:pPr>
    <w:rPr>
      <w:rFonts w:hint="eastAsia" w:ascii="宋体" w:hAnsi="宋体" w:eastAsia="宋体" w:cs="Times New Roman"/>
      <w:sz w:val="28"/>
      <w:szCs w:val="28"/>
      <w:u w:val="single"/>
    </w:rPr>
  </w:style>
  <w:style w:type="paragraph" w:styleId="913">
    <w:name w:val="table_lines"/>
    <w:basedOn w:val="767"/>
    <w:next w:val="913"/>
    <w:link w:val="767"/>
    <w:pPr>
      <w:jc w:val="left"/>
      <w:widowControl/>
    </w:pPr>
    <w:rPr>
      <w:rFonts w:ascii="Times New Roman" w:hAnsi="Times New Roman" w:eastAsia="宋体" w:cs="Times New Roman"/>
      <w:sz w:val="20"/>
      <w:szCs w:val="20"/>
      <w:lang w:val="de-DE" w:eastAsia="de-DE"/>
    </w:rPr>
  </w:style>
  <w:style w:type="paragraph" w:styleId="914">
    <w:name w:val=" Char Char Char Char"/>
    <w:basedOn w:val="793"/>
    <w:next w:val="914"/>
    <w:link w:val="767"/>
    <w:pPr>
      <w:spacing w:line="360" w:lineRule="auto"/>
    </w:pPr>
    <w:rPr>
      <w:rFonts w:ascii="Tahoma" w:hAnsi="Tahoma"/>
      <w:sz w:val="24"/>
      <w:szCs w:val="24"/>
    </w:rPr>
  </w:style>
  <w:style w:type="paragraph" w:styleId="915">
    <w:name w:val="Char"/>
    <w:basedOn w:val="767"/>
    <w:next w:val="915"/>
    <w:link w:val="767"/>
    <w:pPr>
      <w:ind w:firstLine="200"/>
      <w:tabs>
        <w:tab w:val="left" w:pos="360" w:leader="none"/>
      </w:tabs>
    </w:pPr>
    <w:rPr>
      <w:rFonts w:ascii="Times New Roman" w:hAnsi="Times New Roman" w:eastAsia="宋体" w:cs="Times New Roman"/>
      <w:sz w:val="28"/>
      <w:szCs w:val="30"/>
    </w:rPr>
  </w:style>
  <w:style w:type="paragraph" w:styleId="916">
    <w:name w:val=" Char Char Char Char Char Char Char Char"/>
    <w:basedOn w:val="767"/>
    <w:next w:val="916"/>
    <w:link w:val="767"/>
    <w:pPr>
      <w:jc w:val="left"/>
      <w:spacing w:after="160" w:line="240" w:lineRule="exact"/>
      <w:widowControl/>
    </w:pPr>
    <w:rPr>
      <w:rFonts w:ascii="Verdana" w:hAnsi="Verdana" w:eastAsia="宋体" w:cs="Times New Roman"/>
      <w:sz w:val="20"/>
      <w:szCs w:val="20"/>
      <w:lang w:eastAsia="en-US"/>
    </w:rPr>
  </w:style>
  <w:style w:type="paragraph" w:styleId="917">
    <w:name w:val="首行缩进"/>
    <w:basedOn w:val="767"/>
    <w:next w:val="917"/>
    <w:link w:val="767"/>
    <w:qFormat/>
    <w:pPr>
      <w:ind w:firstLine="480"/>
      <w:jc w:val="left"/>
      <w:spacing w:line="360" w:lineRule="auto"/>
    </w:pPr>
    <w:rPr>
      <w:rFonts w:ascii="宋体" w:hAnsi="宋体"/>
      <w:sz w:val="24"/>
      <w:szCs w:val="24"/>
    </w:rPr>
  </w:style>
  <w:style w:type="paragraph" w:styleId="918">
    <w:name w:val="正文文本 211"/>
    <w:basedOn w:val="767"/>
    <w:next w:val="918"/>
    <w:link w:val="767"/>
    <w:uiPriority w:val="99"/>
    <w:qFormat/>
    <w:pPr>
      <w:jc w:val="center"/>
    </w:pPr>
    <w:rPr>
      <w:b/>
      <w:bCs/>
      <w:sz w:val="20"/>
      <w:szCs w:val="20"/>
    </w:rPr>
  </w:style>
  <w:style w:type="paragraph" w:styleId="919">
    <w:name w:val="Char Char Char Char"/>
    <w:basedOn w:val="793"/>
    <w:next w:val="919"/>
    <w:link w:val="767"/>
    <w:pPr>
      <w:spacing w:line="360" w:lineRule="auto"/>
    </w:pPr>
    <w:rPr>
      <w:rFonts w:ascii="Tahoma" w:hAnsi="Tahoma"/>
      <w:sz w:val="24"/>
      <w:szCs w:val="24"/>
    </w:rPr>
  </w:style>
  <w:style w:type="paragraph" w:styleId="920">
    <w:name w:val="font8"/>
    <w:basedOn w:val="767"/>
    <w:next w:val="920"/>
    <w:link w:val="767"/>
    <w:pPr>
      <w:jc w:val="left"/>
      <w:spacing w:before="100" w:beforeAutospacing="1" w:after="100" w:afterAutospacing="1"/>
      <w:widowControl/>
    </w:pPr>
    <w:rPr>
      <w:rFonts w:ascii="宋体" w:hAnsi="宋体" w:cs="宋体"/>
      <w:color w:val="000000"/>
      <w:sz w:val="18"/>
      <w:szCs w:val="18"/>
    </w:rPr>
  </w:style>
  <w:style w:type="paragraph" w:styleId="921">
    <w:name w:val="xl66"/>
    <w:basedOn w:val="767"/>
    <w:next w:val="921"/>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2">
    <w:name w:val="xl67"/>
    <w:basedOn w:val="767"/>
    <w:next w:val="922"/>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3">
    <w:name w:val="xl68"/>
    <w:basedOn w:val="767"/>
    <w:next w:val="923"/>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4">
    <w:name w:val="xl69"/>
    <w:basedOn w:val="767"/>
    <w:next w:val="924"/>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5">
    <w:name w:val="xl70"/>
    <w:basedOn w:val="767"/>
    <w:next w:val="925"/>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6">
    <w:name w:val="xl71"/>
    <w:basedOn w:val="767"/>
    <w:next w:val="926"/>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7">
    <w:name w:val="xl72"/>
    <w:basedOn w:val="767"/>
    <w:next w:val="927"/>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8">
    <w:name w:val="xl73"/>
    <w:basedOn w:val="767"/>
    <w:next w:val="928"/>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29">
    <w:name w:val="xl78"/>
    <w:basedOn w:val="767"/>
    <w:next w:val="929"/>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0">
    <w:name w:val="xl64"/>
    <w:basedOn w:val="767"/>
    <w:next w:val="93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1">
    <w:name w:val="xl65"/>
    <w:basedOn w:val="767"/>
    <w:next w:val="931"/>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table" w:styleId="932">
    <w:name w:val="Table Normal"/>
    <w:next w:val="932"/>
    <w:link w:val="767"/>
    <w:qFormat/>
    <w:rPr>
      <w:lang w:val="en-US" w:eastAsia="zh-CN" w:bidi="ar-SA"/>
    </w:rPr>
    <w:tblPr/>
  </w:style>
  <w:style w:type="table" w:styleId="933">
    <w:name w:val="普通表格1"/>
    <w:next w:val="933"/>
    <w:link w:val="767"/>
    <w:uiPriority w:val="99"/>
    <w:unhideWhenUsed/>
    <w:qFormat/>
    <w:rPr>
      <w:lang w:val="en-US" w:eastAsia="zh-CN" w:bidi="ar-SA"/>
    </w:rPr>
    <w:tblPr/>
  </w:style>
  <w:style w:type="table" w:styleId="934">
    <w:name w:val="网格型1"/>
    <w:basedOn w:val="933"/>
    <w:next w:val="934"/>
    <w:link w:val="767"/>
    <w:qFormat/>
    <w:pPr>
      <w:jc w:val="both"/>
      <w:widowControl w:val="off"/>
    </w:pPr>
    <w:tblPr/>
  </w:style>
  <w:style w:type="character" w:styleId="935">
    <w:name w:val="未处理的提及"/>
    <w:next w:val="935"/>
    <w:link w:val="767"/>
    <w:uiPriority w:val="99"/>
    <w:unhideWhenUsed/>
    <w:rPr>
      <w:color w:val="605e5c"/>
      <w:shd w:val="clear" w:color="auto" w:fill="e1dfdd"/>
    </w:rPr>
  </w:style>
  <w:style w:type="character" w:styleId="80691" w:default="1">
    <w:name w:val="Default Paragraph Font"/>
    <w:uiPriority w:val="1"/>
    <w:semiHidden/>
    <w:unhideWhenUsed/>
  </w:style>
  <w:style w:type="numbering" w:styleId="80692" w:default="1">
    <w:name w:val="No List"/>
    <w:uiPriority w:val="99"/>
    <w:semiHidden/>
    <w:unhideWhenUsed/>
  </w:style>
  <w:style w:type="table" w:styleId="806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王永发</cp:lastModifiedBy>
  <cp:revision>10</cp:revision>
  <dcterms:created xsi:type="dcterms:W3CDTF">2026-05-14T03:14:00Z</dcterms:created>
  <dcterms:modified xsi:type="dcterms:W3CDTF">2026-05-28T07:00:57Z</dcterms:modified>
</cp:coreProperties>
</file>