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056AB1">
      <w:pPr>
        <w:pStyle w:val="237"/>
        <w:ind w:firstLine="0"/>
        <w:rPr>
          <w:rFonts w:hint="eastAsia" w:ascii="宋体" w:hAnsi="宋体" w:cs="宋体"/>
          <w:b w:val="0"/>
          <w:bCs/>
          <w:color w:val="auto"/>
          <w:sz w:val="72"/>
          <w:szCs w:val="72"/>
          <w:highlight w:val="none"/>
        </w:rPr>
      </w:pPr>
    </w:p>
    <w:p w14:paraId="68091BE2">
      <w:pPr>
        <w:spacing w:after="156" w:line="480" w:lineRule="auto"/>
        <w:jc w:val="center"/>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2026年玄武分局机关食堂食材采购项目 </w:t>
      </w:r>
    </w:p>
    <w:p w14:paraId="34EACA28">
      <w:pPr>
        <w:spacing w:line="360" w:lineRule="auto"/>
        <w:jc w:val="center"/>
        <w:rPr>
          <w:rFonts w:hint="eastAsia" w:ascii="宋体" w:hAnsi="宋体" w:cs="宋体"/>
          <w:b/>
          <w:bCs/>
          <w:color w:val="auto"/>
          <w:sz w:val="96"/>
          <w:szCs w:val="96"/>
          <w:highlight w:val="none"/>
        </w:rPr>
      </w:pPr>
    </w:p>
    <w:p w14:paraId="7C561198">
      <w:pPr>
        <w:spacing w:line="360" w:lineRule="auto"/>
        <w:jc w:val="center"/>
        <w:rPr>
          <w:rFonts w:hint="eastAsia" w:ascii="宋体" w:hAnsi="宋体" w:cs="宋体"/>
          <w:b/>
          <w:bCs/>
          <w:color w:val="auto"/>
          <w:sz w:val="96"/>
          <w:szCs w:val="96"/>
          <w:highlight w:val="none"/>
        </w:rPr>
      </w:pPr>
      <w:r>
        <w:rPr>
          <w:rFonts w:hint="eastAsia" w:ascii="宋体" w:hAnsi="宋体" w:cs="宋体"/>
          <w:b/>
          <w:bCs/>
          <w:color w:val="auto"/>
          <w:sz w:val="96"/>
          <w:szCs w:val="96"/>
          <w:highlight w:val="none"/>
        </w:rPr>
        <w:t>招 标 文 件</w:t>
      </w:r>
    </w:p>
    <w:p w14:paraId="45EE04A9">
      <w:pPr>
        <w:spacing w:line="360" w:lineRule="auto"/>
        <w:jc w:val="center"/>
        <w:rPr>
          <w:rFonts w:hint="eastAsia" w:ascii="宋体" w:hAnsi="宋体" w:eastAsia="宋体" w:cs="宋体"/>
          <w:b/>
          <w:bCs/>
          <w:color w:val="auto"/>
          <w:sz w:val="36"/>
          <w:szCs w:val="22"/>
          <w:highlight w:val="none"/>
          <w:lang w:eastAsia="zh-CN"/>
        </w:rPr>
      </w:pPr>
      <w:r>
        <w:rPr>
          <w:rFonts w:hint="eastAsia" w:ascii="宋体" w:hAnsi="宋体" w:cs="宋体"/>
          <w:b/>
          <w:bCs/>
          <w:color w:val="auto"/>
          <w:sz w:val="36"/>
          <w:highlight w:val="none"/>
        </w:rPr>
        <w:t>招标编号</w:t>
      </w:r>
      <w:r>
        <w:rPr>
          <w:rFonts w:hint="eastAsia" w:ascii="宋体" w:hAnsi="宋体" w:cs="宋体"/>
          <w:b/>
          <w:bCs/>
          <w:color w:val="auto"/>
          <w:sz w:val="36"/>
          <w:szCs w:val="22"/>
          <w:highlight w:val="none"/>
        </w:rPr>
        <w:t>：</w:t>
      </w:r>
      <w:r>
        <w:rPr>
          <w:rFonts w:hint="eastAsia" w:ascii="宋体" w:hAnsi="宋体" w:cs="宋体"/>
          <w:b/>
          <w:bCs/>
          <w:color w:val="auto"/>
          <w:sz w:val="36"/>
          <w:szCs w:val="22"/>
          <w:highlight w:val="none"/>
          <w:lang w:eastAsia="zh-CN"/>
        </w:rPr>
        <w:t>JSZC-320100-SDLH-G2026-0005</w:t>
      </w:r>
    </w:p>
    <w:p w14:paraId="7C4F4747">
      <w:pPr>
        <w:spacing w:line="440" w:lineRule="exact"/>
        <w:jc w:val="center"/>
        <w:rPr>
          <w:rFonts w:ascii="Arial" w:hAnsi="Arial" w:eastAsia="黑体" w:cs="Arial"/>
          <w:b/>
          <w:color w:val="auto"/>
          <w:sz w:val="52"/>
          <w:highlight w:val="none"/>
        </w:rPr>
      </w:pPr>
    </w:p>
    <w:p w14:paraId="3D9C0DEF">
      <w:pPr>
        <w:spacing w:line="440" w:lineRule="exact"/>
        <w:jc w:val="center"/>
        <w:rPr>
          <w:rFonts w:ascii="Arial" w:hAnsi="Arial" w:eastAsia="黑体" w:cs="Arial"/>
          <w:b/>
          <w:color w:val="auto"/>
          <w:sz w:val="52"/>
          <w:highlight w:val="none"/>
        </w:rPr>
      </w:pPr>
    </w:p>
    <w:p w14:paraId="5CD5510A">
      <w:pPr>
        <w:spacing w:line="440" w:lineRule="exact"/>
        <w:jc w:val="center"/>
        <w:rPr>
          <w:rFonts w:ascii="Arial" w:hAnsi="Arial" w:eastAsia="黑体" w:cs="Arial"/>
          <w:b/>
          <w:color w:val="auto"/>
          <w:sz w:val="52"/>
          <w:highlight w:val="none"/>
        </w:rPr>
      </w:pPr>
    </w:p>
    <w:p w14:paraId="65FE6297">
      <w:pPr>
        <w:spacing w:line="440" w:lineRule="exact"/>
        <w:jc w:val="center"/>
        <w:rPr>
          <w:rFonts w:ascii="Arial" w:hAnsi="Arial" w:eastAsia="楷体_GB2312" w:cs="Arial"/>
          <w:b/>
          <w:color w:val="auto"/>
          <w:sz w:val="32"/>
          <w:highlight w:val="none"/>
        </w:rPr>
      </w:pPr>
    </w:p>
    <w:p w14:paraId="1FCB07E1">
      <w:pPr>
        <w:spacing w:line="440" w:lineRule="exact"/>
        <w:jc w:val="center"/>
        <w:rPr>
          <w:rFonts w:ascii="Arial" w:hAnsi="Arial" w:eastAsia="楷体_GB2312" w:cs="Arial"/>
          <w:b/>
          <w:color w:val="auto"/>
          <w:sz w:val="32"/>
          <w:highlight w:val="none"/>
        </w:rPr>
      </w:pPr>
    </w:p>
    <w:p w14:paraId="3615A551">
      <w:pPr>
        <w:spacing w:line="360" w:lineRule="auto"/>
        <w:jc w:val="center"/>
        <w:rPr>
          <w:rFonts w:ascii="Arial" w:hAnsi="Arial" w:eastAsia="楷体_GB2312" w:cs="Arial"/>
          <w:b/>
          <w:color w:val="auto"/>
          <w:sz w:val="32"/>
          <w:highlight w:val="none"/>
        </w:rPr>
      </w:pPr>
    </w:p>
    <w:p w14:paraId="32510BAF">
      <w:pPr>
        <w:spacing w:line="360" w:lineRule="auto"/>
        <w:jc w:val="center"/>
        <w:rPr>
          <w:rFonts w:hint="eastAsia" w:ascii="宋体" w:hAnsi="宋体" w:eastAsia="宋体" w:cs="宋体"/>
          <w:b/>
          <w:color w:val="auto"/>
          <w:sz w:val="32"/>
          <w:highlight w:val="none"/>
          <w:lang w:eastAsia="zh-CN"/>
        </w:rPr>
      </w:pPr>
      <w:r>
        <w:rPr>
          <w:rFonts w:hint="eastAsia" w:ascii="宋体" w:hAnsi="宋体" w:cs="宋体"/>
          <w:b/>
          <w:color w:val="auto"/>
          <w:sz w:val="32"/>
          <w:highlight w:val="none"/>
        </w:rPr>
        <w:t>采购代理机构：</w:t>
      </w:r>
      <w:r>
        <w:rPr>
          <w:rFonts w:hint="eastAsia" w:ascii="宋体" w:hAnsi="宋体" w:cs="宋体"/>
          <w:b/>
          <w:color w:val="auto"/>
          <w:sz w:val="32"/>
          <w:highlight w:val="none"/>
          <w:lang w:eastAsia="zh-CN"/>
        </w:rPr>
        <w:t>江苏盛德量行建设咨询有限公司</w:t>
      </w:r>
    </w:p>
    <w:p w14:paraId="4312A1A6">
      <w:pPr>
        <w:spacing w:line="360" w:lineRule="auto"/>
        <w:jc w:val="center"/>
        <w:rPr>
          <w:rFonts w:ascii="Arial" w:hAnsi="Arial" w:eastAsia="黑体" w:cs="Arial"/>
          <w:b/>
          <w:color w:val="auto"/>
          <w:sz w:val="32"/>
          <w:highlight w:val="none"/>
        </w:rPr>
        <w:sectPr>
          <w:headerReference r:id="rId4" w:type="first"/>
          <w:footerReference r:id="rId6" w:type="first"/>
          <w:headerReference r:id="rId3" w:type="default"/>
          <w:footerReference r:id="rId5" w:type="default"/>
          <w:pgSz w:w="11906" w:h="16838"/>
          <w:pgMar w:top="1134" w:right="1134" w:bottom="1134" w:left="1134" w:header="851" w:footer="992" w:gutter="0"/>
          <w:pgNumType w:start="1"/>
          <w:cols w:space="1701" w:num="1"/>
          <w:docGrid w:linePitch="360" w:charSpace="0"/>
        </w:sectPr>
      </w:pPr>
      <w:r>
        <w:rPr>
          <w:rFonts w:hint="eastAsia" w:ascii="宋体" w:hAnsi="宋体" w:cs="宋体"/>
          <w:b/>
          <w:color w:val="auto"/>
          <w:sz w:val="32"/>
          <w:szCs w:val="22"/>
          <w:highlight w:val="none"/>
          <w:lang w:val="en-US" w:eastAsia="zh-CN"/>
        </w:rPr>
        <w:t>2026</w:t>
      </w:r>
      <w:r>
        <w:rPr>
          <w:rFonts w:hint="eastAsia" w:ascii="宋体" w:hAnsi="宋体" w:cs="宋体"/>
          <w:b/>
          <w:color w:val="auto"/>
          <w:sz w:val="32"/>
          <w:szCs w:val="22"/>
          <w:highlight w:val="none"/>
        </w:rPr>
        <w:t>年</w:t>
      </w:r>
      <w:r>
        <w:rPr>
          <w:rFonts w:hint="eastAsia" w:ascii="宋体" w:hAnsi="宋体" w:cs="宋体"/>
          <w:b/>
          <w:color w:val="auto"/>
          <w:sz w:val="32"/>
          <w:szCs w:val="22"/>
          <w:highlight w:val="none"/>
          <w:lang w:val="en-US" w:eastAsia="zh-CN"/>
        </w:rPr>
        <w:t>05</w:t>
      </w:r>
      <w:r>
        <w:rPr>
          <w:rFonts w:hint="eastAsia" w:ascii="宋体" w:hAnsi="宋体" w:cs="宋体"/>
          <w:b/>
          <w:color w:val="auto"/>
          <w:sz w:val="32"/>
          <w:szCs w:val="22"/>
          <w:highlight w:val="none"/>
        </w:rPr>
        <w:t>月</w:t>
      </w:r>
    </w:p>
    <w:p w14:paraId="212C61A5">
      <w:pPr>
        <w:spacing w:line="440" w:lineRule="exact"/>
        <w:jc w:val="center"/>
        <w:rPr>
          <w:rFonts w:ascii="Arial" w:hAnsi="Arial" w:eastAsia="黑体" w:cs="Arial"/>
          <w:b/>
          <w:color w:val="auto"/>
          <w:sz w:val="32"/>
          <w:highlight w:val="none"/>
        </w:rPr>
      </w:pPr>
      <w:r>
        <w:rPr>
          <w:rFonts w:ascii="Arial" w:hAnsi="Arial" w:eastAsia="黑体" w:cs="Arial"/>
          <w:b/>
          <w:color w:val="auto"/>
          <w:sz w:val="32"/>
          <w:highlight w:val="none"/>
        </w:rPr>
        <w:t>目   录</w:t>
      </w:r>
    </w:p>
    <w:p w14:paraId="32F96BE5">
      <w:pPr>
        <w:spacing w:line="440" w:lineRule="exact"/>
        <w:rPr>
          <w:rFonts w:ascii="Arial" w:hAnsi="Arial" w:cs="Arial"/>
          <w:color w:val="auto"/>
          <w:szCs w:val="21"/>
          <w:highlight w:val="none"/>
        </w:rPr>
      </w:pPr>
      <w:r>
        <w:rPr>
          <w:rFonts w:ascii="Arial" w:hAnsi="Arial" w:eastAsia="黑体" w:cs="Arial"/>
          <w:bCs/>
          <w:color w:val="auto"/>
          <w:sz w:val="24"/>
          <w:highlight w:val="none"/>
        </w:rPr>
        <w:fldChar w:fldCharType="begin"/>
      </w:r>
      <w:r>
        <w:rPr>
          <w:rFonts w:ascii="Arial" w:hAnsi="Arial" w:eastAsia="黑体" w:cs="Arial"/>
          <w:bCs/>
          <w:color w:val="auto"/>
          <w:sz w:val="24"/>
          <w:highlight w:val="none"/>
        </w:rPr>
        <w:instrText xml:space="preserve">TOC \o "1-3" \h \u </w:instrText>
      </w:r>
      <w:r>
        <w:rPr>
          <w:rFonts w:ascii="Arial" w:hAnsi="Arial" w:eastAsia="黑体" w:cs="Arial"/>
          <w:bCs/>
          <w:color w:val="auto"/>
          <w:sz w:val="24"/>
          <w:highlight w:val="none"/>
        </w:rPr>
        <w:fldChar w:fldCharType="separate"/>
      </w:r>
      <w:r>
        <w:rPr>
          <w:rFonts w:hint="eastAsia" w:ascii="Arial" w:hAnsi="Arial" w:cs="Arial"/>
          <w:color w:val="auto"/>
          <w:szCs w:val="21"/>
          <w:highlight w:val="none"/>
        </w:rPr>
        <w:t xml:space="preserve">第一章  </w:t>
      </w:r>
      <w:r>
        <w:rPr>
          <w:rFonts w:ascii="Arial" w:hAnsi="Arial" w:cs="Arial"/>
          <w:color w:val="auto"/>
          <w:szCs w:val="21"/>
          <w:highlight w:val="none"/>
        </w:rPr>
        <w:t>招标</w:t>
      </w:r>
      <w:r>
        <w:rPr>
          <w:rFonts w:hint="eastAsia" w:ascii="Arial" w:hAnsi="Arial" w:cs="Arial"/>
          <w:color w:val="auto"/>
          <w:szCs w:val="21"/>
          <w:highlight w:val="none"/>
        </w:rPr>
        <w:t>邀请</w:t>
      </w:r>
    </w:p>
    <w:p w14:paraId="14AC2D3D">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第二章  </w:t>
      </w:r>
      <w:r>
        <w:rPr>
          <w:rFonts w:ascii="Arial" w:hAnsi="Arial" w:cs="Arial"/>
          <w:color w:val="auto"/>
          <w:szCs w:val="21"/>
          <w:highlight w:val="none"/>
        </w:rPr>
        <w:t>投标人须知</w:t>
      </w:r>
    </w:p>
    <w:p w14:paraId="0CA72246">
      <w:pPr>
        <w:spacing w:line="440" w:lineRule="exact"/>
        <w:rPr>
          <w:rFonts w:ascii="Arial" w:hAnsi="Arial" w:cs="Arial"/>
          <w:color w:val="auto"/>
          <w:szCs w:val="21"/>
          <w:highlight w:val="none"/>
        </w:rPr>
      </w:pPr>
      <w:r>
        <w:rPr>
          <w:rFonts w:hint="eastAsia" w:ascii="Arial" w:hAnsi="Arial" w:cs="Arial"/>
          <w:color w:val="auto"/>
          <w:szCs w:val="21"/>
          <w:highlight w:val="none"/>
        </w:rPr>
        <w:t>第三章  评标方法、评分标准</w:t>
      </w:r>
    </w:p>
    <w:p w14:paraId="0B2BBE2B">
      <w:pPr>
        <w:spacing w:line="440" w:lineRule="exact"/>
        <w:rPr>
          <w:rFonts w:hint="default" w:ascii="Arial" w:hAnsi="Arial" w:cs="Arial"/>
          <w:color w:val="auto"/>
          <w:szCs w:val="21"/>
          <w:highlight w:val="none"/>
          <w:lang w:val="en-US" w:eastAsia="zh-CN"/>
        </w:rPr>
      </w:pPr>
      <w:r>
        <w:rPr>
          <w:rFonts w:hint="eastAsia" w:ascii="Arial" w:hAnsi="Arial" w:cs="Arial"/>
          <w:color w:val="auto"/>
          <w:szCs w:val="21"/>
          <w:highlight w:val="none"/>
        </w:rPr>
        <w:t xml:space="preserve">第四章  </w:t>
      </w:r>
      <w:r>
        <w:rPr>
          <w:rFonts w:hint="eastAsia" w:ascii="Arial" w:hAnsi="Arial" w:cs="Arial"/>
          <w:color w:val="auto"/>
          <w:szCs w:val="21"/>
          <w:highlight w:val="none"/>
          <w:lang w:val="en-US" w:eastAsia="zh-CN"/>
        </w:rPr>
        <w:t>采购需求</w:t>
      </w:r>
    </w:p>
    <w:p w14:paraId="76CCFBF7">
      <w:pPr>
        <w:spacing w:line="440" w:lineRule="exact"/>
        <w:rPr>
          <w:rFonts w:ascii="Arial" w:hAnsi="Arial" w:cs="Arial"/>
          <w:color w:val="auto"/>
          <w:szCs w:val="21"/>
          <w:highlight w:val="none"/>
        </w:rPr>
      </w:pPr>
      <w:r>
        <w:rPr>
          <w:rFonts w:hint="eastAsia" w:ascii="Arial" w:hAnsi="Arial" w:cs="Arial"/>
          <w:color w:val="auto"/>
          <w:szCs w:val="21"/>
          <w:highlight w:val="none"/>
        </w:rPr>
        <w:t>第五章  合同条款</w:t>
      </w:r>
    </w:p>
    <w:p w14:paraId="439A1045">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第六章  </w:t>
      </w:r>
      <w:r>
        <w:rPr>
          <w:rFonts w:ascii="Arial" w:hAnsi="Arial" w:cs="Arial"/>
          <w:color w:val="auto"/>
          <w:szCs w:val="21"/>
          <w:highlight w:val="none"/>
        </w:rPr>
        <w:t>投标文件格式及附件</w:t>
      </w:r>
    </w:p>
    <w:p w14:paraId="07DE653D">
      <w:pPr>
        <w:pStyle w:val="266"/>
        <w:tabs>
          <w:tab w:val="right" w:leader="dot" w:pos="9638"/>
        </w:tabs>
        <w:spacing w:line="480" w:lineRule="auto"/>
        <w:rPr>
          <w:color w:val="auto"/>
          <w:highlight w:val="none"/>
        </w:rPr>
      </w:pPr>
    </w:p>
    <w:p w14:paraId="0B23F08F">
      <w:pPr>
        <w:pStyle w:val="253"/>
        <w:tabs>
          <w:tab w:val="right" w:leader="dot" w:pos="9638"/>
        </w:tabs>
        <w:rPr>
          <w:color w:val="auto"/>
          <w:highlight w:val="none"/>
        </w:rPr>
      </w:pPr>
    </w:p>
    <w:p w14:paraId="67C3ED44">
      <w:pPr>
        <w:spacing w:line="440" w:lineRule="exact"/>
        <w:rPr>
          <w:rFonts w:ascii="Arial" w:hAnsi="Arial" w:cs="Arial"/>
          <w:color w:val="auto"/>
          <w:szCs w:val="21"/>
          <w:highlight w:val="none"/>
        </w:rPr>
      </w:pPr>
      <w:r>
        <w:rPr>
          <w:rFonts w:ascii="Arial" w:hAnsi="Arial" w:eastAsia="黑体" w:cs="Arial"/>
          <w:bCs/>
          <w:color w:val="auto"/>
          <w:highlight w:val="none"/>
        </w:rPr>
        <w:fldChar w:fldCharType="end"/>
      </w:r>
      <w:r>
        <w:rPr>
          <w:rFonts w:ascii="Arial" w:hAnsi="Arial" w:eastAsia="黑体" w:cs="Arial"/>
          <w:bCs/>
          <w:color w:val="auto"/>
          <w:sz w:val="24"/>
          <w:highlight w:val="none"/>
        </w:rPr>
        <w:fldChar w:fldCharType="begin"/>
      </w:r>
      <w:r>
        <w:rPr>
          <w:rFonts w:ascii="Arial" w:hAnsi="Arial" w:eastAsia="黑体" w:cs="Arial"/>
          <w:bCs/>
          <w:color w:val="auto"/>
          <w:sz w:val="24"/>
          <w:highlight w:val="none"/>
        </w:rPr>
        <w:instrText xml:space="preserve">TOC \o "1-3" \h \u </w:instrText>
      </w:r>
      <w:r>
        <w:rPr>
          <w:rFonts w:ascii="Arial" w:hAnsi="Arial" w:eastAsia="黑体" w:cs="Arial"/>
          <w:bCs/>
          <w:color w:val="auto"/>
          <w:sz w:val="24"/>
          <w:highlight w:val="none"/>
        </w:rPr>
        <w:fldChar w:fldCharType="separate"/>
      </w:r>
    </w:p>
    <w:p w14:paraId="2F42593C">
      <w:pPr>
        <w:pStyle w:val="266"/>
        <w:tabs>
          <w:tab w:val="right" w:leader="dot" w:pos="9638"/>
        </w:tabs>
        <w:spacing w:line="480" w:lineRule="auto"/>
        <w:rPr>
          <w:color w:val="auto"/>
          <w:highlight w:val="none"/>
        </w:rPr>
      </w:pPr>
    </w:p>
    <w:p w14:paraId="5852CBD9">
      <w:pPr>
        <w:pStyle w:val="253"/>
        <w:tabs>
          <w:tab w:val="right" w:leader="dot" w:pos="9638"/>
        </w:tabs>
        <w:jc w:val="left"/>
        <w:rPr>
          <w:color w:val="auto"/>
          <w:highlight w:val="none"/>
        </w:rPr>
      </w:pPr>
    </w:p>
    <w:p w14:paraId="7003AE00">
      <w:pPr>
        <w:spacing w:line="440" w:lineRule="exact"/>
        <w:rPr>
          <w:rFonts w:ascii="Arial" w:hAnsi="Arial" w:eastAsia="黑体" w:cs="Arial"/>
          <w:bCs/>
          <w:color w:val="auto"/>
          <w:sz w:val="24"/>
          <w:highlight w:val="none"/>
        </w:rPr>
      </w:pPr>
      <w:r>
        <w:rPr>
          <w:rFonts w:ascii="Arial" w:hAnsi="Arial" w:eastAsia="黑体" w:cs="Arial"/>
          <w:bCs/>
          <w:color w:val="auto"/>
          <w:highlight w:val="none"/>
        </w:rPr>
        <w:fldChar w:fldCharType="end"/>
      </w:r>
    </w:p>
    <w:p w14:paraId="14890AF7">
      <w:pPr>
        <w:spacing w:line="440" w:lineRule="exact"/>
        <w:jc w:val="center"/>
        <w:rPr>
          <w:rFonts w:ascii="Arial" w:hAnsi="Arial" w:eastAsia="黑体" w:cs="Arial"/>
          <w:b/>
          <w:color w:val="auto"/>
          <w:sz w:val="28"/>
          <w:szCs w:val="28"/>
          <w:highlight w:val="none"/>
        </w:rPr>
      </w:pPr>
    </w:p>
    <w:p w14:paraId="769FB8BD">
      <w:pPr>
        <w:rPr>
          <w:rFonts w:ascii="Arial" w:hAnsi="Arial" w:eastAsia="黑体" w:cs="Arial"/>
          <w:color w:val="auto"/>
          <w:sz w:val="28"/>
          <w:szCs w:val="28"/>
          <w:highlight w:val="none"/>
        </w:rPr>
      </w:pPr>
    </w:p>
    <w:p w14:paraId="50FF6810">
      <w:pPr>
        <w:rPr>
          <w:rFonts w:ascii="Arial" w:hAnsi="Arial" w:eastAsia="黑体" w:cs="Arial"/>
          <w:color w:val="auto"/>
          <w:sz w:val="28"/>
          <w:szCs w:val="28"/>
          <w:highlight w:val="none"/>
        </w:rPr>
      </w:pPr>
    </w:p>
    <w:p w14:paraId="671E931E">
      <w:pPr>
        <w:rPr>
          <w:rFonts w:ascii="Arial" w:hAnsi="Arial" w:eastAsia="黑体" w:cs="Arial"/>
          <w:color w:val="auto"/>
          <w:sz w:val="28"/>
          <w:szCs w:val="28"/>
          <w:highlight w:val="none"/>
        </w:rPr>
      </w:pPr>
    </w:p>
    <w:p w14:paraId="0136E1B9">
      <w:pPr>
        <w:rPr>
          <w:rFonts w:ascii="Arial" w:hAnsi="Arial" w:eastAsia="黑体" w:cs="Arial"/>
          <w:color w:val="auto"/>
          <w:sz w:val="28"/>
          <w:szCs w:val="28"/>
          <w:highlight w:val="none"/>
        </w:rPr>
      </w:pPr>
    </w:p>
    <w:p w14:paraId="6219A9AB">
      <w:pPr>
        <w:rPr>
          <w:rFonts w:ascii="Arial" w:hAnsi="Arial" w:eastAsia="黑体" w:cs="Arial"/>
          <w:color w:val="auto"/>
          <w:sz w:val="28"/>
          <w:szCs w:val="28"/>
          <w:highlight w:val="none"/>
        </w:rPr>
      </w:pPr>
    </w:p>
    <w:p w14:paraId="02427DD1">
      <w:pPr>
        <w:rPr>
          <w:rFonts w:ascii="Arial" w:hAnsi="Arial" w:eastAsia="黑体" w:cs="Arial"/>
          <w:color w:val="auto"/>
          <w:sz w:val="28"/>
          <w:szCs w:val="28"/>
          <w:highlight w:val="none"/>
        </w:rPr>
      </w:pPr>
    </w:p>
    <w:p w14:paraId="59A791DD">
      <w:pPr>
        <w:rPr>
          <w:rFonts w:ascii="Arial" w:hAnsi="Arial" w:eastAsia="黑体" w:cs="Arial"/>
          <w:color w:val="auto"/>
          <w:sz w:val="28"/>
          <w:szCs w:val="28"/>
          <w:highlight w:val="none"/>
        </w:rPr>
      </w:pPr>
    </w:p>
    <w:p w14:paraId="0943D87C">
      <w:pPr>
        <w:jc w:val="center"/>
        <w:rPr>
          <w:rFonts w:ascii="Arial" w:hAnsi="Arial" w:eastAsia="黑体" w:cs="Arial"/>
          <w:color w:val="auto"/>
          <w:sz w:val="28"/>
          <w:szCs w:val="28"/>
          <w:highlight w:val="none"/>
        </w:rPr>
      </w:pPr>
    </w:p>
    <w:p w14:paraId="16A1FF28">
      <w:pPr>
        <w:jc w:val="center"/>
        <w:rPr>
          <w:rFonts w:ascii="Arial" w:hAnsi="Arial" w:eastAsia="黑体" w:cs="Arial"/>
          <w:color w:val="auto"/>
          <w:sz w:val="28"/>
          <w:szCs w:val="28"/>
          <w:highlight w:val="none"/>
        </w:rPr>
      </w:pPr>
    </w:p>
    <w:p w14:paraId="12900D79">
      <w:pPr>
        <w:jc w:val="center"/>
        <w:rPr>
          <w:rFonts w:ascii="Arial" w:hAnsi="Arial" w:eastAsia="黑体" w:cs="Arial"/>
          <w:color w:val="auto"/>
          <w:sz w:val="28"/>
          <w:szCs w:val="28"/>
          <w:highlight w:val="none"/>
        </w:rPr>
      </w:pPr>
    </w:p>
    <w:p w14:paraId="33FF945E">
      <w:pPr>
        <w:jc w:val="center"/>
        <w:rPr>
          <w:rFonts w:ascii="Arial" w:hAnsi="Arial" w:eastAsia="黑体" w:cs="Arial"/>
          <w:color w:val="auto"/>
          <w:sz w:val="28"/>
          <w:szCs w:val="28"/>
          <w:highlight w:val="none"/>
        </w:rPr>
      </w:pPr>
    </w:p>
    <w:p w14:paraId="194CE7A5">
      <w:pPr>
        <w:rPr>
          <w:rFonts w:ascii="Arial" w:hAnsi="Arial" w:eastAsia="黑体" w:cs="Arial"/>
          <w:color w:val="auto"/>
          <w:sz w:val="28"/>
          <w:szCs w:val="28"/>
          <w:highlight w:val="none"/>
        </w:rPr>
        <w:sectPr>
          <w:footerReference r:id="rId7" w:type="default"/>
          <w:pgSz w:w="11906" w:h="16838"/>
          <w:pgMar w:top="1134" w:right="1134" w:bottom="1134" w:left="1134" w:header="851" w:footer="992" w:gutter="0"/>
          <w:pgNumType w:start="1"/>
          <w:cols w:space="1701" w:num="1"/>
          <w:docGrid w:linePitch="360" w:charSpace="0"/>
        </w:sectPr>
      </w:pPr>
    </w:p>
    <w:p w14:paraId="7C6C7B2A">
      <w:pPr>
        <w:pStyle w:val="269"/>
        <w:spacing w:line="360" w:lineRule="auto"/>
        <w:ind w:right="420" w:firstLine="321"/>
        <w:jc w:val="center"/>
        <w:rPr>
          <w:color w:val="auto"/>
          <w:szCs w:val="24"/>
          <w:highlight w:val="none"/>
        </w:rPr>
      </w:pPr>
      <w:r>
        <w:rPr>
          <w:rFonts w:hint="eastAsia" w:ascii="黑体" w:hAnsi="宋体" w:eastAsia="黑体"/>
          <w:color w:val="auto"/>
          <w:sz w:val="32"/>
          <w:szCs w:val="32"/>
          <w:highlight w:val="none"/>
        </w:rPr>
        <w:t>第一章   投标邀请</w:t>
      </w:r>
    </w:p>
    <w:p w14:paraId="4E7F707D">
      <w:pPr>
        <w:spacing w:line="400" w:lineRule="exact"/>
        <w:ind w:right="-159" w:firstLine="420"/>
        <w:rPr>
          <w:color w:val="auto"/>
          <w:highlight w:val="none"/>
        </w:rPr>
      </w:pPr>
    </w:p>
    <w:p w14:paraId="4A2C53FA">
      <w:pPr>
        <w:pStyle w:val="274"/>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lang w:eastAsia="zh-CN"/>
        </w:rPr>
        <w:t>江苏盛德量行建设咨询有限公司</w:t>
      </w:r>
      <w:r>
        <w:rPr>
          <w:rFonts w:hint="eastAsia" w:asciiTheme="minorEastAsia" w:hAnsiTheme="minorEastAsia" w:eastAsiaTheme="minorEastAsia" w:cstheme="minorEastAsia"/>
          <w:color w:val="auto"/>
          <w:sz w:val="21"/>
          <w:szCs w:val="21"/>
          <w:highlight w:val="none"/>
        </w:rPr>
        <w:t>受</w:t>
      </w:r>
      <w:r>
        <w:rPr>
          <w:rFonts w:hint="eastAsia" w:asciiTheme="minorEastAsia" w:hAnsiTheme="minorEastAsia" w:eastAsiaTheme="minorEastAsia" w:cstheme="minorEastAsia"/>
          <w:color w:val="auto"/>
          <w:sz w:val="21"/>
          <w:szCs w:val="21"/>
          <w:highlight w:val="none"/>
          <w:u w:val="single"/>
          <w:lang w:eastAsia="zh-CN"/>
        </w:rPr>
        <w:t>南京市公安局玄武分局</w:t>
      </w:r>
      <w:r>
        <w:rPr>
          <w:rFonts w:hint="eastAsia" w:asciiTheme="minorEastAsia" w:hAnsiTheme="minorEastAsia" w:eastAsiaTheme="minorEastAsia" w:cstheme="minorEastAsia"/>
          <w:color w:val="auto"/>
          <w:sz w:val="21"/>
          <w:szCs w:val="21"/>
          <w:highlight w:val="none"/>
        </w:rPr>
        <w:t>委托，就</w:t>
      </w:r>
      <w:r>
        <w:rPr>
          <w:rFonts w:hint="eastAsia" w:asciiTheme="minorEastAsia" w:hAnsiTheme="minorEastAsia" w:eastAsiaTheme="minorEastAsia" w:cstheme="minorEastAsia"/>
          <w:color w:val="auto"/>
          <w:sz w:val="21"/>
          <w:szCs w:val="21"/>
          <w:highlight w:val="none"/>
          <w:u w:val="single"/>
          <w:lang w:eastAsia="zh-CN"/>
        </w:rPr>
        <w:t>2026年玄武分局机关食堂食材采购项目</w:t>
      </w:r>
      <w:r>
        <w:rPr>
          <w:rFonts w:hint="eastAsia" w:asciiTheme="minorEastAsia" w:hAnsiTheme="minorEastAsia" w:eastAsiaTheme="minorEastAsia" w:cstheme="minorEastAsia"/>
          <w:color w:val="auto"/>
          <w:sz w:val="21"/>
          <w:szCs w:val="21"/>
          <w:highlight w:val="none"/>
        </w:rPr>
        <w:t>进行公开招标，现欢迎符合相关条件的供应商参加投标。</w:t>
      </w:r>
    </w:p>
    <w:p w14:paraId="2ECB6097">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color w:val="auto"/>
          <w:highlight w:val="none"/>
        </w:rPr>
      </w:pPr>
      <w:bookmarkStart w:id="0" w:name="_Toc35393790"/>
      <w:bookmarkStart w:id="1" w:name="_Toc28359079"/>
      <w:bookmarkStart w:id="2" w:name="_Toc35393621"/>
      <w:bookmarkStart w:id="3" w:name="_Toc28359002"/>
      <w:r>
        <w:rPr>
          <w:rFonts w:hint="eastAsia" w:asciiTheme="minorEastAsia" w:hAnsiTheme="minorEastAsia" w:eastAsiaTheme="minorEastAsia" w:cstheme="minorEastAsia"/>
          <w:b/>
          <w:bCs/>
          <w:color w:val="auto"/>
          <w:highlight w:val="none"/>
        </w:rPr>
        <w:t>一、项目基本情况</w:t>
      </w:r>
      <w:bookmarkEnd w:id="0"/>
      <w:bookmarkEnd w:id="1"/>
      <w:bookmarkEnd w:id="2"/>
      <w:bookmarkEnd w:id="3"/>
      <w:r>
        <w:rPr>
          <w:rFonts w:hint="eastAsia" w:asciiTheme="minorEastAsia" w:hAnsiTheme="minorEastAsia" w:eastAsiaTheme="minorEastAsia" w:cstheme="minorEastAsia"/>
          <w:b/>
          <w:bCs/>
          <w:color w:val="auto"/>
          <w:highlight w:val="none"/>
        </w:rPr>
        <w:t>及采购需求</w:t>
      </w:r>
    </w:p>
    <w:p w14:paraId="3461692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项目编号：</w:t>
      </w:r>
      <w:r>
        <w:rPr>
          <w:rFonts w:hint="eastAsia" w:asciiTheme="minorEastAsia" w:hAnsiTheme="minorEastAsia" w:eastAsiaTheme="minorEastAsia" w:cstheme="minorEastAsia"/>
          <w:color w:val="auto"/>
          <w:szCs w:val="21"/>
          <w:highlight w:val="none"/>
          <w:lang w:eastAsia="zh-CN"/>
        </w:rPr>
        <w:t>JSZC-320100-SDLH-G2026-0005</w:t>
      </w:r>
    </w:p>
    <w:p w14:paraId="59D0673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项目名称：</w:t>
      </w:r>
      <w:r>
        <w:rPr>
          <w:rFonts w:hint="eastAsia" w:asciiTheme="minorEastAsia" w:hAnsiTheme="minorEastAsia" w:eastAsiaTheme="minorEastAsia" w:cstheme="minorEastAsia"/>
          <w:color w:val="auto"/>
          <w:szCs w:val="21"/>
          <w:highlight w:val="none"/>
          <w:lang w:eastAsia="zh-CN"/>
        </w:rPr>
        <w:t>2026年玄武分局机关食堂食材采购项目</w:t>
      </w:r>
    </w:p>
    <w:p w14:paraId="1A52B4F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采购预算：</w:t>
      </w:r>
      <w:r>
        <w:rPr>
          <w:rFonts w:hint="eastAsia" w:asciiTheme="minorEastAsia" w:hAnsiTheme="minorEastAsia" w:eastAsiaTheme="minorEastAsia" w:cstheme="minorEastAsia"/>
          <w:color w:val="auto"/>
          <w:szCs w:val="21"/>
          <w:highlight w:val="none"/>
          <w:lang w:val="en-US" w:eastAsia="zh-CN"/>
        </w:rPr>
        <w:t>人民币300</w:t>
      </w:r>
      <w:r>
        <w:rPr>
          <w:rFonts w:hint="eastAsia" w:asciiTheme="minorEastAsia" w:hAnsiTheme="minorEastAsia" w:eastAsiaTheme="minorEastAsia" w:cstheme="minorEastAsia"/>
          <w:color w:val="auto"/>
          <w:szCs w:val="21"/>
          <w:highlight w:val="none"/>
        </w:rPr>
        <w:t>万元</w:t>
      </w:r>
      <w:r>
        <w:rPr>
          <w:rFonts w:hint="eastAsia" w:asciiTheme="minorEastAsia" w:hAnsiTheme="minorEastAsia" w:eastAsiaTheme="minorEastAsia" w:cstheme="minorEastAsia"/>
          <w:color w:val="auto"/>
          <w:szCs w:val="21"/>
          <w:highlight w:val="none"/>
          <w:lang w:eastAsia="zh-CN"/>
        </w:rPr>
        <w:t>（本项目共分为4个采购包，其中采购包1：肉类、水产等</w:t>
      </w:r>
      <w:r>
        <w:rPr>
          <w:rFonts w:hint="eastAsia" w:asciiTheme="minorEastAsia" w:hAnsiTheme="minorEastAsia" w:eastAsiaTheme="minorEastAsia" w:cstheme="minorEastAsia"/>
          <w:color w:val="auto"/>
          <w:szCs w:val="21"/>
          <w:highlight w:val="none"/>
          <w:lang w:val="en-US" w:eastAsia="zh-CN"/>
        </w:rPr>
        <w:t>100</w:t>
      </w:r>
      <w:r>
        <w:rPr>
          <w:rFonts w:hint="eastAsia" w:asciiTheme="minorEastAsia" w:hAnsiTheme="minorEastAsia" w:eastAsiaTheme="minorEastAsia" w:cstheme="minorEastAsia"/>
          <w:color w:val="auto"/>
          <w:szCs w:val="21"/>
          <w:highlight w:val="none"/>
          <w:lang w:eastAsia="zh-CN"/>
        </w:rPr>
        <w:t>万元；采购包2：粮油干调、米面、副食品、水果等</w:t>
      </w:r>
      <w:r>
        <w:rPr>
          <w:rFonts w:hint="eastAsia" w:asciiTheme="minorEastAsia" w:hAnsiTheme="minorEastAsia" w:eastAsiaTheme="minorEastAsia" w:cstheme="minorEastAsia"/>
          <w:color w:val="auto"/>
          <w:szCs w:val="21"/>
          <w:highlight w:val="none"/>
          <w:lang w:val="en-US" w:eastAsia="zh-CN"/>
        </w:rPr>
        <w:t>100</w:t>
      </w:r>
      <w:r>
        <w:rPr>
          <w:rFonts w:hint="eastAsia" w:asciiTheme="minorEastAsia" w:hAnsiTheme="minorEastAsia" w:eastAsiaTheme="minorEastAsia" w:cstheme="minorEastAsia"/>
          <w:color w:val="auto"/>
          <w:szCs w:val="21"/>
          <w:highlight w:val="none"/>
          <w:lang w:eastAsia="zh-CN"/>
        </w:rPr>
        <w:t>万元；采购包3：禽蛋、冻品、饮品等</w:t>
      </w:r>
      <w:r>
        <w:rPr>
          <w:rFonts w:hint="eastAsia" w:asciiTheme="minorEastAsia" w:hAnsiTheme="minorEastAsia" w:eastAsiaTheme="minorEastAsia" w:cstheme="minorEastAsia"/>
          <w:color w:val="auto"/>
          <w:szCs w:val="21"/>
          <w:highlight w:val="none"/>
          <w:lang w:val="en-US" w:eastAsia="zh-CN"/>
        </w:rPr>
        <w:t>70</w:t>
      </w:r>
      <w:r>
        <w:rPr>
          <w:rFonts w:hint="eastAsia" w:asciiTheme="minorEastAsia" w:hAnsiTheme="minorEastAsia" w:eastAsiaTheme="minorEastAsia" w:cstheme="minorEastAsia"/>
          <w:color w:val="auto"/>
          <w:szCs w:val="21"/>
          <w:highlight w:val="none"/>
          <w:lang w:eastAsia="zh-CN"/>
        </w:rPr>
        <w:t>万元；采购包4：有机蔬菜等</w:t>
      </w:r>
      <w:r>
        <w:rPr>
          <w:rFonts w:hint="eastAsia" w:asciiTheme="minorEastAsia" w:hAnsiTheme="minorEastAsia" w:eastAsiaTheme="minorEastAsia" w:cstheme="minorEastAsia"/>
          <w:color w:val="auto"/>
          <w:szCs w:val="21"/>
          <w:highlight w:val="none"/>
          <w:lang w:val="en-US" w:eastAsia="zh-CN"/>
        </w:rPr>
        <w:t>30</w:t>
      </w:r>
      <w:r>
        <w:rPr>
          <w:rFonts w:hint="eastAsia" w:asciiTheme="minorEastAsia" w:hAnsiTheme="minorEastAsia" w:eastAsiaTheme="minorEastAsia" w:cstheme="minorEastAsia"/>
          <w:color w:val="auto"/>
          <w:szCs w:val="21"/>
          <w:highlight w:val="none"/>
          <w:lang w:eastAsia="zh-CN"/>
        </w:rPr>
        <w:t>万元。）</w:t>
      </w:r>
    </w:p>
    <w:p w14:paraId="25EB191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采购需求：本项目采购内容为玄武公安分局机关食堂食材采购，内部工作人员（民警、辅警及开展公安工作相关分局认可的工作人员）的三餐食材包括但不限于肉类水产、粮油干调、副食品、水果、禽蛋、冻品、饮品、有机蔬菜等，具体配送要求详见招标文件第四章采购需求。</w:t>
      </w:r>
    </w:p>
    <w:tbl>
      <w:tblPr>
        <w:tblStyle w:val="40"/>
        <w:tblW w:w="99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5"/>
        <w:gridCol w:w="3506"/>
        <w:gridCol w:w="2916"/>
        <w:gridCol w:w="2735"/>
      </w:tblGrid>
      <w:tr w14:paraId="11960F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blHeader/>
          <w:jc w:val="center"/>
        </w:trPr>
        <w:tc>
          <w:tcPr>
            <w:tcW w:w="805" w:type="dxa"/>
            <w:noWrap/>
            <w:vAlign w:val="center"/>
          </w:tcPr>
          <w:p w14:paraId="17539561">
            <w:pPr>
              <w:widowControl/>
              <w:snapToGrid w:val="0"/>
              <w:ind w:left="0" w:leftChars="0" w:right="0" w:rightChars="0" w:firstLine="0" w:firstLineChars="0"/>
              <w:jc w:val="center"/>
              <w:rPr>
                <w:rFonts w:hint="eastAsia" w:asciiTheme="minorEastAsia" w:hAnsiTheme="minorEastAsia" w:eastAsiaTheme="minorEastAsia" w:cstheme="minorEastAsia"/>
                <w:b/>
                <w:sz w:val="21"/>
                <w:szCs w:val="21"/>
                <w:highlight w:val="none"/>
                <w:lang w:val="en-US" w:eastAsia="zh-CN"/>
              </w:rPr>
            </w:pPr>
            <w:r>
              <w:rPr>
                <w:rFonts w:hint="eastAsia" w:asciiTheme="minorEastAsia" w:hAnsiTheme="minorEastAsia" w:eastAsiaTheme="minorEastAsia" w:cstheme="minorEastAsia"/>
                <w:b/>
                <w:sz w:val="21"/>
                <w:szCs w:val="21"/>
                <w:highlight w:val="none"/>
                <w:lang w:val="en-US" w:eastAsia="zh-CN"/>
              </w:rPr>
              <w:t>包号</w:t>
            </w:r>
          </w:p>
        </w:tc>
        <w:tc>
          <w:tcPr>
            <w:tcW w:w="3506" w:type="dxa"/>
            <w:noWrap/>
            <w:vAlign w:val="center"/>
          </w:tcPr>
          <w:p w14:paraId="566672EF">
            <w:pPr>
              <w:widowControl/>
              <w:snapToGrid w:val="0"/>
              <w:ind w:left="0" w:leftChars="0" w:right="0" w:rightChars="0" w:firstLine="0" w:firstLineChars="0"/>
              <w:jc w:val="center"/>
              <w:rPr>
                <w:rFonts w:hint="eastAsia" w:asciiTheme="minorEastAsia" w:hAnsiTheme="minorEastAsia" w:eastAsiaTheme="minorEastAsia" w:cstheme="minorEastAsia"/>
                <w:b/>
                <w:sz w:val="21"/>
                <w:szCs w:val="21"/>
                <w:highlight w:val="none"/>
                <w:lang w:val="en-US" w:eastAsia="zh-CN"/>
              </w:rPr>
            </w:pPr>
            <w:r>
              <w:rPr>
                <w:rFonts w:hint="eastAsia" w:asciiTheme="minorEastAsia" w:hAnsiTheme="minorEastAsia" w:eastAsiaTheme="minorEastAsia" w:cstheme="minorEastAsia"/>
                <w:b/>
                <w:sz w:val="21"/>
                <w:szCs w:val="21"/>
                <w:highlight w:val="none"/>
                <w:lang w:val="en-US" w:eastAsia="zh-CN"/>
              </w:rPr>
              <w:t>品类</w:t>
            </w:r>
          </w:p>
        </w:tc>
        <w:tc>
          <w:tcPr>
            <w:tcW w:w="2916" w:type="dxa"/>
            <w:noWrap/>
            <w:vAlign w:val="center"/>
          </w:tcPr>
          <w:p w14:paraId="00E8E8B7">
            <w:pPr>
              <w:widowControl/>
              <w:snapToGrid w:val="0"/>
              <w:ind w:left="0" w:leftChars="0" w:right="0" w:rightChars="0" w:firstLine="0" w:firstLineChars="0"/>
              <w:jc w:val="center"/>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配送地址</w:t>
            </w:r>
          </w:p>
        </w:tc>
        <w:tc>
          <w:tcPr>
            <w:tcW w:w="2735" w:type="dxa"/>
            <w:noWrap/>
            <w:vAlign w:val="center"/>
          </w:tcPr>
          <w:p w14:paraId="790B326D">
            <w:pPr>
              <w:widowControl/>
              <w:snapToGrid w:val="0"/>
              <w:ind w:left="0" w:leftChars="0" w:right="0" w:rightChars="0" w:firstLine="0" w:firstLineChars="0"/>
              <w:jc w:val="center"/>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采购预算（万元人民币）</w:t>
            </w:r>
          </w:p>
        </w:tc>
      </w:tr>
      <w:tr w14:paraId="4A19F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05" w:type="dxa"/>
            <w:noWrap/>
            <w:vAlign w:val="center"/>
          </w:tcPr>
          <w:p w14:paraId="4A0699A8">
            <w:pPr>
              <w:widowControl/>
              <w:snapToGrid w:val="0"/>
              <w:ind w:left="0" w:leftChars="0" w:right="0" w:rightChars="0" w:firstLine="0" w:firstLineChars="0"/>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包1</w:t>
            </w:r>
          </w:p>
        </w:tc>
        <w:tc>
          <w:tcPr>
            <w:tcW w:w="3506" w:type="dxa"/>
            <w:noWrap/>
            <w:vAlign w:val="center"/>
          </w:tcPr>
          <w:p w14:paraId="5FF5C46F">
            <w:pPr>
              <w:widowControl/>
              <w:snapToGrid w:val="0"/>
              <w:ind w:left="0" w:leftChars="0" w:right="0" w:rightChars="0" w:firstLine="0" w:firstLineChars="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肉类、水产等</w:t>
            </w:r>
          </w:p>
        </w:tc>
        <w:tc>
          <w:tcPr>
            <w:tcW w:w="2916" w:type="dxa"/>
            <w:vMerge w:val="restart"/>
            <w:noWrap/>
            <w:vAlign w:val="center"/>
          </w:tcPr>
          <w:p w14:paraId="067F3D84">
            <w:pPr>
              <w:widowControl/>
              <w:snapToGrid w:val="0"/>
              <w:ind w:left="0" w:leftChars="0" w:right="0" w:rightChars="0" w:firstLine="0" w:firstLineChars="0"/>
              <w:jc w:val="center"/>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南京市公安局玄武分局食堂（玄武区红山路196号）</w:t>
            </w:r>
          </w:p>
        </w:tc>
        <w:tc>
          <w:tcPr>
            <w:tcW w:w="2735" w:type="dxa"/>
            <w:noWrap/>
            <w:vAlign w:val="center"/>
          </w:tcPr>
          <w:p w14:paraId="0CD02E57">
            <w:pPr>
              <w:widowControl/>
              <w:snapToGrid w:val="0"/>
              <w:ind w:left="0" w:leftChars="0" w:right="0" w:rightChars="0" w:firstLine="0" w:firstLineChars="0"/>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100</w:t>
            </w:r>
          </w:p>
        </w:tc>
      </w:tr>
      <w:tr w14:paraId="64893A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05" w:type="dxa"/>
            <w:noWrap/>
            <w:vAlign w:val="center"/>
          </w:tcPr>
          <w:p w14:paraId="553A45B9">
            <w:pPr>
              <w:widowControl/>
              <w:snapToGrid w:val="0"/>
              <w:ind w:left="0" w:leftChars="0" w:right="0" w:rightChars="0" w:firstLine="0" w:firstLineChars="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包2</w:t>
            </w:r>
          </w:p>
        </w:tc>
        <w:tc>
          <w:tcPr>
            <w:tcW w:w="3506" w:type="dxa"/>
            <w:noWrap/>
            <w:vAlign w:val="center"/>
          </w:tcPr>
          <w:p w14:paraId="4F1D7812">
            <w:pPr>
              <w:widowControl/>
              <w:snapToGrid w:val="0"/>
              <w:ind w:left="0" w:leftChars="0" w:right="0" w:rightChars="0" w:firstLine="0" w:firstLineChars="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粮油干调、米面、副食品、水果等</w:t>
            </w:r>
          </w:p>
        </w:tc>
        <w:tc>
          <w:tcPr>
            <w:tcW w:w="2916" w:type="dxa"/>
            <w:vMerge w:val="continue"/>
            <w:noWrap/>
            <w:vAlign w:val="center"/>
          </w:tcPr>
          <w:p w14:paraId="30213AFD">
            <w:pPr>
              <w:widowControl/>
              <w:snapToGrid w:val="0"/>
              <w:ind w:left="0" w:leftChars="0" w:right="0" w:rightChars="0" w:firstLine="0" w:firstLineChars="0"/>
              <w:jc w:val="left"/>
              <w:rPr>
                <w:rFonts w:hint="eastAsia" w:asciiTheme="minorEastAsia" w:hAnsiTheme="minorEastAsia" w:eastAsiaTheme="minorEastAsia" w:cstheme="minorEastAsia"/>
                <w:sz w:val="21"/>
                <w:szCs w:val="21"/>
                <w:highlight w:val="none"/>
              </w:rPr>
            </w:pPr>
          </w:p>
        </w:tc>
        <w:tc>
          <w:tcPr>
            <w:tcW w:w="2735" w:type="dxa"/>
            <w:noWrap/>
            <w:vAlign w:val="center"/>
          </w:tcPr>
          <w:p w14:paraId="606A9ED1">
            <w:pPr>
              <w:widowControl/>
              <w:snapToGrid w:val="0"/>
              <w:ind w:left="0" w:leftChars="0" w:right="0" w:rightChars="0" w:firstLine="0" w:firstLineChars="0"/>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100</w:t>
            </w:r>
          </w:p>
        </w:tc>
      </w:tr>
      <w:tr w14:paraId="78AB2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05" w:type="dxa"/>
            <w:noWrap/>
            <w:vAlign w:val="center"/>
          </w:tcPr>
          <w:p w14:paraId="41941E8A">
            <w:pPr>
              <w:widowControl/>
              <w:snapToGrid w:val="0"/>
              <w:ind w:left="0" w:leftChars="0" w:right="0" w:rightChars="0" w:firstLine="0" w:firstLineChars="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包3</w:t>
            </w:r>
          </w:p>
        </w:tc>
        <w:tc>
          <w:tcPr>
            <w:tcW w:w="3506" w:type="dxa"/>
            <w:noWrap/>
            <w:vAlign w:val="center"/>
          </w:tcPr>
          <w:p w14:paraId="5AFF9B54">
            <w:pPr>
              <w:widowControl/>
              <w:snapToGrid w:val="0"/>
              <w:ind w:left="0" w:leftChars="0" w:right="0" w:rightChars="0" w:firstLine="0" w:firstLineChars="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禽蛋、冻品、饮品等</w:t>
            </w:r>
          </w:p>
        </w:tc>
        <w:tc>
          <w:tcPr>
            <w:tcW w:w="2916" w:type="dxa"/>
            <w:vMerge w:val="continue"/>
            <w:noWrap/>
            <w:vAlign w:val="center"/>
          </w:tcPr>
          <w:p w14:paraId="6761A2DB">
            <w:pPr>
              <w:widowControl/>
              <w:snapToGrid w:val="0"/>
              <w:ind w:left="0" w:leftChars="0" w:right="0" w:rightChars="0" w:firstLine="0" w:firstLineChars="0"/>
              <w:jc w:val="left"/>
              <w:rPr>
                <w:rFonts w:hint="eastAsia" w:asciiTheme="minorEastAsia" w:hAnsiTheme="minorEastAsia" w:eastAsiaTheme="minorEastAsia" w:cstheme="minorEastAsia"/>
                <w:sz w:val="21"/>
                <w:szCs w:val="21"/>
                <w:highlight w:val="none"/>
              </w:rPr>
            </w:pPr>
          </w:p>
        </w:tc>
        <w:tc>
          <w:tcPr>
            <w:tcW w:w="2735" w:type="dxa"/>
            <w:noWrap/>
            <w:vAlign w:val="center"/>
          </w:tcPr>
          <w:p w14:paraId="39CE12FD">
            <w:pPr>
              <w:widowControl/>
              <w:snapToGrid w:val="0"/>
              <w:ind w:left="0" w:leftChars="0" w:right="0" w:rightChars="0" w:firstLine="0" w:firstLineChars="0"/>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70</w:t>
            </w:r>
          </w:p>
        </w:tc>
      </w:tr>
      <w:tr w14:paraId="3771F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05" w:type="dxa"/>
            <w:noWrap/>
            <w:vAlign w:val="center"/>
          </w:tcPr>
          <w:p w14:paraId="4FB48F26">
            <w:pPr>
              <w:widowControl/>
              <w:snapToGrid w:val="0"/>
              <w:ind w:left="0" w:leftChars="0" w:right="0" w:rightChars="0" w:firstLine="0" w:firstLineChars="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包4</w:t>
            </w:r>
          </w:p>
        </w:tc>
        <w:tc>
          <w:tcPr>
            <w:tcW w:w="3506" w:type="dxa"/>
            <w:noWrap/>
            <w:vAlign w:val="center"/>
          </w:tcPr>
          <w:p w14:paraId="7E0DAB3A">
            <w:pPr>
              <w:widowControl/>
              <w:snapToGrid w:val="0"/>
              <w:ind w:left="0" w:leftChars="0" w:right="0" w:rightChars="0" w:firstLine="0" w:firstLineChars="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有机蔬菜等</w:t>
            </w:r>
          </w:p>
        </w:tc>
        <w:tc>
          <w:tcPr>
            <w:tcW w:w="2916" w:type="dxa"/>
            <w:vMerge w:val="continue"/>
            <w:noWrap/>
            <w:vAlign w:val="center"/>
          </w:tcPr>
          <w:p w14:paraId="4193884E">
            <w:pPr>
              <w:widowControl/>
              <w:snapToGrid w:val="0"/>
              <w:ind w:left="0" w:leftChars="0" w:right="0" w:rightChars="0" w:firstLine="0" w:firstLineChars="0"/>
              <w:jc w:val="left"/>
              <w:rPr>
                <w:rFonts w:hint="eastAsia" w:asciiTheme="minorEastAsia" w:hAnsiTheme="minorEastAsia" w:eastAsiaTheme="minorEastAsia" w:cstheme="minorEastAsia"/>
                <w:sz w:val="21"/>
                <w:szCs w:val="21"/>
                <w:highlight w:val="none"/>
              </w:rPr>
            </w:pPr>
          </w:p>
        </w:tc>
        <w:tc>
          <w:tcPr>
            <w:tcW w:w="2735" w:type="dxa"/>
            <w:noWrap/>
            <w:vAlign w:val="center"/>
          </w:tcPr>
          <w:p w14:paraId="4EDCFC6F">
            <w:pPr>
              <w:widowControl/>
              <w:snapToGrid w:val="0"/>
              <w:ind w:left="0" w:leftChars="0" w:right="0" w:rightChars="0" w:firstLine="0" w:firstLineChars="0"/>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30</w:t>
            </w:r>
          </w:p>
        </w:tc>
      </w:tr>
    </w:tbl>
    <w:p w14:paraId="5B6831E0">
      <w:pPr>
        <w:bidi w:val="0"/>
        <w:rPr>
          <w:rFonts w:hint="eastAsia"/>
        </w:rPr>
      </w:pPr>
    </w:p>
    <w:p w14:paraId="52BDF57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sz w:val="21"/>
          <w:szCs w:val="21"/>
          <w:highlight w:val="none"/>
          <w:lang w:val="en-US" w:eastAsia="zh-CN"/>
        </w:rPr>
        <w:t>特别说明：本项目实施兼投不兼中原则。投标人可同时参与多个采购包的投标，为保障整体项目按期保质完成，同一投标单位仅允许中标其中一个采购包。四个采购包的评标顺序依次为：包1、包2、包3、包4。按照此评标顺序，若投标单位被推荐为某一采购包的第一中标候选人，则在后续采购包的评标过程中，不再被推选为中标候选人，但其有效报价仍参与后续采购包评标基准价的计算。</w:t>
      </w:r>
    </w:p>
    <w:p w14:paraId="47AF162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本项目所属行业：批发业</w:t>
      </w:r>
    </w:p>
    <w:p w14:paraId="4583B54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合同履行期限：</w:t>
      </w:r>
      <w:r>
        <w:rPr>
          <w:rFonts w:hint="eastAsia" w:asciiTheme="minorEastAsia" w:hAnsiTheme="minorEastAsia" w:eastAsiaTheme="minorEastAsia" w:cstheme="minorEastAsia"/>
          <w:color w:val="auto"/>
          <w:szCs w:val="21"/>
          <w:highlight w:val="none"/>
          <w:lang w:eastAsia="zh-CN"/>
        </w:rPr>
        <w:t>自甲方书面通知之日起供货，至所属分包预算资金使用完毕或供货满一年时自动终止，二者以先到者为准。</w:t>
      </w:r>
    </w:p>
    <w:p w14:paraId="6574070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本项目不接受联合体投标。</w:t>
      </w:r>
    </w:p>
    <w:p w14:paraId="4817C10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二、申请人的资格要求：</w:t>
      </w:r>
    </w:p>
    <w:p w14:paraId="30F5B1A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1、满足《中华人民共和国政府采购法》第二十二条规定:</w:t>
      </w:r>
    </w:p>
    <w:p w14:paraId="5A1774E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1.1具有独立承担民事责任的能力。投标人提供在有效经营期内的营业执照、法人授权书（法人直接参与投标的可不提供）、法人身份证扫描件、投标人代表身份证扫描件；</w:t>
      </w:r>
    </w:p>
    <w:p w14:paraId="36D9D2E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1.2具有良好的商业信誉和健全的财务会计制度。投标人提供上年度财务报表扫描件（如为新成立的公司，应提供公司成立之后的财务报表）或投标截止时间前3个月内，由其基本开户银行出具的资信证明。投标人提供《南京市政府采购供应商信用记录表暨信用承诺书》；</w:t>
      </w:r>
    </w:p>
    <w:p w14:paraId="2C6238E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其中不适用信用承诺的情形：</w:t>
      </w:r>
    </w:p>
    <w:p w14:paraId="2A79BAE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1）供应商被列入严重失信主体名单；</w:t>
      </w:r>
    </w:p>
    <w:p w14:paraId="7C4EFE6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2）被相关监督部门作出行政处罚且尚处在处罚有效期内；</w:t>
      </w:r>
    </w:p>
    <w:p w14:paraId="56548A0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3）其他法律、行政法规规定的不适用信用承诺的情形。</w:t>
      </w:r>
    </w:p>
    <w:p w14:paraId="7526F0F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 </w:t>
      </w:r>
    </w:p>
    <w:p w14:paraId="346067B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1.3具有履行合同所必需的设备和专业技术能力。投标人提供具备履行合同所必需的设备和专业技术能力的书面声明（由供应商根据项目需求提供材料）； </w:t>
      </w:r>
    </w:p>
    <w:p w14:paraId="5DBAB05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1.4有依法缴纳税收和社会保障资金的良好记录。投标人提供提交投标文件截止时间前六个月内至少一个月依法缴纳税收及缴纳社会保障资金的证明材料。投标人依法享受缓缴、免缴的，提供证明材料；</w:t>
      </w:r>
    </w:p>
    <w:p w14:paraId="4348203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1.5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p>
    <w:p w14:paraId="33DD7EE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color w:val="auto"/>
          <w:highlight w:val="none"/>
        </w:rPr>
        <w:t>1.6法律、行政法规规定的其他条件。</w:t>
      </w:r>
    </w:p>
    <w:p w14:paraId="3DB2CEB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2、落实政府采购政策需满足的资格要求：</w:t>
      </w:r>
      <w:r>
        <w:rPr>
          <w:rFonts w:hint="eastAsia" w:asciiTheme="minorEastAsia" w:hAnsiTheme="minorEastAsia" w:eastAsiaTheme="minorEastAsia" w:cstheme="minorEastAsia"/>
          <w:color w:val="auto"/>
          <w:highlight w:val="none"/>
        </w:rPr>
        <w:t xml:space="preserve">本项目不专门面向中小微企业或监狱企业或残疾人福利性单位采购。 </w:t>
      </w:r>
    </w:p>
    <w:p w14:paraId="4926221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3、本项目的特定资格要求：</w:t>
      </w:r>
      <w:bookmarkStart w:id="4" w:name="_Toc35393623"/>
      <w:bookmarkStart w:id="5" w:name="_Toc35393792"/>
    </w:p>
    <w:p w14:paraId="2FB5CE5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lang w:val="en-US" w:eastAsia="zh-CN"/>
        </w:rPr>
        <w:t>1</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若投标人为</w:t>
      </w:r>
      <w:r>
        <w:rPr>
          <w:rFonts w:hint="eastAsia" w:asciiTheme="minorEastAsia" w:hAnsiTheme="minorEastAsia" w:eastAsiaTheme="minorEastAsia" w:cstheme="minorEastAsia"/>
          <w:color w:val="auto"/>
          <w:highlight w:val="none"/>
          <w:lang w:val="en-US" w:eastAsia="zh-CN"/>
        </w:rPr>
        <w:t>食品销售企业</w:t>
      </w:r>
      <w:r>
        <w:rPr>
          <w:rFonts w:hint="eastAsia" w:asciiTheme="minorEastAsia" w:hAnsiTheme="minorEastAsia" w:eastAsiaTheme="minorEastAsia" w:cstheme="minorEastAsia"/>
          <w:color w:val="auto"/>
          <w:highlight w:val="none"/>
        </w:rPr>
        <w:t>的须具有行业主管部门颁发的《食品经营许可证》</w:t>
      </w:r>
      <w:r>
        <w:rPr>
          <w:rFonts w:hint="eastAsia" w:asciiTheme="minorEastAsia" w:hAnsiTheme="minorEastAsia" w:eastAsiaTheme="minorEastAsia" w:cstheme="minorEastAsia"/>
          <w:color w:val="auto"/>
          <w:highlight w:val="none"/>
          <w:lang w:val="en-US" w:eastAsia="zh-CN"/>
        </w:rPr>
        <w:t>或仅销售预包装食品备案凭证</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lang w:val="en-US" w:eastAsia="zh-CN"/>
        </w:rPr>
        <w:t>提供证书扫描件</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w:t>
      </w:r>
    </w:p>
    <w:p w14:paraId="66DEDCA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lang w:val="en-US" w:eastAsia="zh-CN"/>
        </w:rPr>
        <w:t>2</w:t>
      </w:r>
      <w:r>
        <w:rPr>
          <w:rFonts w:hint="eastAsia" w:asciiTheme="minorEastAsia" w:hAnsiTheme="minorEastAsia" w:eastAsiaTheme="minorEastAsia" w:cstheme="minorEastAsia"/>
          <w:color w:val="auto"/>
          <w:highlight w:val="none"/>
          <w:lang w:eastAsia="zh-CN"/>
        </w:rPr>
        <w:t>）若投标人为</w:t>
      </w:r>
      <w:r>
        <w:rPr>
          <w:rFonts w:hint="eastAsia" w:asciiTheme="minorEastAsia" w:hAnsiTheme="minorEastAsia" w:eastAsiaTheme="minorEastAsia" w:cstheme="minorEastAsia"/>
          <w:color w:val="auto"/>
          <w:highlight w:val="none"/>
          <w:lang w:val="en-US" w:eastAsia="zh-CN"/>
        </w:rPr>
        <w:t>食品生产企业</w:t>
      </w:r>
      <w:r>
        <w:rPr>
          <w:rFonts w:hint="eastAsia" w:asciiTheme="minorEastAsia" w:hAnsiTheme="minorEastAsia" w:eastAsiaTheme="minorEastAsia" w:cstheme="minorEastAsia"/>
          <w:color w:val="auto"/>
          <w:highlight w:val="none"/>
          <w:lang w:eastAsia="zh-CN"/>
        </w:rPr>
        <w:t>须提供《食品生产许可证》（</w:t>
      </w:r>
      <w:r>
        <w:rPr>
          <w:rFonts w:hint="eastAsia" w:asciiTheme="minorEastAsia" w:hAnsiTheme="minorEastAsia" w:eastAsiaTheme="minorEastAsia" w:cstheme="minorEastAsia"/>
          <w:color w:val="auto"/>
          <w:highlight w:val="none"/>
          <w:lang w:val="en-US" w:eastAsia="zh-CN"/>
        </w:rPr>
        <w:t>提供证书扫描件</w:t>
      </w:r>
      <w:r>
        <w:rPr>
          <w:rFonts w:hint="eastAsia" w:asciiTheme="minorEastAsia" w:hAnsiTheme="minorEastAsia" w:eastAsiaTheme="minorEastAsia" w:cstheme="minorEastAsia"/>
          <w:color w:val="auto"/>
          <w:highlight w:val="none"/>
          <w:lang w:eastAsia="zh-CN"/>
        </w:rPr>
        <w:t>）。</w:t>
      </w:r>
    </w:p>
    <w:p w14:paraId="2A0D2F6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4、拒绝下述供应商参加本次采购活动的情形：</w:t>
      </w:r>
    </w:p>
    <w:p w14:paraId="7E3E763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（1）供应商单位负责人为同一人或者存在直接控股、管理关系的不同供应商，不得参加同一合同项下的政府采购活动；</w:t>
      </w:r>
    </w:p>
    <w:p w14:paraId="450AB46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（2）凡为采购项目提供整体设计、规范编制或者项目管理、监理、检测等服务的供应商，不得再参加本项目的采购活动；</w:t>
      </w:r>
    </w:p>
    <w:p w14:paraId="05ACAD4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（3）被“信用中国”（</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HYPERLINK "http://www.creditchina.gov.cn/"</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www.creditchina.gov.cn</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highlight w:val="none"/>
        </w:rPr>
        <w:t>）、中国政府采购网（</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HYPERLINK "http://www.ccgp.gov.cn/"</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www.ccgp.gov.cn</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highlight w:val="none"/>
        </w:rPr>
        <w:t>）列入失信被执行人、重大税收违法案件当事人名单、政府采购严重违法失信行为记录名单</w:t>
      </w:r>
      <w:r>
        <w:rPr>
          <w:rFonts w:hint="eastAsia" w:asciiTheme="minorEastAsia" w:hAnsiTheme="minorEastAsia" w:eastAsiaTheme="minorEastAsia" w:cstheme="minorEastAsia"/>
          <w:color w:val="auto"/>
          <w:highlight w:val="none"/>
          <w:lang w:eastAsia="zh-CN"/>
        </w:rPr>
        <w:t>。</w:t>
      </w:r>
      <w:bookmarkEnd w:id="4"/>
      <w:bookmarkEnd w:id="5"/>
    </w:p>
    <w:p w14:paraId="6E5A816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color w:val="auto"/>
          <w:highlight w:val="none"/>
        </w:rPr>
      </w:pPr>
      <w:bookmarkStart w:id="6" w:name="_Toc35393794"/>
      <w:bookmarkStart w:id="7" w:name="_Toc28359084"/>
      <w:bookmarkStart w:id="8" w:name="_Toc28359007"/>
      <w:bookmarkStart w:id="9" w:name="_Toc35393625"/>
      <w:r>
        <w:rPr>
          <w:rFonts w:hint="eastAsia" w:asciiTheme="minorEastAsia" w:hAnsiTheme="minorEastAsia" w:eastAsiaTheme="minorEastAsia" w:cstheme="minorEastAsia"/>
          <w:b/>
          <w:bCs/>
          <w:color w:val="auto"/>
          <w:highlight w:val="none"/>
        </w:rPr>
        <w:t>三、获取招标文件</w:t>
      </w:r>
    </w:p>
    <w:p w14:paraId="4389632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bookmarkStart w:id="10" w:name="_Toc28359005"/>
      <w:bookmarkStart w:id="11" w:name="_Toc28359082"/>
      <w:bookmarkStart w:id="12" w:name="_Toc35393793"/>
      <w:bookmarkStart w:id="13" w:name="_Toc35393624"/>
      <w:r>
        <w:rPr>
          <w:rFonts w:hint="eastAsia" w:asciiTheme="minorEastAsia" w:hAnsiTheme="minorEastAsia" w:eastAsiaTheme="minorEastAsia" w:cstheme="minorEastAsia"/>
          <w:color w:val="auto"/>
          <w:highlight w:val="none"/>
          <w:lang w:eastAsia="zh-CN"/>
        </w:rPr>
        <w:t>1、获取时间：自招标文件公告发布之日起5个工作日</w:t>
      </w:r>
    </w:p>
    <w:p w14:paraId="21C721C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2、地点：网上注册登记成功后系统内免费下载</w:t>
      </w:r>
    </w:p>
    <w:p w14:paraId="4B91D06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3、获取方式：本项目采用网上注册登记方式。</w:t>
      </w:r>
    </w:p>
    <w:p w14:paraId="63C6407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3.1潜在供应商访问电子招标响应交易平台的网络地址和方法：</w:t>
      </w:r>
    </w:p>
    <w:p w14:paraId="0EEDAE4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280961D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3.2潜在供应商访问“苏采云”系统的网络地址和方法：“苏采云”系统的网址：http://jszfcg.jsczt.cn/。</w:t>
      </w:r>
    </w:p>
    <w:p w14:paraId="2C255BE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3.3“CA数字证书”的获取：</w:t>
      </w:r>
    </w:p>
    <w:p w14:paraId="51436E5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3590F5E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3.4采购文件（后缀名为“.kedt”）、供应商操作手册及政府采购客户端工具可通过“苏采云”系统--已报名项目--报名详情页面内相应链接进行下载。</w:t>
      </w:r>
    </w:p>
    <w:p w14:paraId="7315DE6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3.5招标代理机构（采购代理机构）将数据电文形式的采购文件加载至“苏采云”系统，供潜在供应商下载或者查阅。</w:t>
      </w:r>
    </w:p>
    <w:p w14:paraId="06129DE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3.6请潜在投标单位提前安装相应的控件（详见《江苏省政府采购管理交易系统（苏采云）供应商操作手册》）并使用谷歌浏览器登录“苏采云”系统参与不见面开评标。</w:t>
      </w:r>
    </w:p>
    <w:p w14:paraId="2F03209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四、投标</w:t>
      </w:r>
      <w:bookmarkEnd w:id="10"/>
      <w:bookmarkEnd w:id="11"/>
      <w:r>
        <w:rPr>
          <w:rFonts w:hint="eastAsia" w:asciiTheme="minorEastAsia" w:hAnsiTheme="minorEastAsia" w:eastAsiaTheme="minorEastAsia" w:cstheme="minorEastAsia"/>
          <w:b/>
          <w:bCs/>
          <w:color w:val="auto"/>
          <w:highlight w:val="none"/>
        </w:rPr>
        <w:t>截止时间、开标时间和地点</w:t>
      </w:r>
      <w:bookmarkEnd w:id="12"/>
      <w:bookmarkEnd w:id="13"/>
    </w:p>
    <w:p w14:paraId="1C12FD9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1、投标截止时间：2026年</w:t>
      </w:r>
      <w:r>
        <w:rPr>
          <w:rFonts w:hint="eastAsia" w:asciiTheme="minorEastAsia" w:hAnsiTheme="minorEastAsia" w:eastAsiaTheme="minorEastAsia" w:cstheme="minorEastAsia"/>
          <w:color w:val="auto"/>
          <w:highlight w:val="none"/>
          <w:lang w:val="en-US" w:eastAsia="zh-CN"/>
        </w:rPr>
        <w:t>05月27日上</w:t>
      </w:r>
      <w:r>
        <w:rPr>
          <w:rFonts w:hint="eastAsia" w:asciiTheme="minorEastAsia" w:hAnsiTheme="minorEastAsia" w:eastAsiaTheme="minorEastAsia" w:cstheme="minorEastAsia"/>
          <w:color w:val="auto"/>
          <w:highlight w:val="none"/>
          <w:lang w:eastAsia="zh-CN"/>
        </w:rPr>
        <w:t>午</w:t>
      </w:r>
      <w:r>
        <w:rPr>
          <w:rFonts w:hint="eastAsia" w:asciiTheme="minorEastAsia" w:hAnsiTheme="minorEastAsia" w:eastAsiaTheme="minorEastAsia" w:cstheme="minorEastAsia"/>
          <w:color w:val="auto"/>
          <w:highlight w:val="none"/>
          <w:lang w:val="en-US" w:eastAsia="zh-CN"/>
        </w:rPr>
        <w:t>09</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lang w:val="en-US" w:eastAsia="zh-CN"/>
        </w:rPr>
        <w:t>30</w:t>
      </w:r>
      <w:r>
        <w:rPr>
          <w:rFonts w:hint="eastAsia" w:asciiTheme="minorEastAsia" w:hAnsiTheme="minorEastAsia" w:eastAsiaTheme="minorEastAsia" w:cstheme="minorEastAsia"/>
          <w:color w:val="auto"/>
          <w:highlight w:val="none"/>
          <w:lang w:eastAsia="zh-CN"/>
        </w:rPr>
        <w:t>（北京时间）</w:t>
      </w:r>
    </w:p>
    <w:p w14:paraId="7D8BC57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2、开标时间：2026年</w:t>
      </w:r>
      <w:r>
        <w:rPr>
          <w:rFonts w:hint="eastAsia" w:asciiTheme="minorEastAsia" w:hAnsiTheme="minorEastAsia" w:eastAsiaTheme="minorEastAsia" w:cstheme="minorEastAsia"/>
          <w:color w:val="auto"/>
          <w:highlight w:val="none"/>
          <w:lang w:val="en-US" w:eastAsia="zh-CN"/>
        </w:rPr>
        <w:t>05月27日上</w:t>
      </w:r>
      <w:r>
        <w:rPr>
          <w:rFonts w:hint="eastAsia" w:asciiTheme="minorEastAsia" w:hAnsiTheme="minorEastAsia" w:eastAsiaTheme="minorEastAsia" w:cstheme="minorEastAsia"/>
          <w:color w:val="auto"/>
          <w:highlight w:val="none"/>
          <w:lang w:eastAsia="zh-CN"/>
        </w:rPr>
        <w:t>午</w:t>
      </w:r>
      <w:r>
        <w:rPr>
          <w:rFonts w:hint="eastAsia" w:asciiTheme="minorEastAsia" w:hAnsiTheme="minorEastAsia" w:eastAsiaTheme="minorEastAsia" w:cstheme="minorEastAsia"/>
          <w:color w:val="auto"/>
          <w:highlight w:val="none"/>
          <w:lang w:val="en-US" w:eastAsia="zh-CN"/>
        </w:rPr>
        <w:t>09</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lang w:val="en-US" w:eastAsia="zh-CN"/>
        </w:rPr>
        <w:t>30</w:t>
      </w:r>
      <w:r>
        <w:rPr>
          <w:rFonts w:hint="eastAsia" w:asciiTheme="minorEastAsia" w:hAnsiTheme="minorEastAsia" w:eastAsiaTheme="minorEastAsia" w:cstheme="minorEastAsia"/>
          <w:color w:val="auto"/>
          <w:highlight w:val="none"/>
          <w:lang w:eastAsia="zh-CN"/>
        </w:rPr>
        <w:t>（北京时间）</w:t>
      </w:r>
    </w:p>
    <w:p w14:paraId="2581A5D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3、开标地点：“苏采云”系统（网址： http://jszfcg.jsczt.cn/）“开标大厅”，点击“苏采云”进入系统“开标大厅”。</w:t>
      </w:r>
    </w:p>
    <w:p w14:paraId="10A0E98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注：各供应商请关注开标大厅交流区，在开标结束后，请勿离开开标大厅。</w:t>
      </w:r>
    </w:p>
    <w:p w14:paraId="64882E0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4、投标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0F76714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五、公告期限</w:t>
      </w:r>
      <w:bookmarkEnd w:id="6"/>
      <w:bookmarkEnd w:id="7"/>
      <w:bookmarkEnd w:id="8"/>
      <w:bookmarkEnd w:id="9"/>
    </w:p>
    <w:p w14:paraId="3F6C7F9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自本公告发布之日起5个工作日。</w:t>
      </w:r>
    </w:p>
    <w:p w14:paraId="104AB18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color w:val="auto"/>
          <w:highlight w:val="none"/>
        </w:rPr>
      </w:pPr>
      <w:bookmarkStart w:id="14" w:name="_Toc35393795"/>
      <w:bookmarkStart w:id="15" w:name="_Toc35393626"/>
      <w:r>
        <w:rPr>
          <w:rFonts w:hint="eastAsia" w:asciiTheme="minorEastAsia" w:hAnsiTheme="minorEastAsia" w:eastAsiaTheme="minorEastAsia" w:cstheme="minorEastAsia"/>
          <w:b/>
          <w:bCs/>
          <w:color w:val="auto"/>
          <w:highlight w:val="none"/>
          <w:lang w:val="en-US" w:eastAsia="zh-CN"/>
        </w:rPr>
        <w:t>六、</w:t>
      </w:r>
      <w:r>
        <w:rPr>
          <w:rFonts w:hint="eastAsia" w:asciiTheme="minorEastAsia" w:hAnsiTheme="minorEastAsia" w:eastAsiaTheme="minorEastAsia" w:cstheme="minorEastAsia"/>
          <w:b/>
          <w:bCs/>
          <w:color w:val="auto"/>
          <w:highlight w:val="none"/>
        </w:rPr>
        <w:t>其他补充事宜</w:t>
      </w:r>
      <w:bookmarkEnd w:id="14"/>
      <w:bookmarkEnd w:id="15"/>
    </w:p>
    <w:p w14:paraId="3E556F6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1、本项目公告媒体：江苏政府采购网（http://www.ccgp-jiangsu.gov.cn/）、南京公共采购信息网（https://njgc.jfh.com/）</w:t>
      </w:r>
    </w:p>
    <w:p w14:paraId="4EA812B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2</w:t>
      </w:r>
      <w:r>
        <w:rPr>
          <w:rFonts w:hint="eastAsia" w:asciiTheme="minorEastAsia" w:hAnsiTheme="minorEastAsia" w:eastAsiaTheme="minorEastAsia" w:cstheme="minorEastAsia"/>
          <w:color w:val="auto"/>
          <w:highlight w:val="none"/>
          <w:lang w:eastAsia="zh-CN"/>
        </w:rPr>
        <w:t>、供应商诚信档案管理</w:t>
      </w:r>
    </w:p>
    <w:p w14:paraId="64EC3DF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凡在南京地区参加政府采购活动的供应商，应当事先登陆“南京公共采购信息网”（https://njgc.jfh.com）主页“政府采购供应商诚信档案”栏目进行注册登记。由于特殊原因未及时注册的供应商可先行获取招标文件，但必须在提交投标文件截止日两天前办理。</w:t>
      </w:r>
    </w:p>
    <w:p w14:paraId="6466A99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供应商申请网上注册的，应当按以下程序进行：</w:t>
      </w:r>
    </w:p>
    <w:p w14:paraId="17ACAE5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（1）登陆“南京公共采购信息网”（https://njgc.jfh.com）网站，点击“政府采购供应商诚信档案”图标，在弹出的用户登录界面，点击“新用户注册”；</w:t>
      </w:r>
    </w:p>
    <w:p w14:paraId="3194328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p>
    <w:p w14:paraId="3AE5E11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如未提供，投标被否决。</w:t>
      </w:r>
    </w:p>
    <w:p w14:paraId="6756B56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3</w:t>
      </w:r>
      <w:r>
        <w:rPr>
          <w:rFonts w:hint="eastAsia" w:asciiTheme="minorEastAsia" w:hAnsiTheme="minorEastAsia" w:eastAsiaTheme="minorEastAsia" w:cstheme="minorEastAsia"/>
          <w:color w:val="auto"/>
          <w:highlight w:val="none"/>
          <w:lang w:eastAsia="zh-CN"/>
        </w:rPr>
        <w:t>、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p>
    <w:p w14:paraId="4515B13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4</w:t>
      </w:r>
      <w:r>
        <w:rPr>
          <w:rFonts w:hint="eastAsia" w:asciiTheme="minorEastAsia" w:hAnsiTheme="minorEastAsia" w:eastAsiaTheme="minorEastAsia" w:cstheme="minorEastAsia"/>
          <w:color w:val="auto"/>
          <w:highlight w:val="none"/>
          <w:lang w:eastAsia="zh-CN"/>
        </w:rPr>
        <w:t>、有关本次招标的事项若存在变动或修改，敬请及时关注在“江苏政府采购网”、“南京公共采购信息网”发布的更正公告。</w:t>
      </w:r>
    </w:p>
    <w:p w14:paraId="2AB1BDFD">
      <w:pPr>
        <w:spacing w:line="480" w:lineRule="auto"/>
        <w:rPr>
          <w:b/>
          <w:bCs/>
          <w:color w:val="auto"/>
          <w:highlight w:val="none"/>
        </w:rPr>
      </w:pPr>
      <w:bookmarkStart w:id="16" w:name="_Toc35393627"/>
      <w:bookmarkStart w:id="17" w:name="_Toc28359085"/>
      <w:bookmarkStart w:id="18" w:name="_Toc35393796"/>
      <w:bookmarkStart w:id="19" w:name="_Toc28359008"/>
      <w:r>
        <w:rPr>
          <w:rFonts w:hint="eastAsia"/>
          <w:b/>
          <w:bCs/>
          <w:color w:val="auto"/>
          <w:highlight w:val="none"/>
        </w:rPr>
        <w:t>七、对本次招标提出询问，请按以下方式联系</w:t>
      </w:r>
      <w:bookmarkEnd w:id="16"/>
      <w:bookmarkEnd w:id="17"/>
      <w:bookmarkEnd w:id="18"/>
      <w:bookmarkEnd w:id="19"/>
    </w:p>
    <w:p w14:paraId="4D0574C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1.采购人信息</w:t>
      </w:r>
    </w:p>
    <w:p w14:paraId="36D6B8D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名 称：南京市公安局玄武分局　　　　　　　　　　　</w:t>
      </w:r>
    </w:p>
    <w:p w14:paraId="671C4A8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地址：南京市玄武区红山路196号</w:t>
      </w:r>
    </w:p>
    <w:p w14:paraId="53AAA15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highlight w:val="none"/>
          <w:lang w:val="en-US" w:eastAsia="zh-CN"/>
        </w:rPr>
      </w:pPr>
      <w:bookmarkStart w:id="20" w:name="_Toc28359086"/>
      <w:bookmarkStart w:id="21" w:name="_Toc28359009"/>
      <w:r>
        <w:rPr>
          <w:rFonts w:hint="eastAsia" w:asciiTheme="minorEastAsia" w:hAnsiTheme="minorEastAsia" w:eastAsiaTheme="minorEastAsia" w:cstheme="minorEastAsia"/>
          <w:color w:val="auto"/>
          <w:highlight w:val="none"/>
          <w:lang w:eastAsia="zh-CN"/>
        </w:rPr>
        <w:t>联系人：</w:t>
      </w:r>
      <w:r>
        <w:rPr>
          <w:rFonts w:hint="eastAsia" w:asciiTheme="minorEastAsia" w:hAnsiTheme="minorEastAsia" w:eastAsiaTheme="minorEastAsia" w:cstheme="minorEastAsia"/>
          <w:color w:val="auto"/>
          <w:highlight w:val="none"/>
          <w:lang w:val="en-US" w:eastAsia="zh-CN"/>
        </w:rPr>
        <w:t>李警官</w:t>
      </w:r>
    </w:p>
    <w:p w14:paraId="0995575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eastAsia="zh-CN"/>
        </w:rPr>
        <w:t>联系方式：025-84421198</w:t>
      </w:r>
    </w:p>
    <w:p w14:paraId="2A5A319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2.采购代理机构信息</w:t>
      </w:r>
      <w:bookmarkEnd w:id="20"/>
      <w:bookmarkEnd w:id="21"/>
    </w:p>
    <w:p w14:paraId="3C2DCA7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名 称：江苏盛德量行建设咨询有限公司</w:t>
      </w:r>
    </w:p>
    <w:p w14:paraId="4E18334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地　址：南京市建邺区泰山路151号新丽华中心11层</w:t>
      </w:r>
    </w:p>
    <w:p w14:paraId="2E35F57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eastAsia="zh-CN"/>
        </w:rPr>
        <w:t>联系</w:t>
      </w:r>
      <w:bookmarkStart w:id="22" w:name="_Toc28359087"/>
      <w:bookmarkStart w:id="23" w:name="_Toc28359010"/>
      <w:r>
        <w:rPr>
          <w:rFonts w:hint="eastAsia" w:asciiTheme="minorEastAsia" w:hAnsiTheme="minorEastAsia" w:eastAsiaTheme="minorEastAsia" w:cstheme="minorEastAsia"/>
          <w:color w:val="auto"/>
          <w:highlight w:val="none"/>
          <w:lang w:eastAsia="zh-CN"/>
        </w:rPr>
        <w:t>人：</w:t>
      </w:r>
      <w:r>
        <w:rPr>
          <w:rFonts w:hint="eastAsia" w:asciiTheme="minorEastAsia" w:hAnsiTheme="minorEastAsia" w:eastAsiaTheme="minorEastAsia" w:cstheme="minorEastAsia"/>
          <w:color w:val="auto"/>
          <w:highlight w:val="none"/>
          <w:lang w:val="en-US" w:eastAsia="zh-CN"/>
        </w:rPr>
        <w:t>刘乃东</w:t>
      </w:r>
    </w:p>
    <w:p w14:paraId="6BEC8AD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联系电话：13032553886</w:t>
      </w:r>
    </w:p>
    <w:p w14:paraId="31667ED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3.项目联系方式</w:t>
      </w:r>
      <w:bookmarkEnd w:id="22"/>
      <w:bookmarkEnd w:id="23"/>
    </w:p>
    <w:p w14:paraId="2D04F27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联系人：刘乃东</w:t>
      </w:r>
    </w:p>
    <w:p w14:paraId="093447B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联系电话：13032553886</w:t>
      </w:r>
    </w:p>
    <w:p w14:paraId="20DBFEC9">
      <w:pPr>
        <w:jc w:val="right"/>
        <w:rPr>
          <w:rFonts w:eastAsia="仿宋_GB2312"/>
          <w:color w:val="auto"/>
          <w:highlight w:val="none"/>
        </w:rPr>
      </w:pPr>
    </w:p>
    <w:p w14:paraId="2A89038D">
      <w:pPr>
        <w:pStyle w:val="18"/>
        <w:rPr>
          <w:rFonts w:eastAsia="仿宋_GB2312"/>
          <w:color w:val="auto"/>
          <w:highlight w:val="none"/>
        </w:rPr>
      </w:pPr>
    </w:p>
    <w:p w14:paraId="3123AE63">
      <w:pPr>
        <w:rPr>
          <w:rFonts w:eastAsia="仿宋_GB2312"/>
          <w:color w:val="auto"/>
          <w:highlight w:val="none"/>
        </w:rPr>
      </w:pPr>
    </w:p>
    <w:p w14:paraId="1DA641FE">
      <w:pPr>
        <w:pStyle w:val="18"/>
        <w:rPr>
          <w:rFonts w:eastAsia="仿宋_GB2312"/>
          <w:color w:val="auto"/>
          <w:highlight w:val="none"/>
        </w:rPr>
      </w:pPr>
    </w:p>
    <w:p w14:paraId="2C753FB3">
      <w:pPr>
        <w:rPr>
          <w:rFonts w:eastAsia="仿宋_GB2312"/>
          <w:color w:val="auto"/>
          <w:highlight w:val="none"/>
        </w:rPr>
      </w:pPr>
    </w:p>
    <w:p w14:paraId="77390C29">
      <w:pPr>
        <w:pStyle w:val="18"/>
        <w:rPr>
          <w:highlight w:val="none"/>
        </w:rPr>
      </w:pPr>
    </w:p>
    <w:p w14:paraId="388878B7">
      <w:pPr>
        <w:rPr>
          <w:highlight w:val="none"/>
        </w:rPr>
      </w:pPr>
    </w:p>
    <w:p w14:paraId="5164B1E1">
      <w:pPr>
        <w:rPr>
          <w:highlight w:val="none"/>
        </w:rPr>
      </w:pPr>
    </w:p>
    <w:p w14:paraId="7F550AF0">
      <w:pPr>
        <w:rPr>
          <w:highlight w:val="none"/>
        </w:rPr>
      </w:pPr>
    </w:p>
    <w:p w14:paraId="1D368651">
      <w:pPr>
        <w:rPr>
          <w:highlight w:val="none"/>
        </w:rPr>
      </w:pPr>
    </w:p>
    <w:p w14:paraId="7B75DE2A">
      <w:pPr>
        <w:rPr>
          <w:highlight w:val="none"/>
        </w:rPr>
      </w:pPr>
    </w:p>
    <w:p w14:paraId="418ED64B">
      <w:pPr>
        <w:rPr>
          <w:highlight w:val="none"/>
        </w:rPr>
      </w:pPr>
    </w:p>
    <w:p w14:paraId="723FAFF1">
      <w:pPr>
        <w:rPr>
          <w:highlight w:val="none"/>
        </w:rPr>
      </w:pPr>
    </w:p>
    <w:p w14:paraId="0D6322C8">
      <w:pPr>
        <w:spacing w:line="440" w:lineRule="exact"/>
        <w:jc w:val="center"/>
        <w:outlineLvl w:val="0"/>
        <w:rPr>
          <w:rFonts w:ascii="Arial" w:hAnsi="Arial" w:eastAsia="黑体" w:cs="Arial"/>
          <w:b/>
          <w:color w:val="auto"/>
          <w:sz w:val="28"/>
          <w:szCs w:val="28"/>
          <w:highlight w:val="none"/>
        </w:rPr>
      </w:pPr>
      <w:bookmarkStart w:id="24" w:name="_Toc16975"/>
      <w:bookmarkStart w:id="25" w:name="_Toc28996"/>
      <w:r>
        <w:rPr>
          <w:rFonts w:ascii="Arial" w:hAnsi="Arial" w:eastAsia="黑体" w:cs="Arial"/>
          <w:b/>
          <w:color w:val="auto"/>
          <w:sz w:val="28"/>
          <w:szCs w:val="28"/>
          <w:highlight w:val="none"/>
        </w:rPr>
        <w:t>第二章 投标人须知</w:t>
      </w:r>
      <w:bookmarkEnd w:id="24"/>
      <w:bookmarkEnd w:id="25"/>
    </w:p>
    <w:p w14:paraId="3BF080A8">
      <w:pPr>
        <w:widowControl/>
        <w:shd w:val="clear" w:color="auto" w:fill="FFFFFF"/>
        <w:spacing w:line="440" w:lineRule="exact"/>
        <w:rPr>
          <w:rFonts w:ascii="Arial" w:hAnsi="Arial" w:cs="Arial"/>
          <w:b/>
          <w:bCs/>
          <w:color w:val="auto"/>
          <w:sz w:val="24"/>
          <w:highlight w:val="none"/>
        </w:rPr>
      </w:pPr>
      <w:r>
        <w:rPr>
          <w:rFonts w:ascii="Arial" w:hAnsi="Arial" w:cs="Arial"/>
          <w:b/>
          <w:bCs/>
          <w:color w:val="auto"/>
          <w:sz w:val="24"/>
          <w:highlight w:val="none"/>
        </w:rPr>
        <w:t>投标人须知前附表</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9"/>
        <w:gridCol w:w="8928"/>
      </w:tblGrid>
      <w:tr w14:paraId="1E8B76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0"/>
            <w:vAlign w:val="center"/>
          </w:tcPr>
          <w:p w14:paraId="1FD58147">
            <w:pPr>
              <w:spacing w:line="440" w:lineRule="exact"/>
              <w:jc w:val="center"/>
              <w:rPr>
                <w:rFonts w:ascii="Arial" w:hAnsi="Arial" w:cs="Arial"/>
                <w:b/>
                <w:color w:val="auto"/>
                <w:sz w:val="24"/>
                <w:highlight w:val="none"/>
              </w:rPr>
            </w:pPr>
            <w:r>
              <w:rPr>
                <w:rFonts w:ascii="Arial" w:hAnsi="Arial" w:cs="Arial"/>
                <w:b/>
                <w:color w:val="auto"/>
                <w:sz w:val="24"/>
                <w:highlight w:val="none"/>
              </w:rPr>
              <w:t>序号</w:t>
            </w:r>
          </w:p>
        </w:tc>
        <w:tc>
          <w:tcPr>
            <w:tcW w:w="8928" w:type="dxa"/>
            <w:noWrap w:val="0"/>
            <w:vAlign w:val="center"/>
          </w:tcPr>
          <w:p w14:paraId="4A4975F5">
            <w:pPr>
              <w:spacing w:line="440" w:lineRule="exact"/>
              <w:jc w:val="center"/>
              <w:rPr>
                <w:rFonts w:ascii="Arial" w:hAnsi="Arial" w:cs="Arial"/>
                <w:b/>
                <w:color w:val="auto"/>
                <w:sz w:val="24"/>
                <w:highlight w:val="none"/>
              </w:rPr>
            </w:pPr>
            <w:r>
              <w:rPr>
                <w:rFonts w:ascii="Arial" w:hAnsi="Arial" w:cs="Arial"/>
                <w:b/>
                <w:color w:val="auto"/>
                <w:sz w:val="24"/>
                <w:highlight w:val="none"/>
              </w:rPr>
              <w:t>主要内容</w:t>
            </w:r>
          </w:p>
        </w:tc>
      </w:tr>
      <w:tr w14:paraId="7CEB99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0"/>
            <w:vAlign w:val="center"/>
          </w:tcPr>
          <w:p w14:paraId="733553FB">
            <w:pPr>
              <w:spacing w:line="440" w:lineRule="exact"/>
              <w:jc w:val="center"/>
              <w:rPr>
                <w:rFonts w:ascii="Arial" w:hAnsi="Arial" w:cs="Arial"/>
                <w:b/>
                <w:color w:val="auto"/>
                <w:sz w:val="24"/>
                <w:highlight w:val="none"/>
              </w:rPr>
            </w:pPr>
            <w:r>
              <w:rPr>
                <w:rFonts w:hint="eastAsia" w:ascii="Arial" w:hAnsi="Arial" w:cs="Arial"/>
                <w:b/>
                <w:color w:val="auto"/>
                <w:sz w:val="24"/>
                <w:highlight w:val="none"/>
              </w:rPr>
              <w:t>1</w:t>
            </w:r>
          </w:p>
        </w:tc>
        <w:tc>
          <w:tcPr>
            <w:tcW w:w="8928" w:type="dxa"/>
            <w:noWrap w:val="0"/>
            <w:vAlign w:val="center"/>
          </w:tcPr>
          <w:p w14:paraId="025E966C">
            <w:pPr>
              <w:pStyle w:val="274"/>
              <w:spacing w:before="0" w:beforeAutospacing="0" w:after="0" w:afterAutospacing="0" w:line="440" w:lineRule="exact"/>
              <w:rPr>
                <w:rFonts w:ascii="Arial" w:hAnsi="Arial" w:eastAsia="宋体" w:cs="Arial"/>
                <w:color w:val="auto"/>
                <w:sz w:val="21"/>
                <w:szCs w:val="21"/>
                <w:highlight w:val="none"/>
              </w:rPr>
            </w:pPr>
            <w:r>
              <w:rPr>
                <w:rFonts w:hint="eastAsia" w:ascii="Arial" w:hAnsi="Arial" w:eastAsia="宋体" w:cs="Arial"/>
                <w:color w:val="auto"/>
                <w:sz w:val="21"/>
                <w:szCs w:val="21"/>
                <w:highlight w:val="none"/>
              </w:rPr>
              <w:t>采购人</w:t>
            </w:r>
            <w:r>
              <w:rPr>
                <w:rFonts w:ascii="Arial" w:hAnsi="Arial" w:eastAsia="宋体" w:cs="Arial"/>
                <w:color w:val="auto"/>
                <w:sz w:val="21"/>
                <w:szCs w:val="21"/>
                <w:highlight w:val="none"/>
              </w:rPr>
              <w:t>：</w:t>
            </w:r>
            <w:r>
              <w:rPr>
                <w:rFonts w:hint="eastAsia" w:ascii="Arial" w:hAnsi="Arial" w:eastAsia="宋体" w:cs="Arial"/>
                <w:color w:val="auto"/>
                <w:sz w:val="21"/>
                <w:szCs w:val="21"/>
                <w:highlight w:val="none"/>
                <w:lang w:eastAsia="zh-CN"/>
              </w:rPr>
              <w:t>南京市公安局玄武分局</w:t>
            </w:r>
            <w:r>
              <w:rPr>
                <w:rFonts w:hint="eastAsia" w:ascii="Arial" w:hAnsi="Arial" w:eastAsia="宋体" w:cs="Arial"/>
                <w:color w:val="auto"/>
                <w:sz w:val="21"/>
                <w:szCs w:val="21"/>
                <w:highlight w:val="none"/>
              </w:rPr>
              <w:t xml:space="preserve"> </w:t>
            </w:r>
          </w:p>
          <w:p w14:paraId="633DB69B">
            <w:pPr>
              <w:spacing w:line="360" w:lineRule="auto"/>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联系人：</w:t>
            </w:r>
            <w:r>
              <w:rPr>
                <w:rFonts w:hint="eastAsia" w:asciiTheme="minorEastAsia" w:hAnsiTheme="minorEastAsia" w:eastAsiaTheme="minorEastAsia" w:cstheme="minorEastAsia"/>
                <w:color w:val="auto"/>
                <w:highlight w:val="none"/>
                <w:lang w:val="en-US" w:eastAsia="zh-CN"/>
              </w:rPr>
              <w:t>李警官</w:t>
            </w:r>
          </w:p>
          <w:p w14:paraId="72446D43">
            <w:pPr>
              <w:spacing w:line="360" w:lineRule="auto"/>
              <w:rPr>
                <w:rFonts w:hint="default" w:ascii="Arial" w:hAnsi="Arial" w:eastAsia="宋体" w:cs="Arial"/>
                <w:color w:val="auto"/>
                <w:sz w:val="21"/>
                <w:szCs w:val="21"/>
                <w:highlight w:val="none"/>
                <w:lang w:val="en-US"/>
              </w:rPr>
            </w:pPr>
            <w:r>
              <w:rPr>
                <w:rFonts w:hint="eastAsia" w:ascii="Arial" w:hAnsi="Arial" w:eastAsia="宋体" w:cs="Arial"/>
                <w:color w:val="auto"/>
                <w:sz w:val="21"/>
                <w:szCs w:val="21"/>
                <w:highlight w:val="none"/>
              </w:rPr>
              <w:t>联系方式：</w:t>
            </w:r>
            <w:r>
              <w:rPr>
                <w:rFonts w:hint="eastAsia" w:ascii="宋体" w:hAnsi="宋体" w:cs="宋体"/>
                <w:color w:val="auto"/>
                <w:szCs w:val="21"/>
                <w:highlight w:val="none"/>
                <w:lang w:val="en-US" w:eastAsia="zh-CN"/>
              </w:rPr>
              <w:t>025-84421198</w:t>
            </w:r>
          </w:p>
          <w:p w14:paraId="1B2A2DF3">
            <w:pPr>
              <w:spacing w:line="360" w:lineRule="auto"/>
              <w:rPr>
                <w:rFonts w:hint="eastAsia" w:ascii="Arial" w:hAnsi="Arial" w:eastAsia="宋体" w:cs="Arial"/>
                <w:b/>
                <w:color w:val="auto"/>
                <w:sz w:val="24"/>
                <w:highlight w:val="none"/>
                <w:lang w:eastAsia="zh-CN"/>
              </w:rPr>
            </w:pPr>
            <w:r>
              <w:rPr>
                <w:rFonts w:ascii="Arial" w:hAnsi="Arial" w:cs="Arial"/>
                <w:color w:val="auto"/>
                <w:szCs w:val="21"/>
                <w:highlight w:val="none"/>
              </w:rPr>
              <w:t>地址：</w:t>
            </w:r>
            <w:r>
              <w:rPr>
                <w:rFonts w:hint="eastAsia" w:ascii="宋体" w:hAnsi="宋体" w:cs="宋体"/>
                <w:color w:val="auto"/>
                <w:szCs w:val="21"/>
                <w:highlight w:val="none"/>
                <w:lang w:eastAsia="zh-CN"/>
              </w:rPr>
              <w:t>南京市玄武区红山路196号</w:t>
            </w:r>
          </w:p>
        </w:tc>
      </w:tr>
      <w:tr w14:paraId="7B2ED8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0"/>
            <w:vAlign w:val="center"/>
          </w:tcPr>
          <w:p w14:paraId="7DD8BFFC">
            <w:pPr>
              <w:spacing w:line="440" w:lineRule="exact"/>
              <w:jc w:val="center"/>
              <w:rPr>
                <w:rFonts w:ascii="Arial" w:hAnsi="Arial" w:cs="Arial"/>
                <w:b/>
                <w:color w:val="auto"/>
                <w:sz w:val="24"/>
                <w:highlight w:val="none"/>
              </w:rPr>
            </w:pPr>
            <w:r>
              <w:rPr>
                <w:rFonts w:hint="eastAsia" w:ascii="Arial" w:hAnsi="Arial" w:cs="Arial"/>
                <w:b/>
                <w:color w:val="auto"/>
                <w:sz w:val="24"/>
                <w:highlight w:val="none"/>
              </w:rPr>
              <w:t>2</w:t>
            </w:r>
          </w:p>
        </w:tc>
        <w:tc>
          <w:tcPr>
            <w:tcW w:w="8928" w:type="dxa"/>
            <w:noWrap w:val="0"/>
            <w:vAlign w:val="center"/>
          </w:tcPr>
          <w:p w14:paraId="2FB6C9DC">
            <w:pPr>
              <w:pStyle w:val="274"/>
              <w:spacing w:before="0" w:beforeAutospacing="0" w:after="0" w:afterAutospacing="0" w:line="440" w:lineRule="exact"/>
              <w:rPr>
                <w:rFonts w:hint="eastAsia" w:ascii="Arial" w:hAnsi="Arial" w:eastAsia="宋体" w:cs="Arial"/>
                <w:color w:val="auto"/>
                <w:sz w:val="21"/>
                <w:szCs w:val="21"/>
                <w:highlight w:val="none"/>
                <w:lang w:eastAsia="zh-CN"/>
              </w:rPr>
            </w:pPr>
            <w:r>
              <w:rPr>
                <w:rFonts w:hint="eastAsia" w:ascii="Arial" w:hAnsi="Arial" w:eastAsia="宋体" w:cs="Arial"/>
                <w:color w:val="auto"/>
                <w:sz w:val="21"/>
                <w:szCs w:val="21"/>
                <w:highlight w:val="none"/>
              </w:rPr>
              <w:t>采购代理机构：</w:t>
            </w:r>
            <w:r>
              <w:rPr>
                <w:rFonts w:hint="eastAsia" w:ascii="Arial" w:hAnsi="Arial" w:eastAsia="宋体" w:cs="Arial"/>
                <w:color w:val="auto"/>
                <w:sz w:val="21"/>
                <w:szCs w:val="21"/>
                <w:highlight w:val="none"/>
                <w:lang w:eastAsia="zh-CN"/>
              </w:rPr>
              <w:t>江苏盛德量行建设咨询有限公司</w:t>
            </w:r>
          </w:p>
          <w:p w14:paraId="4AB11510">
            <w:pPr>
              <w:pStyle w:val="274"/>
              <w:spacing w:before="0" w:beforeAutospacing="0" w:after="0" w:afterAutospacing="0" w:line="440" w:lineRule="exact"/>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联系人：刘乃东  </w:t>
            </w:r>
          </w:p>
          <w:p w14:paraId="6EC5B3E8">
            <w:pPr>
              <w:pStyle w:val="274"/>
              <w:spacing w:before="0" w:beforeAutospacing="0" w:after="0" w:afterAutospacing="0" w:line="440" w:lineRule="exact"/>
              <w:rPr>
                <w:rFonts w:hint="eastAsia" w:ascii="Arial" w:hAnsi="Arial" w:eastAsia="宋体" w:cs="Arial"/>
                <w:color w:val="auto"/>
                <w:sz w:val="21"/>
                <w:szCs w:val="21"/>
                <w:highlight w:val="none"/>
                <w:lang w:eastAsia="zh-CN"/>
              </w:rPr>
            </w:pPr>
            <w:r>
              <w:rPr>
                <w:rFonts w:hint="eastAsia" w:ascii="Arial" w:hAnsi="Arial" w:eastAsia="宋体" w:cs="Arial"/>
                <w:color w:val="auto"/>
                <w:sz w:val="21"/>
                <w:szCs w:val="21"/>
                <w:highlight w:val="none"/>
              </w:rPr>
              <w:t>联系电话：</w:t>
            </w:r>
            <w:r>
              <w:rPr>
                <w:rFonts w:hint="eastAsia" w:ascii="Arial" w:hAnsi="Arial" w:eastAsia="宋体" w:cs="Arial"/>
                <w:color w:val="auto"/>
                <w:sz w:val="21"/>
                <w:szCs w:val="21"/>
                <w:highlight w:val="none"/>
                <w:lang w:eastAsia="zh-CN"/>
              </w:rPr>
              <w:t>13032553886</w:t>
            </w:r>
          </w:p>
          <w:p w14:paraId="4350E8F4">
            <w:pPr>
              <w:pStyle w:val="274"/>
              <w:spacing w:before="0" w:beforeAutospacing="0" w:after="0" w:afterAutospacing="0" w:line="440" w:lineRule="exact"/>
              <w:rPr>
                <w:rFonts w:hint="eastAsia" w:ascii="Arial" w:hAnsi="Arial" w:eastAsia="宋体" w:cs="Arial"/>
                <w:color w:val="auto"/>
                <w:szCs w:val="21"/>
                <w:highlight w:val="none"/>
                <w:lang w:eastAsia="zh-CN"/>
              </w:rPr>
            </w:pPr>
            <w:r>
              <w:rPr>
                <w:rFonts w:hint="eastAsia" w:ascii="Arial" w:hAnsi="Arial" w:eastAsia="宋体" w:cs="Arial"/>
                <w:color w:val="auto"/>
                <w:sz w:val="21"/>
                <w:szCs w:val="21"/>
                <w:highlight w:val="none"/>
              </w:rPr>
              <w:t>联系地址：</w:t>
            </w:r>
            <w:r>
              <w:rPr>
                <w:rFonts w:hint="eastAsia" w:ascii="Arial" w:hAnsi="Arial" w:eastAsia="宋体" w:cs="Arial"/>
                <w:color w:val="auto"/>
                <w:sz w:val="21"/>
                <w:szCs w:val="21"/>
                <w:highlight w:val="none"/>
                <w:lang w:eastAsia="zh-CN"/>
              </w:rPr>
              <w:t>南京市建邺区泰山路151号新丽华中心11层</w:t>
            </w:r>
          </w:p>
        </w:tc>
      </w:tr>
      <w:tr w14:paraId="6035AF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0"/>
            <w:vAlign w:val="center"/>
          </w:tcPr>
          <w:p w14:paraId="32BF7BD4">
            <w:pPr>
              <w:spacing w:line="440" w:lineRule="exact"/>
              <w:jc w:val="center"/>
              <w:rPr>
                <w:rFonts w:ascii="Arial" w:hAnsi="Arial" w:cs="Arial"/>
                <w:b/>
                <w:color w:val="auto"/>
                <w:szCs w:val="21"/>
                <w:highlight w:val="none"/>
              </w:rPr>
            </w:pPr>
            <w:r>
              <w:rPr>
                <w:rFonts w:hint="eastAsia" w:ascii="Arial" w:hAnsi="Arial" w:cs="Arial"/>
                <w:b/>
                <w:color w:val="auto"/>
                <w:szCs w:val="21"/>
                <w:highlight w:val="none"/>
              </w:rPr>
              <w:t>3</w:t>
            </w:r>
          </w:p>
        </w:tc>
        <w:tc>
          <w:tcPr>
            <w:tcW w:w="8928" w:type="dxa"/>
            <w:noWrap w:val="0"/>
            <w:vAlign w:val="center"/>
          </w:tcPr>
          <w:p w14:paraId="376F84E4">
            <w:pPr>
              <w:widowControl/>
              <w:shd w:val="clear" w:color="auto" w:fill="FFFFFF"/>
              <w:spacing w:line="440" w:lineRule="exact"/>
              <w:rPr>
                <w:rFonts w:ascii="Arial" w:hAnsi="Arial" w:cs="Arial"/>
                <w:color w:val="auto"/>
                <w:szCs w:val="21"/>
                <w:highlight w:val="none"/>
              </w:rPr>
            </w:pPr>
            <w:r>
              <w:rPr>
                <w:rFonts w:hint="eastAsia" w:ascii="Arial" w:hAnsi="Arial" w:cs="Arial"/>
                <w:color w:val="auto"/>
                <w:szCs w:val="21"/>
                <w:highlight w:val="none"/>
              </w:rPr>
              <w:t>项目名称：</w:t>
            </w:r>
            <w:r>
              <w:rPr>
                <w:rFonts w:hint="eastAsia" w:ascii="Arial" w:hAnsi="Arial" w:cs="Arial"/>
                <w:color w:val="auto"/>
                <w:szCs w:val="21"/>
                <w:highlight w:val="none"/>
                <w:lang w:eastAsia="zh-CN"/>
              </w:rPr>
              <w:t>2026年玄武分局机关食堂食材采购项目</w:t>
            </w:r>
            <w:r>
              <w:rPr>
                <w:rFonts w:hint="eastAsia" w:ascii="Arial" w:hAnsi="Arial" w:cs="Arial"/>
                <w:color w:val="auto"/>
                <w:szCs w:val="21"/>
                <w:highlight w:val="none"/>
              </w:rPr>
              <w:t xml:space="preserve"> </w:t>
            </w:r>
            <w:r>
              <w:rPr>
                <w:rFonts w:ascii="Arial" w:hAnsi="Arial" w:cs="Arial"/>
                <w:color w:val="auto"/>
                <w:szCs w:val="21"/>
                <w:highlight w:val="none"/>
              </w:rPr>
              <w:t xml:space="preserve"> </w:t>
            </w:r>
          </w:p>
          <w:p w14:paraId="09CAFE31">
            <w:pPr>
              <w:widowControl/>
              <w:shd w:val="clear" w:color="auto" w:fill="FFFFFF"/>
              <w:spacing w:line="440" w:lineRule="exact"/>
              <w:rPr>
                <w:rFonts w:hint="eastAsia" w:ascii="Arial" w:hAnsi="Arial" w:eastAsia="宋体" w:cs="Arial"/>
                <w:b/>
                <w:color w:val="auto"/>
                <w:szCs w:val="21"/>
                <w:highlight w:val="none"/>
                <w:lang w:eastAsia="zh-CN"/>
              </w:rPr>
            </w:pPr>
            <w:r>
              <w:rPr>
                <w:rFonts w:ascii="Arial" w:hAnsi="Arial" w:cs="Arial"/>
                <w:color w:val="auto"/>
                <w:szCs w:val="21"/>
                <w:highlight w:val="none"/>
              </w:rPr>
              <w:t>项目编号：</w:t>
            </w:r>
            <w:r>
              <w:rPr>
                <w:rFonts w:hint="eastAsia" w:ascii="Arial" w:hAnsi="Arial" w:cs="Arial"/>
                <w:color w:val="auto"/>
                <w:szCs w:val="21"/>
                <w:highlight w:val="none"/>
                <w:lang w:eastAsia="zh-CN"/>
              </w:rPr>
              <w:t>JSZC-320100-SDLH-G2026-0005</w:t>
            </w:r>
          </w:p>
        </w:tc>
      </w:tr>
      <w:tr w14:paraId="0B2CC7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0"/>
            <w:vAlign w:val="center"/>
          </w:tcPr>
          <w:p w14:paraId="670E4CBA">
            <w:pPr>
              <w:spacing w:line="440" w:lineRule="exact"/>
              <w:jc w:val="center"/>
              <w:rPr>
                <w:rFonts w:ascii="Arial" w:hAnsi="Arial" w:cs="Arial"/>
                <w:b/>
                <w:color w:val="auto"/>
                <w:szCs w:val="21"/>
                <w:highlight w:val="none"/>
              </w:rPr>
            </w:pPr>
            <w:r>
              <w:rPr>
                <w:rFonts w:hint="eastAsia" w:ascii="Arial" w:hAnsi="Arial" w:cs="Arial"/>
                <w:b/>
                <w:color w:val="auto"/>
                <w:szCs w:val="21"/>
                <w:highlight w:val="none"/>
              </w:rPr>
              <w:t>4</w:t>
            </w:r>
          </w:p>
        </w:tc>
        <w:tc>
          <w:tcPr>
            <w:tcW w:w="8928" w:type="dxa"/>
            <w:noWrap w:val="0"/>
            <w:vAlign w:val="center"/>
          </w:tcPr>
          <w:p w14:paraId="73996293">
            <w:pPr>
              <w:widowControl/>
              <w:shd w:val="clear" w:color="auto" w:fill="FFFFFF"/>
              <w:spacing w:line="440" w:lineRule="exact"/>
              <w:rPr>
                <w:rFonts w:ascii="Arial" w:hAnsi="Arial" w:cs="Arial"/>
                <w:color w:val="auto"/>
                <w:szCs w:val="21"/>
                <w:highlight w:val="none"/>
              </w:rPr>
            </w:pPr>
            <w:r>
              <w:rPr>
                <w:rFonts w:hint="eastAsia" w:ascii="Arial" w:hAnsi="Arial" w:cs="Arial"/>
                <w:color w:val="auto"/>
                <w:szCs w:val="21"/>
                <w:highlight w:val="none"/>
              </w:rPr>
              <w:t>采购方式：</w:t>
            </w:r>
            <w:r>
              <w:rPr>
                <w:rFonts w:hint="eastAsia" w:ascii="Arial" w:hAnsi="Arial" w:cs="Arial"/>
                <w:b/>
                <w:bCs/>
                <w:color w:val="auto"/>
                <w:szCs w:val="21"/>
                <w:highlight w:val="none"/>
              </w:rPr>
              <w:t xml:space="preserve">公开招标 </w:t>
            </w:r>
          </w:p>
        </w:tc>
      </w:tr>
      <w:tr w14:paraId="3807B6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0"/>
            <w:vAlign w:val="center"/>
          </w:tcPr>
          <w:p w14:paraId="79CFD079">
            <w:pPr>
              <w:spacing w:line="440" w:lineRule="exact"/>
              <w:jc w:val="center"/>
              <w:rPr>
                <w:rFonts w:ascii="Arial" w:hAnsi="Arial" w:cs="Arial"/>
                <w:b/>
                <w:color w:val="auto"/>
                <w:szCs w:val="21"/>
                <w:highlight w:val="none"/>
              </w:rPr>
            </w:pPr>
            <w:r>
              <w:rPr>
                <w:rFonts w:hint="eastAsia" w:ascii="Arial" w:hAnsi="Arial" w:cs="Arial"/>
                <w:b/>
                <w:color w:val="auto"/>
                <w:szCs w:val="21"/>
                <w:highlight w:val="none"/>
              </w:rPr>
              <w:t>5</w:t>
            </w:r>
          </w:p>
        </w:tc>
        <w:tc>
          <w:tcPr>
            <w:tcW w:w="8928" w:type="dxa"/>
            <w:noWrap w:val="0"/>
            <w:vAlign w:val="center"/>
          </w:tcPr>
          <w:p w14:paraId="6FD357FF">
            <w:pPr>
              <w:widowControl/>
              <w:shd w:val="clear" w:color="auto" w:fill="FFFFFF"/>
              <w:spacing w:line="440" w:lineRule="exact"/>
              <w:rPr>
                <w:rFonts w:ascii="Arial" w:hAnsi="Arial" w:cs="Arial"/>
                <w:color w:val="auto"/>
                <w:szCs w:val="21"/>
                <w:highlight w:val="none"/>
              </w:rPr>
            </w:pPr>
            <w:r>
              <w:rPr>
                <w:rFonts w:ascii="Arial" w:hAnsi="Arial" w:cs="Arial"/>
                <w:b/>
                <w:bCs/>
                <w:color w:val="auto"/>
                <w:szCs w:val="21"/>
                <w:highlight w:val="none"/>
              </w:rPr>
              <w:t>投标有效期</w:t>
            </w:r>
            <w:r>
              <w:rPr>
                <w:rFonts w:ascii="Arial" w:hAnsi="Arial" w:cs="Arial"/>
                <w:color w:val="auto"/>
                <w:szCs w:val="21"/>
                <w:highlight w:val="none"/>
              </w:rPr>
              <w:t>：开标之日起90天</w:t>
            </w:r>
          </w:p>
        </w:tc>
      </w:tr>
      <w:tr w14:paraId="629CA4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trPr>
        <w:tc>
          <w:tcPr>
            <w:tcW w:w="819" w:type="dxa"/>
            <w:noWrap w:val="0"/>
            <w:vAlign w:val="center"/>
          </w:tcPr>
          <w:p w14:paraId="08007BF8">
            <w:pPr>
              <w:spacing w:line="440" w:lineRule="exact"/>
              <w:jc w:val="center"/>
              <w:rPr>
                <w:rFonts w:ascii="Arial" w:hAnsi="Arial" w:cs="Arial"/>
                <w:b/>
                <w:color w:val="auto"/>
                <w:szCs w:val="21"/>
                <w:highlight w:val="none"/>
              </w:rPr>
            </w:pPr>
            <w:r>
              <w:rPr>
                <w:rFonts w:hint="eastAsia" w:ascii="Arial" w:hAnsi="Arial" w:cs="Arial"/>
                <w:b/>
                <w:color w:val="auto"/>
                <w:szCs w:val="21"/>
                <w:highlight w:val="none"/>
              </w:rPr>
              <w:t>6</w:t>
            </w:r>
          </w:p>
        </w:tc>
        <w:tc>
          <w:tcPr>
            <w:tcW w:w="8928" w:type="dxa"/>
            <w:noWrap w:val="0"/>
            <w:vAlign w:val="center"/>
          </w:tcPr>
          <w:p w14:paraId="6F0854F4">
            <w:pPr>
              <w:widowControl/>
              <w:shd w:val="clear" w:color="auto" w:fill="FFFFFF"/>
              <w:spacing w:line="440" w:lineRule="exact"/>
              <w:jc w:val="left"/>
              <w:rPr>
                <w:rFonts w:ascii="Arial" w:hAnsi="Arial" w:cs="Arial"/>
                <w:b/>
                <w:color w:val="auto"/>
                <w:szCs w:val="21"/>
                <w:highlight w:val="none"/>
              </w:rPr>
            </w:pPr>
            <w:r>
              <w:rPr>
                <w:rFonts w:ascii="Arial" w:hAnsi="Arial" w:cs="Arial"/>
                <w:b/>
                <w:bCs/>
                <w:color w:val="auto"/>
                <w:szCs w:val="21"/>
                <w:highlight w:val="none"/>
              </w:rPr>
              <w:t>投标保证金</w:t>
            </w:r>
            <w:r>
              <w:rPr>
                <w:rFonts w:hint="eastAsia" w:ascii="Arial" w:hAnsi="Arial" w:cs="Arial"/>
                <w:b/>
                <w:bCs/>
                <w:color w:val="auto"/>
                <w:szCs w:val="21"/>
                <w:highlight w:val="none"/>
              </w:rPr>
              <w:t>：本项目无需缴纳投标保证金</w:t>
            </w:r>
          </w:p>
        </w:tc>
      </w:tr>
      <w:tr w14:paraId="2839C0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trPr>
        <w:tc>
          <w:tcPr>
            <w:tcW w:w="819" w:type="dxa"/>
            <w:noWrap w:val="0"/>
            <w:vAlign w:val="center"/>
          </w:tcPr>
          <w:p w14:paraId="7024FC1A">
            <w:pPr>
              <w:spacing w:line="440" w:lineRule="exact"/>
              <w:jc w:val="center"/>
              <w:rPr>
                <w:rFonts w:ascii="Arial" w:hAnsi="Arial" w:cs="Arial"/>
                <w:b/>
                <w:color w:val="auto"/>
                <w:szCs w:val="21"/>
                <w:highlight w:val="none"/>
              </w:rPr>
            </w:pPr>
            <w:r>
              <w:rPr>
                <w:rFonts w:hint="eastAsia" w:ascii="Arial" w:hAnsi="Arial" w:cs="Arial"/>
                <w:b/>
                <w:color w:val="auto"/>
                <w:szCs w:val="21"/>
                <w:highlight w:val="none"/>
              </w:rPr>
              <w:t>7</w:t>
            </w:r>
          </w:p>
        </w:tc>
        <w:tc>
          <w:tcPr>
            <w:tcW w:w="8928" w:type="dxa"/>
            <w:noWrap w:val="0"/>
            <w:vAlign w:val="center"/>
          </w:tcPr>
          <w:p w14:paraId="31E58734">
            <w:pPr>
              <w:spacing w:line="440" w:lineRule="exact"/>
              <w:jc w:val="left"/>
              <w:rPr>
                <w:rFonts w:ascii="Arial" w:hAnsi="Arial" w:cs="Arial"/>
                <w:color w:val="auto"/>
                <w:szCs w:val="21"/>
                <w:highlight w:val="none"/>
              </w:rPr>
            </w:pPr>
            <w:r>
              <w:rPr>
                <w:rFonts w:ascii="Arial" w:hAnsi="Arial" w:cs="Arial"/>
                <w:color w:val="auto"/>
                <w:szCs w:val="21"/>
                <w:highlight w:val="none"/>
              </w:rPr>
              <w:t>投标文件接收截止时间：</w:t>
            </w:r>
            <w:r>
              <w:rPr>
                <w:rFonts w:hint="eastAsia" w:ascii="Arial" w:hAnsi="Arial" w:cs="Arial"/>
                <w:color w:val="auto"/>
                <w:szCs w:val="21"/>
                <w:highlight w:val="none"/>
              </w:rPr>
              <w:t xml:space="preserve">2026年05月27日上午09：30（北京时间） </w:t>
            </w:r>
          </w:p>
          <w:p w14:paraId="42D0BD7F">
            <w:pPr>
              <w:spacing w:line="440" w:lineRule="exact"/>
              <w:jc w:val="left"/>
              <w:rPr>
                <w:rFonts w:ascii="Arial" w:hAnsi="Arial" w:cs="Arial"/>
                <w:color w:val="auto"/>
                <w:szCs w:val="21"/>
                <w:highlight w:val="none"/>
              </w:rPr>
            </w:pPr>
            <w:r>
              <w:rPr>
                <w:rFonts w:ascii="Arial" w:hAnsi="Arial" w:cs="Arial"/>
                <w:color w:val="auto"/>
                <w:szCs w:val="21"/>
                <w:highlight w:val="none"/>
              </w:rPr>
              <w:t>开标时间：</w:t>
            </w:r>
            <w:r>
              <w:rPr>
                <w:rFonts w:hint="eastAsia" w:ascii="Arial" w:hAnsi="Arial" w:cs="Arial"/>
                <w:color w:val="auto"/>
                <w:szCs w:val="21"/>
                <w:highlight w:val="none"/>
              </w:rPr>
              <w:t>2026年05月27日上午09：30（北京时间）</w:t>
            </w:r>
            <w:bookmarkStart w:id="203" w:name="_GoBack"/>
            <w:bookmarkEnd w:id="203"/>
          </w:p>
          <w:p w14:paraId="6CF4DD21">
            <w:pPr>
              <w:spacing w:line="440" w:lineRule="exact"/>
              <w:jc w:val="left"/>
              <w:rPr>
                <w:rFonts w:ascii="Arial" w:hAnsi="Arial" w:cs="Arial"/>
                <w:color w:val="auto"/>
                <w:szCs w:val="21"/>
                <w:highlight w:val="none"/>
              </w:rPr>
            </w:pPr>
            <w:r>
              <w:rPr>
                <w:rFonts w:ascii="Arial" w:hAnsi="Arial" w:cs="Arial"/>
                <w:color w:val="auto"/>
                <w:szCs w:val="21"/>
                <w:highlight w:val="none"/>
              </w:rPr>
              <w:t>地点：</w:t>
            </w:r>
            <w:r>
              <w:rPr>
                <w:rFonts w:hint="eastAsia" w:ascii="Arial" w:hAnsi="Arial" w:cs="Arial"/>
                <w:color w:val="auto"/>
                <w:szCs w:val="21"/>
                <w:highlight w:val="none"/>
              </w:rPr>
              <w:t>“苏采云”政府采购交易系统网上开标大厅</w:t>
            </w:r>
          </w:p>
        </w:tc>
      </w:tr>
      <w:tr w14:paraId="045125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819" w:type="dxa"/>
            <w:noWrap w:val="0"/>
            <w:vAlign w:val="center"/>
          </w:tcPr>
          <w:p w14:paraId="69B4A235">
            <w:pPr>
              <w:spacing w:line="440" w:lineRule="exact"/>
              <w:jc w:val="center"/>
              <w:rPr>
                <w:rFonts w:ascii="Arial" w:hAnsi="Arial" w:cs="Arial"/>
                <w:b/>
                <w:color w:val="auto"/>
                <w:szCs w:val="21"/>
                <w:highlight w:val="none"/>
              </w:rPr>
            </w:pPr>
            <w:r>
              <w:rPr>
                <w:rFonts w:hint="eastAsia" w:ascii="Arial" w:hAnsi="Arial" w:cs="Arial"/>
                <w:b/>
                <w:color w:val="auto"/>
                <w:szCs w:val="21"/>
                <w:highlight w:val="none"/>
              </w:rPr>
              <w:t>8</w:t>
            </w:r>
          </w:p>
        </w:tc>
        <w:tc>
          <w:tcPr>
            <w:tcW w:w="8928" w:type="dxa"/>
            <w:noWrap w:val="0"/>
            <w:vAlign w:val="center"/>
          </w:tcPr>
          <w:p w14:paraId="4C2FE2B5">
            <w:pPr>
              <w:spacing w:line="440" w:lineRule="exact"/>
              <w:rPr>
                <w:rFonts w:hint="eastAsia" w:ascii="Arial" w:hAnsi="Arial" w:eastAsia="宋体" w:cs="Arial"/>
                <w:b/>
                <w:bCs/>
                <w:color w:val="auto"/>
                <w:szCs w:val="21"/>
                <w:highlight w:val="none"/>
                <w:lang w:eastAsia="zh-CN"/>
              </w:rPr>
            </w:pPr>
            <w:r>
              <w:rPr>
                <w:rFonts w:ascii="Arial" w:hAnsi="Arial" w:cs="Arial"/>
                <w:b/>
                <w:bCs/>
                <w:color w:val="auto"/>
                <w:szCs w:val="21"/>
                <w:highlight w:val="none"/>
              </w:rPr>
              <w:t>投标报价：</w:t>
            </w:r>
            <w:r>
              <w:rPr>
                <w:rFonts w:hint="eastAsia" w:ascii="Arial" w:hAnsi="Arial" w:cs="Arial"/>
                <w:b/>
                <w:bCs/>
                <w:color w:val="auto"/>
                <w:szCs w:val="21"/>
                <w:highlight w:val="none"/>
              </w:rPr>
              <w:t>本项目以优惠率报价</w:t>
            </w:r>
            <w:r>
              <w:rPr>
                <w:rFonts w:hint="eastAsia" w:ascii="Arial" w:hAnsi="Arial" w:cs="Arial"/>
                <w:b/>
                <w:bCs/>
                <w:color w:val="auto"/>
                <w:szCs w:val="21"/>
                <w:highlight w:val="none"/>
                <w:lang w:eastAsia="zh-CN"/>
              </w:rPr>
              <w:t>。</w:t>
            </w:r>
          </w:p>
          <w:p w14:paraId="2F82B4AD">
            <w:pPr>
              <w:spacing w:line="460" w:lineRule="exact"/>
              <w:rPr>
                <w:color w:val="auto"/>
                <w:highlight w:val="none"/>
              </w:rPr>
            </w:pPr>
            <w:r>
              <w:rPr>
                <w:rFonts w:hint="eastAsia" w:ascii="宋体" w:hAnsi="宋体" w:cs="宋体"/>
                <w:color w:val="auto"/>
                <w:highlight w:val="none"/>
              </w:rPr>
              <w:t>投标人的投标响应报价应遵守“中华人民共和国价格法”。</w:t>
            </w:r>
            <w:r>
              <w:rPr>
                <w:rFonts w:hint="eastAsia" w:ascii="宋体" w:hAnsi="宋体" w:eastAsia="宋体" w:cs="宋体"/>
                <w:color w:val="000000"/>
                <w:sz w:val="21"/>
                <w:szCs w:val="21"/>
                <w:highlight w:val="none"/>
                <w:lang w:eastAsia="zh-CN"/>
              </w:rPr>
              <w:t>本次报价包含：商品价、运输费（含装卸费）、人工费、保险费、税费、培训费、货物送到甲方指定地点等的所有费用。</w:t>
            </w:r>
          </w:p>
        </w:tc>
      </w:tr>
      <w:tr w14:paraId="58B611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819" w:type="dxa"/>
            <w:noWrap w:val="0"/>
            <w:vAlign w:val="center"/>
          </w:tcPr>
          <w:p w14:paraId="5C24FD2C">
            <w:pPr>
              <w:spacing w:line="440" w:lineRule="exact"/>
              <w:jc w:val="center"/>
              <w:rPr>
                <w:rFonts w:ascii="Arial" w:hAnsi="Arial" w:cs="Arial"/>
                <w:b/>
                <w:color w:val="auto"/>
                <w:szCs w:val="21"/>
                <w:highlight w:val="none"/>
              </w:rPr>
            </w:pPr>
            <w:r>
              <w:rPr>
                <w:rFonts w:hint="eastAsia" w:ascii="Arial" w:hAnsi="Arial" w:cs="Arial"/>
                <w:b/>
                <w:color w:val="auto"/>
                <w:szCs w:val="21"/>
                <w:highlight w:val="none"/>
              </w:rPr>
              <w:t>9</w:t>
            </w:r>
          </w:p>
        </w:tc>
        <w:tc>
          <w:tcPr>
            <w:tcW w:w="8928" w:type="dxa"/>
            <w:noWrap w:val="0"/>
            <w:vAlign w:val="center"/>
          </w:tcPr>
          <w:p w14:paraId="58777F78">
            <w:pPr>
              <w:spacing w:line="440" w:lineRule="exact"/>
              <w:ind w:firstLine="15"/>
              <w:rPr>
                <w:rFonts w:ascii="Arial" w:hAnsi="Arial" w:cs="Arial"/>
                <w:bCs/>
                <w:color w:val="auto"/>
                <w:highlight w:val="none"/>
              </w:rPr>
            </w:pPr>
            <w:r>
              <w:rPr>
                <w:rFonts w:hint="eastAsia" w:ascii="Arial" w:hAnsi="Arial" w:cs="Arial"/>
                <w:b/>
                <w:color w:val="auto"/>
                <w:highlight w:val="none"/>
              </w:rPr>
              <w:t>现场勘查要求：本项目不组织</w:t>
            </w:r>
            <w:r>
              <w:rPr>
                <w:rFonts w:ascii="Arial" w:hAnsi="Arial" w:cs="Arial"/>
                <w:color w:val="auto"/>
                <w:highlight w:val="none"/>
              </w:rPr>
              <w:t>。</w:t>
            </w:r>
            <w:r>
              <w:rPr>
                <w:rFonts w:hint="eastAsia" w:ascii="Arial" w:hAnsi="Arial" w:cs="Arial"/>
                <w:b/>
                <w:color w:val="auto"/>
                <w:highlight w:val="none"/>
              </w:rPr>
              <w:t xml:space="preserve">供应商可自行联系采购人。未考察现场或考察工作不详细的供应商中标后，不得以不完全了解现场情况为理由而向采购人提出任何索赔或其他要求，对此采购人不承担任何责任并将不作任何答复。 </w:t>
            </w:r>
          </w:p>
        </w:tc>
      </w:tr>
      <w:tr w14:paraId="41F91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3" w:hRule="atLeast"/>
        </w:trPr>
        <w:tc>
          <w:tcPr>
            <w:tcW w:w="819" w:type="dxa"/>
            <w:noWrap w:val="0"/>
            <w:vAlign w:val="center"/>
          </w:tcPr>
          <w:p w14:paraId="352E6745">
            <w:pPr>
              <w:spacing w:line="440" w:lineRule="exact"/>
              <w:jc w:val="center"/>
              <w:rPr>
                <w:rFonts w:ascii="Arial" w:hAnsi="Arial" w:cs="Arial"/>
                <w:color w:val="auto"/>
                <w:szCs w:val="21"/>
                <w:highlight w:val="none"/>
              </w:rPr>
            </w:pPr>
            <w:r>
              <w:rPr>
                <w:rFonts w:hint="eastAsia" w:ascii="Arial" w:hAnsi="Arial" w:cs="Arial"/>
                <w:b/>
                <w:color w:val="auto"/>
                <w:szCs w:val="21"/>
                <w:highlight w:val="none"/>
              </w:rPr>
              <w:t>10</w:t>
            </w:r>
          </w:p>
        </w:tc>
        <w:tc>
          <w:tcPr>
            <w:tcW w:w="8928" w:type="dxa"/>
            <w:noWrap w:val="0"/>
            <w:vAlign w:val="center"/>
          </w:tcPr>
          <w:p w14:paraId="0E2FB029">
            <w:pPr>
              <w:widowControl/>
              <w:shd w:val="clear" w:color="auto" w:fill="FFFFFF"/>
              <w:spacing w:line="440" w:lineRule="exact"/>
              <w:rPr>
                <w:rFonts w:ascii="Arial" w:hAnsi="Arial" w:cs="Arial"/>
                <w:color w:val="auto"/>
                <w:szCs w:val="21"/>
                <w:highlight w:val="none"/>
              </w:rPr>
            </w:pPr>
            <w:r>
              <w:rPr>
                <w:rFonts w:ascii="Arial" w:hAnsi="Arial" w:cs="Arial"/>
                <w:b/>
                <w:bCs/>
                <w:color w:val="auto"/>
                <w:szCs w:val="21"/>
                <w:highlight w:val="none"/>
              </w:rPr>
              <w:t>投标报价中的投标价不得超过招标公告、招标文件规定的</w:t>
            </w:r>
            <w:r>
              <w:rPr>
                <w:rFonts w:hint="eastAsia" w:ascii="Arial" w:hAnsi="Arial" w:cs="Arial"/>
                <w:b/>
                <w:bCs/>
                <w:color w:val="auto"/>
                <w:szCs w:val="21"/>
                <w:highlight w:val="none"/>
                <w:lang w:val="en-US" w:eastAsia="zh-CN"/>
              </w:rPr>
              <w:t>最高限价或预算</w:t>
            </w:r>
            <w:r>
              <w:rPr>
                <w:rFonts w:ascii="Arial" w:hAnsi="Arial" w:cs="Arial"/>
                <w:b/>
                <w:bCs/>
                <w:color w:val="auto"/>
                <w:szCs w:val="21"/>
                <w:highlight w:val="none"/>
              </w:rPr>
              <w:t>，超过规定的</w:t>
            </w:r>
            <w:r>
              <w:rPr>
                <w:rFonts w:hint="eastAsia" w:ascii="Arial" w:hAnsi="Arial" w:cs="Arial"/>
                <w:b/>
                <w:bCs/>
                <w:color w:val="auto"/>
                <w:szCs w:val="21"/>
                <w:highlight w:val="none"/>
                <w:lang w:val="en-US" w:eastAsia="zh-CN"/>
              </w:rPr>
              <w:t>最高限价或预算</w:t>
            </w:r>
            <w:r>
              <w:rPr>
                <w:rFonts w:ascii="Arial" w:hAnsi="Arial" w:cs="Arial"/>
                <w:b/>
                <w:bCs/>
                <w:color w:val="auto"/>
                <w:szCs w:val="21"/>
                <w:highlight w:val="none"/>
              </w:rPr>
              <w:t xml:space="preserve">的投标文件，按无效投标处理。 </w:t>
            </w:r>
          </w:p>
        </w:tc>
      </w:tr>
    </w:tbl>
    <w:p w14:paraId="10ABF9C0">
      <w:pPr>
        <w:widowControl/>
        <w:shd w:val="clear" w:color="auto" w:fill="FFFFFF"/>
        <w:spacing w:line="440" w:lineRule="exact"/>
        <w:ind w:firstLine="420"/>
        <w:rPr>
          <w:rFonts w:ascii="Arial" w:hAnsi="Arial" w:cs="Arial"/>
          <w:b/>
          <w:bCs/>
          <w:color w:val="auto"/>
          <w:sz w:val="24"/>
          <w:highlight w:val="none"/>
        </w:rPr>
        <w:sectPr>
          <w:headerReference r:id="rId8" w:type="default"/>
          <w:footerReference r:id="rId9" w:type="default"/>
          <w:pgSz w:w="11906" w:h="16838"/>
          <w:pgMar w:top="1560" w:right="851" w:bottom="567" w:left="1134" w:header="1247" w:footer="567" w:gutter="0"/>
          <w:pgNumType w:fmt="decimal" w:start="1"/>
          <w:cols w:space="720" w:num="1"/>
          <w:docGrid w:linePitch="360" w:charSpace="0"/>
        </w:sectPr>
      </w:pPr>
      <w:bookmarkStart w:id="26" w:name="_Toc8539"/>
      <w:bookmarkStart w:id="27" w:name="_Toc19726"/>
    </w:p>
    <w:p w14:paraId="48D55AE6">
      <w:pPr>
        <w:widowControl/>
        <w:shd w:val="clear" w:color="auto" w:fill="FFFFFF"/>
        <w:spacing w:line="440" w:lineRule="exact"/>
        <w:outlineLvl w:val="1"/>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bCs/>
          <w:color w:val="auto"/>
          <w:sz w:val="24"/>
          <w:highlight w:val="none"/>
        </w:rPr>
        <w:t>一、总 则</w:t>
      </w:r>
      <w:bookmarkEnd w:id="26"/>
      <w:bookmarkEnd w:id="27"/>
    </w:p>
    <w:p w14:paraId="196E43C3">
      <w:pPr>
        <w:spacing w:line="360" w:lineRule="auto"/>
        <w:ind w:firstLine="420"/>
        <w:outlineLvl w:val="2"/>
        <w:rPr>
          <w:rFonts w:hint="eastAsia" w:asciiTheme="minorEastAsia" w:hAnsiTheme="minorEastAsia" w:eastAsiaTheme="minorEastAsia" w:cstheme="minorEastAsia"/>
          <w:b/>
          <w:color w:val="auto"/>
          <w:szCs w:val="21"/>
          <w:highlight w:val="none"/>
          <w:lang w:val="zh-CN"/>
        </w:rPr>
      </w:pPr>
      <w:bookmarkStart w:id="28" w:name="_Toc30044"/>
      <w:bookmarkStart w:id="29" w:name="_Toc3951"/>
      <w:bookmarkStart w:id="30" w:name="_Toc16938520"/>
      <w:bookmarkStart w:id="31" w:name="_Toc513029204"/>
      <w:bookmarkStart w:id="32" w:name="_Toc24947"/>
      <w:bookmarkStart w:id="33" w:name="_Toc20823276"/>
      <w:bookmarkStart w:id="34" w:name="_Toc458694821"/>
      <w:r>
        <w:rPr>
          <w:rFonts w:hint="eastAsia" w:asciiTheme="minorEastAsia" w:hAnsiTheme="minorEastAsia" w:eastAsiaTheme="minorEastAsia" w:cstheme="minorEastAsia"/>
          <w:b/>
          <w:bCs/>
          <w:color w:val="auto"/>
          <w:szCs w:val="21"/>
          <w:highlight w:val="none"/>
          <w:lang w:val="zh-CN"/>
        </w:rPr>
        <w:t>1.</w:t>
      </w:r>
      <w:r>
        <w:rPr>
          <w:rFonts w:hint="eastAsia" w:asciiTheme="minorEastAsia" w:hAnsiTheme="minorEastAsia" w:eastAsiaTheme="minorEastAsia" w:cstheme="minorEastAsia"/>
          <w:b/>
          <w:color w:val="auto"/>
          <w:szCs w:val="21"/>
          <w:highlight w:val="none"/>
          <w:lang w:val="zh-CN"/>
        </w:rPr>
        <w:t>适用法律</w:t>
      </w:r>
      <w:bookmarkEnd w:id="28"/>
      <w:bookmarkEnd w:id="29"/>
    </w:p>
    <w:p w14:paraId="697F586B">
      <w:pPr>
        <w:spacing w:line="360" w:lineRule="auto"/>
        <w:ind w:firstLine="420"/>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1.1 </w:t>
      </w:r>
      <w:r>
        <w:rPr>
          <w:rFonts w:hint="eastAsia" w:asciiTheme="minorEastAsia" w:hAnsiTheme="minorEastAsia" w:eastAsiaTheme="minorEastAsia" w:cstheme="minorEastAsia"/>
          <w:color w:val="auto"/>
          <w:szCs w:val="21"/>
          <w:highlight w:val="none"/>
        </w:rPr>
        <w:t>《中华人民共和国招标投标法》、</w:t>
      </w:r>
      <w:r>
        <w:rPr>
          <w:rFonts w:hint="eastAsia" w:asciiTheme="minorEastAsia" w:hAnsiTheme="minorEastAsia" w:eastAsiaTheme="minorEastAsia" w:cstheme="minorEastAsia"/>
          <w:color w:val="auto"/>
          <w:szCs w:val="21"/>
          <w:highlight w:val="none"/>
          <w:lang w:val="zh-CN"/>
        </w:rPr>
        <w:t>《中华人民共和国政府采购法》、《中华人民共和国政府采购法实施条例》、《政府采购货物和服务招标投标管理办法》等有关法律、规章和规定等。</w:t>
      </w:r>
      <w:bookmarkStart w:id="35" w:name="_Toc10994"/>
      <w:bookmarkStart w:id="36" w:name="_Toc17176"/>
    </w:p>
    <w:p w14:paraId="176BD23C">
      <w:pPr>
        <w:spacing w:line="360" w:lineRule="auto"/>
        <w:ind w:firstLine="420"/>
        <w:outlineLvl w:val="2"/>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2.</w:t>
      </w:r>
      <w:r>
        <w:rPr>
          <w:rFonts w:hint="eastAsia" w:asciiTheme="minorEastAsia" w:hAnsiTheme="minorEastAsia" w:eastAsiaTheme="minorEastAsia" w:cstheme="minorEastAsia"/>
          <w:b/>
          <w:color w:val="auto"/>
          <w:szCs w:val="21"/>
          <w:highlight w:val="none"/>
          <w:lang w:val="zh-CN"/>
        </w:rPr>
        <w:t>定义</w:t>
      </w:r>
      <w:bookmarkEnd w:id="30"/>
      <w:bookmarkEnd w:id="31"/>
      <w:bookmarkEnd w:id="32"/>
      <w:bookmarkEnd w:id="33"/>
      <w:bookmarkEnd w:id="34"/>
      <w:bookmarkEnd w:id="35"/>
      <w:bookmarkEnd w:id="36"/>
    </w:p>
    <w:p w14:paraId="3270C99E">
      <w:pPr>
        <w:spacing w:line="440" w:lineRule="exact"/>
        <w:ind w:firstLine="420"/>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color w:val="auto"/>
          <w:szCs w:val="21"/>
          <w:highlight w:val="none"/>
        </w:rPr>
        <w:t>2.1本文件</w:t>
      </w:r>
      <w:r>
        <w:rPr>
          <w:rFonts w:hint="eastAsia" w:asciiTheme="minorEastAsia" w:hAnsiTheme="minorEastAsia" w:eastAsiaTheme="minorEastAsia" w:cstheme="minorEastAsia"/>
          <w:bCs/>
          <w:color w:val="auto"/>
          <w:highlight w:val="none"/>
        </w:rPr>
        <w:t xml:space="preserve">中采购代理机构为 </w:t>
      </w:r>
      <w:r>
        <w:rPr>
          <w:rFonts w:hint="eastAsia" w:asciiTheme="minorEastAsia" w:hAnsiTheme="minorEastAsia" w:eastAsiaTheme="minorEastAsia" w:cstheme="minorEastAsia"/>
          <w:b/>
          <w:color w:val="auto"/>
          <w:highlight w:val="none"/>
          <w:u w:val="single"/>
          <w:lang w:eastAsia="zh-CN"/>
        </w:rPr>
        <w:t>江苏盛德量行建设咨询有限公司</w:t>
      </w:r>
      <w:r>
        <w:rPr>
          <w:rFonts w:hint="eastAsia" w:asciiTheme="minorEastAsia" w:hAnsiTheme="minorEastAsia" w:eastAsiaTheme="minorEastAsia" w:cstheme="minorEastAsia"/>
          <w:bCs/>
          <w:color w:val="auto"/>
          <w:highlight w:val="none"/>
        </w:rPr>
        <w:t>；采购人为</w:t>
      </w:r>
      <w:r>
        <w:rPr>
          <w:rFonts w:hint="eastAsia" w:asciiTheme="minorEastAsia" w:hAnsiTheme="minorEastAsia" w:eastAsiaTheme="minorEastAsia" w:cstheme="minorEastAsia"/>
          <w:b/>
          <w:color w:val="auto"/>
          <w:highlight w:val="none"/>
          <w:u w:val="single"/>
          <w:lang w:eastAsia="zh-CN"/>
        </w:rPr>
        <w:t>南京市公安局玄武分局</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Cs/>
          <w:color w:val="auto"/>
          <w:highlight w:val="none"/>
        </w:rPr>
        <w:t>；投标人（亦称供应商）系指参加投标竞争并满足招标文件资格要求规定的法人、其他组织或者自然人。</w:t>
      </w:r>
    </w:p>
    <w:p w14:paraId="0D96A006">
      <w:pPr>
        <w:spacing w:line="440" w:lineRule="exact"/>
        <w:ind w:firstLine="420"/>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2.2“货物和服务”指本文件中所述产品及相关货物和服务。</w:t>
      </w:r>
    </w:p>
    <w:p w14:paraId="4F68664D">
      <w:pPr>
        <w:spacing w:line="440" w:lineRule="exact"/>
        <w:ind w:firstLine="420"/>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2.3“用户或使用单位”指使用</w:t>
      </w:r>
      <w:r>
        <w:rPr>
          <w:rFonts w:hint="eastAsia" w:asciiTheme="minorEastAsia" w:hAnsiTheme="minorEastAsia" w:eastAsiaTheme="minorEastAsia" w:cstheme="minorEastAsia"/>
          <w:color w:val="auto"/>
          <w:szCs w:val="21"/>
          <w:highlight w:val="none"/>
          <w:lang w:val="zh-CN"/>
        </w:rPr>
        <w:t>货物、服务的</w:t>
      </w:r>
      <w:r>
        <w:rPr>
          <w:rFonts w:hint="eastAsia" w:asciiTheme="minorEastAsia" w:hAnsiTheme="minorEastAsia" w:eastAsiaTheme="minorEastAsia" w:cstheme="minorEastAsia"/>
          <w:bCs/>
          <w:color w:val="auto"/>
          <w:highlight w:val="none"/>
        </w:rPr>
        <w:t>单位。</w:t>
      </w:r>
    </w:p>
    <w:p w14:paraId="6036B670">
      <w:pPr>
        <w:spacing w:line="360" w:lineRule="auto"/>
        <w:ind w:firstLine="422"/>
        <w:outlineLvl w:val="2"/>
        <w:rPr>
          <w:rFonts w:hint="eastAsia" w:asciiTheme="minorEastAsia" w:hAnsiTheme="minorEastAsia" w:eastAsiaTheme="minorEastAsia" w:cstheme="minorEastAsia"/>
          <w:b/>
          <w:color w:val="auto"/>
          <w:szCs w:val="21"/>
          <w:highlight w:val="none"/>
          <w:lang w:val="zh-CN"/>
        </w:rPr>
      </w:pPr>
      <w:bookmarkStart w:id="37" w:name="_Toc25880"/>
      <w:bookmarkStart w:id="38" w:name="_Toc18001"/>
      <w:bookmarkStart w:id="39" w:name="_Toc4759"/>
      <w:bookmarkStart w:id="40" w:name="_Toc25651"/>
      <w:bookmarkStart w:id="41" w:name="_Toc462564067"/>
      <w:bookmarkStart w:id="42" w:name="_Toc513029207"/>
      <w:bookmarkStart w:id="43" w:name="_Toc17711"/>
      <w:bookmarkStart w:id="44" w:name="_Toc20823279"/>
      <w:bookmarkStart w:id="45" w:name="_Toc16938523"/>
      <w:r>
        <w:rPr>
          <w:rFonts w:hint="eastAsia" w:asciiTheme="minorEastAsia" w:hAnsiTheme="minorEastAsia" w:eastAsiaTheme="minorEastAsia" w:cstheme="minorEastAsia"/>
          <w:b/>
          <w:color w:val="auto"/>
          <w:szCs w:val="21"/>
          <w:highlight w:val="none"/>
        </w:rPr>
        <w:t>3.</w:t>
      </w:r>
      <w:r>
        <w:rPr>
          <w:rFonts w:hint="eastAsia" w:asciiTheme="minorEastAsia" w:hAnsiTheme="minorEastAsia" w:eastAsiaTheme="minorEastAsia" w:cstheme="minorEastAsia"/>
          <w:b/>
          <w:color w:val="auto"/>
          <w:szCs w:val="21"/>
          <w:highlight w:val="none"/>
          <w:lang w:val="zh-CN"/>
        </w:rPr>
        <w:t>政策功能</w:t>
      </w:r>
      <w:bookmarkEnd w:id="37"/>
      <w:bookmarkEnd w:id="38"/>
    </w:p>
    <w:p w14:paraId="6A50AFB4">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3.1线上融资</w:t>
      </w:r>
    </w:p>
    <w:p w14:paraId="28C0A7E3">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p>
    <w:p w14:paraId="30990EDE">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3.2中小企业、监狱和戒毒企业及残疾人福利性单位</w:t>
      </w:r>
    </w:p>
    <w:p w14:paraId="6C1E73A1">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3.2.1 政府采购促进中小企业发展，在政府采购活动中，供应商提供的货物、工程或者服务符合下列情形的，享受中小企业扶持政策：</w:t>
      </w:r>
    </w:p>
    <w:p w14:paraId="41826105">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（1）在货物采购项目中，货物由中小企业制造，即货物由中小企业生产且使用该中小企业商号或者注册商标；</w:t>
      </w:r>
    </w:p>
    <w:p w14:paraId="119732F3">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（2）在工程采购项目中，工程由中小企业承建，即工程施工单位为中小企业；</w:t>
      </w:r>
    </w:p>
    <w:p w14:paraId="266C89DF">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（3）在服务采购项目中，服务由中小企业承接，即提供服务的人员为中小企业依照《中华人民共和国劳动合同法》订立劳动合同的从业人员。</w:t>
      </w:r>
    </w:p>
    <w:p w14:paraId="28A31B63">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在货物采购项目中，供应商提供的货物既有中小企业制造货物，也有大型企业制造货物的，不享受中小企业扶持政策。</w:t>
      </w:r>
    </w:p>
    <w:p w14:paraId="45CEEB2C">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以联合体形式参加政府采购活动，联合体各方均为中小企业的，联合体视同中小企业。其中，联合体各方均为小微企业的，联合体视同小微企业。</w:t>
      </w:r>
    </w:p>
    <w:p w14:paraId="5DCBEE0F">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中小企业供应商参加政府采购活动，应当出具《中小企业声明函》（格式见后附件），否则不得享受相关中小企业扶持政策。</w:t>
      </w:r>
    </w:p>
    <w:p w14:paraId="74FC72B2">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中小企业，是指在中华人民共和国境内依法设立，依据国务院批准的中小企业划分标准（详见《关于印发中小企业划型标准规定的通知》</w:t>
      </w:r>
    </w:p>
    <w:p w14:paraId="37019324">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7589C4D1">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3.2.2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4F3E5B8B">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3.2.3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738836B5">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注：①参加投标的中小企业，应当按照《政府采购促进中小企业发展管理办法》（财库〔2020〕46号）规定，出具《中小企业声明函》，否则不得享受相关中小企业扶持政策。</w:t>
      </w:r>
    </w:p>
    <w:p w14:paraId="59C63E88">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14:paraId="60EC0EDA">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69600983">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p>
    <w:p w14:paraId="57DB7BC0">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5F5945BC">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3.3节能产品、信息安全产品、环境标志产品</w:t>
      </w:r>
    </w:p>
    <w:p w14:paraId="53DD9499">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3.3.1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p>
    <w:p w14:paraId="1C7E39CF">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3.3.2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p>
    <w:p w14:paraId="299A6A54">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3.3.3 提供的产品属于信息安全产品的，供应商应当选择经国家认证的信息安全产品投标，并提供由中国网络安全审查技术与认证中心按国家标准认证颁发的有效认证证书扫描件。</w:t>
      </w:r>
    </w:p>
    <w:p w14:paraId="7AAC3F13">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3.3.4 提供的产品属于政府强制采购节能产品的，供应商应当选择依据国家标准中二级能效（水效）指标认证的节能产品投标，并提供有效的节能产品认证证书扫描件。</w:t>
      </w:r>
    </w:p>
    <w:p w14:paraId="0F40ECBA">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3.3.5提供的产品属于环境标志产品的,供应商应当选择依据相关标准的最新版本认证的环境标志产品投标,并提供有效的环境标志产品认证证书扫描件。</w:t>
      </w:r>
    </w:p>
    <w:p w14:paraId="4453CC1B">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3.4进口产品政策</w:t>
      </w:r>
    </w:p>
    <w:p w14:paraId="52722FBB">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3.4.1除招标公告载明接受进口产品参加外，不允许进口产品参加。进口产品认定依照《财政部关于政府采购进口产品管理有关问题的通知》（财办库〔2008〕248号）的规定。</w:t>
      </w:r>
    </w:p>
    <w:p w14:paraId="5B575160">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3.4.2允许进口产品参加的，满足需求的国内产品可以参加。</w:t>
      </w:r>
    </w:p>
    <w:p w14:paraId="651CC617">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3.4.3允许进口产品参加的，优先采购向我国企业转让技术、与我国企业签订消化吸收再创新方案的供应商的进口产品。</w:t>
      </w:r>
    </w:p>
    <w:p w14:paraId="7DC0BCF9">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3.5绿色采购</w:t>
      </w:r>
    </w:p>
    <w:p w14:paraId="4C975091">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3.5.1中标/成交供应商对涉及商品的包装应按照《关于印发《商品包装政府采购需求标准（试行）》、《快递包装政府采购需求标准（试行）》（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p>
    <w:p w14:paraId="26850B6C">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3.5.2涉及数据中心相关设备、运维服务的，应按照《关于印发〈绿色数据中心政府采购需求标准（试行）的通知》（财办库〔2023〕7号）、《江苏省财政厅关于加强政府绿色采购有关事项的通知》（苏财购〔2023〕65号）等文件执行。中标/成交供应商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06F6FFD6">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3.5.3采购产品中涉及涂料、胶黏剂、油墨、清洗剂等挥发性有机物产品的，属于强制性标准的，供应商应当提供符合国家和江苏省相关VOCs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62F33777">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3.5.4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14:paraId="34B37E51">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3.5.5落实政府采购《绿色建筑和绿色建材政府采购需求标准》（财库〔2022〕35号文）和《政府采购支持绿色建材促进建筑品质提升政策项目实施指南》（财办库〔2023〕52号）文件标准。</w:t>
      </w:r>
    </w:p>
    <w:p w14:paraId="58F3C7B5">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3.6创新产品采购</w:t>
      </w:r>
    </w:p>
    <w:p w14:paraId="27F3A11F">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优先采购各级政府部门公开发布的有效期内的创新产品、首台套等《目录》内的创新产品。创新产品自进入《目录》起2年内视同具备相应销售业绩。</w:t>
      </w:r>
    </w:p>
    <w:p w14:paraId="56D5C271">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3.7网络产品、市场准入类产品采购</w:t>
      </w:r>
    </w:p>
    <w:p w14:paraId="4BDC552E">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3.7.1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已由具备资格的机构安全认证合格或安全检测符合要求；二是已获得《计算机信息系统安全专用产品销售许可证》，且在有效期内。采购人、中标/成交供应商双方签订合同及验收环节，应包含上述网络安全要求的条款。</w:t>
      </w:r>
    </w:p>
    <w:p w14:paraId="64D7488E">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3.7.2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p>
    <w:p w14:paraId="05BDF543">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3.8脱贫攻坚支持政策根据《关于运用政府采购政策支持脱贫攻坚的通知》（财库〔2019〕27 号），鼓励采用优先采购、预留采购份额方式采购贫困地区农副产品；鼓励优先采购聘用建档立卡贫困人员物业公司提供的物业服务。</w:t>
      </w:r>
    </w:p>
    <w:p w14:paraId="0A80465F">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w:t>
      </w:r>
      <w:r>
        <w:rPr>
          <w:rFonts w:hint="eastAsia" w:asciiTheme="minorEastAsia" w:hAnsiTheme="minorEastAsia" w:eastAsiaTheme="minorEastAsia" w:cstheme="minorEastAsia"/>
          <w:color w:val="auto"/>
          <w:szCs w:val="21"/>
          <w:highlight w:val="none"/>
          <w:lang w:val="en-US" w:eastAsia="zh-CN"/>
        </w:rPr>
        <w:t>9</w:t>
      </w:r>
      <w:r>
        <w:rPr>
          <w:rFonts w:hint="eastAsia" w:asciiTheme="minorEastAsia" w:hAnsiTheme="minorEastAsia" w:eastAsiaTheme="minorEastAsia" w:cstheme="minorEastAsia"/>
          <w:color w:val="auto"/>
          <w:szCs w:val="21"/>
          <w:highlight w:val="none"/>
        </w:rPr>
        <w:t>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p>
    <w:p w14:paraId="52EE2E2F">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3.1</w:t>
      </w:r>
      <w:r>
        <w:rPr>
          <w:rFonts w:hint="eastAsia" w:asciiTheme="minorEastAsia" w:hAnsiTheme="minorEastAsia" w:eastAsiaTheme="minorEastAsia" w:cstheme="minorEastAsia"/>
          <w:color w:val="auto"/>
          <w:szCs w:val="21"/>
          <w:highlight w:val="none"/>
          <w:lang w:val="en-US" w:eastAsia="zh-CN"/>
        </w:rPr>
        <w:t>0</w:t>
      </w:r>
      <w:r>
        <w:rPr>
          <w:rFonts w:hint="eastAsia" w:asciiTheme="minorEastAsia" w:hAnsiTheme="minorEastAsia" w:eastAsiaTheme="minorEastAsia" w:cstheme="minorEastAsia"/>
          <w:color w:val="auto"/>
          <w:szCs w:val="21"/>
          <w:highlight w:val="none"/>
        </w:rPr>
        <w:t>落实政府采购领域数字人民币政策</w:t>
      </w:r>
    </w:p>
    <w:p w14:paraId="6A14F442">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在政府采购履约保证金、代理服务费和货款资金支付中，鼓励以数字人民币作为支付方式。</w:t>
      </w:r>
    </w:p>
    <w:p w14:paraId="2D2884D5">
      <w:pPr>
        <w:spacing w:line="360" w:lineRule="auto"/>
        <w:ind w:firstLine="482"/>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bCs/>
          <w:color w:val="auto"/>
          <w:szCs w:val="21"/>
          <w:highlight w:val="none"/>
        </w:rPr>
        <w:t>注：未按要求提供相关材料的，不享受相关政策。</w:t>
      </w:r>
    </w:p>
    <w:p w14:paraId="0F5D7256">
      <w:pPr>
        <w:spacing w:line="360" w:lineRule="auto"/>
        <w:ind w:firstLine="420"/>
        <w:outlineLvl w:val="2"/>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4.</w:t>
      </w:r>
      <w:r>
        <w:rPr>
          <w:rFonts w:hint="eastAsia" w:asciiTheme="minorEastAsia" w:hAnsiTheme="minorEastAsia" w:eastAsiaTheme="minorEastAsia" w:cstheme="minorEastAsia"/>
          <w:b/>
          <w:color w:val="auto"/>
          <w:szCs w:val="21"/>
          <w:highlight w:val="none"/>
          <w:lang w:val="zh-CN"/>
        </w:rPr>
        <w:t>投标费用</w:t>
      </w:r>
      <w:bookmarkEnd w:id="39"/>
      <w:bookmarkEnd w:id="40"/>
      <w:bookmarkEnd w:id="41"/>
      <w:bookmarkEnd w:id="42"/>
      <w:bookmarkEnd w:id="43"/>
      <w:bookmarkEnd w:id="44"/>
      <w:bookmarkEnd w:id="45"/>
    </w:p>
    <w:p w14:paraId="258959E6">
      <w:pPr>
        <w:spacing w:line="440" w:lineRule="exact"/>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4.1 供应商应自行承担所有与参加投标有关的费用，无论采购结果如何，代理机构和采购人在任何情况下均无义务和责任承担这些费用。</w:t>
      </w:r>
    </w:p>
    <w:p w14:paraId="0F6C68D7">
      <w:pPr>
        <w:spacing w:line="360" w:lineRule="auto"/>
        <w:ind w:firstLine="420"/>
        <w:outlineLvl w:val="2"/>
        <w:rPr>
          <w:rFonts w:hint="eastAsia" w:asciiTheme="minorEastAsia" w:hAnsiTheme="minorEastAsia" w:eastAsiaTheme="minorEastAsia" w:cstheme="minorEastAsia"/>
          <w:b/>
          <w:color w:val="auto"/>
          <w:szCs w:val="21"/>
          <w:highlight w:val="none"/>
          <w:lang w:val="zh-CN"/>
        </w:rPr>
      </w:pPr>
      <w:bookmarkStart w:id="46" w:name="_Toc25474"/>
      <w:bookmarkStart w:id="47" w:name="_Toc344"/>
      <w:r>
        <w:rPr>
          <w:rFonts w:hint="eastAsia" w:asciiTheme="minorEastAsia" w:hAnsiTheme="minorEastAsia" w:eastAsiaTheme="minorEastAsia" w:cstheme="minorEastAsia"/>
          <w:b/>
          <w:bCs/>
          <w:color w:val="auto"/>
          <w:szCs w:val="21"/>
          <w:highlight w:val="none"/>
          <w:lang w:val="zh-CN"/>
        </w:rPr>
        <w:t>5.</w:t>
      </w:r>
      <w:r>
        <w:rPr>
          <w:rFonts w:hint="eastAsia" w:asciiTheme="minorEastAsia" w:hAnsiTheme="minorEastAsia" w:eastAsiaTheme="minorEastAsia" w:cstheme="minorEastAsia"/>
          <w:b/>
          <w:color w:val="auto"/>
          <w:szCs w:val="21"/>
          <w:highlight w:val="none"/>
          <w:lang w:val="zh-CN"/>
        </w:rPr>
        <w:t>招标文件的约束力</w:t>
      </w:r>
      <w:bookmarkEnd w:id="46"/>
      <w:bookmarkEnd w:id="47"/>
    </w:p>
    <w:p w14:paraId="6EDFDD18">
      <w:pPr>
        <w:spacing w:line="440" w:lineRule="exact"/>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5.1 供应商一旦参加本项目采购活动，即被认为接受了本招标文件的规定和约束。</w:t>
      </w:r>
    </w:p>
    <w:p w14:paraId="750EC370">
      <w:pPr>
        <w:widowControl/>
        <w:shd w:val="clear" w:color="auto" w:fill="FFFFFF"/>
        <w:spacing w:line="440" w:lineRule="exact"/>
        <w:ind w:firstLine="420"/>
        <w:outlineLvl w:val="1"/>
        <w:rPr>
          <w:rFonts w:hint="eastAsia" w:asciiTheme="minorEastAsia" w:hAnsiTheme="minorEastAsia" w:eastAsiaTheme="minorEastAsia" w:cstheme="minorEastAsia"/>
          <w:b/>
          <w:bCs/>
          <w:color w:val="auto"/>
          <w:sz w:val="24"/>
          <w:highlight w:val="none"/>
        </w:rPr>
      </w:pPr>
      <w:bookmarkStart w:id="48" w:name="_Toc11232"/>
      <w:bookmarkStart w:id="49" w:name="_Toc16938525"/>
      <w:bookmarkStart w:id="50" w:name="_Toc20823281"/>
      <w:bookmarkStart w:id="51" w:name="_Toc513029209"/>
      <w:bookmarkStart w:id="52" w:name="_Toc120614215"/>
      <w:bookmarkStart w:id="53" w:name="_Toc15035"/>
      <w:r>
        <w:rPr>
          <w:rFonts w:hint="eastAsia" w:asciiTheme="minorEastAsia" w:hAnsiTheme="minorEastAsia" w:eastAsiaTheme="minorEastAsia" w:cstheme="minorEastAsia"/>
          <w:b/>
          <w:bCs/>
          <w:color w:val="auto"/>
          <w:sz w:val="24"/>
          <w:highlight w:val="none"/>
        </w:rPr>
        <w:t>二、招标文件</w:t>
      </w:r>
      <w:bookmarkEnd w:id="48"/>
      <w:bookmarkEnd w:id="49"/>
      <w:bookmarkEnd w:id="50"/>
      <w:bookmarkEnd w:id="51"/>
      <w:bookmarkEnd w:id="52"/>
      <w:bookmarkEnd w:id="53"/>
    </w:p>
    <w:p w14:paraId="735E01E8">
      <w:pPr>
        <w:spacing w:line="360" w:lineRule="auto"/>
        <w:ind w:firstLine="420"/>
        <w:outlineLvl w:val="2"/>
        <w:rPr>
          <w:rFonts w:hint="eastAsia" w:asciiTheme="minorEastAsia" w:hAnsiTheme="minorEastAsia" w:eastAsiaTheme="minorEastAsia" w:cstheme="minorEastAsia"/>
          <w:b/>
          <w:color w:val="auto"/>
          <w:szCs w:val="21"/>
          <w:highlight w:val="none"/>
          <w:lang w:val="zh-CN"/>
        </w:rPr>
      </w:pPr>
      <w:bookmarkStart w:id="54" w:name="_Toc2899"/>
      <w:bookmarkStart w:id="55" w:name="_Toc20823282"/>
      <w:bookmarkStart w:id="56" w:name="_Toc513029210"/>
      <w:bookmarkStart w:id="57" w:name="_Toc31631"/>
      <w:bookmarkStart w:id="58" w:name="_Toc16938526"/>
      <w:r>
        <w:rPr>
          <w:rFonts w:hint="eastAsia" w:asciiTheme="minorEastAsia" w:hAnsiTheme="minorEastAsia" w:eastAsiaTheme="minorEastAsia" w:cstheme="minorEastAsia"/>
          <w:b/>
          <w:bCs/>
          <w:color w:val="auto"/>
          <w:szCs w:val="21"/>
          <w:highlight w:val="none"/>
          <w:lang w:val="zh-CN"/>
        </w:rPr>
        <w:t>6.</w:t>
      </w:r>
      <w:r>
        <w:rPr>
          <w:rFonts w:hint="eastAsia" w:asciiTheme="minorEastAsia" w:hAnsiTheme="minorEastAsia" w:eastAsiaTheme="minorEastAsia" w:cstheme="minorEastAsia"/>
          <w:b/>
          <w:color w:val="auto"/>
          <w:szCs w:val="21"/>
          <w:highlight w:val="none"/>
          <w:lang w:val="zh-CN"/>
        </w:rPr>
        <w:t>招标文件构成</w:t>
      </w:r>
      <w:bookmarkEnd w:id="54"/>
      <w:bookmarkEnd w:id="55"/>
      <w:bookmarkEnd w:id="56"/>
      <w:bookmarkEnd w:id="57"/>
      <w:bookmarkEnd w:id="58"/>
    </w:p>
    <w:p w14:paraId="1E18D597">
      <w:pPr>
        <w:spacing w:line="440" w:lineRule="exact"/>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6.1 招标文件由以下部分组成：</w:t>
      </w:r>
    </w:p>
    <w:p w14:paraId="33911873">
      <w:pPr>
        <w:spacing w:line="440" w:lineRule="exact"/>
        <w:ind w:firstLine="84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第一章  招标邀请</w:t>
      </w:r>
    </w:p>
    <w:p w14:paraId="0326758C">
      <w:pPr>
        <w:spacing w:line="440" w:lineRule="exact"/>
        <w:ind w:firstLine="84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第二章  投标人须知</w:t>
      </w:r>
    </w:p>
    <w:p w14:paraId="274D9845">
      <w:pPr>
        <w:spacing w:line="440" w:lineRule="exact"/>
        <w:ind w:firstLine="84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第三章  评标方法、评分标准</w:t>
      </w:r>
    </w:p>
    <w:p w14:paraId="726D6599">
      <w:pPr>
        <w:spacing w:line="440" w:lineRule="exact"/>
        <w:ind w:firstLine="84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第四章  </w:t>
      </w:r>
      <w:r>
        <w:rPr>
          <w:rFonts w:hint="eastAsia" w:asciiTheme="minorEastAsia" w:hAnsiTheme="minorEastAsia" w:eastAsiaTheme="minorEastAsia" w:cstheme="minorEastAsia"/>
          <w:color w:val="auto"/>
          <w:szCs w:val="21"/>
          <w:highlight w:val="none"/>
          <w:lang w:val="en-US" w:eastAsia="zh-CN"/>
        </w:rPr>
        <w:t>采购需求</w:t>
      </w:r>
    </w:p>
    <w:p w14:paraId="1338188D">
      <w:pPr>
        <w:spacing w:line="440" w:lineRule="exact"/>
        <w:ind w:firstLine="84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第五章  合同条款</w:t>
      </w:r>
    </w:p>
    <w:p w14:paraId="3B6D2B20">
      <w:pPr>
        <w:spacing w:line="440" w:lineRule="exact"/>
        <w:ind w:firstLine="84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第六章  投标文件格式及附件</w:t>
      </w:r>
    </w:p>
    <w:p w14:paraId="1A676881">
      <w:pPr>
        <w:spacing w:line="440" w:lineRule="exact"/>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6.2</w:t>
      </w:r>
      <w:r>
        <w:rPr>
          <w:rFonts w:hint="eastAsia" w:asciiTheme="minorEastAsia" w:hAnsiTheme="minorEastAsia" w:eastAsiaTheme="minorEastAsia" w:cstheme="minorEastAsia"/>
          <w:b/>
          <w:bCs/>
          <w:color w:val="auto"/>
          <w:szCs w:val="21"/>
          <w:highlight w:val="none"/>
        </w:rPr>
        <w:t>招标的最小单位是包。</w:t>
      </w:r>
      <w:r>
        <w:rPr>
          <w:rFonts w:hint="eastAsia" w:asciiTheme="minorEastAsia" w:hAnsiTheme="minorEastAsia" w:eastAsiaTheme="minorEastAsia" w:cstheme="minorEastAsia"/>
          <w:b/>
          <w:bCs/>
          <w:color w:val="auto"/>
          <w:szCs w:val="21"/>
          <w:highlight w:val="none"/>
          <w:lang w:val="en-US" w:eastAsia="zh-CN"/>
        </w:rPr>
        <w:t>采购需求</w:t>
      </w:r>
      <w:r>
        <w:rPr>
          <w:rFonts w:hint="eastAsia" w:asciiTheme="minorEastAsia" w:hAnsiTheme="minorEastAsia" w:eastAsiaTheme="minorEastAsia" w:cstheme="minorEastAsia"/>
          <w:b/>
          <w:bCs/>
          <w:color w:val="auto"/>
          <w:szCs w:val="21"/>
          <w:highlight w:val="none"/>
        </w:rPr>
        <w:t>中未分包的，供应商对要求提供的服务不得部分投标；</w:t>
      </w:r>
      <w:r>
        <w:rPr>
          <w:rFonts w:hint="eastAsia" w:asciiTheme="minorEastAsia" w:hAnsiTheme="minorEastAsia" w:eastAsiaTheme="minorEastAsia" w:cstheme="minorEastAsia"/>
          <w:b/>
          <w:bCs/>
          <w:color w:val="auto"/>
          <w:szCs w:val="21"/>
          <w:highlight w:val="none"/>
          <w:lang w:val="en-US" w:eastAsia="zh-CN"/>
        </w:rPr>
        <w:t>采购需求</w:t>
      </w:r>
      <w:r>
        <w:rPr>
          <w:rFonts w:hint="eastAsia" w:asciiTheme="minorEastAsia" w:hAnsiTheme="minorEastAsia" w:eastAsiaTheme="minorEastAsia" w:cstheme="minorEastAsia"/>
          <w:b/>
          <w:bCs/>
          <w:color w:val="auto"/>
          <w:szCs w:val="21"/>
          <w:highlight w:val="none"/>
        </w:rPr>
        <w:t>中已经分包的，以包为单位投标</w:t>
      </w:r>
      <w:r>
        <w:rPr>
          <w:rFonts w:hint="eastAsia" w:asciiTheme="minorEastAsia" w:hAnsiTheme="minorEastAsia" w:eastAsiaTheme="minorEastAsia" w:cstheme="minorEastAsia"/>
          <w:color w:val="auto"/>
          <w:szCs w:val="21"/>
          <w:highlight w:val="none"/>
        </w:rPr>
        <w:t>。</w:t>
      </w:r>
    </w:p>
    <w:p w14:paraId="526DFA4B">
      <w:pPr>
        <w:spacing w:line="440" w:lineRule="exact"/>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4BB38BC5">
      <w:pPr>
        <w:spacing w:line="440" w:lineRule="exact"/>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6.4供应商被视为充分熟悉本招标项目的各种情况以及与履行合同有关的一切其他情况。</w:t>
      </w:r>
    </w:p>
    <w:p w14:paraId="728A4342">
      <w:pPr>
        <w:pStyle w:val="236"/>
        <w:spacing w:line="440" w:lineRule="exact"/>
        <w:ind w:left="0" w:firstLine="422"/>
        <w:jc w:val="both"/>
        <w:rPr>
          <w:rFonts w:hint="eastAsia" w:asciiTheme="minorEastAsia" w:hAnsiTheme="minorEastAsia" w:eastAsiaTheme="minorEastAsia" w:cstheme="minorEastAsia"/>
          <w:b/>
          <w:bCs/>
          <w:color w:val="auto"/>
          <w:sz w:val="21"/>
          <w:szCs w:val="21"/>
          <w:highlight w:val="none"/>
        </w:rPr>
      </w:pPr>
      <w:bookmarkStart w:id="59" w:name="_Toc24838"/>
      <w:bookmarkStart w:id="60" w:name="_Toc14415"/>
      <w:r>
        <w:rPr>
          <w:rFonts w:hint="eastAsia" w:asciiTheme="minorEastAsia" w:hAnsiTheme="minorEastAsia" w:eastAsiaTheme="minorEastAsia" w:cstheme="minorEastAsia"/>
          <w:b/>
          <w:bCs/>
          <w:color w:val="auto"/>
          <w:sz w:val="21"/>
          <w:szCs w:val="21"/>
          <w:highlight w:val="none"/>
        </w:rPr>
        <w:t>7.招标文件的澄清、补充或修改</w:t>
      </w:r>
      <w:bookmarkEnd w:id="59"/>
      <w:bookmarkEnd w:id="60"/>
    </w:p>
    <w:p w14:paraId="72083D0C">
      <w:pPr>
        <w:spacing w:line="440" w:lineRule="exact"/>
        <w:ind w:firstLine="441"/>
        <w:rPr>
          <w:rFonts w:hint="eastAsia" w:asciiTheme="minorEastAsia" w:hAnsiTheme="minorEastAsia" w:eastAsiaTheme="minorEastAsia" w:cstheme="minorEastAsia"/>
          <w:color w:val="auto"/>
          <w:highlight w:val="none"/>
        </w:rPr>
      </w:pPr>
      <w:bookmarkStart w:id="61" w:name="_Toc29128"/>
      <w:r>
        <w:rPr>
          <w:rFonts w:hint="eastAsia" w:asciiTheme="minorEastAsia" w:hAnsiTheme="minorEastAsia" w:eastAsiaTheme="minorEastAsia" w:cstheme="minorEastAsia"/>
          <w:color w:val="auto"/>
          <w:szCs w:val="21"/>
          <w:highlight w:val="none"/>
        </w:rPr>
        <w:t>7.1</w:t>
      </w:r>
      <w:r>
        <w:rPr>
          <w:rFonts w:hint="eastAsia" w:asciiTheme="minorEastAsia" w:hAnsiTheme="minorEastAsia" w:eastAsiaTheme="minorEastAsia" w:cstheme="minorEastAsia"/>
          <w:color w:val="auto"/>
          <w:highlight w:val="none"/>
        </w:rPr>
        <w:t>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p>
    <w:p w14:paraId="01C73D5F">
      <w:pPr>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7.2 </w:t>
      </w:r>
      <w:r>
        <w:rPr>
          <w:rFonts w:hint="eastAsia" w:asciiTheme="minorEastAsia" w:hAnsiTheme="minorEastAsia" w:eastAsiaTheme="minorEastAsia" w:cstheme="minorEastAsia"/>
          <w:color w:val="auto"/>
          <w:highlight w:val="none"/>
        </w:rPr>
        <w:t>采购代理机构对已发出的招标文件进行必要的澄清或者修改，将在投标截止时间15日前，在原招标公告媒体公布。</w:t>
      </w:r>
      <w:r>
        <w:rPr>
          <w:rFonts w:hint="eastAsia" w:asciiTheme="minorEastAsia" w:hAnsiTheme="minorEastAsia" w:eastAsiaTheme="minorEastAsia" w:cstheme="minorEastAsia"/>
          <w:color w:val="auto"/>
          <w:szCs w:val="21"/>
          <w:highlight w:val="none"/>
        </w:rPr>
        <w:t>不足15日的，采购人或者采购代理机构应当顺延提交投标文件的截止时间。</w:t>
      </w:r>
    </w:p>
    <w:p w14:paraId="135CD798">
      <w:pPr>
        <w:spacing w:line="440" w:lineRule="exact"/>
        <w:ind w:firstLine="44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7.3 </w:t>
      </w:r>
      <w:r>
        <w:rPr>
          <w:rFonts w:hint="eastAsia" w:asciiTheme="minorEastAsia" w:hAnsiTheme="minorEastAsia" w:eastAsiaTheme="minorEastAsia" w:cstheme="minorEastAsia"/>
          <w:color w:val="auto"/>
          <w:highlight w:val="none"/>
        </w:rPr>
        <w:t>采购代理机构在招标文件要求提交投标文件截止时间3日前，有权决定延长投标截止时间和开标时间，并在原招标公告媒体上发布变更公告。</w:t>
      </w:r>
    </w:p>
    <w:p w14:paraId="5AC793C9">
      <w:pPr>
        <w:spacing w:line="440" w:lineRule="exact"/>
        <w:ind w:firstLine="44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7.4</w:t>
      </w:r>
      <w:r>
        <w:rPr>
          <w:rFonts w:hint="eastAsia" w:asciiTheme="minorEastAsia" w:hAnsiTheme="minorEastAsia" w:eastAsiaTheme="minorEastAsia" w:cstheme="minorEastAsia"/>
          <w:color w:val="auto"/>
          <w:highlight w:val="none"/>
        </w:rPr>
        <w:t xml:space="preserve"> 为使供应商在准备投标时，有合理的时间考虑招标文件的补充或修改，采购代理机构将视情况可能推迟投标截止时间和开标时间，并将在原招标公告媒体发布更正公告。</w:t>
      </w:r>
    </w:p>
    <w:p w14:paraId="0AB4553B">
      <w:pPr>
        <w:spacing w:line="440" w:lineRule="exact"/>
        <w:ind w:firstLine="441"/>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color w:val="auto"/>
          <w:szCs w:val="21"/>
          <w:highlight w:val="none"/>
        </w:rPr>
        <w:t xml:space="preserve">7.5 </w:t>
      </w:r>
      <w:r>
        <w:rPr>
          <w:rFonts w:hint="eastAsia" w:asciiTheme="minorEastAsia" w:hAnsiTheme="minorEastAsia" w:eastAsiaTheme="minorEastAsia" w:cstheme="minorEastAsia"/>
          <w:color w:val="auto"/>
          <w:highlight w:val="none"/>
        </w:rPr>
        <w:t xml:space="preserve">采购代理机构发出的所有补充、修改和变更文件均作为招标文件的组成部分，与招标文件具有同等法律效力，并对投标人具有约束力。 </w:t>
      </w:r>
    </w:p>
    <w:p w14:paraId="77A96E8F">
      <w:pPr>
        <w:widowControl/>
        <w:shd w:val="clear" w:color="auto" w:fill="FFFFFF"/>
        <w:spacing w:line="440" w:lineRule="exact"/>
        <w:ind w:firstLine="420"/>
        <w:outlineLvl w:val="1"/>
        <w:rPr>
          <w:rFonts w:hint="eastAsia" w:asciiTheme="minorEastAsia" w:hAnsiTheme="minorEastAsia" w:eastAsiaTheme="minorEastAsia" w:cstheme="minorEastAsia"/>
          <w:b/>
          <w:bCs/>
          <w:color w:val="auto"/>
          <w:sz w:val="24"/>
          <w:highlight w:val="none"/>
        </w:rPr>
      </w:pPr>
      <w:bookmarkStart w:id="62" w:name="_Toc27318"/>
      <w:r>
        <w:rPr>
          <w:rFonts w:hint="eastAsia" w:asciiTheme="minorEastAsia" w:hAnsiTheme="minorEastAsia" w:eastAsiaTheme="minorEastAsia" w:cstheme="minorEastAsia"/>
          <w:b/>
          <w:bCs/>
          <w:color w:val="auto"/>
          <w:sz w:val="24"/>
          <w:highlight w:val="none"/>
        </w:rPr>
        <w:t>三、投标文件的编制</w:t>
      </w:r>
      <w:bookmarkEnd w:id="61"/>
      <w:bookmarkEnd w:id="62"/>
    </w:p>
    <w:p w14:paraId="113CB03A">
      <w:pPr>
        <w:pStyle w:val="236"/>
        <w:spacing w:line="440" w:lineRule="exact"/>
        <w:ind w:left="0" w:firstLine="422"/>
        <w:jc w:val="both"/>
        <w:rPr>
          <w:rFonts w:hint="eastAsia" w:asciiTheme="minorEastAsia" w:hAnsiTheme="minorEastAsia" w:eastAsiaTheme="minorEastAsia" w:cstheme="minorEastAsia"/>
          <w:b/>
          <w:bCs/>
          <w:color w:val="auto"/>
          <w:sz w:val="21"/>
          <w:szCs w:val="21"/>
          <w:highlight w:val="none"/>
        </w:rPr>
      </w:pPr>
      <w:bookmarkStart w:id="63" w:name="_Toc28127"/>
      <w:bookmarkStart w:id="64" w:name="_Toc14460"/>
      <w:r>
        <w:rPr>
          <w:rFonts w:hint="eastAsia" w:asciiTheme="minorEastAsia" w:hAnsiTheme="minorEastAsia" w:eastAsiaTheme="minorEastAsia" w:cstheme="minorEastAsia"/>
          <w:b/>
          <w:bCs/>
          <w:color w:val="auto"/>
          <w:sz w:val="21"/>
          <w:szCs w:val="21"/>
          <w:highlight w:val="none"/>
        </w:rPr>
        <w:t>8.</w:t>
      </w:r>
      <w:bookmarkEnd w:id="63"/>
      <w:r>
        <w:rPr>
          <w:rFonts w:hint="eastAsia" w:asciiTheme="minorEastAsia" w:hAnsiTheme="minorEastAsia" w:eastAsiaTheme="minorEastAsia" w:cstheme="minorEastAsia"/>
          <w:b/>
          <w:bCs/>
          <w:color w:val="auto"/>
          <w:sz w:val="21"/>
          <w:szCs w:val="21"/>
          <w:highlight w:val="none"/>
        </w:rPr>
        <w:t>投标文件的语言、计量单位、货币</w:t>
      </w:r>
      <w:bookmarkEnd w:id="64"/>
    </w:p>
    <w:p w14:paraId="0902CD6C">
      <w:pPr>
        <w:widowControl/>
        <w:shd w:val="clear" w:color="auto" w:fill="FFFFFF"/>
        <w:spacing w:line="440" w:lineRule="exact"/>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8.1 供应商提交的投标文件（包括技术文件和资料、图纸中的说明）以及供应商与采购代理机构之间就有关投标的所有来往函电均应以简体中文书写。</w:t>
      </w:r>
    </w:p>
    <w:p w14:paraId="3FBC4FDC">
      <w:pPr>
        <w:widowControl/>
        <w:shd w:val="clear" w:color="auto" w:fill="FFFFFF"/>
        <w:spacing w:line="440" w:lineRule="exact"/>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8.2供应商已印刷好的资料如产品样本、说明书等可以用其他语言，但其中要点应附有中文译文。对不同文本投标文件的解释发生异议的，以中文翻译文本为准。</w:t>
      </w:r>
    </w:p>
    <w:p w14:paraId="586AE0D1">
      <w:pPr>
        <w:widowControl/>
        <w:shd w:val="clear" w:color="auto" w:fill="FFFFFF"/>
        <w:spacing w:line="440" w:lineRule="exact"/>
        <w:ind w:firstLine="420"/>
        <w:rPr>
          <w:rFonts w:hint="eastAsia" w:asciiTheme="minorEastAsia" w:hAnsiTheme="minorEastAsia" w:eastAsiaTheme="minorEastAsia" w:cstheme="minorEastAsia"/>
          <w:color w:val="auto"/>
          <w:szCs w:val="21"/>
          <w:highlight w:val="none"/>
        </w:rPr>
      </w:pPr>
      <w:bookmarkStart w:id="65" w:name="_Toc19298"/>
      <w:r>
        <w:rPr>
          <w:rFonts w:hint="eastAsia" w:asciiTheme="minorEastAsia" w:hAnsiTheme="minorEastAsia" w:eastAsiaTheme="minorEastAsia" w:cstheme="minorEastAsia"/>
          <w:color w:val="auto"/>
          <w:szCs w:val="21"/>
          <w:highlight w:val="none"/>
        </w:rPr>
        <w:t>8.3 除招标文件中有特殊要求外，招标文件中所使用的计量单位应为国家法定计量单位。</w:t>
      </w:r>
    </w:p>
    <w:p w14:paraId="2819B68B">
      <w:pPr>
        <w:widowControl/>
        <w:shd w:val="clear" w:color="auto" w:fill="FFFFFF"/>
        <w:spacing w:line="440" w:lineRule="exact"/>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8.4 本招标文件所表述的时间均为北京时间。</w:t>
      </w:r>
    </w:p>
    <w:p w14:paraId="5978580F">
      <w:pPr>
        <w:widowControl/>
        <w:shd w:val="clear" w:color="auto" w:fill="FFFFFF"/>
        <w:spacing w:line="440" w:lineRule="exact"/>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8.5 所有投标响应报价具体详见投标人须知前附表。</w:t>
      </w:r>
    </w:p>
    <w:p w14:paraId="076884A3">
      <w:pPr>
        <w:spacing w:line="360" w:lineRule="auto"/>
        <w:ind w:firstLine="420"/>
        <w:outlineLvl w:val="2"/>
        <w:rPr>
          <w:rFonts w:hint="eastAsia" w:asciiTheme="minorEastAsia" w:hAnsiTheme="minorEastAsia" w:eastAsiaTheme="minorEastAsia" w:cstheme="minorEastAsia"/>
          <w:b/>
          <w:color w:val="auto"/>
          <w:szCs w:val="21"/>
          <w:highlight w:val="none"/>
          <w:lang w:val="zh-CN"/>
        </w:rPr>
      </w:pPr>
      <w:bookmarkStart w:id="66" w:name="_Toc11547"/>
      <w:bookmarkStart w:id="67" w:name="_Toc30894"/>
      <w:r>
        <w:rPr>
          <w:rFonts w:hint="eastAsia" w:asciiTheme="minorEastAsia" w:hAnsiTheme="minorEastAsia" w:eastAsiaTheme="minorEastAsia" w:cstheme="minorEastAsia"/>
          <w:b/>
          <w:bCs/>
          <w:color w:val="auto"/>
          <w:szCs w:val="21"/>
          <w:highlight w:val="none"/>
        </w:rPr>
        <w:t>9.</w:t>
      </w:r>
      <w:r>
        <w:rPr>
          <w:rFonts w:hint="eastAsia" w:asciiTheme="minorEastAsia" w:hAnsiTheme="minorEastAsia" w:eastAsiaTheme="minorEastAsia" w:cstheme="minorEastAsia"/>
          <w:b/>
          <w:color w:val="auto"/>
          <w:szCs w:val="21"/>
          <w:highlight w:val="none"/>
          <w:lang w:val="zh-CN"/>
        </w:rPr>
        <w:t>联合体</w:t>
      </w:r>
    </w:p>
    <w:p w14:paraId="0EB430A0">
      <w:pPr>
        <w:widowControl/>
        <w:shd w:val="clear" w:color="auto" w:fill="FFFFFF"/>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color w:val="auto"/>
          <w:szCs w:val="21"/>
          <w:highlight w:val="none"/>
          <w:lang w:val="en-US" w:eastAsia="zh-CN"/>
        </w:rPr>
        <w:t>本项目不接受</w:t>
      </w:r>
      <w:r>
        <w:rPr>
          <w:rFonts w:hint="eastAsia" w:asciiTheme="minorEastAsia" w:hAnsiTheme="minorEastAsia" w:eastAsiaTheme="minorEastAsia" w:cstheme="minorEastAsia"/>
          <w:b w:val="0"/>
          <w:color w:val="auto"/>
          <w:szCs w:val="21"/>
          <w:highlight w:val="none"/>
          <w:lang w:val="zh-CN"/>
        </w:rPr>
        <w:t>联合体</w:t>
      </w:r>
      <w:r>
        <w:rPr>
          <w:rFonts w:hint="eastAsia" w:asciiTheme="minorEastAsia" w:hAnsiTheme="minorEastAsia" w:eastAsiaTheme="minorEastAsia" w:cstheme="minorEastAsia"/>
          <w:b w:val="0"/>
          <w:color w:val="auto"/>
          <w:szCs w:val="21"/>
          <w:highlight w:val="none"/>
          <w:lang w:val="en-US" w:eastAsia="zh-CN"/>
        </w:rPr>
        <w:t>投标</w:t>
      </w:r>
      <w:bookmarkEnd w:id="65"/>
      <w:bookmarkEnd w:id="66"/>
      <w:bookmarkEnd w:id="67"/>
    </w:p>
    <w:p w14:paraId="5E29ADBB">
      <w:pPr>
        <w:pStyle w:val="236"/>
        <w:spacing w:line="440" w:lineRule="exact"/>
        <w:ind w:left="0" w:firstLine="422"/>
        <w:jc w:val="both"/>
        <w:rPr>
          <w:rFonts w:hint="eastAsia" w:asciiTheme="minorEastAsia" w:hAnsiTheme="minorEastAsia" w:eastAsiaTheme="minorEastAsia" w:cstheme="minorEastAsia"/>
          <w:b/>
          <w:color w:val="auto"/>
          <w:sz w:val="24"/>
          <w:szCs w:val="24"/>
          <w:highlight w:val="none"/>
        </w:rPr>
      </w:pPr>
      <w:bookmarkStart w:id="68" w:name="_Toc22790"/>
      <w:bookmarkStart w:id="69" w:name="_Toc6681"/>
      <w:r>
        <w:rPr>
          <w:rFonts w:hint="eastAsia" w:asciiTheme="minorEastAsia" w:hAnsiTheme="minorEastAsia" w:eastAsiaTheme="minorEastAsia" w:cstheme="minorEastAsia"/>
          <w:b/>
          <w:bCs/>
          <w:color w:val="auto"/>
          <w:sz w:val="21"/>
          <w:szCs w:val="21"/>
          <w:highlight w:val="none"/>
        </w:rPr>
        <w:t>10.投标文件</w:t>
      </w:r>
      <w:r>
        <w:rPr>
          <w:rFonts w:hint="eastAsia" w:asciiTheme="minorEastAsia" w:hAnsiTheme="minorEastAsia" w:eastAsiaTheme="minorEastAsia" w:cstheme="minorEastAsia"/>
          <w:b/>
          <w:color w:val="auto"/>
          <w:sz w:val="21"/>
          <w:highlight w:val="none"/>
        </w:rPr>
        <w:t>的</w:t>
      </w:r>
      <w:bookmarkEnd w:id="68"/>
      <w:r>
        <w:rPr>
          <w:rFonts w:hint="eastAsia" w:asciiTheme="minorEastAsia" w:hAnsiTheme="minorEastAsia" w:eastAsiaTheme="minorEastAsia" w:cstheme="minorEastAsia"/>
          <w:b/>
          <w:color w:val="auto"/>
          <w:sz w:val="21"/>
          <w:highlight w:val="none"/>
        </w:rPr>
        <w:t>组成</w:t>
      </w:r>
      <w:bookmarkEnd w:id="69"/>
      <w:r>
        <w:rPr>
          <w:rFonts w:hint="eastAsia" w:asciiTheme="minorEastAsia" w:hAnsiTheme="minorEastAsia" w:eastAsiaTheme="minorEastAsia" w:cstheme="minorEastAsia"/>
          <w:b/>
          <w:color w:val="auto"/>
          <w:sz w:val="21"/>
          <w:highlight w:val="none"/>
        </w:rPr>
        <w:t>（相应内容上传至投标客户端，并签电子公章）：</w:t>
      </w:r>
    </w:p>
    <w:p w14:paraId="2E6900FC">
      <w:pPr>
        <w:spacing w:line="360" w:lineRule="auto"/>
        <w:ind w:firstLine="420"/>
        <w:rPr>
          <w:rFonts w:hint="eastAsia" w:asciiTheme="minorEastAsia" w:hAnsiTheme="minorEastAsia" w:eastAsiaTheme="minorEastAsia" w:cstheme="minorEastAsia"/>
          <w:color w:val="auto"/>
          <w:highlight w:val="none"/>
        </w:rPr>
      </w:pPr>
      <w:bookmarkStart w:id="70" w:name="_Hlk529436144"/>
      <w:bookmarkStart w:id="71" w:name="_Hlk525992732"/>
      <w:bookmarkStart w:id="72" w:name="_Hlk6917373"/>
      <w:r>
        <w:rPr>
          <w:rFonts w:hint="eastAsia" w:asciiTheme="minorEastAsia" w:hAnsiTheme="minorEastAsia" w:eastAsiaTheme="minorEastAsia" w:cstheme="minorEastAsia"/>
          <w:color w:val="auto"/>
          <w:highlight w:val="none"/>
        </w:rPr>
        <w:t>1.投标函（格式见附件）；</w:t>
      </w:r>
    </w:p>
    <w:p w14:paraId="39F6D94F">
      <w:pPr>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2.资格证明文件：</w:t>
      </w:r>
    </w:p>
    <w:p w14:paraId="3E2313AD">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1</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具有独立承担民事责任的能力。投标人提供在有效经营期内的营业执照、法人授权书（法人直接参与投标的可不提供）、法人身份证扫描件、投标人代表身份证扫描件；</w:t>
      </w:r>
    </w:p>
    <w:p w14:paraId="324A3D34">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2</w:t>
      </w:r>
      <w:r>
        <w:rPr>
          <w:rFonts w:hint="eastAsia" w:asciiTheme="minorEastAsia" w:hAnsiTheme="minorEastAsia" w:eastAsiaTheme="minorEastAsia" w:cstheme="minorEastAsia"/>
          <w:color w:val="auto"/>
          <w:szCs w:val="21"/>
          <w:highlight w:val="none"/>
        </w:rPr>
        <w:t>）具有良好的商业信誉和健全的财务会计制度。投标人提供上年度财务报表扫描件（如为新成立的公司，应提供公司成立之后的财务报表）或投标截止时间前3个月内，由其基本开户银行出具的资信证明。投标人提供《南京市政府采购供应商信用记录表暨信用承诺书》；</w:t>
      </w:r>
    </w:p>
    <w:p w14:paraId="14D3D5FC">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其中不适用信用承诺的情形：</w:t>
      </w:r>
    </w:p>
    <w:p w14:paraId="4A20A282">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1）供应商被列入严重失信主体名单；</w:t>
      </w:r>
    </w:p>
    <w:p w14:paraId="5081C954">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2）被相关监督部门作出行政处罚且尚处在处罚有效期内；</w:t>
      </w:r>
    </w:p>
    <w:p w14:paraId="3BACAFFE">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3）其他法律、行政法规规定的不适用信用承诺的情形。</w:t>
      </w:r>
    </w:p>
    <w:p w14:paraId="6A08E63E">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 </w:t>
      </w:r>
    </w:p>
    <w:p w14:paraId="67F77402">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3</w:t>
      </w:r>
      <w:r>
        <w:rPr>
          <w:rFonts w:hint="eastAsia" w:asciiTheme="minorEastAsia" w:hAnsiTheme="minorEastAsia" w:eastAsiaTheme="minorEastAsia" w:cstheme="minorEastAsia"/>
          <w:color w:val="auto"/>
          <w:szCs w:val="21"/>
          <w:highlight w:val="none"/>
        </w:rPr>
        <w:t xml:space="preserve">）具有履行合同所必需的设备和专业技术能力。投标人提供具备履行合同所必需的设备和专业技术能力的书面声明（由供应商根据项目需求提供材料）； </w:t>
      </w:r>
    </w:p>
    <w:p w14:paraId="4B9368F8">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4</w:t>
      </w:r>
      <w:r>
        <w:rPr>
          <w:rFonts w:hint="eastAsia" w:asciiTheme="minorEastAsia" w:hAnsiTheme="minorEastAsia" w:eastAsiaTheme="minorEastAsia" w:cstheme="minorEastAsia"/>
          <w:color w:val="auto"/>
          <w:szCs w:val="21"/>
          <w:highlight w:val="none"/>
        </w:rPr>
        <w:t>）有依法缴纳税收和社会保障资金的良好记录。投标人提供提交投标文件截止时间前六个月内至少一个月依法缴纳税收及缴纳社会保障资金的证明材料。投标人依法享受缓缴、免缴的，提供证明材料；</w:t>
      </w:r>
    </w:p>
    <w:p w14:paraId="265FBD3F">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5</w:t>
      </w:r>
      <w:r>
        <w:rPr>
          <w:rFonts w:hint="eastAsia" w:asciiTheme="minorEastAsia" w:hAnsiTheme="minorEastAsia" w:eastAsiaTheme="minorEastAsia" w:cstheme="minorEastAsia"/>
          <w:color w:val="auto"/>
          <w:szCs w:val="21"/>
          <w:highlight w:val="none"/>
        </w:rPr>
        <w:t>）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p>
    <w:p w14:paraId="4038E999">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6</w:t>
      </w:r>
      <w:r>
        <w:rPr>
          <w:rFonts w:hint="eastAsia" w:asciiTheme="minorEastAsia" w:hAnsiTheme="minorEastAsia" w:eastAsiaTheme="minorEastAsia" w:cstheme="minorEastAsia"/>
          <w:color w:val="auto"/>
          <w:szCs w:val="21"/>
          <w:highlight w:val="none"/>
        </w:rPr>
        <w:t>）法律、行政法规规定的其他条件。</w:t>
      </w:r>
    </w:p>
    <w:p w14:paraId="39E84D04">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7</w:t>
      </w:r>
      <w:r>
        <w:rPr>
          <w:rFonts w:hint="eastAsia" w:asciiTheme="minorEastAsia" w:hAnsiTheme="minorEastAsia" w:eastAsiaTheme="minorEastAsia" w:cstheme="minorEastAsia"/>
          <w:color w:val="auto"/>
          <w:szCs w:val="21"/>
          <w:highlight w:val="none"/>
        </w:rPr>
        <w:t>）若投标人为食品销售企业的须具有行业主管部门颁发的《食品经营许可证》或仅销售预包装食品备案凭证（提供证书扫描件）；</w:t>
      </w:r>
    </w:p>
    <w:p w14:paraId="56D4C83E">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8</w:t>
      </w:r>
      <w:r>
        <w:rPr>
          <w:rFonts w:hint="eastAsia" w:asciiTheme="minorEastAsia" w:hAnsiTheme="minorEastAsia" w:eastAsiaTheme="minorEastAsia" w:cstheme="minorEastAsia"/>
          <w:color w:val="auto"/>
          <w:szCs w:val="21"/>
          <w:highlight w:val="none"/>
        </w:rPr>
        <w:t>）若投标人为食品生产企业须提供《食品生产许可证》（提供证书扫描件）。</w:t>
      </w:r>
    </w:p>
    <w:p w14:paraId="63F616ED">
      <w:pPr>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3</w:t>
      </w:r>
      <w:r>
        <w:rPr>
          <w:rFonts w:hint="eastAsia" w:asciiTheme="minorEastAsia" w:hAnsiTheme="minorEastAsia" w:eastAsiaTheme="minorEastAsia" w:cstheme="minorEastAsia"/>
          <w:color w:val="auto"/>
          <w:highlight w:val="none"/>
        </w:rPr>
        <w:t>.开标一览表（格式系统生成）</w:t>
      </w:r>
    </w:p>
    <w:p w14:paraId="7300CDE8">
      <w:pPr>
        <w:spacing w:line="360" w:lineRule="auto"/>
        <w:ind w:firstLine="420"/>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4</w:t>
      </w:r>
      <w:r>
        <w:rPr>
          <w:rFonts w:hint="eastAsia" w:asciiTheme="minorEastAsia" w:hAnsiTheme="minorEastAsia" w:eastAsiaTheme="minorEastAsia" w:cstheme="minorEastAsia"/>
          <w:color w:val="auto"/>
          <w:highlight w:val="none"/>
        </w:rPr>
        <w:t>.细目报价表（格式见附件）</w:t>
      </w:r>
      <w:bookmarkEnd w:id="70"/>
      <w:bookmarkEnd w:id="71"/>
      <w:bookmarkEnd w:id="72"/>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lang w:val="en-US" w:eastAsia="zh-CN"/>
        </w:rPr>
        <w:t>如适用</w:t>
      </w:r>
      <w:r>
        <w:rPr>
          <w:rFonts w:hint="eastAsia" w:asciiTheme="minorEastAsia" w:hAnsiTheme="minorEastAsia" w:eastAsiaTheme="minorEastAsia" w:cstheme="minorEastAsia"/>
          <w:color w:val="auto"/>
          <w:highlight w:val="none"/>
          <w:lang w:eastAsia="zh-CN"/>
        </w:rPr>
        <w:t>）</w:t>
      </w:r>
    </w:p>
    <w:p w14:paraId="3805CD60">
      <w:pPr>
        <w:spacing w:line="360" w:lineRule="auto"/>
        <w:ind w:firstLine="420"/>
        <w:rPr>
          <w:rFonts w:hint="eastAsia" w:asciiTheme="minorEastAsia" w:hAnsiTheme="minorEastAsia" w:eastAsiaTheme="minorEastAsia" w:cstheme="minorEastAsia"/>
          <w:color w:val="auto"/>
          <w:highlight w:val="none"/>
        </w:rPr>
      </w:pPr>
      <w:bookmarkStart w:id="73" w:name="_Toc15215"/>
      <w:bookmarkStart w:id="74" w:name="_Toc31206"/>
      <w:r>
        <w:rPr>
          <w:rFonts w:hint="eastAsia" w:asciiTheme="minorEastAsia" w:hAnsiTheme="minorEastAsia" w:eastAsiaTheme="minorEastAsia" w:cstheme="minorEastAsia"/>
          <w:color w:val="auto"/>
          <w:highlight w:val="none"/>
          <w:lang w:val="en-US" w:eastAsia="zh-CN"/>
        </w:rPr>
        <w:t>5</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szCs w:val="21"/>
          <w:highlight w:val="none"/>
        </w:rPr>
        <w:t>采购需求响应</w:t>
      </w:r>
      <w:r>
        <w:rPr>
          <w:rFonts w:hint="eastAsia" w:asciiTheme="minorEastAsia" w:hAnsiTheme="minorEastAsia" w:eastAsiaTheme="minorEastAsia" w:cstheme="minorEastAsia"/>
          <w:color w:val="auto"/>
          <w:highlight w:val="none"/>
        </w:rPr>
        <w:t>偏离表（格式见附件）</w:t>
      </w:r>
    </w:p>
    <w:p w14:paraId="2B5EEDBF">
      <w:pPr>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6</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val="zh-CN"/>
        </w:rPr>
        <w:t>设备主要性能的</w:t>
      </w:r>
      <w:r>
        <w:rPr>
          <w:rFonts w:hint="eastAsia" w:asciiTheme="minorEastAsia" w:hAnsiTheme="minorEastAsia" w:eastAsiaTheme="minorEastAsia" w:cstheme="minorEastAsia"/>
          <w:color w:val="auto"/>
          <w:highlight w:val="none"/>
        </w:rPr>
        <w:t>技术</w:t>
      </w:r>
      <w:r>
        <w:rPr>
          <w:rFonts w:hint="eastAsia" w:asciiTheme="minorEastAsia" w:hAnsiTheme="minorEastAsia" w:eastAsiaTheme="minorEastAsia" w:cstheme="minorEastAsia"/>
          <w:color w:val="auto"/>
          <w:highlight w:val="none"/>
          <w:lang w:val="zh-CN"/>
        </w:rPr>
        <w:t>资料</w:t>
      </w:r>
      <w:r>
        <w:rPr>
          <w:rFonts w:hint="eastAsia" w:asciiTheme="minorEastAsia" w:hAnsiTheme="minorEastAsia" w:eastAsiaTheme="minorEastAsia" w:cstheme="minorEastAsia"/>
          <w:color w:val="auto"/>
          <w:highlight w:val="none"/>
        </w:rPr>
        <w:t>以及</w:t>
      </w:r>
      <w:r>
        <w:rPr>
          <w:rFonts w:hint="eastAsia" w:asciiTheme="minorEastAsia" w:hAnsiTheme="minorEastAsia" w:eastAsiaTheme="minorEastAsia" w:cstheme="minorEastAsia"/>
          <w:color w:val="auto"/>
          <w:highlight w:val="none"/>
          <w:lang w:val="zh-CN"/>
        </w:rPr>
        <w:t>供应商认为需要提供的其他技术资料</w:t>
      </w:r>
    </w:p>
    <w:p w14:paraId="203FF105">
      <w:pPr>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7</w:t>
      </w:r>
      <w:r>
        <w:rPr>
          <w:rFonts w:hint="eastAsia" w:asciiTheme="minorEastAsia" w:hAnsiTheme="minorEastAsia" w:eastAsiaTheme="minorEastAsia" w:cstheme="minorEastAsia"/>
          <w:color w:val="auto"/>
          <w:highlight w:val="none"/>
        </w:rPr>
        <w:t>.售后服务实施方案等</w:t>
      </w:r>
    </w:p>
    <w:p w14:paraId="309D5909">
      <w:pPr>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8</w:t>
      </w:r>
      <w:r>
        <w:rPr>
          <w:rFonts w:hint="eastAsia" w:asciiTheme="minorEastAsia" w:hAnsiTheme="minorEastAsia" w:eastAsiaTheme="minorEastAsia" w:cstheme="minorEastAsia"/>
          <w:color w:val="auto"/>
          <w:highlight w:val="none"/>
        </w:rPr>
        <w:t>.评分标准中对应的所需证明材料（如有自行添加）</w:t>
      </w:r>
    </w:p>
    <w:p w14:paraId="1228EF47">
      <w:pPr>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9</w:t>
      </w:r>
      <w:r>
        <w:rPr>
          <w:rFonts w:hint="eastAsia" w:asciiTheme="minorEastAsia" w:hAnsiTheme="minorEastAsia" w:eastAsiaTheme="minorEastAsia" w:cstheme="minorEastAsia"/>
          <w:color w:val="auto"/>
          <w:highlight w:val="none"/>
        </w:rPr>
        <w:t>.要求采购人提供的配合（如有自拟并自行添加）</w:t>
      </w:r>
    </w:p>
    <w:p w14:paraId="202FEE1E">
      <w:pPr>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r>
        <w:rPr>
          <w:rFonts w:hint="eastAsia" w:asciiTheme="minorEastAsia" w:hAnsiTheme="minorEastAsia" w:eastAsiaTheme="minorEastAsia" w:cstheme="minorEastAsia"/>
          <w:color w:val="auto"/>
          <w:highlight w:val="none"/>
          <w:lang w:val="en-US" w:eastAsia="zh-CN"/>
        </w:rPr>
        <w:t>0</w:t>
      </w:r>
      <w:r>
        <w:rPr>
          <w:rFonts w:hint="eastAsia" w:asciiTheme="minorEastAsia" w:hAnsiTheme="minorEastAsia" w:eastAsiaTheme="minorEastAsia" w:cstheme="minorEastAsia"/>
          <w:color w:val="auto"/>
          <w:highlight w:val="none"/>
        </w:rPr>
        <w:t>.其它（投标人认为有必要提供的声明和文件，如有自拟并自行添加）</w:t>
      </w:r>
    </w:p>
    <w:p w14:paraId="5E319333">
      <w:pPr>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r>
        <w:rPr>
          <w:rFonts w:hint="eastAsia" w:asciiTheme="minorEastAsia" w:hAnsiTheme="minorEastAsia" w:eastAsiaTheme="minorEastAsia" w:cstheme="minorEastAsia"/>
          <w:color w:val="auto"/>
          <w:highlight w:val="none"/>
          <w:lang w:val="en-US" w:eastAsia="zh-CN"/>
        </w:rPr>
        <w:t>业绩表</w:t>
      </w:r>
      <w:r>
        <w:rPr>
          <w:rFonts w:hint="eastAsia" w:asciiTheme="minorEastAsia" w:hAnsiTheme="minorEastAsia" w:eastAsiaTheme="minorEastAsia" w:cstheme="minorEastAsia"/>
          <w:color w:val="auto"/>
          <w:highlight w:val="none"/>
        </w:rPr>
        <w:t>；（格式见附件）</w:t>
      </w:r>
    </w:p>
    <w:p w14:paraId="4676B5BF">
      <w:pPr>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（2）如是小微企业的，提供《中小企业声明函》；（格式见附件）</w:t>
      </w:r>
    </w:p>
    <w:p w14:paraId="52837910">
      <w:pPr>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（3）残疾人福利性单位声明函；（供应商为残疾人福利性单位的提供，格式见附件）</w:t>
      </w:r>
    </w:p>
    <w:p w14:paraId="23B7A4D7">
      <w:pPr>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（4）由省级以上监狱管理局、戒毒管理局出具的属于监狱企业的证明文件；（如适用）</w:t>
      </w:r>
    </w:p>
    <w:p w14:paraId="246C6A9F">
      <w:pPr>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p>
    <w:p w14:paraId="093BD8AD">
      <w:pPr>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上述1-</w:t>
      </w:r>
      <w:r>
        <w:rPr>
          <w:rFonts w:hint="eastAsia" w:asciiTheme="minorEastAsia" w:hAnsiTheme="minorEastAsia" w:eastAsiaTheme="minorEastAsia" w:cstheme="minorEastAsia"/>
          <w:color w:val="auto"/>
          <w:highlight w:val="none"/>
          <w:lang w:val="en-US" w:eastAsia="zh-CN"/>
        </w:rPr>
        <w:t>5</w:t>
      </w:r>
      <w:r>
        <w:rPr>
          <w:rFonts w:hint="eastAsia" w:asciiTheme="minorEastAsia" w:hAnsiTheme="minorEastAsia" w:eastAsiaTheme="minorEastAsia" w:cstheme="minorEastAsia"/>
          <w:color w:val="auto"/>
          <w:highlight w:val="none"/>
        </w:rPr>
        <w:t>项必须全部提供,否则投标文件无效。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p>
    <w:p w14:paraId="65EFAC1A">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其他部分由供应商根据编制投标文件需要提供的其他相关文件。</w:t>
      </w:r>
    </w:p>
    <w:p w14:paraId="12EC5603">
      <w:pPr>
        <w:pStyle w:val="236"/>
        <w:spacing w:line="360" w:lineRule="auto"/>
        <w:ind w:left="0" w:firstLine="422"/>
        <w:jc w:val="both"/>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11.投标文件的有效期</w:t>
      </w:r>
      <w:bookmarkEnd w:id="73"/>
      <w:bookmarkEnd w:id="74"/>
    </w:p>
    <w:p w14:paraId="79BBE4B6">
      <w:pPr>
        <w:spacing w:line="360" w:lineRule="auto"/>
        <w:ind w:firstLine="420"/>
        <w:jc w:val="left"/>
        <w:rPr>
          <w:rFonts w:hint="eastAsia" w:asciiTheme="minorEastAsia" w:hAnsiTheme="minorEastAsia" w:eastAsiaTheme="minorEastAsia" w:cstheme="minorEastAsia"/>
          <w:bCs/>
          <w:color w:val="auto"/>
          <w:szCs w:val="21"/>
          <w:highlight w:val="none"/>
        </w:rPr>
      </w:pPr>
      <w:bookmarkStart w:id="75" w:name="_Toc6811"/>
      <w:r>
        <w:rPr>
          <w:rFonts w:hint="eastAsia" w:asciiTheme="minorEastAsia" w:hAnsiTheme="minorEastAsia" w:eastAsiaTheme="minorEastAsia" w:cstheme="minorEastAsia"/>
          <w:bCs/>
          <w:color w:val="auto"/>
          <w:szCs w:val="21"/>
          <w:highlight w:val="none"/>
        </w:rPr>
        <w:t>11.1自开标之日起90天内，投标文件应保持有效，有效期短于此规定的投标文件将视为无效。</w:t>
      </w:r>
    </w:p>
    <w:p w14:paraId="313D70B2">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p>
    <w:p w14:paraId="60A54B1A">
      <w:pPr>
        <w:pStyle w:val="236"/>
        <w:spacing w:line="360" w:lineRule="auto"/>
        <w:ind w:left="0" w:firstLine="422"/>
        <w:jc w:val="both"/>
        <w:rPr>
          <w:rFonts w:hint="eastAsia" w:asciiTheme="minorEastAsia" w:hAnsiTheme="minorEastAsia" w:eastAsiaTheme="minorEastAsia" w:cstheme="minorEastAsia"/>
          <w:b/>
          <w:bCs/>
          <w:color w:val="auto"/>
          <w:sz w:val="21"/>
          <w:szCs w:val="21"/>
          <w:highlight w:val="none"/>
        </w:rPr>
      </w:pPr>
      <w:bookmarkStart w:id="76" w:name="_Toc21944"/>
      <w:r>
        <w:rPr>
          <w:rFonts w:hint="eastAsia" w:asciiTheme="minorEastAsia" w:hAnsiTheme="minorEastAsia" w:eastAsiaTheme="minorEastAsia" w:cstheme="minorEastAsia"/>
          <w:b/>
          <w:bCs/>
          <w:color w:val="auto"/>
          <w:sz w:val="21"/>
          <w:szCs w:val="21"/>
          <w:highlight w:val="none"/>
        </w:rPr>
        <w:t>12.</w:t>
      </w:r>
      <w:bookmarkEnd w:id="75"/>
      <w:bookmarkEnd w:id="76"/>
      <w:r>
        <w:rPr>
          <w:rFonts w:hint="eastAsia" w:asciiTheme="minorEastAsia" w:hAnsiTheme="minorEastAsia" w:eastAsiaTheme="minorEastAsia" w:cstheme="minorEastAsia"/>
          <w:b/>
          <w:bCs/>
          <w:color w:val="auto"/>
          <w:sz w:val="21"/>
          <w:szCs w:val="21"/>
          <w:highlight w:val="none"/>
        </w:rPr>
        <w:t>投标文件的编制要求和签署要求</w:t>
      </w:r>
    </w:p>
    <w:p w14:paraId="5F915BD4">
      <w:pPr>
        <w:spacing w:line="360" w:lineRule="auto"/>
        <w:ind w:firstLine="420"/>
        <w:rPr>
          <w:rFonts w:hint="eastAsia" w:asciiTheme="minorEastAsia" w:hAnsiTheme="minorEastAsia" w:eastAsiaTheme="minorEastAsia" w:cstheme="minorEastAsia"/>
          <w:bCs/>
          <w:color w:val="auto"/>
          <w:szCs w:val="21"/>
          <w:highlight w:val="none"/>
        </w:rPr>
      </w:pPr>
      <w:bookmarkStart w:id="77" w:name="_Toc27455"/>
      <w:r>
        <w:rPr>
          <w:rFonts w:hint="eastAsia" w:asciiTheme="minorEastAsia" w:hAnsiTheme="minorEastAsia" w:eastAsiaTheme="minorEastAsia" w:cstheme="minorEastAsia"/>
          <w:bCs/>
          <w:color w:val="auto"/>
          <w:szCs w:val="21"/>
          <w:highlight w:val="none"/>
        </w:rPr>
        <w:t>12.1投标人应由其法定代表人或法定代表人授权代表在规定的网上投标时间，凭 CA 证书</w:t>
      </w:r>
      <w:r>
        <w:rPr>
          <w:rFonts w:hint="eastAsia" w:asciiTheme="minorEastAsia" w:hAnsiTheme="minorEastAsia" w:eastAsiaTheme="minorEastAsia" w:cstheme="minorEastAsia"/>
          <w:bCs/>
          <w:color w:val="auto"/>
          <w:szCs w:val="21"/>
          <w:highlight w:val="none"/>
          <w:lang w:val="en-US" w:eastAsia="zh-CN"/>
        </w:rPr>
        <w:t>登录</w:t>
      </w:r>
      <w:r>
        <w:rPr>
          <w:rFonts w:hint="eastAsia" w:asciiTheme="minorEastAsia" w:hAnsiTheme="minorEastAsia" w:eastAsiaTheme="minorEastAsia" w:cstheme="minorEastAsia"/>
          <w:bCs/>
          <w:color w:val="auto"/>
          <w:szCs w:val="21"/>
          <w:highlight w:val="none"/>
        </w:rPr>
        <w:t>“苏采云”系统在线编制投标文件（电子数据），并在投标截止时间之前上传投标文件。</w:t>
      </w:r>
    </w:p>
    <w:p w14:paraId="26C41F88">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12.2投标人应对 CA 证书妥善保管，如被他人盗用投标，因此带来的</w:t>
      </w:r>
      <w:r>
        <w:rPr>
          <w:rFonts w:hint="eastAsia" w:asciiTheme="minorEastAsia" w:hAnsiTheme="minorEastAsia" w:eastAsiaTheme="minorEastAsia" w:cstheme="minorEastAsia"/>
          <w:bCs/>
          <w:color w:val="auto"/>
          <w:szCs w:val="21"/>
          <w:highlight w:val="none"/>
          <w:lang w:val="en-US" w:eastAsia="zh-CN"/>
        </w:rPr>
        <w:t>后果</w:t>
      </w:r>
      <w:r>
        <w:rPr>
          <w:rFonts w:hint="eastAsia" w:asciiTheme="minorEastAsia" w:hAnsiTheme="minorEastAsia" w:eastAsiaTheme="minorEastAsia" w:cstheme="minorEastAsia"/>
          <w:bCs/>
          <w:color w:val="auto"/>
          <w:szCs w:val="21"/>
          <w:highlight w:val="none"/>
        </w:rPr>
        <w:t>均由投标人自行承担。</w:t>
      </w:r>
    </w:p>
    <w:p w14:paraId="2F5B8B9B">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12.3投标人应当对招标文件提出的要求和条件作出实质性响应，并在电子投标系统逐条应答。</w:t>
      </w:r>
    </w:p>
    <w:p w14:paraId="2E74E678">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12.4投标人应对要求提供的资格证明文件（如资质证书、资格证书）、技术资料（如白皮书、彩页、手册、检测报告等）扫描上传至投标系统。</w:t>
      </w:r>
    </w:p>
    <w:p w14:paraId="453828BC">
      <w:pPr>
        <w:widowControl/>
        <w:shd w:val="clear" w:color="auto" w:fill="FFFFFF"/>
        <w:spacing w:line="360" w:lineRule="auto"/>
        <w:ind w:firstLine="420"/>
        <w:outlineLvl w:val="1"/>
        <w:rPr>
          <w:rFonts w:hint="eastAsia" w:asciiTheme="minorEastAsia" w:hAnsiTheme="minorEastAsia" w:eastAsiaTheme="minorEastAsia" w:cstheme="minorEastAsia"/>
          <w:b/>
          <w:bCs/>
          <w:color w:val="auto"/>
          <w:szCs w:val="21"/>
          <w:highlight w:val="none"/>
        </w:rPr>
      </w:pPr>
      <w:bookmarkStart w:id="78" w:name="_Toc9506"/>
      <w:r>
        <w:rPr>
          <w:rFonts w:hint="eastAsia" w:asciiTheme="minorEastAsia" w:hAnsiTheme="minorEastAsia" w:eastAsiaTheme="minorEastAsia" w:cstheme="minorEastAsia"/>
          <w:b/>
          <w:bCs/>
          <w:color w:val="auto"/>
          <w:szCs w:val="21"/>
          <w:highlight w:val="none"/>
        </w:rPr>
        <w:t>四、投标文件的递交</w:t>
      </w:r>
      <w:bookmarkEnd w:id="77"/>
      <w:bookmarkEnd w:id="78"/>
      <w:r>
        <w:rPr>
          <w:rFonts w:hint="eastAsia" w:asciiTheme="minorEastAsia" w:hAnsiTheme="minorEastAsia" w:eastAsiaTheme="minorEastAsia" w:cstheme="minorEastAsia"/>
          <w:b/>
          <w:bCs/>
          <w:color w:val="auto"/>
          <w:szCs w:val="21"/>
          <w:highlight w:val="none"/>
        </w:rPr>
        <w:t xml:space="preserve"> </w:t>
      </w:r>
    </w:p>
    <w:p w14:paraId="6CFAD81D">
      <w:pPr>
        <w:widowControl/>
        <w:shd w:val="clear" w:color="auto" w:fill="FFFFFF"/>
        <w:spacing w:line="360" w:lineRule="auto"/>
        <w:ind w:firstLine="420"/>
        <w:outlineLvl w:val="1"/>
        <w:rPr>
          <w:rFonts w:hint="eastAsia" w:asciiTheme="minorEastAsia" w:hAnsiTheme="minorEastAsia" w:eastAsiaTheme="minorEastAsia" w:cstheme="minorEastAsia"/>
          <w:b/>
          <w:bCs/>
          <w:color w:val="auto"/>
          <w:szCs w:val="21"/>
          <w:highlight w:val="none"/>
        </w:rPr>
      </w:pPr>
      <w:bookmarkStart w:id="79" w:name="_Toc16938541"/>
      <w:bookmarkStart w:id="80" w:name="_Toc513029225"/>
      <w:bookmarkStart w:id="81" w:name="_Toc462564084"/>
      <w:bookmarkStart w:id="82" w:name="_Toc20823297"/>
      <w:bookmarkStart w:id="83" w:name="_Toc15509"/>
      <w:bookmarkStart w:id="84" w:name="_Toc415"/>
      <w:r>
        <w:rPr>
          <w:rFonts w:hint="eastAsia" w:asciiTheme="minorEastAsia" w:hAnsiTheme="minorEastAsia" w:eastAsiaTheme="minorEastAsia" w:cstheme="minorEastAsia"/>
          <w:b/>
          <w:bCs/>
          <w:color w:val="auto"/>
          <w:szCs w:val="21"/>
          <w:highlight w:val="none"/>
        </w:rPr>
        <w:t>13.电子投标文件</w:t>
      </w:r>
      <w:bookmarkEnd w:id="79"/>
      <w:bookmarkEnd w:id="80"/>
      <w:bookmarkEnd w:id="81"/>
      <w:bookmarkEnd w:id="82"/>
      <w:r>
        <w:rPr>
          <w:rFonts w:hint="eastAsia" w:asciiTheme="minorEastAsia" w:hAnsiTheme="minorEastAsia" w:eastAsiaTheme="minorEastAsia" w:cstheme="minorEastAsia"/>
          <w:b/>
          <w:bCs/>
          <w:color w:val="auto"/>
          <w:szCs w:val="21"/>
          <w:highlight w:val="none"/>
        </w:rPr>
        <w:t>的递交</w:t>
      </w:r>
    </w:p>
    <w:p w14:paraId="08D18665">
      <w:pPr>
        <w:widowControl/>
        <w:shd w:val="clear" w:color="auto" w:fill="FFFFFF"/>
        <w:spacing w:line="360" w:lineRule="auto"/>
        <w:ind w:firstLine="420"/>
        <w:outlineLvl w:val="1"/>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13.1投标人应当按照规定，在投标截止时间前制作并上传电子投标文件。</w:t>
      </w:r>
      <w:bookmarkStart w:id="85" w:name="_Toc16938542"/>
      <w:bookmarkEnd w:id="85"/>
      <w:bookmarkStart w:id="86" w:name="_Toc20823298"/>
      <w:bookmarkEnd w:id="86"/>
    </w:p>
    <w:p w14:paraId="07CD7A15">
      <w:pPr>
        <w:widowControl/>
        <w:shd w:val="clear" w:color="auto" w:fill="FFFFFF"/>
        <w:spacing w:line="360" w:lineRule="auto"/>
        <w:ind w:firstLine="420"/>
        <w:outlineLvl w:val="1"/>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14.投标截止日期</w:t>
      </w:r>
    </w:p>
    <w:p w14:paraId="7727AB60">
      <w:pPr>
        <w:widowControl/>
        <w:shd w:val="clear" w:color="auto" w:fill="FFFFFF"/>
        <w:spacing w:line="360" w:lineRule="auto"/>
        <w:ind w:firstLine="420"/>
        <w:outlineLvl w:val="1"/>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14.1 投标人上传电子投标文件的时间不得迟于招标公告中规定的投标截止时间。</w:t>
      </w:r>
    </w:p>
    <w:p w14:paraId="10B26387">
      <w:pPr>
        <w:widowControl/>
        <w:shd w:val="clear" w:color="auto" w:fill="FFFFFF"/>
        <w:spacing w:line="360" w:lineRule="auto"/>
        <w:ind w:firstLine="420"/>
        <w:outlineLvl w:val="1"/>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投标人应充分考虑到网络环境、网络带宽等风险因素，如因投标人自身原因造成的电子投标文件上传不成功的做无效投标处理。</w:t>
      </w:r>
    </w:p>
    <w:p w14:paraId="1395AC63">
      <w:pPr>
        <w:widowControl/>
        <w:shd w:val="clear" w:color="auto" w:fill="FFFFFF"/>
        <w:spacing w:line="360" w:lineRule="auto"/>
        <w:ind w:firstLine="420"/>
        <w:outlineLvl w:val="1"/>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14.2 采购人及采购代理机构可以按照规定，通过修改招标文件酌情延长投标截止日期，在此情况下，投标人的所有权利和义务以及投标人受制的截止日期均应以延长后新的截止日期为准。</w:t>
      </w:r>
    </w:p>
    <w:p w14:paraId="5F993F6E">
      <w:pPr>
        <w:widowControl/>
        <w:shd w:val="clear" w:color="auto" w:fill="FFFFFF"/>
        <w:spacing w:line="360" w:lineRule="auto"/>
        <w:ind w:firstLine="420"/>
        <w:outlineLvl w:val="1"/>
        <w:rPr>
          <w:rFonts w:hint="eastAsia" w:asciiTheme="minorEastAsia" w:hAnsiTheme="minorEastAsia" w:eastAsiaTheme="minorEastAsia" w:cstheme="minorEastAsia"/>
          <w:b/>
          <w:bCs/>
          <w:color w:val="auto"/>
          <w:szCs w:val="21"/>
          <w:highlight w:val="none"/>
        </w:rPr>
      </w:pPr>
      <w:bookmarkStart w:id="87" w:name="_Toc513029227"/>
      <w:bookmarkStart w:id="88" w:name="_Toc20823299"/>
      <w:bookmarkStart w:id="89" w:name="_Toc16938543"/>
      <w:r>
        <w:rPr>
          <w:rFonts w:hint="eastAsia" w:asciiTheme="minorEastAsia" w:hAnsiTheme="minorEastAsia" w:eastAsiaTheme="minorEastAsia" w:cstheme="minorEastAsia"/>
          <w:b/>
          <w:bCs/>
          <w:color w:val="auto"/>
          <w:szCs w:val="21"/>
          <w:highlight w:val="none"/>
        </w:rPr>
        <w:t>15.投标文件</w:t>
      </w:r>
      <w:bookmarkEnd w:id="87"/>
      <w:bookmarkEnd w:id="88"/>
      <w:bookmarkEnd w:id="89"/>
      <w:r>
        <w:rPr>
          <w:rFonts w:hint="eastAsia" w:asciiTheme="minorEastAsia" w:hAnsiTheme="minorEastAsia" w:eastAsiaTheme="minorEastAsia" w:cstheme="minorEastAsia"/>
          <w:b/>
          <w:bCs/>
          <w:color w:val="auto"/>
          <w:szCs w:val="21"/>
          <w:highlight w:val="none"/>
        </w:rPr>
        <w:t>的拒收</w:t>
      </w:r>
    </w:p>
    <w:p w14:paraId="0698311E">
      <w:pPr>
        <w:widowControl/>
        <w:shd w:val="clear" w:color="auto" w:fill="FFFFFF"/>
        <w:spacing w:line="360" w:lineRule="auto"/>
        <w:ind w:firstLine="420"/>
        <w:outlineLvl w:val="1"/>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15.1 采购人及采购代理机构拒绝接收在其规定的投标截止时间后上传的任何投标文件。</w:t>
      </w:r>
    </w:p>
    <w:p w14:paraId="49F9871E">
      <w:pPr>
        <w:widowControl/>
        <w:shd w:val="clear" w:color="auto" w:fill="FFFFFF"/>
        <w:spacing w:line="360" w:lineRule="auto"/>
        <w:ind w:firstLine="420"/>
        <w:outlineLvl w:val="1"/>
        <w:rPr>
          <w:rFonts w:hint="eastAsia" w:asciiTheme="minorEastAsia" w:hAnsiTheme="minorEastAsia" w:eastAsiaTheme="minorEastAsia" w:cstheme="minorEastAsia"/>
          <w:b/>
          <w:bCs/>
          <w:color w:val="auto"/>
          <w:szCs w:val="21"/>
          <w:highlight w:val="none"/>
        </w:rPr>
      </w:pPr>
      <w:bookmarkStart w:id="90" w:name="_Toc16938544"/>
      <w:bookmarkStart w:id="91" w:name="_Toc20823300"/>
      <w:bookmarkStart w:id="92" w:name="_Toc513029228"/>
      <w:r>
        <w:rPr>
          <w:rFonts w:hint="eastAsia" w:asciiTheme="minorEastAsia" w:hAnsiTheme="minorEastAsia" w:eastAsiaTheme="minorEastAsia" w:cstheme="minorEastAsia"/>
          <w:b/>
          <w:bCs/>
          <w:color w:val="auto"/>
          <w:szCs w:val="21"/>
          <w:highlight w:val="none"/>
        </w:rPr>
        <w:t>16.投标文件的撤回和修改</w:t>
      </w:r>
      <w:bookmarkEnd w:id="90"/>
      <w:bookmarkEnd w:id="91"/>
      <w:bookmarkEnd w:id="92"/>
    </w:p>
    <w:p w14:paraId="3998726F">
      <w:pPr>
        <w:widowControl/>
        <w:shd w:val="clear" w:color="auto" w:fill="FFFFFF"/>
        <w:spacing w:line="360" w:lineRule="auto"/>
        <w:ind w:firstLine="420"/>
        <w:outlineLvl w:val="1"/>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16.1 投标文件的撤回</w:t>
      </w:r>
    </w:p>
    <w:p w14:paraId="781F101E">
      <w:pPr>
        <w:widowControl/>
        <w:shd w:val="clear" w:color="auto" w:fill="FFFFFF"/>
        <w:spacing w:line="360" w:lineRule="auto"/>
        <w:ind w:firstLine="420"/>
        <w:outlineLvl w:val="1"/>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16.1.1 电子投标文件的撤回</w:t>
      </w:r>
    </w:p>
    <w:p w14:paraId="0F80CF4C">
      <w:pPr>
        <w:widowControl/>
        <w:shd w:val="clear" w:color="auto" w:fill="FFFFFF"/>
        <w:spacing w:line="360" w:lineRule="auto"/>
        <w:ind w:firstLine="420"/>
        <w:outlineLvl w:val="1"/>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投标人可在投标截止时间前，撤回其电子投标文件。</w:t>
      </w:r>
    </w:p>
    <w:p w14:paraId="58072ABB">
      <w:pPr>
        <w:widowControl/>
        <w:shd w:val="clear" w:color="auto" w:fill="FFFFFF"/>
        <w:spacing w:line="360" w:lineRule="auto"/>
        <w:ind w:firstLine="420"/>
        <w:outlineLvl w:val="1"/>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16.1.2 投标人撤回电子投标文件，则认为其不再参与本项目投标活动。</w:t>
      </w:r>
    </w:p>
    <w:p w14:paraId="63B35CA0">
      <w:pPr>
        <w:widowControl/>
        <w:shd w:val="clear" w:color="auto" w:fill="FFFFFF"/>
        <w:spacing w:line="360" w:lineRule="auto"/>
        <w:ind w:firstLine="420"/>
        <w:outlineLvl w:val="1"/>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16.2 投标文件的修改</w:t>
      </w:r>
    </w:p>
    <w:p w14:paraId="62B79C30">
      <w:pPr>
        <w:widowControl/>
        <w:shd w:val="clear" w:color="auto" w:fill="FFFFFF"/>
        <w:spacing w:line="360" w:lineRule="auto"/>
        <w:ind w:firstLine="420"/>
        <w:outlineLvl w:val="1"/>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16.2.1投标人可在投标截止时间前，对其电子投标文件进行修改。</w:t>
      </w:r>
    </w:p>
    <w:p w14:paraId="6B43A498">
      <w:pPr>
        <w:widowControl/>
        <w:shd w:val="clear" w:color="auto" w:fill="FFFFFF"/>
        <w:spacing w:line="360" w:lineRule="auto"/>
        <w:ind w:firstLine="420"/>
        <w:outlineLvl w:val="1"/>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16.2.2 在投标截止时间之后，投标人不得对其电子投标文件作任何修改。</w:t>
      </w:r>
    </w:p>
    <w:p w14:paraId="754A79FE">
      <w:pPr>
        <w:widowControl/>
        <w:shd w:val="clear" w:color="auto" w:fill="FFFFFF"/>
        <w:spacing w:line="360" w:lineRule="auto"/>
        <w:ind w:firstLine="420"/>
        <w:outlineLvl w:val="1"/>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16.3 在投标截止时间至招标文件中规定的投标有效期满之间的这段时间内，投标人不得撤回其投标。</w:t>
      </w:r>
    </w:p>
    <w:p w14:paraId="54D0B10A">
      <w:pPr>
        <w:widowControl/>
        <w:shd w:val="clear" w:color="auto" w:fill="FFFFFF"/>
        <w:spacing w:line="360" w:lineRule="auto"/>
        <w:ind w:firstLine="420"/>
        <w:outlineLvl w:val="1"/>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五、开标与评标</w:t>
      </w:r>
    </w:p>
    <w:p w14:paraId="5E856DE1">
      <w:pPr>
        <w:pStyle w:val="236"/>
        <w:spacing w:line="360" w:lineRule="auto"/>
        <w:ind w:left="0" w:firstLine="422"/>
        <w:jc w:val="both"/>
        <w:rPr>
          <w:rFonts w:hint="eastAsia" w:asciiTheme="minorEastAsia" w:hAnsiTheme="minorEastAsia" w:eastAsiaTheme="minorEastAsia" w:cstheme="minorEastAsia"/>
          <w:b/>
          <w:bCs/>
          <w:color w:val="auto"/>
          <w:sz w:val="21"/>
          <w:szCs w:val="21"/>
          <w:highlight w:val="none"/>
        </w:rPr>
      </w:pPr>
      <w:bookmarkStart w:id="93" w:name="OLE_LINK3"/>
      <w:bookmarkStart w:id="94" w:name="OLE_LINK7"/>
      <w:bookmarkStart w:id="95" w:name="_Toc13829"/>
      <w:bookmarkStart w:id="96" w:name="_Toc15345"/>
      <w:bookmarkStart w:id="97" w:name="_Toc20683"/>
      <w:bookmarkStart w:id="98" w:name="_Toc3679"/>
      <w:bookmarkStart w:id="99" w:name="_Toc6944"/>
      <w:r>
        <w:rPr>
          <w:rFonts w:hint="eastAsia" w:asciiTheme="minorEastAsia" w:hAnsiTheme="minorEastAsia" w:eastAsiaTheme="minorEastAsia" w:cstheme="minorEastAsia"/>
          <w:b/>
          <w:bCs/>
          <w:color w:val="auto"/>
          <w:sz w:val="21"/>
          <w:szCs w:val="21"/>
          <w:highlight w:val="none"/>
        </w:rPr>
        <w:t>17.开标</w:t>
      </w:r>
      <w:bookmarkEnd w:id="93"/>
      <w:bookmarkEnd w:id="94"/>
      <w:bookmarkEnd w:id="95"/>
      <w:bookmarkEnd w:id="96"/>
      <w:bookmarkEnd w:id="97"/>
      <w:bookmarkEnd w:id="98"/>
    </w:p>
    <w:p w14:paraId="68416284">
      <w:pPr>
        <w:spacing w:line="360" w:lineRule="auto"/>
        <w:ind w:firstLine="422"/>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17.1开标时间及地点。开标应当在招标文件确定的提交投标文件截止时间的同一时间公开进行；开标地点应当为招标文件中预先确定的地点。</w:t>
      </w:r>
    </w:p>
    <w:p w14:paraId="21BC5F9A">
      <w:pPr>
        <w:spacing w:line="360" w:lineRule="auto"/>
        <w:ind w:firstLine="422"/>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17.2由电子招标投标交易平台主持，邀请投标人参加。</w:t>
      </w:r>
    </w:p>
    <w:p w14:paraId="1AF0675F">
      <w:pPr>
        <w:spacing w:line="360" w:lineRule="auto"/>
        <w:ind w:firstLine="422"/>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17.3所有投标单位使用 CA 证书在开标时间时，解密各自投标文件，由工作人员操作系统进行开标，投标人不足3家的，不得开标。</w:t>
      </w:r>
    </w:p>
    <w:p w14:paraId="67A4D3A0">
      <w:pPr>
        <w:spacing w:line="360" w:lineRule="auto"/>
        <w:ind w:firstLine="422"/>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17.4投标人原因造成投标文件未解密的，视为撤销其投标文件；因投标人之外的原因造成投标文件未解密的，视为撤回其投标文件。部分投标文件未解密的，其他投标文件的开标可以继续进行。</w:t>
      </w:r>
    </w:p>
    <w:p w14:paraId="41BE4EA0">
      <w:pPr>
        <w:spacing w:line="360" w:lineRule="auto"/>
        <w:ind w:firstLine="42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Cs w:val="21"/>
          <w:highlight w:val="none"/>
        </w:rPr>
        <w:t>18.资格性审查：</w:t>
      </w:r>
    </w:p>
    <w:p w14:paraId="7723060A">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18.1开标结束后，采购人或者采购代理机构应当依据法律法规和采购文件的规定，对投标人的资格进行审查，以确定投标供应商提供资格证明的合法性、真实性，是否具备投标资格。</w:t>
      </w:r>
    </w:p>
    <w:p w14:paraId="7A325F50">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18.2信用信息查询</w:t>
      </w:r>
    </w:p>
    <w:p w14:paraId="44C03843">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p>
    <w:p w14:paraId="1C62CE16">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18.3</w:t>
      </w:r>
      <w:bookmarkEnd w:id="99"/>
      <w:bookmarkStart w:id="100" w:name="_Toc30296"/>
      <w:bookmarkStart w:id="101" w:name="_Toc20823303"/>
      <w:bookmarkStart w:id="102" w:name="_Toc513029231"/>
      <w:bookmarkStart w:id="103" w:name="_Toc29284"/>
      <w:bookmarkStart w:id="104" w:name="_Toc16938547"/>
      <w:r>
        <w:rPr>
          <w:rFonts w:hint="eastAsia" w:asciiTheme="minorEastAsia" w:hAnsiTheme="minorEastAsia" w:eastAsiaTheme="minorEastAsia" w:cstheme="minorEastAsia"/>
          <w:bCs/>
          <w:color w:val="auto"/>
          <w:szCs w:val="21"/>
          <w:highlight w:val="none"/>
        </w:rPr>
        <w:t>通过资格性审查合格的投标人不足3家的，不得评标。</w:t>
      </w:r>
    </w:p>
    <w:p w14:paraId="3B086C17">
      <w:pPr>
        <w:spacing w:line="440" w:lineRule="exact"/>
        <w:ind w:firstLine="422"/>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19.评标 </w:t>
      </w:r>
    </w:p>
    <w:p w14:paraId="4E9F717F">
      <w:pPr>
        <w:spacing w:line="440" w:lineRule="exact"/>
        <w:ind w:firstLine="422"/>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19.1评标组织</w:t>
      </w:r>
    </w:p>
    <w:p w14:paraId="3B9C3D45">
      <w:pPr>
        <w:spacing w:line="440" w:lineRule="exact"/>
        <w:ind w:firstLine="420"/>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szCs w:val="21"/>
          <w:highlight w:val="none"/>
        </w:rPr>
        <w:t>19.1评</w:t>
      </w:r>
      <w:r>
        <w:rPr>
          <w:rFonts w:hint="eastAsia" w:asciiTheme="minorEastAsia" w:hAnsiTheme="minorEastAsia" w:eastAsiaTheme="minorEastAsia" w:cstheme="minorEastAsia"/>
          <w:bCs/>
          <w:color w:val="auto"/>
          <w:highlight w:val="none"/>
        </w:rPr>
        <w:t>标工作由采购代理机构负责组织，具体评标事务由依法组建的评标委员会负责，并独立履行下列职责：</w:t>
      </w:r>
    </w:p>
    <w:p w14:paraId="2CF6C959">
      <w:pPr>
        <w:widowControl/>
        <w:shd w:val="clear" w:color="auto" w:fill="FFFFFF"/>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（1）审查、评价投标文件是否符合招标文件的商务、技术等实质性要求；</w:t>
      </w:r>
    </w:p>
    <w:p w14:paraId="5902BC68">
      <w:pPr>
        <w:widowControl/>
        <w:shd w:val="clear" w:color="auto" w:fill="FFFFFF"/>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（2）要求投标人对投标文件有关事项作出澄清或者说明；</w:t>
      </w:r>
    </w:p>
    <w:p w14:paraId="21D714D2">
      <w:pPr>
        <w:widowControl/>
        <w:shd w:val="clear" w:color="auto" w:fill="FFFFFF"/>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（3）对投标文件进行比较和评价；</w:t>
      </w:r>
    </w:p>
    <w:p w14:paraId="7ED12CA8">
      <w:pPr>
        <w:widowControl/>
        <w:shd w:val="clear" w:color="auto" w:fill="FFFFFF"/>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（4）确定中标候选人名单，以及根据采购人委托直接确定中标人；</w:t>
      </w:r>
    </w:p>
    <w:p w14:paraId="0625CC9A">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rPr>
        <w:t>（5）向采购人、采购代理机构或者有关部门报告评标中发现的违法行为。</w:t>
      </w:r>
    </w:p>
    <w:p w14:paraId="536EF3D3">
      <w:pPr>
        <w:spacing w:line="440" w:lineRule="exact"/>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rPr>
        <w:t>19.2</w:t>
      </w:r>
      <w:r>
        <w:rPr>
          <w:rFonts w:hint="eastAsia" w:asciiTheme="minorEastAsia" w:hAnsiTheme="minorEastAsia" w:eastAsiaTheme="minorEastAsia" w:cstheme="minorEastAsia"/>
          <w:bCs/>
          <w:color w:val="auto"/>
          <w:highlight w:val="none"/>
        </w:rPr>
        <w:t>评标委员会由采购人代表和有关技术、经济等方面的专家组成，独立开展评审工作且评标委员会人员构成符合有关规定。</w:t>
      </w:r>
    </w:p>
    <w:p w14:paraId="7F226EB3">
      <w:pPr>
        <w:spacing w:line="440" w:lineRule="exact"/>
        <w:ind w:firstLine="422"/>
        <w:rPr>
          <w:rFonts w:hint="eastAsia" w:asciiTheme="minorEastAsia" w:hAnsiTheme="minorEastAsia" w:eastAsiaTheme="minorEastAsia" w:cstheme="minorEastAsia"/>
          <w:b/>
          <w:color w:val="auto"/>
          <w:szCs w:val="21"/>
          <w:highlight w:val="none"/>
        </w:rPr>
      </w:pPr>
      <w:bookmarkStart w:id="105" w:name="_Toc16288"/>
      <w:r>
        <w:rPr>
          <w:rFonts w:hint="eastAsia" w:asciiTheme="minorEastAsia" w:hAnsiTheme="minorEastAsia" w:eastAsiaTheme="minorEastAsia" w:cstheme="minorEastAsia"/>
          <w:b/>
          <w:color w:val="auto"/>
          <w:szCs w:val="21"/>
          <w:highlight w:val="none"/>
        </w:rPr>
        <w:t>19.3 对投标文件的符合性审查</w:t>
      </w:r>
      <w:bookmarkEnd w:id="105"/>
    </w:p>
    <w:p w14:paraId="1EC8EE98">
      <w:pPr>
        <w:widowControl/>
        <w:shd w:val="clear" w:color="auto" w:fill="FFFFFF"/>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19.3.1符合性检查：依据招标文件的规定，从投标文件的有效性（签署情况等）、完整性（正本和副本数量、内容等）和对招标文件的响应程度（是否存在重大负偏离等）进行审查，以确定是否对招标文件的实质性要求作出响应。实质性要求是指本招标文件中用带星号（“★”）说明的商务和技术要求。</w:t>
      </w:r>
    </w:p>
    <w:p w14:paraId="4B106449">
      <w:pPr>
        <w:widowControl/>
        <w:shd w:val="clear" w:color="auto" w:fill="FFFFFF"/>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19.3.2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p>
    <w:p w14:paraId="5E97C1EF">
      <w:pPr>
        <w:widowControl/>
        <w:shd w:val="clear" w:color="auto" w:fill="FFFFFF"/>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19.3.3评审时，投标文件出现不一致情形的，按下列规定执行：</w:t>
      </w:r>
    </w:p>
    <w:p w14:paraId="7E24E55B">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19.3.3.1投标文件正本与副本不符的，以正本为准。</w:t>
      </w:r>
    </w:p>
    <w:p w14:paraId="06257AD4">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19.3.3.2投标文件报价出现前后不一致的，按照下列规定修正：</w:t>
      </w:r>
    </w:p>
    <w:p w14:paraId="60F25CF0">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（1）投标文件中开标一览表（报价表）内容与投标文件中相应内容不一致的，以开标一览表（报价表）为准；</w:t>
      </w:r>
    </w:p>
    <w:p w14:paraId="5AC1F101">
      <w:pPr>
        <w:tabs>
          <w:tab w:val="left" w:pos="0"/>
        </w:tabs>
        <w:spacing w:line="360" w:lineRule="auto"/>
        <w:ind w:firstLine="426"/>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（2）大写金额和小写金额不一致的，以大写金额为准；</w:t>
      </w:r>
    </w:p>
    <w:p w14:paraId="3DF50EE4">
      <w:pPr>
        <w:tabs>
          <w:tab w:val="left" w:pos="0"/>
        </w:tabs>
        <w:spacing w:line="360" w:lineRule="auto"/>
        <w:ind w:firstLine="426"/>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（3）单价金额小数点或者百分比有明显错位的，以开标一览表的总价为准，并修改单价；</w:t>
      </w:r>
    </w:p>
    <w:p w14:paraId="2D6FDA3F">
      <w:pPr>
        <w:widowControl/>
        <w:shd w:val="clear" w:color="auto" w:fill="FFFFFF"/>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（4）总价金额与按单价汇总金额不一致的，以单价金额计算结果为准。</w:t>
      </w:r>
    </w:p>
    <w:p w14:paraId="0821832D">
      <w:pPr>
        <w:widowControl/>
        <w:shd w:val="clear" w:color="auto" w:fill="FFFFFF"/>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5）同时出现两种以上不一致的，按照前款规定的顺序修正。修正后的报价按照《政府采购货物和服务招标投标管理办法》（财政部令第87号）第五十一条第二款的规定经投标人确认后产生约束力，投标人不确认的，其投标无效。</w:t>
      </w:r>
    </w:p>
    <w:p w14:paraId="49BE305B">
      <w:pPr>
        <w:widowControl/>
        <w:shd w:val="clear" w:color="auto" w:fill="FFFFFF"/>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
          <w:bCs w:val="0"/>
          <w:color w:val="auto"/>
          <w:szCs w:val="21"/>
          <w:highlight w:val="none"/>
        </w:rPr>
        <w:t>19.3.4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p>
    <w:p w14:paraId="5781DD39">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19.3.5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p>
    <w:p w14:paraId="269D9189">
      <w:pPr>
        <w:spacing w:line="360" w:lineRule="auto"/>
        <w:ind w:firstLine="420"/>
        <w:rPr>
          <w:rFonts w:hint="eastAsia" w:asciiTheme="minorEastAsia" w:hAnsiTheme="minorEastAsia" w:eastAsiaTheme="minorEastAsia" w:cstheme="minorEastAsia"/>
          <w:b/>
          <w:bCs w:val="0"/>
          <w:color w:val="auto"/>
          <w:szCs w:val="21"/>
          <w:highlight w:val="none"/>
        </w:rPr>
      </w:pPr>
      <w:r>
        <w:rPr>
          <w:rFonts w:hint="eastAsia" w:asciiTheme="minorEastAsia" w:hAnsiTheme="minorEastAsia" w:eastAsiaTheme="minorEastAsia" w:cstheme="minorEastAsia"/>
          <w:b/>
          <w:bCs w:val="0"/>
          <w:color w:val="auto"/>
          <w:szCs w:val="21"/>
          <w:highlight w:val="none"/>
        </w:rPr>
        <w:t xml:space="preserve">19.3.6评审过程中出现下列情形之一的，评审委员会应当启动异常低价投标（响应）审查程序： </w:t>
      </w:r>
    </w:p>
    <w:p w14:paraId="364D9E8C">
      <w:pPr>
        <w:spacing w:line="360" w:lineRule="auto"/>
        <w:ind w:firstLine="420"/>
        <w:rPr>
          <w:rFonts w:hint="eastAsia" w:asciiTheme="minorEastAsia" w:hAnsiTheme="minorEastAsia" w:eastAsiaTheme="minorEastAsia" w:cstheme="minorEastAsia"/>
          <w:b/>
          <w:bCs w:val="0"/>
          <w:color w:val="auto"/>
          <w:szCs w:val="21"/>
          <w:highlight w:val="none"/>
        </w:rPr>
      </w:pPr>
      <w:r>
        <w:rPr>
          <w:rFonts w:hint="eastAsia" w:asciiTheme="minorEastAsia" w:hAnsiTheme="minorEastAsia" w:eastAsiaTheme="minorEastAsia" w:cstheme="minorEastAsia"/>
          <w:b/>
          <w:bCs w:val="0"/>
          <w:color w:val="auto"/>
          <w:szCs w:val="21"/>
          <w:highlight w:val="none"/>
        </w:rPr>
        <w:t xml:space="preserve">19.3.6.1投标（响应）报价低于全部通过符合性审查供应商投标（响应）报价平均值50%的，即投标（响应）报价&lt;全部通过符合性审查供应商投标（响应）报价平均值×50%；； </w:t>
      </w:r>
    </w:p>
    <w:p w14:paraId="67AFE1C1">
      <w:pPr>
        <w:spacing w:line="360" w:lineRule="auto"/>
        <w:ind w:firstLine="420"/>
        <w:rPr>
          <w:rFonts w:hint="eastAsia" w:asciiTheme="minorEastAsia" w:hAnsiTheme="minorEastAsia" w:eastAsiaTheme="minorEastAsia" w:cstheme="minorEastAsia"/>
          <w:b/>
          <w:bCs w:val="0"/>
          <w:color w:val="auto"/>
          <w:szCs w:val="21"/>
          <w:highlight w:val="none"/>
        </w:rPr>
      </w:pPr>
      <w:r>
        <w:rPr>
          <w:rFonts w:hint="eastAsia" w:asciiTheme="minorEastAsia" w:hAnsiTheme="minorEastAsia" w:eastAsiaTheme="minorEastAsia" w:cstheme="minorEastAsia"/>
          <w:b/>
          <w:bCs w:val="0"/>
          <w:color w:val="auto"/>
          <w:szCs w:val="21"/>
          <w:highlight w:val="none"/>
        </w:rPr>
        <w:t xml:space="preserve">19.3.6.2投标（响应）报价低于通过符合性审查的次低报价供应商投标（响应）报价50%的，即投标（响应）报价&lt;通过符合性审查的次低报价供应商投标（响应）报价×50%； </w:t>
      </w:r>
    </w:p>
    <w:p w14:paraId="069C05B1">
      <w:pPr>
        <w:spacing w:line="360" w:lineRule="auto"/>
        <w:ind w:firstLine="420"/>
        <w:rPr>
          <w:rFonts w:hint="eastAsia" w:asciiTheme="minorEastAsia" w:hAnsiTheme="minorEastAsia" w:eastAsiaTheme="minorEastAsia" w:cstheme="minorEastAsia"/>
          <w:b/>
          <w:bCs w:val="0"/>
          <w:color w:val="auto"/>
          <w:szCs w:val="21"/>
          <w:highlight w:val="none"/>
          <w:lang w:eastAsia="zh-CN"/>
        </w:rPr>
      </w:pPr>
      <w:r>
        <w:rPr>
          <w:rFonts w:hint="eastAsia" w:asciiTheme="minorEastAsia" w:hAnsiTheme="minorEastAsia" w:eastAsiaTheme="minorEastAsia" w:cstheme="minorEastAsia"/>
          <w:b/>
          <w:bCs w:val="0"/>
          <w:color w:val="auto"/>
          <w:szCs w:val="21"/>
          <w:highlight w:val="none"/>
        </w:rPr>
        <w:t>19.3.6.3投标（响应）报价低于采购项目最高限价45%的，即投标（响应）报价&lt;采购项目最高限价×45%</w:t>
      </w:r>
      <w:r>
        <w:rPr>
          <w:rFonts w:hint="eastAsia" w:asciiTheme="minorEastAsia" w:hAnsiTheme="minorEastAsia" w:eastAsiaTheme="minorEastAsia" w:cstheme="minorEastAsia"/>
          <w:b/>
          <w:bCs w:val="0"/>
          <w:color w:val="auto"/>
          <w:szCs w:val="21"/>
          <w:highlight w:val="none"/>
          <w:lang w:eastAsia="zh-CN"/>
        </w:rPr>
        <w:t>；</w:t>
      </w:r>
    </w:p>
    <w:p w14:paraId="5BB1C0BF">
      <w:pPr>
        <w:spacing w:line="360" w:lineRule="auto"/>
        <w:ind w:firstLine="420"/>
        <w:rPr>
          <w:rFonts w:hint="eastAsia" w:asciiTheme="minorEastAsia" w:hAnsiTheme="minorEastAsia" w:eastAsiaTheme="minorEastAsia" w:cstheme="minorEastAsia"/>
          <w:b/>
          <w:bCs w:val="0"/>
          <w:color w:val="auto"/>
          <w:szCs w:val="21"/>
          <w:highlight w:val="none"/>
          <w:lang w:val="en-US" w:eastAsia="zh-CN"/>
        </w:rPr>
      </w:pPr>
      <w:r>
        <w:rPr>
          <w:rFonts w:hint="eastAsia" w:asciiTheme="minorEastAsia" w:hAnsiTheme="minorEastAsia" w:eastAsiaTheme="minorEastAsia" w:cstheme="minorEastAsia"/>
          <w:b/>
          <w:bCs w:val="0"/>
          <w:color w:val="auto"/>
          <w:szCs w:val="21"/>
          <w:highlight w:val="none"/>
          <w:lang w:val="en-US" w:eastAsia="zh-CN"/>
        </w:rPr>
        <w:t>19.3.6.4评审委员会基于专业判断，认为供应商报价过低，有可能影响产品质量或者不能诚信履约的其他情形。</w:t>
      </w:r>
    </w:p>
    <w:p w14:paraId="13D313F4">
      <w:pPr>
        <w:spacing w:line="360" w:lineRule="auto"/>
        <w:ind w:firstLine="420"/>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bCs w:val="0"/>
          <w:color w:val="auto"/>
          <w:szCs w:val="21"/>
          <w:highlight w:val="none"/>
        </w:rPr>
        <w:t>启动异常低价投标（响应）审查后，评审委员会应当要求相关供应商在评标现场合理的时间内</w:t>
      </w:r>
      <w:r>
        <w:rPr>
          <w:rFonts w:hint="eastAsia" w:asciiTheme="minorEastAsia" w:hAnsiTheme="minorEastAsia" w:eastAsiaTheme="minorEastAsia" w:cstheme="minorEastAsia"/>
          <w:b/>
          <w:bCs w:val="0"/>
          <w:color w:val="auto"/>
          <w:szCs w:val="21"/>
          <w:highlight w:val="none"/>
          <w:lang w:eastAsia="zh-CN"/>
        </w:rPr>
        <w:t>（30分钟）</w:t>
      </w:r>
      <w:r>
        <w:rPr>
          <w:rFonts w:hint="eastAsia" w:asciiTheme="minorEastAsia" w:hAnsiTheme="minorEastAsia" w:eastAsiaTheme="minorEastAsia" w:cstheme="minorEastAsia"/>
          <w:b/>
          <w:bCs w:val="0"/>
          <w:color w:val="auto"/>
          <w:szCs w:val="21"/>
          <w:highlight w:val="none"/>
        </w:rPr>
        <w:t>，提供项目具体成本测算等与报价合理性相关的书面说明及相关证明材料，对投标（响应）价格作出解释，其中，属于第19.3.6.3项情形，供应商已随投标（响应）文件一并提交相关书面说明及必要的证明材料的，在评审现场可不再重复提交。由评审委员会结合同类产品在主要电商平台的价格、该行业当地薪资水平等情况，依据专业经验对供应商报价合理性进行判断。投标（响应）供应商不能提供书面说明、证明材料，或者提供的书面说明、证明材料不能证明其报价合理性的，评审委员会应当将其作为无效投标（响应）处理。审查相关情况应当在评审报告中进行记录。</w:t>
      </w:r>
      <w:bookmarkEnd w:id="100"/>
    </w:p>
    <w:p w14:paraId="70B35043">
      <w:pPr>
        <w:pStyle w:val="236"/>
        <w:spacing w:line="360" w:lineRule="auto"/>
        <w:ind w:left="0" w:firstLine="422"/>
        <w:jc w:val="both"/>
        <w:rPr>
          <w:rFonts w:hint="eastAsia" w:asciiTheme="minorEastAsia" w:hAnsiTheme="minorEastAsia" w:eastAsiaTheme="minorEastAsia" w:cstheme="minorEastAsia"/>
          <w:b/>
          <w:bCs/>
          <w:color w:val="auto"/>
          <w:sz w:val="21"/>
          <w:szCs w:val="21"/>
          <w:highlight w:val="none"/>
        </w:rPr>
      </w:pPr>
      <w:bookmarkStart w:id="106" w:name="_Toc26857"/>
      <w:bookmarkStart w:id="107" w:name="_Toc13685"/>
      <w:r>
        <w:rPr>
          <w:rFonts w:hint="eastAsia" w:asciiTheme="minorEastAsia" w:hAnsiTheme="minorEastAsia" w:eastAsiaTheme="minorEastAsia" w:cstheme="minorEastAsia"/>
          <w:b/>
          <w:bCs/>
          <w:color w:val="auto"/>
          <w:sz w:val="21"/>
          <w:szCs w:val="21"/>
          <w:highlight w:val="none"/>
        </w:rPr>
        <w:t>19.4投标文件的澄清</w:t>
      </w:r>
      <w:bookmarkEnd w:id="106"/>
      <w:r>
        <w:rPr>
          <w:rFonts w:hint="eastAsia" w:asciiTheme="minorEastAsia" w:hAnsiTheme="minorEastAsia" w:eastAsiaTheme="minorEastAsia" w:cstheme="minorEastAsia"/>
          <w:b/>
          <w:bCs/>
          <w:color w:val="auto"/>
          <w:sz w:val="21"/>
          <w:szCs w:val="21"/>
          <w:highlight w:val="none"/>
        </w:rPr>
        <w:t xml:space="preserve">  </w:t>
      </w:r>
    </w:p>
    <w:p w14:paraId="32EBAE13">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p>
    <w:p w14:paraId="21B83710">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19.4.2 评标委员会应当通过“苏采云”系统要求投标人作出澄清、说明或者补正，并规定回复时间。投标人回复应当采用通过“苏采云”系统（使用“CA数字证书”,加盖电子签章）形式，将作为投标文件内容的一部分。</w:t>
      </w:r>
    </w:p>
    <w:p w14:paraId="7A7FF7FA">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19.4.3供应商澄清、说明或者补正不得超出投标文件的范围或者改变投标文件的实质性内容。供应商拒不按照要求对投标文件进行澄清、说明或者补正的，视其放弃该项权利。</w:t>
      </w:r>
      <w:bookmarkEnd w:id="107"/>
    </w:p>
    <w:p w14:paraId="380EBC6B">
      <w:pPr>
        <w:tabs>
          <w:tab w:val="left" w:pos="1365"/>
        </w:tabs>
        <w:spacing w:line="360" w:lineRule="auto"/>
        <w:ind w:firstLine="424"/>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19.5比较与评价</w:t>
      </w:r>
    </w:p>
    <w:p w14:paraId="7150E9C2">
      <w:pPr>
        <w:tabs>
          <w:tab w:val="left" w:pos="1365"/>
        </w:tabs>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19.5.1投标文件资格性检查和符合性检查结束后，凡属于“无效投标文件确认”的投标文件不进入比较与评价程序。</w:t>
      </w:r>
    </w:p>
    <w:p w14:paraId="693FB679">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19.5.2评标委员会应当按照招标文件中规定的评标方法和标准，对符合性审查合格的投标文件进行商务和技术评估，综合比较与评价。</w:t>
      </w:r>
    </w:p>
    <w:p w14:paraId="4C8BBAC2">
      <w:pPr>
        <w:widowControl/>
        <w:shd w:val="clear" w:color="auto" w:fill="FFFFFF"/>
        <w:spacing w:line="360" w:lineRule="auto"/>
        <w:ind w:firstLine="420"/>
        <w:jc w:val="left"/>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19.5.3除评标方法和评标标准另有规定外，评标采用综合评分法。即投标文件满足招标文件全部实质性要求，且按照评审因素的量化指标评审得分最高的供应商为中标候选供应商的评标方法。</w:t>
      </w:r>
      <w:r>
        <w:rPr>
          <w:rFonts w:hint="eastAsia" w:asciiTheme="minorEastAsia" w:hAnsiTheme="minorEastAsia" w:eastAsiaTheme="minorEastAsia" w:cstheme="minorEastAsia"/>
          <w:color w:val="auto"/>
          <w:szCs w:val="21"/>
          <w:highlight w:val="none"/>
        </w:rPr>
        <w:t>评标时，评标委员会各成员应当独立对每个投标人的投标文件进行评价，并汇总每个投标人的得分。</w:t>
      </w:r>
    </w:p>
    <w:p w14:paraId="1DC12FFA">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19.5.4评审因素包括投标报价、技术或者服务水平、履约能力、售后服务等。</w:t>
      </w:r>
    </w:p>
    <w:p w14:paraId="5B90B672">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19.5.5评标方法和评标标准详见文件第三章。</w:t>
      </w:r>
    </w:p>
    <w:p w14:paraId="6D2D79A8">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p>
    <w:p w14:paraId="3FFFF362">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p>
    <w:p w14:paraId="532BA4DB">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非单一产品采购项目，采购人根据采购项目技术构成、产品价格比重等合理确定核心产品，并在招标文件中载明。多家供应商提供的核心产品品牌相同的，按前述规定处理。</w:t>
      </w:r>
    </w:p>
    <w:p w14:paraId="58F35B9D">
      <w:pPr>
        <w:tabs>
          <w:tab w:val="left" w:pos="1365"/>
        </w:tabs>
        <w:spacing w:line="360" w:lineRule="auto"/>
        <w:ind w:firstLine="424"/>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19.6投标供应商存在下列情况之一的，其投标无效：</w:t>
      </w:r>
    </w:p>
    <w:p w14:paraId="7C8B0BCD">
      <w:pPr>
        <w:widowControl/>
        <w:shd w:val="clear" w:color="auto" w:fill="FFFFFF"/>
        <w:tabs>
          <w:tab w:val="left" w:pos="767"/>
        </w:tabs>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（1）投标人在苏采云系统规定的时间内未成功解密电子投标文件的。</w:t>
      </w:r>
    </w:p>
    <w:p w14:paraId="4BF76B96">
      <w:pPr>
        <w:widowControl/>
        <w:shd w:val="clear" w:color="auto" w:fill="FFFFFF"/>
        <w:tabs>
          <w:tab w:val="left" w:pos="767"/>
        </w:tabs>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rPr>
        <w:t>（2）</w:t>
      </w:r>
      <w:r>
        <w:rPr>
          <w:rFonts w:hint="eastAsia" w:asciiTheme="minorEastAsia" w:hAnsiTheme="minorEastAsia" w:eastAsiaTheme="minorEastAsia" w:cstheme="minorEastAsia"/>
          <w:color w:val="auto"/>
          <w:szCs w:val="21"/>
          <w:highlight w:val="none"/>
        </w:rPr>
        <w:t>投标人未按照招标文件要求上传电子投标文件的。</w:t>
      </w:r>
    </w:p>
    <w:p w14:paraId="4CEFD8EC">
      <w:pPr>
        <w:widowControl/>
        <w:shd w:val="clear" w:color="auto" w:fill="FFFFFF"/>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rPr>
        <w:t>（3）供应商不具备招标文件中规定资格要求的</w:t>
      </w:r>
      <w:r>
        <w:rPr>
          <w:rFonts w:hint="eastAsia" w:asciiTheme="minorEastAsia" w:hAnsiTheme="minorEastAsia" w:eastAsiaTheme="minorEastAsia" w:cstheme="minorEastAsia"/>
          <w:color w:val="auto"/>
          <w:szCs w:val="21"/>
          <w:highlight w:val="none"/>
        </w:rPr>
        <w:t>；</w:t>
      </w:r>
    </w:p>
    <w:p w14:paraId="6E0FE782">
      <w:pPr>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Cs/>
          <w:color w:val="auto"/>
          <w:szCs w:val="21"/>
          <w:highlight w:val="none"/>
        </w:rPr>
        <w:t>（4）供应商在报价时采用选择性报价；</w:t>
      </w:r>
    </w:p>
    <w:p w14:paraId="1F38B55E">
      <w:pPr>
        <w:widowControl/>
        <w:shd w:val="clear" w:color="auto" w:fill="FFFFFF"/>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bCs/>
          <w:color w:val="auto"/>
          <w:szCs w:val="21"/>
          <w:highlight w:val="none"/>
        </w:rPr>
        <w:t>5</w:t>
      </w:r>
      <w:r>
        <w:rPr>
          <w:rFonts w:hint="eastAsia" w:asciiTheme="minorEastAsia" w:hAnsiTheme="minorEastAsia" w:eastAsiaTheme="minorEastAsia" w:cstheme="minorEastAsia"/>
          <w:color w:val="auto"/>
          <w:szCs w:val="21"/>
          <w:highlight w:val="none"/>
        </w:rPr>
        <w:t>）报价超过招标文件中规定的预算金额或者最高限价的；</w:t>
      </w:r>
    </w:p>
    <w:p w14:paraId="6AAA57ED">
      <w:pPr>
        <w:widowControl/>
        <w:shd w:val="clear" w:color="auto" w:fill="FFFFFF"/>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（6）投标文件含有采购人不能接受的附加条件的；</w:t>
      </w:r>
    </w:p>
    <w:p w14:paraId="021E0AB0">
      <w:pPr>
        <w:widowControl/>
        <w:shd w:val="clear" w:color="auto" w:fill="FFFFFF"/>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bCs/>
          <w:color w:val="auto"/>
          <w:szCs w:val="21"/>
          <w:highlight w:val="none"/>
        </w:rPr>
        <w:t>7</w:t>
      </w:r>
      <w:r>
        <w:rPr>
          <w:rFonts w:hint="eastAsia" w:asciiTheme="minorEastAsia" w:hAnsiTheme="minorEastAsia" w:eastAsiaTheme="minorEastAsia" w:cstheme="minorEastAsia"/>
          <w:color w:val="auto"/>
          <w:szCs w:val="21"/>
          <w:highlight w:val="none"/>
        </w:rPr>
        <w:t>）不同供应商的投标文件由同一单位或者个人编制；</w:t>
      </w:r>
    </w:p>
    <w:p w14:paraId="333AF386">
      <w:pPr>
        <w:widowControl/>
        <w:shd w:val="clear" w:color="auto" w:fill="FFFFFF"/>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（8）不同供应商委托同一单位或者个人办理投标事宜；</w:t>
      </w:r>
    </w:p>
    <w:p w14:paraId="1AAD6CA6">
      <w:pPr>
        <w:widowControl/>
        <w:shd w:val="clear" w:color="auto" w:fill="FFFFFF"/>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（9）不同供应商的投标文件载明的项目管理成员或联系人员为同一人；</w:t>
      </w:r>
    </w:p>
    <w:p w14:paraId="4370B861">
      <w:pPr>
        <w:widowControl/>
        <w:shd w:val="clear" w:color="auto" w:fill="FFFFFF"/>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（10）不同供应商的投标文件异常一致或者投标报价呈规律性差异；</w:t>
      </w:r>
    </w:p>
    <w:p w14:paraId="6EF8668C">
      <w:pPr>
        <w:widowControl/>
        <w:shd w:val="clear" w:color="auto" w:fill="FFFFFF"/>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（11）不同供应商的投标文件相互混装；</w:t>
      </w:r>
    </w:p>
    <w:p w14:paraId="28FCB69E">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（12）不同供应商的法定代表人或委托代理人有夫妻、直系血亲关系的；</w:t>
      </w:r>
    </w:p>
    <w:p w14:paraId="5138E3B4">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（13）不同供应商的负责人为同一人或者存在控股、管理关系的；</w:t>
      </w:r>
    </w:p>
    <w:p w14:paraId="4FD4588A">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（14）不同供应商的委托代理人(或法定代表人、项目经理、项目总监、项目负责人等)在招标文件发布日上月至投标截止日当月在同一单位缴纳社会保险的；</w:t>
      </w:r>
    </w:p>
    <w:p w14:paraId="69C71401">
      <w:pPr>
        <w:widowControl/>
        <w:shd w:val="clear" w:color="auto" w:fill="FFFFFF"/>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bCs/>
          <w:color w:val="auto"/>
          <w:szCs w:val="21"/>
          <w:highlight w:val="none"/>
        </w:rPr>
        <w:t>15</w:t>
      </w:r>
      <w:r>
        <w:rPr>
          <w:rFonts w:hint="eastAsia" w:asciiTheme="minorEastAsia" w:hAnsiTheme="minorEastAsia" w:eastAsiaTheme="minorEastAsia" w:cstheme="minorEastAsia"/>
          <w:color w:val="auto"/>
          <w:szCs w:val="21"/>
          <w:highlight w:val="none"/>
        </w:rPr>
        <w:t>）提供虚假材料的（包括工商营业执照、财务报表、资格证明文件等）；</w:t>
      </w:r>
    </w:p>
    <w:p w14:paraId="48C89E2E">
      <w:pPr>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Cs/>
          <w:color w:val="auto"/>
          <w:szCs w:val="21"/>
          <w:highlight w:val="none"/>
        </w:rPr>
        <w:t>（16）未通过符合性检查的；</w:t>
      </w:r>
    </w:p>
    <w:p w14:paraId="7FC0094E">
      <w:pPr>
        <w:widowControl/>
        <w:shd w:val="clear" w:color="auto" w:fill="FFFFFF"/>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bCs/>
          <w:color w:val="auto"/>
          <w:szCs w:val="21"/>
          <w:highlight w:val="none"/>
        </w:rPr>
        <w:t>17</w:t>
      </w:r>
      <w:r>
        <w:rPr>
          <w:rFonts w:hint="eastAsia" w:asciiTheme="minorEastAsia" w:hAnsiTheme="minorEastAsia" w:eastAsiaTheme="minorEastAsia" w:cstheme="minorEastAsia"/>
          <w:color w:val="auto"/>
          <w:szCs w:val="21"/>
          <w:highlight w:val="none"/>
        </w:rPr>
        <w:t>）评标委员会认定投标人的报价明显低于其他通过符合性审查投标人的报价，有可能影响产品质量或者不能诚信履约，且投标人不能应评标委员会要求在规定的回复时间内通过“苏采云”系统作出必要的说明证明其报价合理性的；</w:t>
      </w:r>
    </w:p>
    <w:p w14:paraId="574764ED">
      <w:pPr>
        <w:widowControl/>
        <w:shd w:val="clear" w:color="auto" w:fill="FFFFFF"/>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bCs/>
          <w:color w:val="auto"/>
          <w:szCs w:val="21"/>
          <w:highlight w:val="none"/>
        </w:rPr>
        <w:t>18</w:t>
      </w:r>
      <w:r>
        <w:rPr>
          <w:rFonts w:hint="eastAsia" w:asciiTheme="minorEastAsia" w:hAnsiTheme="minorEastAsia" w:eastAsiaTheme="minorEastAsia" w:cstheme="minorEastAsia"/>
          <w:color w:val="auto"/>
          <w:szCs w:val="21"/>
          <w:highlight w:val="none"/>
        </w:rPr>
        <w:t>）不符合招标文件中规定的其它实质性要求的；</w:t>
      </w:r>
    </w:p>
    <w:p w14:paraId="69DF399A">
      <w:pPr>
        <w:widowControl/>
        <w:shd w:val="clear" w:color="auto" w:fill="FFFFFF"/>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bCs/>
          <w:color w:val="auto"/>
          <w:szCs w:val="21"/>
          <w:highlight w:val="none"/>
        </w:rPr>
        <w:t>19</w:t>
      </w:r>
      <w:r>
        <w:rPr>
          <w:rFonts w:hint="eastAsia" w:asciiTheme="minorEastAsia" w:hAnsiTheme="minorEastAsia" w:eastAsiaTheme="minorEastAsia" w:cstheme="minorEastAsia"/>
          <w:color w:val="auto"/>
          <w:szCs w:val="21"/>
          <w:highlight w:val="none"/>
        </w:rPr>
        <w:t>）投标人所投标产品不符合招标文件中所列国家强制性标准的；</w:t>
      </w:r>
    </w:p>
    <w:p w14:paraId="4C941406">
      <w:pPr>
        <w:widowControl/>
        <w:shd w:val="clear" w:color="auto" w:fill="FFFFFF"/>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（20）法律、法规和招标文件规定的其他无效情形。</w:t>
      </w:r>
    </w:p>
    <w:p w14:paraId="7CE83454">
      <w:pPr>
        <w:widowControl/>
        <w:shd w:val="clear" w:color="auto" w:fill="FFFFFF"/>
        <w:spacing w:line="360" w:lineRule="auto"/>
        <w:ind w:firstLine="420"/>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bCs/>
          <w:color w:val="auto"/>
          <w:szCs w:val="21"/>
          <w:highlight w:val="none"/>
        </w:rPr>
        <w:t xml:space="preserve">19.7 </w:t>
      </w:r>
      <w:r>
        <w:rPr>
          <w:rFonts w:hint="eastAsia" w:asciiTheme="minorEastAsia" w:hAnsiTheme="minorEastAsia" w:eastAsiaTheme="minorEastAsia" w:cstheme="minorEastAsia"/>
          <w:b/>
          <w:color w:val="auto"/>
          <w:szCs w:val="21"/>
          <w:highlight w:val="none"/>
        </w:rPr>
        <w:t>出现下列情形之一的，应予废标：</w:t>
      </w:r>
    </w:p>
    <w:p w14:paraId="211AC536">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（1）符合专业条件的供应商或者对招标文件作实质响应的供应商不足三家的；</w:t>
      </w:r>
    </w:p>
    <w:p w14:paraId="18B332AD">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（2）出现影响采购公正的违法、违规行为的；</w:t>
      </w:r>
    </w:p>
    <w:p w14:paraId="1E807DB7">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（3）因重大变故，采购任务取消的；</w:t>
      </w:r>
    </w:p>
    <w:p w14:paraId="55E257E4">
      <w:pPr>
        <w:spacing w:line="440" w:lineRule="exact"/>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Cs/>
          <w:color w:val="auto"/>
          <w:highlight w:val="none"/>
        </w:rPr>
        <w:t>（4）评标委员会认定</w:t>
      </w:r>
      <w:r>
        <w:rPr>
          <w:rFonts w:hint="eastAsia" w:asciiTheme="minorEastAsia" w:hAnsiTheme="minorEastAsia" w:eastAsiaTheme="minorEastAsia" w:cstheme="minorEastAsia"/>
          <w:bCs/>
          <w:color w:val="auto"/>
          <w:highlight w:val="none"/>
          <w:lang w:val="en-US" w:eastAsia="zh-CN"/>
        </w:rPr>
        <w:t>招</w:t>
      </w:r>
      <w:r>
        <w:rPr>
          <w:rFonts w:hint="eastAsia" w:asciiTheme="minorEastAsia" w:hAnsiTheme="minorEastAsia" w:eastAsiaTheme="minorEastAsia" w:cstheme="minorEastAsia"/>
          <w:bCs/>
          <w:color w:val="auto"/>
          <w:highlight w:val="none"/>
        </w:rPr>
        <w:t>文件存在歧义、重大缺陷导致评审工作无法进行的，或者招标文件内容违反国家有关强制性规定的。</w:t>
      </w:r>
    </w:p>
    <w:p w14:paraId="24140117">
      <w:pPr>
        <w:widowControl/>
        <w:shd w:val="clear" w:color="auto" w:fill="FFFFFF"/>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在评标期间，通过资格审查或符合性审查的投标人不足3家情形的，比照</w:t>
      </w:r>
      <w:r>
        <w:rPr>
          <w:rFonts w:hint="eastAsia" w:asciiTheme="minorEastAsia" w:hAnsiTheme="minorEastAsia" w:eastAsiaTheme="minorEastAsia" w:cstheme="minorEastAsia"/>
          <w:b/>
          <w:bCs/>
          <w:color w:val="auto"/>
          <w:szCs w:val="21"/>
          <w:highlight w:val="none"/>
        </w:rPr>
        <w:t>19.3.5</w:t>
      </w:r>
      <w:r>
        <w:rPr>
          <w:rFonts w:hint="eastAsia" w:asciiTheme="minorEastAsia" w:hAnsiTheme="minorEastAsia" w:eastAsiaTheme="minorEastAsia" w:cstheme="minorEastAsia"/>
          <w:color w:val="auto"/>
          <w:szCs w:val="21"/>
          <w:highlight w:val="none"/>
        </w:rPr>
        <w:t>款执行。</w:t>
      </w:r>
      <w:bookmarkEnd w:id="101"/>
      <w:bookmarkEnd w:id="102"/>
      <w:bookmarkEnd w:id="103"/>
      <w:bookmarkEnd w:id="104"/>
    </w:p>
    <w:p w14:paraId="2C0B027B">
      <w:pPr>
        <w:widowControl/>
        <w:shd w:val="clear" w:color="auto" w:fill="FFFFFF"/>
        <w:spacing w:line="360" w:lineRule="auto"/>
        <w:ind w:firstLine="420"/>
        <w:outlineLvl w:val="1"/>
        <w:rPr>
          <w:rFonts w:hint="eastAsia" w:asciiTheme="minorEastAsia" w:hAnsiTheme="minorEastAsia" w:eastAsiaTheme="minorEastAsia" w:cstheme="minorEastAsia"/>
          <w:b/>
          <w:bCs/>
          <w:color w:val="auto"/>
          <w:szCs w:val="21"/>
          <w:highlight w:val="none"/>
        </w:rPr>
      </w:pPr>
      <w:bookmarkStart w:id="108" w:name="_Toc18327"/>
      <w:bookmarkStart w:id="109" w:name="_Toc12294"/>
      <w:r>
        <w:rPr>
          <w:rFonts w:hint="eastAsia" w:asciiTheme="minorEastAsia" w:hAnsiTheme="minorEastAsia" w:eastAsiaTheme="minorEastAsia" w:cstheme="minorEastAsia"/>
          <w:b/>
          <w:bCs/>
          <w:color w:val="auto"/>
          <w:szCs w:val="21"/>
          <w:highlight w:val="none"/>
        </w:rPr>
        <w:t>六、授标</w:t>
      </w:r>
      <w:bookmarkEnd w:id="108"/>
      <w:bookmarkEnd w:id="109"/>
    </w:p>
    <w:p w14:paraId="1C6D3389">
      <w:pPr>
        <w:pStyle w:val="236"/>
        <w:spacing w:line="360" w:lineRule="auto"/>
        <w:ind w:left="0" w:firstLine="422"/>
        <w:jc w:val="both"/>
        <w:rPr>
          <w:rFonts w:hint="eastAsia" w:asciiTheme="minorEastAsia" w:hAnsiTheme="minorEastAsia" w:eastAsiaTheme="minorEastAsia" w:cstheme="minorEastAsia"/>
          <w:b/>
          <w:bCs/>
          <w:color w:val="auto"/>
          <w:sz w:val="21"/>
          <w:szCs w:val="21"/>
          <w:highlight w:val="none"/>
        </w:rPr>
      </w:pPr>
      <w:bookmarkStart w:id="110" w:name="_Toc28693"/>
      <w:bookmarkStart w:id="111" w:name="_Toc27522"/>
      <w:r>
        <w:rPr>
          <w:rFonts w:hint="eastAsia" w:asciiTheme="minorEastAsia" w:hAnsiTheme="minorEastAsia" w:eastAsiaTheme="minorEastAsia" w:cstheme="minorEastAsia"/>
          <w:b/>
          <w:bCs/>
          <w:color w:val="auto"/>
          <w:sz w:val="21"/>
          <w:szCs w:val="21"/>
          <w:highlight w:val="none"/>
        </w:rPr>
        <w:t>20.确定中标</w:t>
      </w:r>
      <w:bookmarkEnd w:id="110"/>
      <w:r>
        <w:rPr>
          <w:rFonts w:hint="eastAsia" w:asciiTheme="minorEastAsia" w:hAnsiTheme="minorEastAsia" w:eastAsiaTheme="minorEastAsia" w:cstheme="minorEastAsia"/>
          <w:b/>
          <w:bCs/>
          <w:color w:val="auto"/>
          <w:sz w:val="21"/>
          <w:szCs w:val="21"/>
          <w:highlight w:val="none"/>
        </w:rPr>
        <w:t>供应商</w:t>
      </w:r>
      <w:bookmarkEnd w:id="111"/>
      <w:bookmarkStart w:id="112" w:name="_Toc7377"/>
    </w:p>
    <w:p w14:paraId="08F8A0B3">
      <w:pPr>
        <w:widowControl/>
        <w:shd w:val="clear" w:color="auto" w:fill="FFFFFF"/>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p>
    <w:p w14:paraId="067D910D">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20.2中标人确定后，在南京公共采购信息网</w:t>
      </w:r>
      <w:r>
        <w:rPr>
          <w:rStyle w:val="282"/>
          <w:rFonts w:hint="eastAsia" w:asciiTheme="minorEastAsia" w:hAnsiTheme="minorEastAsia" w:eastAsiaTheme="minorEastAsia" w:cstheme="minorEastAsia"/>
          <w:b w:val="0"/>
          <w:color w:val="auto"/>
          <w:highlight w:val="none"/>
        </w:rPr>
        <w:t>、</w:t>
      </w:r>
      <w:r>
        <w:rPr>
          <w:rFonts w:hint="eastAsia" w:asciiTheme="minorEastAsia" w:hAnsiTheme="minorEastAsia" w:eastAsiaTheme="minorEastAsia" w:cstheme="minorEastAsia"/>
          <w:color w:val="auto"/>
          <w:szCs w:val="21"/>
          <w:highlight w:val="none"/>
        </w:rPr>
        <w:t>江苏政府采购网上公告中标结果，中标公告期为1个工作日，公告的同时向中标供应商发出中标通知书。</w:t>
      </w:r>
    </w:p>
    <w:p w14:paraId="135E87E9">
      <w:pPr>
        <w:widowControl/>
        <w:shd w:val="clear" w:color="auto" w:fill="FFFFFF"/>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20.3中标供应商在收到中标通知书后，应郑重保证履行中标供应商应履行的，含招标代理服务费在内的一切义务和责任。</w:t>
      </w:r>
    </w:p>
    <w:p w14:paraId="3D9BD0C0">
      <w:pPr>
        <w:widowControl/>
        <w:shd w:val="clear" w:color="auto" w:fill="FFFFFF"/>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20.4中标通知书对采购人和中标供应商具有同等法律效力。</w:t>
      </w:r>
    </w:p>
    <w:p w14:paraId="6D65F6FC">
      <w:pPr>
        <w:widowControl/>
        <w:shd w:val="clear" w:color="auto" w:fill="FFFFFF"/>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20.5中标通知书发出后，中标供应商不得无正当理由不与采购人签订合同的；情节严重的，由财政部门将其列入不良行为记录名单，在一至三年内禁止参加政府采购活动，并予以通报。</w:t>
      </w:r>
    </w:p>
    <w:p w14:paraId="339F2F49">
      <w:pPr>
        <w:widowControl/>
        <w:shd w:val="clear" w:color="auto" w:fill="FFFFFF"/>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20.6 若评标委员会发现供应商的投标文件中有弄虚作假行为，则该供应商将失去中标资格。</w:t>
      </w:r>
    </w:p>
    <w:p w14:paraId="1073490A">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21.评标过程的保密性</w:t>
      </w:r>
    </w:p>
    <w:p w14:paraId="4B3D5BA4">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21.1 采购人和采购代理机构将采取必要措施，保证评标在严格保密的情况下进行。</w:t>
      </w:r>
    </w:p>
    <w:p w14:paraId="5C6EFECD">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21.2 任何单位和个人不得非法干预、影响评标办法的确定，以及评标过程和结果。</w:t>
      </w:r>
    </w:p>
    <w:p w14:paraId="25F8E542">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21.3 凡是与审查、澄清、评价和比较投标的有关资料等，均不向投标人及与评标无关的其他人员透露。</w:t>
      </w:r>
    </w:p>
    <w:p w14:paraId="5DC2A313">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22.签订合同</w:t>
      </w:r>
    </w:p>
    <w:p w14:paraId="508B8020">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22.1采购人应当自中标通知书发出之日起三十日内，按照招标文件和中标供应商投标文件的约定，与中标供应商签订书面合同。所签订的合同不得对招标文件和中标供应商投标文件作实质性修改。</w:t>
      </w:r>
    </w:p>
    <w:p w14:paraId="7A615E8B">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22.2招标文件、中标供应商的投标文件及评标过程中有关澄清、说明或者补正文件均应作为合同附件。</w:t>
      </w:r>
    </w:p>
    <w:p w14:paraId="7BE29A95">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22.3采购人不得向中标人提出任何不合理的要求作为签订合同的条件。</w:t>
      </w:r>
    </w:p>
    <w:p w14:paraId="164F9B4C">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22.4 中标供应商因不可抗力或者自身原因不能履行采购合同的，采购人可以与排位在中标供应商之后第一位的中标候选供应商签订采购合同，以此类推；采购人也可以重新开展采购活动。</w:t>
      </w:r>
    </w:p>
    <w:p w14:paraId="3C171405">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22.5 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5EDCC2E5">
      <w:pPr>
        <w:widowControl/>
        <w:shd w:val="clear" w:color="auto" w:fill="FFFFFF"/>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22.6 采购人与中标人应当根据合同的约定依法履行合同义务。</w:t>
      </w:r>
      <w:bookmarkEnd w:id="112"/>
    </w:p>
    <w:p w14:paraId="27756799">
      <w:pPr>
        <w:pStyle w:val="236"/>
        <w:spacing w:line="360" w:lineRule="auto"/>
        <w:ind w:left="420" w:firstLine="0"/>
        <w:jc w:val="both"/>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rPr>
        <w:t>23.招标代理服务费</w:t>
      </w:r>
      <w:bookmarkEnd w:id="83"/>
      <w:bookmarkEnd w:id="84"/>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lang w:val="en-US" w:eastAsia="zh-CN"/>
        </w:rPr>
        <w:t>本项目招标代理服务费的计算基数为供应商中标分包的项目预算金额。</w:t>
      </w:r>
      <w:r>
        <w:rPr>
          <w:rFonts w:hint="eastAsia" w:asciiTheme="minorEastAsia" w:hAnsiTheme="minorEastAsia" w:eastAsiaTheme="minorEastAsia" w:cstheme="minorEastAsia"/>
          <w:b/>
          <w:bCs/>
          <w:color w:val="auto"/>
          <w:sz w:val="21"/>
          <w:szCs w:val="21"/>
          <w:highlight w:val="none"/>
          <w:lang w:eastAsia="zh-CN"/>
        </w:rPr>
        <w:t>）</w:t>
      </w:r>
    </w:p>
    <w:p w14:paraId="26AC31C4">
      <w:pPr>
        <w:widowControl/>
        <w:shd w:val="clear" w:color="auto" w:fill="FFFFFF"/>
        <w:spacing w:line="360" w:lineRule="auto"/>
        <w:ind w:firstLine="42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23.1 </w:t>
      </w:r>
      <w:r>
        <w:rPr>
          <w:rFonts w:hint="eastAsia" w:asciiTheme="minorEastAsia" w:hAnsiTheme="minorEastAsia" w:eastAsiaTheme="minorEastAsia" w:cstheme="minorEastAsia"/>
          <w:color w:val="auto"/>
          <w:sz w:val="21"/>
          <w:szCs w:val="21"/>
          <w:highlight w:val="none"/>
          <w:lang w:val="zh-CN"/>
        </w:rPr>
        <w:t>领取中标通知时，中标人向采购代理机构一次性付清。</w:t>
      </w:r>
    </w:p>
    <w:p w14:paraId="4E13AC9E">
      <w:pPr>
        <w:widowControl/>
        <w:shd w:val="clear" w:color="auto" w:fill="FFFFFF"/>
        <w:spacing w:line="360" w:lineRule="auto"/>
        <w:ind w:firstLine="42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23.2招标代理服务费：代理服务费按照《招标代理服务收费管理暂行办法》（计价格[2002]1980号）文件规定的标准的33%计取，单项最低3000元，最高80000元。由中标供应商在领取中标通知书时一次性支付。各投标供应商应将招标代理服务费自行考虑包含在投标报价中。</w:t>
      </w:r>
    </w:p>
    <w:p w14:paraId="051DEBEC">
      <w:pPr>
        <w:widowControl/>
        <w:shd w:val="clear" w:color="auto" w:fill="FFFFFF"/>
        <w:spacing w:line="360" w:lineRule="auto"/>
        <w:ind w:firstLine="420"/>
        <w:outlineLvl w:val="1"/>
        <w:rPr>
          <w:rFonts w:hint="eastAsia" w:asciiTheme="minorEastAsia" w:hAnsiTheme="minorEastAsia" w:eastAsiaTheme="minorEastAsia" w:cstheme="minorEastAsia"/>
          <w:b/>
          <w:bCs/>
          <w:color w:val="auto"/>
          <w:szCs w:val="21"/>
          <w:highlight w:val="none"/>
        </w:rPr>
      </w:pPr>
      <w:bookmarkStart w:id="113" w:name="_Toc5784"/>
      <w:r>
        <w:rPr>
          <w:rFonts w:hint="eastAsia" w:asciiTheme="minorEastAsia" w:hAnsiTheme="minorEastAsia" w:eastAsiaTheme="minorEastAsia" w:cstheme="minorEastAsia"/>
          <w:b/>
          <w:bCs/>
          <w:color w:val="auto"/>
          <w:szCs w:val="21"/>
          <w:highlight w:val="none"/>
        </w:rPr>
        <w:t>七、质疑</w:t>
      </w:r>
      <w:bookmarkEnd w:id="113"/>
      <w:r>
        <w:rPr>
          <w:rFonts w:hint="eastAsia" w:asciiTheme="minorEastAsia" w:hAnsiTheme="minorEastAsia" w:eastAsiaTheme="minorEastAsia" w:cstheme="minorEastAsia"/>
          <w:b/>
          <w:bCs/>
          <w:color w:val="auto"/>
          <w:szCs w:val="21"/>
          <w:highlight w:val="none"/>
        </w:rPr>
        <w:t>和投诉</w:t>
      </w:r>
    </w:p>
    <w:p w14:paraId="6E50F74E">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24.质疑</w:t>
      </w:r>
    </w:p>
    <w:p w14:paraId="5F1AC8FA">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rPr>
        <w:t>24</w:t>
      </w:r>
      <w:r>
        <w:rPr>
          <w:rFonts w:hint="eastAsia" w:asciiTheme="minorEastAsia" w:hAnsiTheme="minorEastAsia" w:eastAsiaTheme="minorEastAsia" w:cstheme="minorEastAsia"/>
          <w:color w:val="auto"/>
          <w:szCs w:val="21"/>
          <w:highlight w:val="none"/>
        </w:rPr>
        <w:t>.1供应商对招标活动事项有疑问的，可以向采购代理机构提出询问，采购代理机构将依法作出答复，但答复的内容不涉及商业秘密</w:t>
      </w:r>
      <w:r>
        <w:rPr>
          <w:rFonts w:hint="eastAsia" w:asciiTheme="minorEastAsia" w:hAnsiTheme="minorEastAsia" w:eastAsiaTheme="minorEastAsia" w:cstheme="minorEastAsia"/>
          <w:b/>
          <w:bCs/>
          <w:color w:val="auto"/>
          <w:szCs w:val="21"/>
          <w:highlight w:val="none"/>
        </w:rPr>
        <w:t>。</w:t>
      </w:r>
    </w:p>
    <w:p w14:paraId="7EA702E5">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rPr>
        <w:t>24</w:t>
      </w:r>
      <w:r>
        <w:rPr>
          <w:rFonts w:hint="eastAsia" w:asciiTheme="minorEastAsia" w:hAnsiTheme="minorEastAsia" w:eastAsiaTheme="minorEastAsia" w:cstheme="minorEastAsia"/>
          <w:color w:val="auto"/>
          <w:szCs w:val="21"/>
          <w:highlight w:val="none"/>
        </w:rPr>
        <w:t>.2供应商认为招标文件、采购过程和中标结果使自己的合法权益受到损害的，可以在知道或者应知其权益受到损害之日起七个工作日内，将质疑文件原件送达采购人或采购代理机构，质疑一次性提出。</w:t>
      </w:r>
    </w:p>
    <w:p w14:paraId="4BD31D8B">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供应商应知其权益受到损害之日，是指：</w:t>
      </w:r>
    </w:p>
    <w:p w14:paraId="02EE0B7D">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（一）对可以质疑的招标文件提出质疑的，为收到招标文件之日或者招标文件公告期限届满之日；</w:t>
      </w:r>
    </w:p>
    <w:p w14:paraId="068F3939">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（二）对采购过程提出质疑的，为各采购程序环节结束之日；</w:t>
      </w:r>
    </w:p>
    <w:p w14:paraId="6B748D27">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（三）对中标或者成交结果提出质疑的，为中标或者成交结果公告期限届满之日。</w:t>
      </w:r>
    </w:p>
    <w:p w14:paraId="03F9A712">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rPr>
        <w:t>24</w:t>
      </w:r>
      <w:r>
        <w:rPr>
          <w:rFonts w:hint="eastAsia" w:asciiTheme="minorEastAsia" w:hAnsiTheme="minorEastAsia" w:eastAsiaTheme="minorEastAsia" w:cstheme="minorEastAsia"/>
          <w:color w:val="auto"/>
          <w:szCs w:val="21"/>
          <w:highlight w:val="none"/>
        </w:rPr>
        <w:t>.3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p>
    <w:p w14:paraId="308DB221">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采购代理机构将在一定范围内公开质疑人的名称、质疑事项、质疑处理结果，供有关采购人、财政部门、行业协会查询。</w:t>
      </w:r>
    </w:p>
    <w:p w14:paraId="7BB40CA9">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rPr>
        <w:t>24</w:t>
      </w:r>
      <w:r>
        <w:rPr>
          <w:rFonts w:hint="eastAsia" w:asciiTheme="minorEastAsia" w:hAnsiTheme="minorEastAsia" w:eastAsiaTheme="minorEastAsia" w:cstheme="minorEastAsia"/>
          <w:color w:val="auto"/>
          <w:szCs w:val="21"/>
          <w:highlight w:val="none"/>
        </w:rPr>
        <w:t>.4 质疑文件应包括以下主要内容，并按照“谁主张、谁举证”的原则，附上相关证明材料。否则，采购代理机构不予受理：</w:t>
      </w:r>
    </w:p>
    <w:p w14:paraId="125304CE">
      <w:pPr>
        <w:widowControl/>
        <w:shd w:val="clear" w:color="auto" w:fill="FFFFFF"/>
        <w:spacing w:line="360" w:lineRule="auto"/>
        <w:ind w:left="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（1）质疑项目名称、项目编号、包号、招标公告发布时间、开标时间；</w:t>
      </w:r>
    </w:p>
    <w:p w14:paraId="04D1C8B6">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（2）具体的质疑事项及法律依据（具体条款）；</w:t>
      </w:r>
    </w:p>
    <w:p w14:paraId="185FAA6E">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（3）质疑相关证明文件或证明材料，如果涉及到产品功能或技术指标的，应出具相关制造商的证明文件（友情提示：供应商全部产品线中没有满足技术需求要求的产品才可以对招标产品提出质疑，并提出</w:t>
      </w:r>
      <w:r>
        <w:rPr>
          <w:rFonts w:hint="eastAsia" w:asciiTheme="minorEastAsia" w:hAnsiTheme="minorEastAsia" w:eastAsiaTheme="minorEastAsia" w:cstheme="minorEastAsia"/>
          <w:b/>
          <w:bCs/>
          <w:color w:val="auto"/>
          <w:szCs w:val="21"/>
          <w:highlight w:val="none"/>
        </w:rPr>
        <w:t>修改理由</w:t>
      </w:r>
      <w:r>
        <w:rPr>
          <w:rFonts w:hint="eastAsia" w:asciiTheme="minorEastAsia" w:hAnsiTheme="minorEastAsia" w:eastAsiaTheme="minorEastAsia" w:cstheme="minorEastAsia"/>
          <w:color w:val="auto"/>
          <w:szCs w:val="21"/>
          <w:highlight w:val="none"/>
        </w:rPr>
        <w:t>和</w:t>
      </w:r>
      <w:r>
        <w:rPr>
          <w:rFonts w:hint="eastAsia" w:asciiTheme="minorEastAsia" w:hAnsiTheme="minorEastAsia" w:eastAsiaTheme="minorEastAsia" w:cstheme="minorEastAsia"/>
          <w:b/>
          <w:bCs/>
          <w:color w:val="auto"/>
          <w:szCs w:val="21"/>
          <w:highlight w:val="none"/>
        </w:rPr>
        <w:t>修改建议</w:t>
      </w:r>
      <w:r>
        <w:rPr>
          <w:rFonts w:hint="eastAsia" w:asciiTheme="minorEastAsia" w:hAnsiTheme="minorEastAsia" w:eastAsiaTheme="minorEastAsia" w:cstheme="minorEastAsia"/>
          <w:color w:val="auto"/>
          <w:szCs w:val="21"/>
          <w:highlight w:val="none"/>
        </w:rPr>
        <w:t>）；</w:t>
      </w:r>
    </w:p>
    <w:p w14:paraId="4DB2D4D6">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（4）质疑供应商名称、地址、联系方式（包括手机、传真号码）；</w:t>
      </w:r>
    </w:p>
    <w:p w14:paraId="599E5DF8">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（5）法定代表人签署本人姓名或印盖本人姓名章并加盖单位公章，或法定代表人授权委托代理人加盖单位公章，并由参加采购项目的授权委托代理人签署本人姓名或印盖本人姓名章等。</w:t>
      </w:r>
    </w:p>
    <w:p w14:paraId="1DDF83DC">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rPr>
        <w:t>24</w:t>
      </w:r>
      <w:r>
        <w:rPr>
          <w:rFonts w:hint="eastAsia" w:asciiTheme="minorEastAsia" w:hAnsiTheme="minorEastAsia" w:eastAsiaTheme="minorEastAsia" w:cstheme="minorEastAsia"/>
          <w:color w:val="auto"/>
          <w:szCs w:val="21"/>
          <w:highlight w:val="none"/>
        </w:rPr>
        <w:t>.5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p>
    <w:p w14:paraId="139C7C01">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rPr>
        <w:t>24</w:t>
      </w:r>
      <w:r>
        <w:rPr>
          <w:rFonts w:hint="eastAsia" w:asciiTheme="minorEastAsia" w:hAnsiTheme="minorEastAsia" w:eastAsiaTheme="minorEastAsia" w:cstheme="minorEastAsia"/>
          <w:color w:val="auto"/>
          <w:szCs w:val="21"/>
          <w:highlight w:val="none"/>
        </w:rPr>
        <w:t>.6采购代理机构在收到投标商的书面质疑后将及时组织调查核实，在</w:t>
      </w:r>
      <w:r>
        <w:rPr>
          <w:rFonts w:hint="eastAsia" w:asciiTheme="minorEastAsia" w:hAnsiTheme="minorEastAsia" w:eastAsiaTheme="minorEastAsia" w:cstheme="minorEastAsia"/>
          <w:b/>
          <w:bCs/>
          <w:color w:val="auto"/>
          <w:szCs w:val="21"/>
          <w:highlight w:val="none"/>
        </w:rPr>
        <w:t>七个工作日内</w:t>
      </w:r>
      <w:r>
        <w:rPr>
          <w:rFonts w:hint="eastAsia" w:asciiTheme="minorEastAsia" w:hAnsiTheme="minorEastAsia" w:eastAsiaTheme="minorEastAsia" w:cstheme="minorEastAsia"/>
          <w:color w:val="auto"/>
          <w:szCs w:val="21"/>
          <w:highlight w:val="none"/>
        </w:rPr>
        <w:t>作出答复，并以书面或在网站公告形式通知质疑投标商和其他有关投标商，答复的内容不涉及商业秘密。代理机构遵循“谁过错谁负担”的原则，有过错的一方承担调查论证费用。</w:t>
      </w:r>
    </w:p>
    <w:p w14:paraId="67E10AC8">
      <w:pPr>
        <w:widowControl/>
        <w:shd w:val="clear" w:color="auto" w:fill="FFFFFF"/>
        <w:spacing w:line="360" w:lineRule="auto"/>
        <w:ind w:firstLine="420"/>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25.投诉</w:t>
      </w:r>
    </w:p>
    <w:p w14:paraId="3D2E4B81">
      <w:pPr>
        <w:widowControl/>
        <w:shd w:val="clear" w:color="auto" w:fill="FFFFFF"/>
        <w:spacing w:line="360" w:lineRule="auto"/>
        <w:ind w:firstLine="420"/>
        <w:rPr>
          <w:rFonts w:hint="eastAsia" w:ascii="宋体" w:hAnsi="宋体"/>
          <w:b/>
          <w:bCs/>
          <w:color w:val="auto"/>
          <w:szCs w:val="21"/>
          <w:highlight w:val="none"/>
        </w:rPr>
      </w:pPr>
      <w:r>
        <w:rPr>
          <w:rFonts w:hint="eastAsia" w:asciiTheme="minorEastAsia" w:hAnsiTheme="minorEastAsia" w:eastAsiaTheme="minorEastAsia" w:cstheme="minorEastAsia"/>
          <w:color w:val="auto"/>
          <w:szCs w:val="21"/>
          <w:highlight w:val="none"/>
        </w:rPr>
        <w:t>质疑投标商对代理机构的答复不满意，或代理机构未在规定的时间内作出答复的，可以在答复期满后</w:t>
      </w:r>
      <w:r>
        <w:rPr>
          <w:rFonts w:hint="eastAsia" w:asciiTheme="minorEastAsia" w:hAnsiTheme="minorEastAsia" w:eastAsiaTheme="minorEastAsia" w:cstheme="minorEastAsia"/>
          <w:b/>
          <w:bCs/>
          <w:color w:val="auto"/>
          <w:szCs w:val="21"/>
          <w:highlight w:val="none"/>
        </w:rPr>
        <w:t>十五个工作日内</w:t>
      </w:r>
      <w:r>
        <w:rPr>
          <w:rFonts w:hint="eastAsia" w:asciiTheme="minorEastAsia" w:hAnsiTheme="minorEastAsia" w:eastAsiaTheme="minorEastAsia" w:cstheme="minorEastAsia"/>
          <w:color w:val="auto"/>
          <w:szCs w:val="21"/>
          <w:highlight w:val="none"/>
        </w:rPr>
        <w:t>向采购人同级财政部门投诉。</w:t>
      </w:r>
      <w:r>
        <w:rPr>
          <w:rFonts w:ascii="宋体" w:hAnsi="宋体"/>
          <w:b/>
          <w:bCs/>
          <w:color w:val="auto"/>
          <w:szCs w:val="21"/>
          <w:highlight w:val="none"/>
        </w:rPr>
        <w:t> </w:t>
      </w:r>
    </w:p>
    <w:p w14:paraId="21029787">
      <w:pPr>
        <w:widowControl/>
        <w:shd w:val="clear" w:color="auto" w:fill="FFFFFF"/>
        <w:spacing w:line="360" w:lineRule="auto"/>
        <w:ind w:firstLine="420"/>
        <w:jc w:val="center"/>
        <w:rPr>
          <w:rFonts w:ascii="Arial" w:hAnsi="Arial" w:eastAsia="黑体" w:cs="Arial"/>
          <w:b/>
          <w:color w:val="auto"/>
          <w:sz w:val="28"/>
          <w:szCs w:val="28"/>
          <w:highlight w:val="none"/>
        </w:rPr>
      </w:pPr>
      <w:bookmarkStart w:id="114" w:name="_Toc668"/>
    </w:p>
    <w:p w14:paraId="2C4B7C1D">
      <w:pPr>
        <w:widowControl/>
        <w:shd w:val="clear" w:color="auto" w:fill="FFFFFF"/>
        <w:spacing w:line="360" w:lineRule="auto"/>
        <w:ind w:firstLine="420"/>
        <w:jc w:val="center"/>
        <w:rPr>
          <w:rFonts w:ascii="Arial" w:hAnsi="Arial" w:eastAsia="黑体" w:cs="Arial"/>
          <w:b/>
          <w:color w:val="auto"/>
          <w:sz w:val="28"/>
          <w:szCs w:val="28"/>
          <w:highlight w:val="none"/>
        </w:rPr>
      </w:pPr>
    </w:p>
    <w:p w14:paraId="2355D0F1">
      <w:pPr>
        <w:widowControl/>
        <w:shd w:val="clear" w:color="auto" w:fill="FFFFFF"/>
        <w:spacing w:line="360" w:lineRule="auto"/>
        <w:ind w:firstLine="420"/>
        <w:jc w:val="center"/>
        <w:rPr>
          <w:rFonts w:ascii="Arial" w:hAnsi="Arial" w:eastAsia="黑体" w:cs="Arial"/>
          <w:b/>
          <w:color w:val="auto"/>
          <w:sz w:val="28"/>
          <w:szCs w:val="28"/>
          <w:highlight w:val="none"/>
        </w:rPr>
      </w:pPr>
    </w:p>
    <w:p w14:paraId="3A3DF7A0">
      <w:pPr>
        <w:rPr>
          <w:rFonts w:ascii="Arial" w:hAnsi="Arial" w:eastAsia="黑体" w:cs="Arial"/>
          <w:b/>
          <w:color w:val="auto"/>
          <w:sz w:val="28"/>
          <w:szCs w:val="28"/>
          <w:highlight w:val="none"/>
        </w:rPr>
      </w:pPr>
      <w:r>
        <w:rPr>
          <w:rFonts w:ascii="Arial" w:hAnsi="Arial" w:eastAsia="黑体" w:cs="Arial"/>
          <w:b/>
          <w:color w:val="auto"/>
          <w:sz w:val="28"/>
          <w:szCs w:val="28"/>
          <w:highlight w:val="none"/>
        </w:rPr>
        <w:br w:type="page"/>
      </w:r>
    </w:p>
    <w:p w14:paraId="0FA8E355">
      <w:pPr>
        <w:widowControl/>
        <w:shd w:val="clear" w:color="auto" w:fill="FFFFFF"/>
        <w:spacing w:line="360" w:lineRule="auto"/>
        <w:ind w:firstLine="420"/>
        <w:jc w:val="center"/>
        <w:rPr>
          <w:rFonts w:eastAsia="黑体"/>
          <w:b/>
          <w:bCs/>
          <w:color w:val="auto"/>
          <w:sz w:val="32"/>
          <w:szCs w:val="32"/>
          <w:highlight w:val="none"/>
        </w:rPr>
      </w:pPr>
      <w:r>
        <w:rPr>
          <w:rFonts w:ascii="Arial" w:hAnsi="Arial" w:eastAsia="黑体" w:cs="Arial"/>
          <w:b/>
          <w:color w:val="auto"/>
          <w:sz w:val="28"/>
          <w:szCs w:val="28"/>
          <w:highlight w:val="none"/>
        </w:rPr>
        <w:t xml:space="preserve">第三章 </w:t>
      </w:r>
      <w:bookmarkEnd w:id="114"/>
      <w:r>
        <w:rPr>
          <w:rFonts w:eastAsia="黑体"/>
          <w:b/>
          <w:bCs/>
          <w:color w:val="auto"/>
          <w:sz w:val="32"/>
          <w:szCs w:val="32"/>
          <w:highlight w:val="none"/>
        </w:rPr>
        <w:t>评标方法、评分标准</w:t>
      </w:r>
      <w:bookmarkStart w:id="115" w:name="_Toc11059"/>
    </w:p>
    <w:p w14:paraId="7C3F3F19">
      <w:pPr>
        <w:pStyle w:val="24"/>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hAnsi="宋体"/>
          <w:color w:val="auto"/>
          <w:szCs w:val="21"/>
          <w:highlight w:val="none"/>
        </w:rPr>
      </w:pPr>
      <w:r>
        <w:rPr>
          <w:rFonts w:hAnsi="宋体"/>
          <w:color w:val="auto"/>
          <w:szCs w:val="21"/>
          <w:highlight w:val="none"/>
        </w:rPr>
        <w:t>一、评标办法：</w:t>
      </w:r>
    </w:p>
    <w:p w14:paraId="764C5A1A">
      <w:pPr>
        <w:pStyle w:val="24"/>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hAnsi="宋体"/>
          <w:color w:val="auto"/>
          <w:szCs w:val="21"/>
          <w:highlight w:val="none"/>
        </w:rPr>
      </w:pPr>
      <w:r>
        <w:rPr>
          <w:rFonts w:hint="eastAsia" w:hAnsi="宋体"/>
          <w:color w:val="auto"/>
          <w:szCs w:val="21"/>
          <w:highlight w:val="none"/>
        </w:rPr>
        <w:t>1、评标方法采用综合评分法。即在投标文件满足招标文件全部实质性要求，且按照评审因素的量化指标评审得分最高的投标人为中标人的评标方法</w:t>
      </w:r>
      <w:r>
        <w:rPr>
          <w:rFonts w:hAnsi="宋体"/>
          <w:color w:val="auto"/>
          <w:szCs w:val="21"/>
          <w:highlight w:val="none"/>
        </w:rPr>
        <w:t>。评审因素及各比重如下：价格分值占总分值的比重为</w:t>
      </w:r>
      <w:r>
        <w:rPr>
          <w:rFonts w:hint="eastAsia" w:hAnsi="宋体"/>
          <w:color w:val="auto"/>
          <w:szCs w:val="21"/>
          <w:highlight w:val="none"/>
          <w:lang w:val="en-US" w:eastAsia="zh-CN"/>
        </w:rPr>
        <w:t>30</w:t>
      </w:r>
      <w:r>
        <w:rPr>
          <w:rFonts w:hAnsi="宋体"/>
          <w:color w:val="auto"/>
          <w:szCs w:val="21"/>
          <w:highlight w:val="none"/>
        </w:rPr>
        <w:t>%（权重），</w:t>
      </w:r>
      <w:r>
        <w:rPr>
          <w:rFonts w:hint="eastAsia" w:hAnsi="宋体"/>
          <w:color w:val="auto"/>
          <w:szCs w:val="21"/>
          <w:highlight w:val="none"/>
          <w:lang w:eastAsia="zh-CN"/>
        </w:rPr>
        <w:t>商务技术</w:t>
      </w:r>
      <w:r>
        <w:rPr>
          <w:rFonts w:hAnsi="宋体"/>
          <w:color w:val="auto"/>
          <w:szCs w:val="21"/>
          <w:highlight w:val="none"/>
        </w:rPr>
        <w:t>占</w:t>
      </w:r>
      <w:r>
        <w:rPr>
          <w:rFonts w:hint="eastAsia" w:hAnsi="宋体"/>
          <w:color w:val="auto"/>
          <w:szCs w:val="21"/>
          <w:highlight w:val="none"/>
          <w:lang w:val="en-US" w:eastAsia="zh-CN"/>
        </w:rPr>
        <w:t>70</w:t>
      </w:r>
      <w:r>
        <w:rPr>
          <w:rFonts w:hAnsi="宋体"/>
          <w:color w:val="auto"/>
          <w:szCs w:val="21"/>
          <w:highlight w:val="none"/>
        </w:rPr>
        <w:t>%（权重）。（保留小数点后2位）</w:t>
      </w:r>
    </w:p>
    <w:p w14:paraId="20A35570">
      <w:pPr>
        <w:pStyle w:val="24"/>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hAnsi="宋体"/>
          <w:color w:val="auto"/>
          <w:szCs w:val="21"/>
          <w:highlight w:val="none"/>
        </w:rPr>
      </w:pPr>
      <w:r>
        <w:rPr>
          <w:rFonts w:hint="eastAsia" w:hAnsi="宋体"/>
          <w:color w:val="auto"/>
          <w:szCs w:val="21"/>
          <w:highlight w:val="none"/>
        </w:rPr>
        <w:t>2、</w:t>
      </w:r>
      <w:r>
        <w:rPr>
          <w:rFonts w:hAnsi="宋体"/>
          <w:color w:val="auto"/>
          <w:szCs w:val="21"/>
          <w:highlight w:val="none"/>
        </w:rPr>
        <w:t>综合评分的主要因素为：价格、</w:t>
      </w:r>
      <w:r>
        <w:rPr>
          <w:rFonts w:hint="eastAsia" w:hAnsi="宋体"/>
          <w:color w:val="auto"/>
          <w:szCs w:val="21"/>
          <w:highlight w:val="none"/>
        </w:rPr>
        <w:t>技术水平</w:t>
      </w:r>
      <w:r>
        <w:rPr>
          <w:rFonts w:hAnsi="宋体"/>
          <w:color w:val="auto"/>
          <w:szCs w:val="21"/>
          <w:highlight w:val="none"/>
        </w:rPr>
        <w:t>、</w:t>
      </w:r>
      <w:r>
        <w:rPr>
          <w:rFonts w:hint="eastAsia" w:hAnsi="宋体"/>
          <w:color w:val="auto"/>
          <w:szCs w:val="21"/>
          <w:highlight w:val="none"/>
        </w:rPr>
        <w:t>履约能力、售后</w:t>
      </w:r>
      <w:r>
        <w:rPr>
          <w:rFonts w:hAnsi="宋体"/>
          <w:color w:val="auto"/>
          <w:szCs w:val="21"/>
          <w:highlight w:val="none"/>
        </w:rPr>
        <w:t>服务</w:t>
      </w:r>
      <w:r>
        <w:rPr>
          <w:rFonts w:hint="eastAsia" w:hAnsi="宋体"/>
          <w:color w:val="auto"/>
          <w:szCs w:val="21"/>
          <w:highlight w:val="none"/>
        </w:rPr>
        <w:t>等，</w:t>
      </w:r>
      <w:r>
        <w:rPr>
          <w:rFonts w:hAnsi="宋体"/>
          <w:color w:val="auto"/>
          <w:szCs w:val="21"/>
          <w:highlight w:val="none"/>
        </w:rPr>
        <w:t>对采购文件的响应程度，以及相应的商务标和技术标比重或者分值等。</w:t>
      </w:r>
    </w:p>
    <w:p w14:paraId="58F033EE">
      <w:pPr>
        <w:pStyle w:val="24"/>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hAnsi="宋体"/>
          <w:color w:val="auto"/>
          <w:szCs w:val="21"/>
          <w:highlight w:val="none"/>
        </w:rPr>
      </w:pPr>
      <w:r>
        <w:rPr>
          <w:rFonts w:hint="eastAsia" w:hAnsi="宋体"/>
          <w:color w:val="auto"/>
          <w:szCs w:val="21"/>
          <w:highlight w:val="none"/>
        </w:rPr>
        <w:t>3、评委会根据本招标文件规定评分办法与评分标准综合打分，并按综合得分由高到低顺序（综合得分相同的，按价格从低到高顺序）确定3名中标候选人，排名第1者，为中标单位。</w:t>
      </w:r>
    </w:p>
    <w:p w14:paraId="123A34C4">
      <w:pPr>
        <w:pStyle w:val="24"/>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hAnsi="宋体"/>
          <w:color w:val="auto"/>
          <w:szCs w:val="21"/>
          <w:highlight w:val="none"/>
        </w:rPr>
      </w:pPr>
      <w:r>
        <w:rPr>
          <w:rFonts w:hint="eastAsia" w:hAnsi="宋体"/>
          <w:color w:val="auto"/>
          <w:szCs w:val="21"/>
          <w:highlight w:val="none"/>
        </w:rPr>
        <w:t>二、政府采购政策执行办法：</w:t>
      </w:r>
    </w:p>
    <w:p w14:paraId="4063AEC6">
      <w:pPr>
        <w:pStyle w:val="24"/>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hAnsi="宋体"/>
          <w:color w:val="auto"/>
          <w:szCs w:val="21"/>
          <w:highlight w:val="none"/>
        </w:rPr>
      </w:pPr>
      <w:r>
        <w:rPr>
          <w:rFonts w:hint="eastAsia" w:hAnsi="宋体"/>
          <w:color w:val="auto"/>
          <w:szCs w:val="21"/>
          <w:highlight w:val="none"/>
        </w:rPr>
        <w:t>①对小型和微型企业</w:t>
      </w:r>
      <w:r>
        <w:rPr>
          <w:rFonts w:hint="eastAsia" w:hAnsi="宋体"/>
          <w:color w:val="auto"/>
          <w:szCs w:val="21"/>
          <w:highlight w:val="none"/>
          <w:lang w:val="en-US" w:eastAsia="zh-CN"/>
        </w:rPr>
        <w:t>服务</w:t>
      </w:r>
      <w:r>
        <w:rPr>
          <w:rFonts w:hint="eastAsia" w:hAnsi="宋体"/>
          <w:color w:val="auto"/>
          <w:szCs w:val="21"/>
          <w:highlight w:val="none"/>
        </w:rPr>
        <w:t>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p>
    <w:p w14:paraId="181D1F2C">
      <w:pPr>
        <w:pStyle w:val="24"/>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hAnsi="宋体"/>
          <w:color w:val="auto"/>
          <w:szCs w:val="21"/>
          <w:highlight w:val="none"/>
        </w:rPr>
      </w:pPr>
      <w:r>
        <w:rPr>
          <w:rFonts w:hint="eastAsia" w:hAnsi="宋体"/>
          <w:color w:val="auto"/>
          <w:szCs w:val="21"/>
          <w:highlight w:val="none"/>
        </w:rPr>
        <w:t>②监狱企业视同小型、微型企业，对其</w:t>
      </w:r>
      <w:r>
        <w:rPr>
          <w:rFonts w:hint="eastAsia" w:hAnsi="宋体"/>
          <w:color w:val="auto"/>
          <w:szCs w:val="21"/>
          <w:highlight w:val="none"/>
          <w:lang w:val="en-US" w:eastAsia="zh-CN"/>
        </w:rPr>
        <w:t>服务</w:t>
      </w:r>
      <w:r>
        <w:rPr>
          <w:rFonts w:hint="eastAsia" w:hAnsi="宋体"/>
          <w:color w:val="auto"/>
          <w:szCs w:val="21"/>
          <w:highlight w:val="none"/>
        </w:rPr>
        <w:t>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4A426967">
      <w:pPr>
        <w:pStyle w:val="24"/>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hAnsi="宋体"/>
          <w:color w:val="auto"/>
          <w:szCs w:val="21"/>
          <w:highlight w:val="none"/>
        </w:rPr>
      </w:pPr>
      <w:r>
        <w:rPr>
          <w:rFonts w:hint="eastAsia" w:hAnsi="宋体"/>
          <w:color w:val="auto"/>
          <w:szCs w:val="21"/>
          <w:highlight w:val="none"/>
        </w:rPr>
        <w:t>③残疾人福利性单位视同小型、微型企业，对其</w:t>
      </w:r>
      <w:r>
        <w:rPr>
          <w:rFonts w:hint="eastAsia" w:hAnsi="宋体"/>
          <w:color w:val="auto"/>
          <w:szCs w:val="21"/>
          <w:highlight w:val="none"/>
          <w:lang w:val="en-US" w:eastAsia="zh-CN"/>
        </w:rPr>
        <w:t>服务</w:t>
      </w:r>
      <w:r>
        <w:rPr>
          <w:rFonts w:hint="eastAsia" w:hAnsi="宋体"/>
          <w:color w:val="auto"/>
          <w:szCs w:val="21"/>
          <w:highlight w:val="none"/>
        </w:rPr>
        <w:t>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27AC79D0">
      <w:pPr>
        <w:pStyle w:val="24"/>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hAnsi="宋体"/>
          <w:color w:val="auto"/>
          <w:szCs w:val="21"/>
          <w:highlight w:val="none"/>
        </w:rPr>
      </w:pPr>
      <w:r>
        <w:rPr>
          <w:rFonts w:hint="eastAsia" w:hAnsi="宋体"/>
          <w:color w:val="auto"/>
          <w:szCs w:val="21"/>
          <w:highlight w:val="none"/>
        </w:rPr>
        <w:t>同一投标人，上述三项价格扣除优惠不得重复享受。</w:t>
      </w:r>
    </w:p>
    <w:p w14:paraId="7C6C93E8">
      <w:pPr>
        <w:pStyle w:val="24"/>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hAnsi="宋体"/>
          <w:color w:val="auto"/>
          <w:szCs w:val="21"/>
          <w:highlight w:val="none"/>
        </w:rPr>
      </w:pPr>
      <w:r>
        <w:rPr>
          <w:rFonts w:hint="eastAsia" w:hAnsi="宋体"/>
          <w:color w:val="auto"/>
          <w:szCs w:val="21"/>
          <w:highlight w:val="none"/>
        </w:rPr>
        <w:t>三</w:t>
      </w:r>
      <w:r>
        <w:rPr>
          <w:rFonts w:hAnsi="宋体"/>
          <w:color w:val="auto"/>
          <w:szCs w:val="21"/>
          <w:highlight w:val="none"/>
        </w:rPr>
        <w:t>、评分标准：</w:t>
      </w:r>
    </w:p>
    <w:tbl>
      <w:tblPr>
        <w:tblStyle w:val="40"/>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21"/>
        <w:gridCol w:w="596"/>
        <w:gridCol w:w="7243"/>
        <w:gridCol w:w="575"/>
        <w:gridCol w:w="789"/>
      </w:tblGrid>
      <w:tr w14:paraId="73CC8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3" w:hRule="atLeast"/>
          <w:tblHeader/>
          <w:jc w:val="center"/>
        </w:trPr>
        <w:tc>
          <w:tcPr>
            <w:tcW w:w="521" w:type="dxa"/>
            <w:noWrap w:val="0"/>
            <w:vAlign w:val="center"/>
          </w:tcPr>
          <w:p w14:paraId="6D166326">
            <w:pPr>
              <w:keepNext w:val="0"/>
              <w:keepLines w:val="0"/>
              <w:pageBreakBefore w:val="0"/>
              <w:widowControl w:val="0"/>
              <w:spacing w:line="360" w:lineRule="auto"/>
              <w:jc w:val="center"/>
              <w:rPr>
                <w:rFonts w:hint="eastAsia" w:asciiTheme="minorEastAsia" w:hAnsiTheme="minorEastAsia" w:eastAsiaTheme="minorEastAsia" w:cstheme="minorEastAsia"/>
                <w:b/>
                <w:bCs/>
                <w:spacing w:val="-2"/>
                <w:sz w:val="21"/>
                <w:szCs w:val="21"/>
                <w:highlight w:val="none"/>
              </w:rPr>
            </w:pPr>
            <w:r>
              <w:rPr>
                <w:rFonts w:hint="eastAsia" w:asciiTheme="minorEastAsia" w:hAnsiTheme="minorEastAsia" w:eastAsiaTheme="minorEastAsia" w:cstheme="minorEastAsia"/>
                <w:b/>
                <w:bCs/>
                <w:sz w:val="21"/>
                <w:szCs w:val="21"/>
                <w:highlight w:val="none"/>
              </w:rPr>
              <w:t>序号</w:t>
            </w:r>
          </w:p>
        </w:tc>
        <w:tc>
          <w:tcPr>
            <w:tcW w:w="596" w:type="dxa"/>
            <w:noWrap w:val="0"/>
            <w:vAlign w:val="center"/>
          </w:tcPr>
          <w:p w14:paraId="0A9EEC1A">
            <w:pPr>
              <w:keepNext w:val="0"/>
              <w:keepLines w:val="0"/>
              <w:pageBreakBefore w:val="0"/>
              <w:widowControl w:val="0"/>
              <w:spacing w:line="360" w:lineRule="auto"/>
              <w:jc w:val="center"/>
              <w:rPr>
                <w:rFonts w:hint="eastAsia" w:asciiTheme="minorEastAsia" w:hAnsiTheme="minorEastAsia" w:eastAsiaTheme="minorEastAsia" w:cstheme="minorEastAsia"/>
                <w:b/>
                <w:bCs/>
                <w:spacing w:val="-2"/>
                <w:sz w:val="21"/>
                <w:szCs w:val="21"/>
                <w:highlight w:val="none"/>
              </w:rPr>
            </w:pPr>
            <w:r>
              <w:rPr>
                <w:rFonts w:hint="eastAsia" w:asciiTheme="minorEastAsia" w:hAnsiTheme="minorEastAsia" w:eastAsiaTheme="minorEastAsia" w:cstheme="minorEastAsia"/>
                <w:b/>
                <w:bCs/>
                <w:sz w:val="21"/>
                <w:szCs w:val="21"/>
                <w:highlight w:val="none"/>
              </w:rPr>
              <w:t>评分因素</w:t>
            </w:r>
          </w:p>
        </w:tc>
        <w:tc>
          <w:tcPr>
            <w:tcW w:w="7243" w:type="dxa"/>
            <w:noWrap w:val="0"/>
            <w:vAlign w:val="center"/>
          </w:tcPr>
          <w:p w14:paraId="33F94763">
            <w:pPr>
              <w:keepNext w:val="0"/>
              <w:keepLines w:val="0"/>
              <w:pageBreakBefore w:val="0"/>
              <w:widowControl w:val="0"/>
              <w:spacing w:line="360" w:lineRule="auto"/>
              <w:jc w:val="center"/>
              <w:rPr>
                <w:rFonts w:hint="eastAsia" w:asciiTheme="minorEastAsia" w:hAnsiTheme="minorEastAsia" w:eastAsiaTheme="minorEastAsia" w:cstheme="minorEastAsia"/>
                <w:b/>
                <w:bCs/>
                <w:spacing w:val="-2"/>
                <w:sz w:val="21"/>
                <w:szCs w:val="21"/>
                <w:highlight w:val="none"/>
              </w:rPr>
            </w:pPr>
            <w:r>
              <w:rPr>
                <w:rFonts w:hint="eastAsia" w:asciiTheme="minorEastAsia" w:hAnsiTheme="minorEastAsia" w:eastAsiaTheme="minorEastAsia" w:cstheme="minorEastAsia"/>
                <w:b/>
                <w:bCs/>
                <w:sz w:val="21"/>
                <w:szCs w:val="21"/>
                <w:highlight w:val="none"/>
              </w:rPr>
              <w:t>评审标准</w:t>
            </w:r>
          </w:p>
        </w:tc>
        <w:tc>
          <w:tcPr>
            <w:tcW w:w="575" w:type="dxa"/>
            <w:noWrap w:val="0"/>
            <w:vAlign w:val="center"/>
          </w:tcPr>
          <w:p w14:paraId="2837459E">
            <w:pPr>
              <w:keepNext w:val="0"/>
              <w:keepLines w:val="0"/>
              <w:pageBreakBefore w:val="0"/>
              <w:widowControl w:val="0"/>
              <w:spacing w:line="360" w:lineRule="auto"/>
              <w:jc w:val="center"/>
              <w:rPr>
                <w:rFonts w:hint="eastAsia" w:asciiTheme="minorEastAsia" w:hAnsiTheme="minorEastAsia" w:eastAsiaTheme="minorEastAsia" w:cstheme="minorEastAsia"/>
                <w:b/>
                <w:bCs/>
                <w:spacing w:val="-2"/>
                <w:sz w:val="21"/>
                <w:szCs w:val="21"/>
                <w:highlight w:val="none"/>
              </w:rPr>
            </w:pPr>
            <w:r>
              <w:rPr>
                <w:rFonts w:hint="eastAsia" w:asciiTheme="minorEastAsia" w:hAnsiTheme="minorEastAsia" w:eastAsiaTheme="minorEastAsia" w:cstheme="minorEastAsia"/>
                <w:b/>
                <w:bCs/>
                <w:sz w:val="21"/>
                <w:szCs w:val="21"/>
                <w:highlight w:val="none"/>
              </w:rPr>
              <w:t>分值</w:t>
            </w:r>
          </w:p>
        </w:tc>
        <w:tc>
          <w:tcPr>
            <w:tcW w:w="789" w:type="dxa"/>
            <w:noWrap w:val="0"/>
            <w:vAlign w:val="center"/>
          </w:tcPr>
          <w:p w14:paraId="0F48FE5C">
            <w:pPr>
              <w:keepNext w:val="0"/>
              <w:keepLines w:val="0"/>
              <w:pageBreakBefore w:val="0"/>
              <w:widowControl w:val="0"/>
              <w:spacing w:line="360" w:lineRule="auto"/>
              <w:jc w:val="center"/>
              <w:rPr>
                <w:rFonts w:hint="eastAsia" w:asciiTheme="minorEastAsia" w:hAnsiTheme="minorEastAsia" w:eastAsiaTheme="minorEastAsia" w:cstheme="minorEastAsia"/>
                <w:b/>
                <w:bCs/>
                <w:spacing w:val="-2"/>
                <w:sz w:val="21"/>
                <w:szCs w:val="21"/>
                <w:highlight w:val="none"/>
              </w:rPr>
            </w:pPr>
            <w:r>
              <w:rPr>
                <w:rFonts w:hint="eastAsia" w:asciiTheme="minorEastAsia" w:hAnsiTheme="minorEastAsia" w:eastAsiaTheme="minorEastAsia" w:cstheme="minorEastAsia"/>
                <w:b/>
                <w:bCs/>
                <w:sz w:val="21"/>
                <w:szCs w:val="21"/>
                <w:highlight w:val="none"/>
              </w:rPr>
              <w:t>类型</w:t>
            </w:r>
          </w:p>
        </w:tc>
      </w:tr>
      <w:tr w14:paraId="086C8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724" w:type="dxa"/>
            <w:gridSpan w:val="5"/>
            <w:noWrap w:val="0"/>
            <w:vAlign w:val="center"/>
          </w:tcPr>
          <w:p w14:paraId="594E9E46">
            <w:pPr>
              <w:keepNext w:val="0"/>
              <w:keepLines w:val="0"/>
              <w:pageBreakBefore w:val="0"/>
              <w:widowControl w:val="0"/>
              <w:spacing w:before="122" w:line="360" w:lineRule="auto"/>
              <w:ind w:left="114"/>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spacing w:val="-3"/>
                <w:sz w:val="21"/>
                <w:szCs w:val="21"/>
                <w:highlight w:val="none"/>
              </w:rPr>
              <w:t>一、价</w:t>
            </w:r>
            <w:r>
              <w:rPr>
                <w:rFonts w:hint="eastAsia" w:asciiTheme="minorEastAsia" w:hAnsiTheme="minorEastAsia" w:eastAsiaTheme="minorEastAsia" w:cstheme="minorEastAsia"/>
                <w:b/>
                <w:bCs/>
                <w:spacing w:val="-2"/>
                <w:sz w:val="21"/>
                <w:szCs w:val="21"/>
                <w:highlight w:val="none"/>
              </w:rPr>
              <w:t>格</w:t>
            </w:r>
            <w:bookmarkStart w:id="116" w:name="OLE_LINK30"/>
            <w:r>
              <w:rPr>
                <w:rFonts w:hint="eastAsia" w:asciiTheme="minorEastAsia" w:hAnsiTheme="minorEastAsia" w:eastAsiaTheme="minorEastAsia" w:cstheme="minorEastAsia"/>
                <w:b/>
                <w:bCs/>
                <w:spacing w:val="-2"/>
                <w:sz w:val="21"/>
                <w:szCs w:val="21"/>
                <w:highlight w:val="none"/>
              </w:rPr>
              <w:t xml:space="preserve"> </w:t>
            </w:r>
            <w:bookmarkEnd w:id="116"/>
            <w:r>
              <w:rPr>
                <w:rFonts w:hint="eastAsia" w:asciiTheme="minorEastAsia" w:hAnsiTheme="minorEastAsia" w:eastAsiaTheme="minorEastAsia" w:cstheme="minorEastAsia"/>
                <w:b/>
                <w:bCs/>
                <w:spacing w:val="-2"/>
                <w:sz w:val="21"/>
                <w:szCs w:val="21"/>
                <w:highlight w:val="none"/>
              </w:rPr>
              <w:t>30分</w:t>
            </w:r>
          </w:p>
        </w:tc>
      </w:tr>
      <w:tr w14:paraId="4AB8C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8" w:hRule="atLeast"/>
          <w:jc w:val="center"/>
        </w:trPr>
        <w:tc>
          <w:tcPr>
            <w:tcW w:w="521" w:type="dxa"/>
            <w:noWrap w:val="0"/>
            <w:vAlign w:val="center"/>
          </w:tcPr>
          <w:p w14:paraId="25E77F74">
            <w:pPr>
              <w:keepNext w:val="0"/>
              <w:keepLines w:val="0"/>
              <w:pageBreakBefore w:val="0"/>
              <w:widowControl w:val="0"/>
              <w:spacing w:before="68"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w:t>
            </w:r>
          </w:p>
        </w:tc>
        <w:tc>
          <w:tcPr>
            <w:tcW w:w="596" w:type="dxa"/>
            <w:noWrap w:val="0"/>
            <w:vAlign w:val="center"/>
          </w:tcPr>
          <w:p w14:paraId="7948EE72">
            <w:pPr>
              <w:keepNext w:val="0"/>
              <w:keepLines w:val="0"/>
              <w:pageBreakBefore w:val="0"/>
              <w:widowControl w:val="0"/>
              <w:spacing w:before="68"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价格</w:t>
            </w:r>
          </w:p>
        </w:tc>
        <w:tc>
          <w:tcPr>
            <w:tcW w:w="7243" w:type="dxa"/>
            <w:noWrap w:val="0"/>
            <w:vAlign w:val="center"/>
          </w:tcPr>
          <w:p w14:paraId="1291211E">
            <w:pPr>
              <w:keepNext w:val="0"/>
              <w:keepLines w:val="0"/>
              <w:pageBreakBefore w:val="0"/>
              <w:widowControl/>
              <w:spacing w:line="480" w:lineRule="exact"/>
              <w:ind w:left="0" w:firstLine="0"/>
              <w:jc w:val="both"/>
              <w:rPr>
                <w:rFonts w:hint="eastAsia" w:asciiTheme="minorEastAsia" w:hAnsiTheme="minorEastAsia" w:eastAsiaTheme="minorEastAsia" w:cstheme="minorEastAsia"/>
                <w:b w:val="0"/>
                <w:bCs w:val="0"/>
                <w:color w:val="auto"/>
                <w:sz w:val="21"/>
                <w:szCs w:val="21"/>
                <w:highlight w:val="none"/>
                <w:lang w:val="en-US" w:eastAsia="zh-CN" w:bidi="ar"/>
              </w:rPr>
            </w:pPr>
            <w:r>
              <w:rPr>
                <w:rFonts w:hint="eastAsia" w:asciiTheme="minorEastAsia" w:hAnsiTheme="minorEastAsia" w:eastAsiaTheme="minorEastAsia" w:cstheme="minorEastAsia"/>
                <w:b/>
                <w:bCs/>
                <w:color w:val="auto"/>
                <w:sz w:val="21"/>
                <w:szCs w:val="21"/>
                <w:highlight w:val="none"/>
                <w:lang w:val="en-US" w:eastAsia="zh-CN" w:bidi="ar"/>
              </w:rPr>
              <w:t>本项目采用苏采云系统中的“优惠率”进行报价，投标人统一填报“优惠率”。</w:t>
            </w:r>
            <w:r>
              <w:rPr>
                <w:rFonts w:hint="eastAsia" w:asciiTheme="minorEastAsia" w:hAnsiTheme="minorEastAsia" w:eastAsiaTheme="minorEastAsia" w:cstheme="minorEastAsia"/>
                <w:b w:val="0"/>
                <w:bCs w:val="0"/>
                <w:color w:val="auto"/>
                <w:sz w:val="21"/>
                <w:szCs w:val="21"/>
                <w:highlight w:val="none"/>
                <w:lang w:val="en-US" w:eastAsia="zh-CN" w:bidi="ar"/>
              </w:rPr>
              <w:t>价格分采用低价优先法计算，即满足招标文件要求且投标价格最低的投标报价为评标基准价。</w:t>
            </w:r>
          </w:p>
          <w:p w14:paraId="7EF705A6">
            <w:pPr>
              <w:keepNext w:val="0"/>
              <w:keepLines w:val="0"/>
              <w:pageBreakBefore w:val="0"/>
              <w:widowControl/>
              <w:spacing w:line="480" w:lineRule="exact"/>
              <w:ind w:left="0" w:firstLine="0"/>
              <w:jc w:val="both"/>
              <w:rPr>
                <w:rFonts w:hint="eastAsia" w:asciiTheme="minorEastAsia" w:hAnsiTheme="minorEastAsia" w:eastAsiaTheme="minorEastAsia" w:cstheme="minorEastAsia"/>
                <w:b w:val="0"/>
                <w:bCs w:val="0"/>
                <w:color w:val="auto"/>
                <w:sz w:val="21"/>
                <w:szCs w:val="21"/>
                <w:highlight w:val="none"/>
                <w:lang w:val="en-US" w:eastAsia="zh-CN" w:bidi="ar"/>
              </w:rPr>
            </w:pPr>
            <w:r>
              <w:rPr>
                <w:rFonts w:hint="eastAsia" w:asciiTheme="minorEastAsia" w:hAnsiTheme="minorEastAsia" w:eastAsiaTheme="minorEastAsia" w:cstheme="minorEastAsia"/>
                <w:b/>
                <w:bCs/>
                <w:color w:val="auto"/>
                <w:sz w:val="21"/>
                <w:szCs w:val="21"/>
                <w:highlight w:val="none"/>
                <w:lang w:val="en-US" w:eastAsia="zh-CN" w:bidi="ar"/>
              </w:rPr>
              <w:t>本项评标价格通过（1-投标优惠率）得出，评标基准价为（1-投标优惠率）的最低值。</w:t>
            </w:r>
            <w:r>
              <w:rPr>
                <w:rFonts w:hint="eastAsia" w:asciiTheme="minorEastAsia" w:hAnsiTheme="minorEastAsia" w:eastAsiaTheme="minorEastAsia" w:cstheme="minorEastAsia"/>
                <w:b w:val="0"/>
                <w:bCs w:val="0"/>
                <w:color w:val="auto"/>
                <w:sz w:val="21"/>
                <w:szCs w:val="21"/>
                <w:highlight w:val="none"/>
                <w:lang w:val="en-US" w:eastAsia="zh-CN" w:bidi="ar"/>
              </w:rPr>
              <w:t>投标人的价格分统一按照下列公式计算：</w:t>
            </w:r>
          </w:p>
          <w:p w14:paraId="6075A119">
            <w:pPr>
              <w:keepNext w:val="0"/>
              <w:keepLines w:val="0"/>
              <w:pageBreakBefore w:val="0"/>
              <w:widowControl/>
              <w:spacing w:line="480" w:lineRule="exact"/>
              <w:ind w:left="0" w:firstLine="0"/>
              <w:jc w:val="both"/>
              <w:rPr>
                <w:rFonts w:hint="eastAsia" w:asciiTheme="minorEastAsia" w:hAnsiTheme="minorEastAsia" w:eastAsiaTheme="minorEastAsia" w:cstheme="minorEastAsia"/>
                <w:b/>
                <w:bCs/>
                <w:color w:val="auto"/>
                <w:sz w:val="21"/>
                <w:szCs w:val="21"/>
                <w:highlight w:val="none"/>
                <w:lang w:val="en-US" w:eastAsia="zh-CN" w:bidi="ar"/>
              </w:rPr>
            </w:pPr>
            <w:r>
              <w:rPr>
                <w:rFonts w:hint="eastAsia" w:asciiTheme="minorEastAsia" w:hAnsiTheme="minorEastAsia" w:eastAsiaTheme="minorEastAsia" w:cstheme="minorEastAsia"/>
                <w:b/>
                <w:bCs/>
                <w:color w:val="auto"/>
                <w:sz w:val="21"/>
                <w:szCs w:val="21"/>
                <w:highlight w:val="none"/>
                <w:lang w:val="en-US" w:eastAsia="zh-CN" w:bidi="ar"/>
              </w:rPr>
              <w:t>价格得分=(评标基准价/评标价格)×30（小数点保留两位）。</w:t>
            </w:r>
          </w:p>
          <w:p w14:paraId="7DD1A4FC">
            <w:pPr>
              <w:keepNext w:val="0"/>
              <w:keepLines w:val="0"/>
              <w:pageBreakBefore w:val="0"/>
              <w:widowControl w:val="0"/>
              <w:spacing w:line="360" w:lineRule="auto"/>
              <w:jc w:val="left"/>
              <w:rPr>
                <w:rFonts w:hint="eastAsia" w:asciiTheme="minorEastAsia" w:hAnsiTheme="minorEastAsia" w:eastAsiaTheme="minorEastAsia" w:cstheme="minorEastAsia"/>
                <w:b/>
                <w:bCs/>
                <w:color w:val="auto"/>
                <w:sz w:val="21"/>
                <w:szCs w:val="21"/>
                <w:highlight w:val="none"/>
                <w:lang w:val="en-US" w:eastAsia="zh-CN" w:bidi="ar"/>
              </w:rPr>
            </w:pPr>
            <w:r>
              <w:rPr>
                <w:rFonts w:hint="eastAsia" w:asciiTheme="minorEastAsia" w:hAnsiTheme="minorEastAsia" w:eastAsiaTheme="minorEastAsia" w:cstheme="minorEastAsia"/>
                <w:b w:val="0"/>
                <w:bCs w:val="0"/>
                <w:color w:val="auto"/>
                <w:sz w:val="21"/>
                <w:szCs w:val="21"/>
                <w:highlight w:val="none"/>
                <w:lang w:val="en-US" w:eastAsia="zh-CN" w:bidi="ar"/>
              </w:rPr>
              <w:t>举例如下：投标人A、B、C填报的优惠率分别为30%、25%、20%，以投标人A优惠率计算（1-30%）=70%为评标基准价；同理投标人B、C分别以75%、80%计入价格评分；投标人A的价格得分为30分，投标人B的价格得分为28分；投标人C的价格得分为26.25分。</w:t>
            </w:r>
            <w:r>
              <w:rPr>
                <w:rFonts w:hint="eastAsia" w:asciiTheme="minorEastAsia" w:hAnsiTheme="minorEastAsia" w:eastAsiaTheme="minorEastAsia" w:cstheme="minorEastAsia"/>
                <w:b/>
                <w:bCs/>
                <w:color w:val="auto"/>
                <w:sz w:val="21"/>
                <w:szCs w:val="21"/>
                <w:highlight w:val="none"/>
                <w:lang w:val="en-US" w:eastAsia="zh-CN" w:bidi="ar"/>
              </w:rPr>
              <w:t>（以上数据均未进行政策功能的扣除，仅供理解）</w:t>
            </w:r>
          </w:p>
          <w:p w14:paraId="48D781DD">
            <w:pPr>
              <w:keepNext w:val="0"/>
              <w:keepLines w:val="0"/>
              <w:pageBreakBefore w:val="0"/>
              <w:widowControl w:val="0"/>
              <w:spacing w:line="360" w:lineRule="auto"/>
              <w:jc w:val="left"/>
              <w:rPr>
                <w:rFonts w:hint="eastAsia" w:asciiTheme="minorEastAsia" w:hAnsiTheme="minorEastAsia" w:eastAsiaTheme="minorEastAsia" w:cstheme="minorEastAsia"/>
                <w:b/>
                <w:bCs/>
                <w:color w:val="auto"/>
                <w:sz w:val="21"/>
                <w:szCs w:val="21"/>
                <w:highlight w:val="none"/>
                <w:lang w:val="en-US" w:eastAsia="zh-CN" w:bidi="ar"/>
              </w:rPr>
            </w:pPr>
            <w:r>
              <w:rPr>
                <w:rFonts w:hint="eastAsia" w:asciiTheme="minorEastAsia" w:hAnsiTheme="minorEastAsia" w:eastAsiaTheme="minorEastAsia" w:cstheme="minorEastAsia"/>
                <w:b/>
                <w:bCs/>
                <w:color w:val="auto"/>
                <w:sz w:val="21"/>
                <w:szCs w:val="21"/>
                <w:highlight w:val="none"/>
                <w:lang w:val="en-US" w:eastAsia="zh-CN" w:bidi="ar"/>
              </w:rPr>
              <w:t>付款方式：</w:t>
            </w:r>
          </w:p>
          <w:p w14:paraId="0100247D">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default" w:asciiTheme="minorEastAsia" w:hAnsiTheme="minorEastAsia" w:eastAsiaTheme="minorEastAsia" w:cstheme="minorEastAsia"/>
                <w:sz w:val="21"/>
                <w:szCs w:val="21"/>
                <w:highlight w:val="none"/>
                <w:lang w:val="en-US" w:eastAsia="zh-CN"/>
              </w:rPr>
              <w:t>①</w:t>
            </w:r>
            <w:r>
              <w:rPr>
                <w:rFonts w:hint="eastAsia" w:asciiTheme="minorEastAsia" w:hAnsiTheme="minorEastAsia" w:eastAsiaTheme="minorEastAsia" w:cstheme="minorEastAsia"/>
                <w:sz w:val="21"/>
                <w:szCs w:val="21"/>
                <w:highlight w:val="none"/>
              </w:rPr>
              <w:t>投标人每次的送货单必须标明种类、订单数量、实收数量、规格、单位、单价、合价。每个月汇总交由食堂食材采购负责人核实单价后结算，发票每月一开，按照招标人相关要求执行（每次付款时间最长不超过60天）。（中标人每月结算食材价款时须严格按照折扣后</w:t>
            </w:r>
            <w:r>
              <w:rPr>
                <w:rFonts w:hint="eastAsia" w:asciiTheme="minorEastAsia" w:hAnsiTheme="minorEastAsia" w:eastAsiaTheme="minorEastAsia" w:cstheme="minorEastAsia"/>
                <w:sz w:val="21"/>
                <w:szCs w:val="21"/>
                <w:highlight w:val="none"/>
                <w:lang w:val="en-US" w:eastAsia="zh-CN"/>
              </w:rPr>
              <w:t>价格</w:t>
            </w:r>
            <w:r>
              <w:rPr>
                <w:rFonts w:hint="eastAsia" w:asciiTheme="minorEastAsia" w:hAnsiTheme="minorEastAsia" w:eastAsiaTheme="minorEastAsia" w:cstheme="minorEastAsia"/>
                <w:sz w:val="21"/>
                <w:szCs w:val="21"/>
                <w:highlight w:val="none"/>
              </w:rPr>
              <w:t>进行计算申报，其提供的所有结算资料均须真实有效、准确详实、有迹可循，如经招标人发现弄虚作假，一经查实，招标人将解除合同，并依法追究中标人的经济和法律责任。）</w:t>
            </w:r>
          </w:p>
          <w:p w14:paraId="427056D5">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eastAsia="zh-CN"/>
              </w:rPr>
            </w:pPr>
            <w:r>
              <w:rPr>
                <w:rFonts w:hint="default" w:asciiTheme="minorEastAsia" w:hAnsiTheme="minorEastAsia" w:eastAsiaTheme="minorEastAsia" w:cstheme="minorEastAsia"/>
                <w:sz w:val="21"/>
                <w:szCs w:val="21"/>
                <w:highlight w:val="none"/>
                <w:lang w:val="en-US" w:eastAsia="zh-CN"/>
              </w:rPr>
              <w:t>②</w:t>
            </w:r>
            <w:r>
              <w:rPr>
                <w:rFonts w:hint="eastAsia" w:asciiTheme="minorEastAsia" w:hAnsiTheme="minorEastAsia" w:eastAsiaTheme="minorEastAsia" w:cstheme="minorEastAsia"/>
                <w:sz w:val="21"/>
                <w:szCs w:val="21"/>
                <w:highlight w:val="none"/>
                <w:lang w:val="en-US" w:eastAsia="zh-CN"/>
              </w:rPr>
              <w:t>中标人从项目开始时，每三个月汇总所有供货品类报价单，提供甲方审阅，</w:t>
            </w:r>
            <w:r>
              <w:rPr>
                <w:rFonts w:hint="eastAsia" w:asciiTheme="minorEastAsia" w:hAnsiTheme="minorEastAsia" w:eastAsiaTheme="minorEastAsia" w:cstheme="minorEastAsia"/>
                <w:sz w:val="21"/>
                <w:szCs w:val="21"/>
                <w:highlight w:val="none"/>
              </w:rPr>
              <w:t>基准价为南京市发展和改革委员会官网（http://fgw.nanjing.gov.cn/）公布的“南京市部分农贸市场主副食品周平均价格水平” 当月四周的平均价格</w:t>
            </w:r>
            <w:r>
              <w:rPr>
                <w:rFonts w:hint="eastAsia" w:asciiTheme="minorEastAsia" w:hAnsiTheme="minorEastAsia" w:eastAsiaTheme="minorEastAsia" w:cstheme="minorEastAsia"/>
                <w:sz w:val="21"/>
                <w:szCs w:val="21"/>
                <w:highlight w:val="none"/>
                <w:lang w:val="en-US" w:eastAsia="zh-CN"/>
              </w:rPr>
              <w:t>执行优惠率；</w:t>
            </w:r>
            <w:r>
              <w:rPr>
                <w:rFonts w:hint="eastAsia" w:asciiTheme="minorEastAsia" w:hAnsiTheme="minorEastAsia" w:eastAsiaTheme="minorEastAsia" w:cstheme="minorEastAsia"/>
                <w:sz w:val="21"/>
                <w:szCs w:val="21"/>
                <w:highlight w:val="none"/>
                <w:lang w:eastAsia="zh-CN"/>
              </w:rPr>
              <w:t>中标人提供的食材需为超市或农贸市场在售的常规品牌、型号，若提供食材品牌为市面较少、难于询价的，采购人有权拒收。</w:t>
            </w:r>
          </w:p>
          <w:p w14:paraId="17AB0617">
            <w:pPr>
              <w:keepNext w:val="0"/>
              <w:keepLines w:val="0"/>
              <w:pageBreakBefore w:val="0"/>
              <w:widowControl w:val="0"/>
              <w:spacing w:line="360" w:lineRule="auto"/>
              <w:jc w:val="left"/>
              <w:rPr>
                <w:rFonts w:hint="default"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default" w:asciiTheme="minorEastAsia" w:hAnsiTheme="minorEastAsia" w:eastAsiaTheme="minorEastAsia" w:cstheme="minorEastAsia"/>
                <w:sz w:val="21"/>
                <w:szCs w:val="21"/>
                <w:highlight w:val="none"/>
                <w:lang w:val="en-US" w:eastAsia="zh-CN"/>
              </w:rPr>
              <w:t>③若存在官网无法提供参考依据的食材品类，以双方共同协商在其他超市或周边大、中型农贸市场的询价结果作为价格基础再进行优惠。</w:t>
            </w:r>
          </w:p>
        </w:tc>
        <w:tc>
          <w:tcPr>
            <w:tcW w:w="575" w:type="dxa"/>
            <w:noWrap w:val="0"/>
            <w:vAlign w:val="center"/>
          </w:tcPr>
          <w:p w14:paraId="3CCCBB1C">
            <w:pPr>
              <w:keepNext w:val="0"/>
              <w:keepLines w:val="0"/>
              <w:pageBreakBefore w:val="0"/>
              <w:widowControl w:val="0"/>
              <w:spacing w:before="69"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30</w:t>
            </w:r>
          </w:p>
        </w:tc>
        <w:tc>
          <w:tcPr>
            <w:tcW w:w="789" w:type="dxa"/>
            <w:noWrap w:val="0"/>
            <w:vAlign w:val="center"/>
          </w:tcPr>
          <w:p w14:paraId="395A2937">
            <w:pPr>
              <w:keepNext w:val="0"/>
              <w:keepLines w:val="0"/>
              <w:pageBreakBefore w:val="0"/>
              <w:widowControl w:val="0"/>
              <w:spacing w:before="69"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价格分</w:t>
            </w:r>
          </w:p>
        </w:tc>
      </w:tr>
      <w:tr w14:paraId="70845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jc w:val="center"/>
        </w:trPr>
        <w:tc>
          <w:tcPr>
            <w:tcW w:w="9724" w:type="dxa"/>
            <w:gridSpan w:val="5"/>
            <w:noWrap w:val="0"/>
            <w:vAlign w:val="center"/>
          </w:tcPr>
          <w:p w14:paraId="6AD23E60">
            <w:pPr>
              <w:keepNext w:val="0"/>
              <w:keepLines w:val="0"/>
              <w:pageBreakBefore w:val="0"/>
              <w:widowControl w:val="0"/>
              <w:spacing w:before="123" w:line="360" w:lineRule="auto"/>
              <w:ind w:left="114"/>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sz w:val="21"/>
                <w:szCs w:val="21"/>
                <w:highlight w:val="none"/>
              </w:rPr>
              <w:t>二、商务</w:t>
            </w:r>
            <w:r>
              <w:rPr>
                <w:rFonts w:hint="eastAsia" w:asciiTheme="minorEastAsia" w:hAnsiTheme="minorEastAsia" w:eastAsiaTheme="minorEastAsia" w:cstheme="minorEastAsia"/>
                <w:b/>
                <w:bCs/>
                <w:spacing w:val="-2"/>
                <w:sz w:val="21"/>
                <w:szCs w:val="21"/>
                <w:highlight w:val="none"/>
                <w:lang w:val="en-US" w:eastAsia="zh-CN"/>
              </w:rPr>
              <w:t>29</w:t>
            </w:r>
            <w:r>
              <w:rPr>
                <w:rFonts w:hint="eastAsia" w:asciiTheme="minorEastAsia" w:hAnsiTheme="minorEastAsia" w:eastAsiaTheme="minorEastAsia" w:cstheme="minorEastAsia"/>
                <w:b/>
                <w:sz w:val="21"/>
                <w:szCs w:val="21"/>
                <w:highlight w:val="none"/>
              </w:rPr>
              <w:t>分</w:t>
            </w:r>
          </w:p>
        </w:tc>
      </w:tr>
      <w:tr w14:paraId="1B431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8" w:hRule="atLeast"/>
          <w:jc w:val="center"/>
        </w:trPr>
        <w:tc>
          <w:tcPr>
            <w:tcW w:w="521" w:type="dxa"/>
            <w:noWrap w:val="0"/>
            <w:vAlign w:val="center"/>
          </w:tcPr>
          <w:p w14:paraId="38CE3554">
            <w:pPr>
              <w:keepNext w:val="0"/>
              <w:keepLines w:val="0"/>
              <w:pageBreakBefore w:val="0"/>
              <w:widowControl w:val="0"/>
              <w:spacing w:line="360" w:lineRule="auto"/>
              <w:jc w:val="center"/>
              <w:rPr>
                <w:rFonts w:hint="eastAsia" w:asciiTheme="minorEastAsia" w:hAnsiTheme="minorEastAsia" w:eastAsiaTheme="minorEastAsia" w:cstheme="minorEastAsia"/>
                <w:spacing w:val="-2"/>
                <w:sz w:val="21"/>
                <w:szCs w:val="21"/>
                <w:highlight w:val="none"/>
              </w:rPr>
            </w:pPr>
            <w:r>
              <w:rPr>
                <w:rFonts w:hint="eastAsia" w:asciiTheme="minorEastAsia" w:hAnsiTheme="minorEastAsia" w:eastAsiaTheme="minorEastAsia" w:cstheme="minorEastAsia"/>
                <w:spacing w:val="-2"/>
                <w:sz w:val="21"/>
                <w:szCs w:val="21"/>
                <w:highlight w:val="none"/>
              </w:rPr>
              <w:t>1</w:t>
            </w:r>
          </w:p>
        </w:tc>
        <w:tc>
          <w:tcPr>
            <w:tcW w:w="596" w:type="dxa"/>
            <w:noWrap w:val="0"/>
            <w:vAlign w:val="center"/>
          </w:tcPr>
          <w:p w14:paraId="1CCDFB75">
            <w:pPr>
              <w:keepNext w:val="0"/>
              <w:keepLines w:val="0"/>
              <w:pageBreakBefore w:val="0"/>
              <w:widowControl w:val="0"/>
              <w:spacing w:before="68" w:line="360" w:lineRule="auto"/>
              <w:jc w:val="center"/>
              <w:rPr>
                <w:rFonts w:hint="eastAsia" w:asciiTheme="minorEastAsia" w:hAnsiTheme="minorEastAsia" w:eastAsiaTheme="minorEastAsia" w:cstheme="minorEastAsia"/>
                <w:spacing w:val="-2"/>
                <w:sz w:val="21"/>
                <w:szCs w:val="21"/>
                <w:highlight w:val="none"/>
              </w:rPr>
            </w:pPr>
            <w:r>
              <w:rPr>
                <w:rFonts w:hint="eastAsia" w:asciiTheme="minorEastAsia" w:hAnsiTheme="minorEastAsia" w:eastAsiaTheme="minorEastAsia" w:cstheme="minorEastAsia"/>
                <w:spacing w:val="-2"/>
                <w:sz w:val="21"/>
                <w:szCs w:val="21"/>
                <w:highlight w:val="none"/>
              </w:rPr>
              <w:t>投标人业绩</w:t>
            </w:r>
          </w:p>
        </w:tc>
        <w:tc>
          <w:tcPr>
            <w:tcW w:w="7243" w:type="dxa"/>
            <w:noWrap w:val="0"/>
            <w:vAlign w:val="center"/>
          </w:tcPr>
          <w:p w14:paraId="7D54D11F">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投标人自202</w:t>
            </w:r>
            <w:r>
              <w:rPr>
                <w:rFonts w:hint="eastAsia" w:asciiTheme="minorEastAsia" w:hAnsiTheme="minorEastAsia" w:eastAsiaTheme="minorEastAsia" w:cstheme="minorEastAsia"/>
                <w:sz w:val="21"/>
                <w:szCs w:val="21"/>
                <w:highlight w:val="none"/>
                <w:lang w:val="en-US" w:eastAsia="zh-CN"/>
              </w:rPr>
              <w:t>3</w:t>
            </w:r>
            <w:r>
              <w:rPr>
                <w:rFonts w:hint="eastAsia" w:asciiTheme="minorEastAsia" w:hAnsiTheme="minorEastAsia" w:eastAsiaTheme="minorEastAsia" w:cstheme="minorEastAsia"/>
                <w:sz w:val="21"/>
                <w:szCs w:val="21"/>
                <w:highlight w:val="none"/>
              </w:rPr>
              <w:t>年</w:t>
            </w:r>
            <w:r>
              <w:rPr>
                <w:rFonts w:hint="eastAsia" w:asciiTheme="minorEastAsia" w:hAnsiTheme="minorEastAsia" w:eastAsiaTheme="minorEastAsia" w:cstheme="minorEastAsia"/>
                <w:sz w:val="21"/>
                <w:szCs w:val="21"/>
                <w:highlight w:val="none"/>
                <w:lang w:val="en-US" w:eastAsia="zh-CN"/>
              </w:rPr>
              <w:t>1</w:t>
            </w:r>
            <w:r>
              <w:rPr>
                <w:rFonts w:hint="eastAsia" w:asciiTheme="minorEastAsia" w:hAnsiTheme="minorEastAsia" w:eastAsiaTheme="minorEastAsia" w:cstheme="minorEastAsia"/>
                <w:sz w:val="21"/>
                <w:szCs w:val="21"/>
                <w:highlight w:val="none"/>
              </w:rPr>
              <w:t>月1日（以合同签订日期为准）以来</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rPr>
              <w:t>承接过</w:t>
            </w:r>
            <w:r>
              <w:rPr>
                <w:rFonts w:hint="eastAsia" w:asciiTheme="minorEastAsia" w:hAnsiTheme="minorEastAsia" w:eastAsiaTheme="minorEastAsia" w:cstheme="minorEastAsia"/>
                <w:sz w:val="21"/>
                <w:szCs w:val="21"/>
                <w:highlight w:val="none"/>
                <w:lang w:val="en-US" w:eastAsia="zh-CN"/>
              </w:rPr>
              <w:t>类似采购包的</w:t>
            </w:r>
            <w:r>
              <w:rPr>
                <w:rFonts w:hint="eastAsia" w:asciiTheme="minorEastAsia" w:hAnsiTheme="minorEastAsia" w:eastAsiaTheme="minorEastAsia" w:cstheme="minorEastAsia"/>
                <w:sz w:val="21"/>
                <w:szCs w:val="21"/>
                <w:highlight w:val="none"/>
              </w:rPr>
              <w:t>食材供应项目，每提供1个得3分，最高得9分。</w:t>
            </w:r>
          </w:p>
          <w:p w14:paraId="682FE1F9">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（提供完整清晰的合同扫描件</w:t>
            </w:r>
            <w:r>
              <w:rPr>
                <w:rFonts w:hint="eastAsia" w:asciiTheme="minorEastAsia" w:hAnsiTheme="minorEastAsia" w:eastAsiaTheme="minorEastAsia" w:cstheme="minorEastAsia"/>
                <w:sz w:val="21"/>
                <w:szCs w:val="21"/>
                <w:highlight w:val="none"/>
                <w:lang w:eastAsia="zh-CN"/>
              </w:rPr>
              <w:t>及</w:t>
            </w:r>
            <w:r>
              <w:rPr>
                <w:rFonts w:hint="eastAsia" w:asciiTheme="minorEastAsia" w:hAnsiTheme="minorEastAsia" w:eastAsiaTheme="minorEastAsia" w:cstheme="minorEastAsia"/>
                <w:sz w:val="21"/>
                <w:szCs w:val="21"/>
                <w:highlight w:val="none"/>
                <w:lang w:val="en-US" w:eastAsia="zh-CN"/>
              </w:rPr>
              <w:t>合同服务期内对应的付款发票</w:t>
            </w:r>
            <w:r>
              <w:rPr>
                <w:rFonts w:hint="eastAsia" w:asciiTheme="minorEastAsia" w:hAnsiTheme="minorEastAsia" w:eastAsiaTheme="minorEastAsia" w:cstheme="minorEastAsia"/>
                <w:sz w:val="21"/>
                <w:szCs w:val="21"/>
                <w:highlight w:val="none"/>
              </w:rPr>
              <w:t>并加盖投标人公章，其中合同需体现出甲方名称、合同内容、签署日期等信息；</w:t>
            </w:r>
            <w:r>
              <w:rPr>
                <w:rFonts w:hint="eastAsia" w:asciiTheme="minorEastAsia" w:hAnsiTheme="minorEastAsia" w:eastAsiaTheme="minorEastAsia" w:cstheme="minorEastAsia"/>
                <w:sz w:val="21"/>
                <w:szCs w:val="21"/>
                <w:highlight w:val="none"/>
                <w:lang w:val="en-US" w:eastAsia="zh-CN"/>
              </w:rPr>
              <w:t>发票中购买方信息应与合同中甲方名称一致。</w:t>
            </w:r>
            <w:r>
              <w:rPr>
                <w:rFonts w:hint="eastAsia" w:asciiTheme="minorEastAsia" w:hAnsiTheme="minorEastAsia" w:eastAsiaTheme="minorEastAsia" w:cstheme="minorEastAsia"/>
                <w:sz w:val="21"/>
                <w:szCs w:val="21"/>
                <w:highlight w:val="none"/>
              </w:rPr>
              <w:t>同一个甲方单位的多个合同不重复计分</w:t>
            </w:r>
            <w:r>
              <w:rPr>
                <w:rFonts w:hint="eastAsia" w:asciiTheme="minorEastAsia" w:hAnsiTheme="minorEastAsia" w:eastAsiaTheme="minorEastAsia" w:cstheme="minorEastAsia"/>
                <w:sz w:val="21"/>
                <w:szCs w:val="21"/>
                <w:highlight w:val="none"/>
                <w:lang w:eastAsia="zh-CN"/>
              </w:rPr>
              <w:t>。未提供或未按要求提供</w:t>
            </w:r>
            <w:r>
              <w:rPr>
                <w:rFonts w:hint="eastAsia" w:asciiTheme="minorEastAsia" w:hAnsiTheme="minorEastAsia" w:eastAsiaTheme="minorEastAsia" w:cstheme="minorEastAsia"/>
                <w:sz w:val="21"/>
                <w:szCs w:val="21"/>
                <w:highlight w:val="none"/>
                <w:lang w:val="en-US" w:eastAsia="zh-CN"/>
              </w:rPr>
              <w:t>材料</w:t>
            </w:r>
            <w:r>
              <w:rPr>
                <w:rFonts w:hint="eastAsia" w:asciiTheme="minorEastAsia" w:hAnsiTheme="minorEastAsia" w:eastAsiaTheme="minorEastAsia" w:cstheme="minorEastAsia"/>
                <w:sz w:val="21"/>
                <w:szCs w:val="21"/>
                <w:highlight w:val="none"/>
                <w:lang w:eastAsia="zh-CN"/>
              </w:rPr>
              <w:t>的，本项不得分。</w:t>
            </w:r>
            <w:r>
              <w:rPr>
                <w:rFonts w:hint="eastAsia" w:asciiTheme="minorEastAsia" w:hAnsiTheme="minorEastAsia" w:eastAsiaTheme="minorEastAsia" w:cstheme="minorEastAsia"/>
                <w:sz w:val="21"/>
                <w:szCs w:val="21"/>
                <w:highlight w:val="none"/>
              </w:rPr>
              <w:t>）</w:t>
            </w:r>
          </w:p>
        </w:tc>
        <w:tc>
          <w:tcPr>
            <w:tcW w:w="575" w:type="dxa"/>
            <w:noWrap w:val="0"/>
            <w:vAlign w:val="center"/>
          </w:tcPr>
          <w:p w14:paraId="25A02A61">
            <w:pPr>
              <w:keepNext w:val="0"/>
              <w:keepLines w:val="0"/>
              <w:pageBreakBefore w:val="0"/>
              <w:widowControl w:val="0"/>
              <w:spacing w:before="69"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9</w:t>
            </w:r>
          </w:p>
        </w:tc>
        <w:tc>
          <w:tcPr>
            <w:tcW w:w="789" w:type="dxa"/>
            <w:noWrap w:val="0"/>
            <w:vAlign w:val="center"/>
          </w:tcPr>
          <w:p w14:paraId="378237C9">
            <w:pPr>
              <w:keepNext w:val="0"/>
              <w:keepLines w:val="0"/>
              <w:pageBreakBefore w:val="0"/>
              <w:widowControl w:val="0"/>
              <w:spacing w:before="68" w:line="360" w:lineRule="auto"/>
              <w:jc w:val="center"/>
              <w:rPr>
                <w:rFonts w:hint="eastAsia" w:asciiTheme="minorEastAsia" w:hAnsiTheme="minorEastAsia" w:eastAsiaTheme="minorEastAsia" w:cstheme="minorEastAsia"/>
                <w:sz w:val="21"/>
                <w:szCs w:val="21"/>
                <w:highlight w:val="none"/>
              </w:rPr>
            </w:pPr>
            <w:bookmarkStart w:id="117" w:name="OLE_LINK35"/>
            <w:r>
              <w:rPr>
                <w:rFonts w:hint="eastAsia" w:asciiTheme="minorEastAsia" w:hAnsiTheme="minorEastAsia" w:eastAsiaTheme="minorEastAsia" w:cstheme="minorEastAsia"/>
                <w:spacing w:val="-6"/>
                <w:sz w:val="21"/>
                <w:szCs w:val="21"/>
                <w:highlight w:val="none"/>
              </w:rPr>
              <w:t>客观分</w:t>
            </w:r>
            <w:bookmarkEnd w:id="117"/>
          </w:p>
        </w:tc>
      </w:tr>
      <w:tr w14:paraId="134D4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31" w:hRule="atLeast"/>
          <w:jc w:val="center"/>
        </w:trPr>
        <w:tc>
          <w:tcPr>
            <w:tcW w:w="521" w:type="dxa"/>
            <w:noWrap w:val="0"/>
            <w:vAlign w:val="center"/>
          </w:tcPr>
          <w:p w14:paraId="748FF58C">
            <w:pPr>
              <w:keepNext w:val="0"/>
              <w:keepLines w:val="0"/>
              <w:pageBreakBefore w:val="0"/>
              <w:widowControl w:val="0"/>
              <w:spacing w:line="360" w:lineRule="auto"/>
              <w:jc w:val="center"/>
              <w:rPr>
                <w:rFonts w:hint="eastAsia" w:asciiTheme="minorEastAsia" w:hAnsiTheme="minorEastAsia" w:eastAsiaTheme="minorEastAsia" w:cstheme="minorEastAsia"/>
                <w:spacing w:val="-2"/>
                <w:sz w:val="21"/>
                <w:szCs w:val="21"/>
                <w:highlight w:val="none"/>
                <w:lang w:val="en-US" w:eastAsia="zh-CN"/>
              </w:rPr>
            </w:pPr>
            <w:bookmarkStart w:id="118" w:name="OLE_LINK34"/>
            <w:r>
              <w:rPr>
                <w:rFonts w:hint="eastAsia" w:asciiTheme="minorEastAsia" w:hAnsiTheme="minorEastAsia" w:eastAsiaTheme="minorEastAsia" w:cstheme="minorEastAsia"/>
                <w:spacing w:val="-2"/>
                <w:sz w:val="21"/>
                <w:szCs w:val="21"/>
                <w:highlight w:val="none"/>
                <w:lang w:val="en-US" w:eastAsia="zh-CN"/>
              </w:rPr>
              <w:t>2</w:t>
            </w:r>
          </w:p>
        </w:tc>
        <w:tc>
          <w:tcPr>
            <w:tcW w:w="596" w:type="dxa"/>
            <w:noWrap w:val="0"/>
            <w:vAlign w:val="center"/>
          </w:tcPr>
          <w:p w14:paraId="48AF74CB">
            <w:pPr>
              <w:keepNext w:val="0"/>
              <w:keepLines w:val="0"/>
              <w:pageBreakBefore w:val="0"/>
              <w:widowControl w:val="0"/>
              <w:spacing w:before="68" w:line="360" w:lineRule="auto"/>
              <w:jc w:val="center"/>
              <w:rPr>
                <w:rFonts w:hint="eastAsia" w:asciiTheme="minorEastAsia" w:hAnsiTheme="minorEastAsia" w:eastAsiaTheme="minorEastAsia" w:cstheme="minorEastAsia"/>
                <w:spacing w:val="-2"/>
                <w:sz w:val="21"/>
                <w:szCs w:val="21"/>
                <w:highlight w:val="none"/>
              </w:rPr>
            </w:pPr>
            <w:r>
              <w:rPr>
                <w:rFonts w:hint="eastAsia" w:asciiTheme="minorEastAsia" w:hAnsiTheme="minorEastAsia" w:eastAsiaTheme="minorEastAsia" w:cstheme="minorEastAsia"/>
                <w:spacing w:val="-2"/>
                <w:sz w:val="21"/>
                <w:szCs w:val="21"/>
                <w:highlight w:val="none"/>
              </w:rPr>
              <w:t>用户评价</w:t>
            </w:r>
          </w:p>
        </w:tc>
        <w:tc>
          <w:tcPr>
            <w:tcW w:w="7243" w:type="dxa"/>
            <w:noWrap w:val="0"/>
            <w:vAlign w:val="center"/>
          </w:tcPr>
          <w:p w14:paraId="0FC9BF10">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投标人</w:t>
            </w:r>
            <w:r>
              <w:rPr>
                <w:rFonts w:hint="eastAsia" w:asciiTheme="minorEastAsia" w:hAnsiTheme="minorEastAsia" w:eastAsiaTheme="minorEastAsia" w:cstheme="minorEastAsia"/>
                <w:sz w:val="21"/>
                <w:szCs w:val="21"/>
                <w:highlight w:val="none"/>
                <w:lang w:val="en-US" w:eastAsia="zh-CN"/>
              </w:rPr>
              <w:t>自2023年1月1日（以合同签订日期为准）以来，承接过类似采购包的食材供应项目中获得的</w:t>
            </w:r>
            <w:r>
              <w:rPr>
                <w:rFonts w:hint="eastAsia" w:asciiTheme="minorEastAsia" w:hAnsiTheme="minorEastAsia" w:eastAsiaTheme="minorEastAsia" w:cstheme="minorEastAsia"/>
                <w:sz w:val="21"/>
                <w:szCs w:val="21"/>
                <w:highlight w:val="none"/>
              </w:rPr>
              <w:t>用户评价</w:t>
            </w:r>
            <w:r>
              <w:rPr>
                <w:rFonts w:hint="eastAsia" w:asciiTheme="minorEastAsia" w:hAnsiTheme="minorEastAsia" w:eastAsiaTheme="minorEastAsia" w:cstheme="minorEastAsia"/>
                <w:sz w:val="21"/>
                <w:szCs w:val="21"/>
                <w:highlight w:val="none"/>
                <w:lang w:val="en-US" w:eastAsia="zh-CN"/>
              </w:rPr>
              <w:t>或履约满意度为</w:t>
            </w:r>
            <w:r>
              <w:rPr>
                <w:rFonts w:hint="eastAsia" w:asciiTheme="minorEastAsia" w:hAnsiTheme="minorEastAsia" w:eastAsiaTheme="minorEastAsia" w:cstheme="minorEastAsia"/>
                <w:sz w:val="21"/>
                <w:szCs w:val="21"/>
                <w:highlight w:val="none"/>
              </w:rPr>
              <w:t>优秀(好评</w:t>
            </w:r>
            <w:r>
              <w:rPr>
                <w:rFonts w:hint="eastAsia" w:asciiTheme="minorEastAsia" w:hAnsiTheme="minorEastAsia" w:eastAsiaTheme="minorEastAsia" w:cstheme="minorEastAsia"/>
                <w:sz w:val="21"/>
                <w:szCs w:val="21"/>
                <w:highlight w:val="none"/>
                <w:lang w:val="en-US" w:eastAsia="zh-CN"/>
              </w:rPr>
              <w:t>或</w:t>
            </w:r>
            <w:r>
              <w:rPr>
                <w:rFonts w:hint="eastAsia" w:asciiTheme="minorEastAsia" w:hAnsiTheme="minorEastAsia" w:eastAsiaTheme="minorEastAsia" w:cstheme="minorEastAsia"/>
                <w:sz w:val="21"/>
                <w:szCs w:val="21"/>
                <w:highlight w:val="none"/>
              </w:rPr>
              <w:t>满意等同等级评价)的每份得</w:t>
            </w:r>
            <w:r>
              <w:rPr>
                <w:rFonts w:hint="eastAsia" w:asciiTheme="minorEastAsia" w:hAnsiTheme="minorEastAsia" w:eastAsiaTheme="minorEastAsia" w:cstheme="minorEastAsia"/>
                <w:sz w:val="21"/>
                <w:szCs w:val="21"/>
                <w:highlight w:val="none"/>
                <w:lang w:val="en-US" w:eastAsia="zh-CN"/>
              </w:rPr>
              <w:t>1</w:t>
            </w:r>
            <w:r>
              <w:rPr>
                <w:rFonts w:hint="eastAsia" w:asciiTheme="minorEastAsia" w:hAnsiTheme="minorEastAsia" w:eastAsiaTheme="minorEastAsia" w:cstheme="minorEastAsia"/>
                <w:sz w:val="21"/>
                <w:szCs w:val="21"/>
                <w:highlight w:val="none"/>
              </w:rPr>
              <w:t>分，其他不得分，最多得</w:t>
            </w:r>
            <w:r>
              <w:rPr>
                <w:rFonts w:hint="eastAsia" w:asciiTheme="minorEastAsia" w:hAnsiTheme="minorEastAsia" w:eastAsiaTheme="minorEastAsia" w:cstheme="minorEastAsia"/>
                <w:sz w:val="21"/>
                <w:szCs w:val="21"/>
                <w:highlight w:val="none"/>
                <w:lang w:val="en-US" w:eastAsia="zh-CN"/>
              </w:rPr>
              <w:t>3</w:t>
            </w:r>
            <w:r>
              <w:rPr>
                <w:rFonts w:hint="eastAsia" w:asciiTheme="minorEastAsia" w:hAnsiTheme="minorEastAsia" w:eastAsiaTheme="minorEastAsia" w:cstheme="minorEastAsia"/>
                <w:sz w:val="21"/>
                <w:szCs w:val="21"/>
                <w:highlight w:val="none"/>
              </w:rPr>
              <w:t>分。</w:t>
            </w:r>
          </w:p>
          <w:p w14:paraId="4E7DC091">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（提供完整清晰的合同扫描件</w:t>
            </w:r>
            <w:r>
              <w:rPr>
                <w:rFonts w:hint="eastAsia" w:asciiTheme="minorEastAsia" w:hAnsiTheme="minorEastAsia" w:eastAsiaTheme="minorEastAsia" w:cstheme="minorEastAsia"/>
                <w:sz w:val="21"/>
                <w:szCs w:val="21"/>
                <w:highlight w:val="none"/>
                <w:lang w:val="en-US" w:eastAsia="zh-CN"/>
              </w:rPr>
              <w:t>及</w:t>
            </w:r>
            <w:r>
              <w:rPr>
                <w:rFonts w:hint="eastAsia" w:asciiTheme="minorEastAsia" w:hAnsiTheme="minorEastAsia" w:eastAsiaTheme="minorEastAsia" w:cstheme="minorEastAsia"/>
                <w:sz w:val="21"/>
                <w:szCs w:val="21"/>
                <w:highlight w:val="none"/>
              </w:rPr>
              <w:t>用户评价</w:t>
            </w:r>
            <w:r>
              <w:rPr>
                <w:rFonts w:hint="eastAsia" w:asciiTheme="minorEastAsia" w:hAnsiTheme="minorEastAsia" w:eastAsiaTheme="minorEastAsia" w:cstheme="minorEastAsia"/>
                <w:sz w:val="21"/>
                <w:szCs w:val="21"/>
                <w:highlight w:val="none"/>
                <w:lang w:val="en-US" w:eastAsia="zh-CN"/>
              </w:rPr>
              <w:t>/</w:t>
            </w:r>
            <w:r>
              <w:rPr>
                <w:rFonts w:hint="eastAsia" w:asciiTheme="minorEastAsia" w:hAnsiTheme="minorEastAsia" w:eastAsiaTheme="minorEastAsia" w:cstheme="minorEastAsia"/>
                <w:sz w:val="21"/>
                <w:szCs w:val="21"/>
                <w:highlight w:val="none"/>
              </w:rPr>
              <w:t>履约满意度证明材料，材料需加盖投标人公章</w:t>
            </w:r>
            <w:r>
              <w:rPr>
                <w:rFonts w:hint="eastAsia" w:asciiTheme="minorEastAsia" w:hAnsiTheme="minorEastAsia" w:eastAsiaTheme="minorEastAsia" w:cstheme="minorEastAsia"/>
                <w:sz w:val="21"/>
                <w:szCs w:val="21"/>
                <w:highlight w:val="none"/>
                <w:lang w:eastAsia="zh-CN"/>
              </w:rPr>
              <w:t>。合同需体现出甲方名称、合同内容、签署日期等信息；用户评价/履约满意度证明材料</w:t>
            </w:r>
            <w:r>
              <w:rPr>
                <w:rFonts w:hint="eastAsia" w:asciiTheme="minorEastAsia" w:hAnsiTheme="minorEastAsia" w:eastAsiaTheme="minorEastAsia" w:cstheme="minorEastAsia"/>
                <w:sz w:val="21"/>
                <w:szCs w:val="21"/>
                <w:highlight w:val="none"/>
                <w:lang w:val="en-US" w:eastAsia="zh-CN"/>
              </w:rPr>
              <w:t>中项目信息</w:t>
            </w:r>
            <w:r>
              <w:rPr>
                <w:rFonts w:hint="eastAsia" w:asciiTheme="minorEastAsia" w:hAnsiTheme="minorEastAsia" w:eastAsiaTheme="minorEastAsia" w:cstheme="minorEastAsia"/>
                <w:sz w:val="21"/>
                <w:szCs w:val="21"/>
                <w:highlight w:val="none"/>
              </w:rPr>
              <w:t>应与对应项目合同相符，并体现评价单位</w:t>
            </w:r>
            <w:r>
              <w:rPr>
                <w:rFonts w:hint="eastAsia" w:asciiTheme="minorEastAsia" w:hAnsiTheme="minorEastAsia" w:eastAsiaTheme="minorEastAsia" w:cstheme="minorEastAsia"/>
                <w:sz w:val="21"/>
                <w:szCs w:val="21"/>
                <w:highlight w:val="none"/>
                <w:lang w:val="en-US" w:eastAsia="zh-CN"/>
              </w:rPr>
              <w:t>名称且已</w:t>
            </w:r>
            <w:r>
              <w:rPr>
                <w:rFonts w:hint="eastAsia" w:asciiTheme="minorEastAsia" w:hAnsiTheme="minorEastAsia" w:eastAsiaTheme="minorEastAsia" w:cstheme="minorEastAsia"/>
                <w:sz w:val="21"/>
                <w:szCs w:val="21"/>
                <w:highlight w:val="none"/>
              </w:rPr>
              <w:t>盖</w:t>
            </w:r>
            <w:r>
              <w:rPr>
                <w:rFonts w:hint="eastAsia" w:asciiTheme="minorEastAsia" w:hAnsiTheme="minorEastAsia" w:eastAsiaTheme="minorEastAsia" w:cstheme="minorEastAsia"/>
                <w:sz w:val="21"/>
                <w:szCs w:val="21"/>
                <w:highlight w:val="none"/>
                <w:lang w:val="en-US" w:eastAsia="zh-CN"/>
              </w:rPr>
              <w:t>评价单位公</w:t>
            </w:r>
            <w:r>
              <w:rPr>
                <w:rFonts w:hint="eastAsia" w:asciiTheme="minorEastAsia" w:hAnsiTheme="minorEastAsia" w:eastAsiaTheme="minorEastAsia" w:cstheme="minorEastAsia"/>
                <w:sz w:val="21"/>
                <w:szCs w:val="21"/>
                <w:highlight w:val="none"/>
              </w:rPr>
              <w:t>章确认</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评价单位应与签订合同的甲方单位一致</w:t>
            </w:r>
            <w:r>
              <w:rPr>
                <w:rFonts w:hint="eastAsia" w:asciiTheme="minorEastAsia" w:hAnsiTheme="minorEastAsia" w:eastAsiaTheme="minorEastAsia" w:cstheme="minorEastAsia"/>
                <w:sz w:val="21"/>
                <w:szCs w:val="21"/>
                <w:highlight w:val="none"/>
              </w:rPr>
              <w:t>。未提供或未按要求提供</w:t>
            </w:r>
            <w:r>
              <w:rPr>
                <w:rFonts w:hint="eastAsia" w:asciiTheme="minorEastAsia" w:hAnsiTheme="minorEastAsia" w:eastAsiaTheme="minorEastAsia" w:cstheme="minorEastAsia"/>
                <w:sz w:val="21"/>
                <w:szCs w:val="21"/>
                <w:highlight w:val="none"/>
                <w:lang w:val="en-US" w:eastAsia="zh-CN"/>
              </w:rPr>
              <w:t>材料</w:t>
            </w:r>
            <w:r>
              <w:rPr>
                <w:rFonts w:hint="eastAsia" w:asciiTheme="minorEastAsia" w:hAnsiTheme="minorEastAsia" w:eastAsiaTheme="minorEastAsia" w:cstheme="minorEastAsia"/>
                <w:sz w:val="21"/>
                <w:szCs w:val="21"/>
                <w:highlight w:val="none"/>
              </w:rPr>
              <w:t>的，本项不得分。</w:t>
            </w:r>
            <w:r>
              <w:rPr>
                <w:rFonts w:hint="eastAsia" w:asciiTheme="minorEastAsia" w:hAnsiTheme="minorEastAsia" w:eastAsiaTheme="minorEastAsia" w:cstheme="minorEastAsia"/>
                <w:sz w:val="21"/>
                <w:szCs w:val="21"/>
                <w:highlight w:val="none"/>
                <w:lang w:val="en-US" w:eastAsia="zh-CN"/>
              </w:rPr>
              <w:t>所提供的业绩可以和上述“投标人业绩”重复</w:t>
            </w:r>
            <w:r>
              <w:rPr>
                <w:rFonts w:hint="eastAsia" w:asciiTheme="minorEastAsia" w:hAnsiTheme="minorEastAsia" w:eastAsiaTheme="minorEastAsia" w:cstheme="minorEastAsia"/>
                <w:sz w:val="21"/>
                <w:szCs w:val="21"/>
                <w:highlight w:val="none"/>
              </w:rPr>
              <w:t>）</w:t>
            </w:r>
          </w:p>
        </w:tc>
        <w:tc>
          <w:tcPr>
            <w:tcW w:w="575" w:type="dxa"/>
            <w:noWrap w:val="0"/>
            <w:vAlign w:val="center"/>
          </w:tcPr>
          <w:p w14:paraId="4E85659D">
            <w:pPr>
              <w:keepNext w:val="0"/>
              <w:keepLines w:val="0"/>
              <w:pageBreakBefore w:val="0"/>
              <w:widowControl w:val="0"/>
              <w:spacing w:before="69" w:line="360" w:lineRule="auto"/>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w:t>
            </w:r>
          </w:p>
        </w:tc>
        <w:tc>
          <w:tcPr>
            <w:tcW w:w="789" w:type="dxa"/>
            <w:noWrap w:val="0"/>
            <w:vAlign w:val="center"/>
          </w:tcPr>
          <w:p w14:paraId="6701B2C9">
            <w:pPr>
              <w:keepNext w:val="0"/>
              <w:keepLines w:val="0"/>
              <w:pageBreakBefore w:val="0"/>
              <w:widowControl w:val="0"/>
              <w:spacing w:before="68" w:line="360" w:lineRule="auto"/>
              <w:jc w:val="center"/>
              <w:rPr>
                <w:rFonts w:hint="eastAsia" w:asciiTheme="minorEastAsia" w:hAnsiTheme="minorEastAsia" w:eastAsiaTheme="minorEastAsia" w:cstheme="minorEastAsia"/>
                <w:spacing w:val="-6"/>
                <w:sz w:val="21"/>
                <w:szCs w:val="21"/>
                <w:highlight w:val="none"/>
              </w:rPr>
            </w:pPr>
            <w:r>
              <w:rPr>
                <w:rFonts w:hint="eastAsia" w:asciiTheme="minorEastAsia" w:hAnsiTheme="minorEastAsia" w:eastAsiaTheme="minorEastAsia" w:cstheme="minorEastAsia"/>
                <w:spacing w:val="-6"/>
                <w:sz w:val="21"/>
                <w:szCs w:val="21"/>
                <w:highlight w:val="none"/>
              </w:rPr>
              <w:t>客观分</w:t>
            </w:r>
          </w:p>
        </w:tc>
      </w:tr>
      <w:tr w14:paraId="45087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8" w:hRule="atLeast"/>
          <w:jc w:val="center"/>
        </w:trPr>
        <w:tc>
          <w:tcPr>
            <w:tcW w:w="521" w:type="dxa"/>
            <w:noWrap w:val="0"/>
            <w:vAlign w:val="center"/>
          </w:tcPr>
          <w:p w14:paraId="21E8A455">
            <w:pPr>
              <w:keepNext w:val="0"/>
              <w:keepLines w:val="0"/>
              <w:pageBreakBefore w:val="0"/>
              <w:widowControl w:val="0"/>
              <w:spacing w:line="360" w:lineRule="auto"/>
              <w:jc w:val="center"/>
              <w:rPr>
                <w:rFonts w:hint="eastAsia" w:asciiTheme="minorEastAsia" w:hAnsiTheme="minorEastAsia" w:eastAsiaTheme="minorEastAsia" w:cstheme="minorEastAsia"/>
                <w:spacing w:val="-2"/>
                <w:sz w:val="21"/>
                <w:szCs w:val="21"/>
                <w:highlight w:val="none"/>
                <w:lang w:eastAsia="zh-CN"/>
              </w:rPr>
            </w:pPr>
            <w:r>
              <w:rPr>
                <w:rFonts w:hint="eastAsia" w:asciiTheme="minorEastAsia" w:hAnsiTheme="minorEastAsia" w:eastAsiaTheme="minorEastAsia" w:cstheme="minorEastAsia"/>
                <w:spacing w:val="-2"/>
                <w:sz w:val="21"/>
                <w:szCs w:val="21"/>
                <w:highlight w:val="none"/>
                <w:lang w:val="en-US" w:eastAsia="zh-CN"/>
              </w:rPr>
              <w:t>3</w:t>
            </w:r>
          </w:p>
        </w:tc>
        <w:tc>
          <w:tcPr>
            <w:tcW w:w="596" w:type="dxa"/>
            <w:noWrap w:val="0"/>
            <w:vAlign w:val="center"/>
          </w:tcPr>
          <w:p w14:paraId="5E2A1301">
            <w:pPr>
              <w:keepNext w:val="0"/>
              <w:keepLines w:val="0"/>
              <w:pageBreakBefore w:val="0"/>
              <w:widowControl w:val="0"/>
              <w:spacing w:before="68" w:line="360" w:lineRule="auto"/>
              <w:jc w:val="center"/>
              <w:rPr>
                <w:rFonts w:hint="eastAsia" w:asciiTheme="minorEastAsia" w:hAnsiTheme="minorEastAsia" w:eastAsiaTheme="minorEastAsia" w:cstheme="minorEastAsia"/>
                <w:spacing w:val="-2"/>
                <w:sz w:val="21"/>
                <w:szCs w:val="21"/>
                <w:highlight w:val="none"/>
              </w:rPr>
            </w:pPr>
            <w:r>
              <w:rPr>
                <w:rFonts w:hint="eastAsia" w:asciiTheme="minorEastAsia" w:hAnsiTheme="minorEastAsia" w:eastAsiaTheme="minorEastAsia" w:cstheme="minorEastAsia"/>
                <w:spacing w:val="-2"/>
                <w:sz w:val="21"/>
                <w:szCs w:val="21"/>
                <w:highlight w:val="none"/>
              </w:rPr>
              <w:t>配送车辆情况</w:t>
            </w:r>
          </w:p>
        </w:tc>
        <w:tc>
          <w:tcPr>
            <w:tcW w:w="7243" w:type="dxa"/>
            <w:noWrap w:val="0"/>
            <w:vAlign w:val="center"/>
          </w:tcPr>
          <w:p w14:paraId="22CC656A">
            <w:pPr>
              <w:keepNext w:val="0"/>
              <w:keepLines w:val="0"/>
              <w:pageBreakBefore w:val="0"/>
              <w:widowControl/>
              <w:spacing w:line="360" w:lineRule="auto"/>
              <w:ind w:firstLine="0"/>
              <w:jc w:val="both"/>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为满足食堂的配送任务，投标人每提供固定专用食品配送车辆1台得2分，最多得2分；冷藏车1台得2分，最多得2分。且均需提供承诺书，承诺相关车辆不得随意更换，未提供或不满足本项不得分。本项最高得4分。</w:t>
            </w:r>
          </w:p>
          <w:p w14:paraId="332AB65A">
            <w:pPr>
              <w:keepNext w:val="0"/>
              <w:keepLines w:val="0"/>
              <w:pageBreakBefore w:val="0"/>
              <w:widowControl/>
              <w:spacing w:line="360" w:lineRule="auto"/>
              <w:ind w:firstLine="0"/>
              <w:jc w:val="both"/>
              <w:rPr>
                <w:rFonts w:hint="eastAsia" w:asciiTheme="minorEastAsia" w:hAnsiTheme="minorEastAsia" w:eastAsiaTheme="minorEastAsia" w:cstheme="minorEastAsia"/>
                <w:b w:val="0"/>
                <w:bCs/>
                <w:color w:val="auto"/>
                <w:sz w:val="21"/>
                <w:szCs w:val="21"/>
                <w:highlight w:val="none"/>
                <w:lang w:val="en-US" w:eastAsia="zh-CN" w:bidi="ar-SA"/>
              </w:rPr>
            </w:pPr>
            <w:r>
              <w:rPr>
                <w:rFonts w:hint="eastAsia" w:asciiTheme="minorEastAsia" w:hAnsiTheme="minorEastAsia" w:eastAsiaTheme="minorEastAsia" w:cstheme="minorEastAsia"/>
                <w:b/>
                <w:bCs w:val="0"/>
                <w:color w:val="auto"/>
                <w:sz w:val="21"/>
                <w:szCs w:val="21"/>
                <w:highlight w:val="none"/>
                <w:lang w:val="en-US" w:eastAsia="zh-CN" w:bidi="ar-SA"/>
              </w:rPr>
              <w:t>自有车辆：</w:t>
            </w:r>
            <w:r>
              <w:rPr>
                <w:rFonts w:hint="eastAsia" w:asciiTheme="minorEastAsia" w:hAnsiTheme="minorEastAsia" w:eastAsiaTheme="minorEastAsia" w:cstheme="minorEastAsia"/>
                <w:b w:val="0"/>
                <w:bCs/>
                <w:color w:val="auto"/>
                <w:sz w:val="21"/>
                <w:szCs w:val="21"/>
                <w:highlight w:val="none"/>
                <w:lang w:val="en-US" w:eastAsia="zh-CN" w:bidi="ar-SA"/>
              </w:rPr>
              <w:t>需提供车辆的购买发票，有效期内的车辆行驶证（所有人须为投标人或投标人法人代表）、车辆正面照及相关照片（必须体现车牌号，车牌号须与车辆行驶证一致，明显体现出运输车辆特征）等证明材料复印件并加盖公章。</w:t>
            </w:r>
          </w:p>
          <w:p w14:paraId="7EFB7964">
            <w:pPr>
              <w:keepNext w:val="0"/>
              <w:keepLines w:val="0"/>
              <w:pageBreakBefore w:val="0"/>
              <w:widowControl/>
              <w:spacing w:line="360" w:lineRule="auto"/>
              <w:ind w:firstLine="0"/>
              <w:jc w:val="both"/>
              <w:rPr>
                <w:rFonts w:hint="eastAsia" w:asciiTheme="minorEastAsia" w:hAnsiTheme="minorEastAsia" w:eastAsiaTheme="minorEastAsia" w:cstheme="minorEastAsia"/>
                <w:b w:val="0"/>
                <w:bCs/>
                <w:color w:val="auto"/>
                <w:sz w:val="21"/>
                <w:szCs w:val="21"/>
                <w:highlight w:val="none"/>
                <w:lang w:val="en-US" w:eastAsia="zh-CN" w:bidi="ar-SA"/>
              </w:rPr>
            </w:pPr>
            <w:r>
              <w:rPr>
                <w:rFonts w:hint="eastAsia" w:asciiTheme="minorEastAsia" w:hAnsiTheme="minorEastAsia" w:eastAsiaTheme="minorEastAsia" w:cstheme="minorEastAsia"/>
                <w:b/>
                <w:bCs w:val="0"/>
                <w:color w:val="auto"/>
                <w:sz w:val="21"/>
                <w:szCs w:val="21"/>
                <w:highlight w:val="none"/>
                <w:lang w:val="en-US" w:eastAsia="zh-CN" w:bidi="ar-SA"/>
              </w:rPr>
              <w:t>租赁车辆：</w:t>
            </w:r>
            <w:r>
              <w:rPr>
                <w:rFonts w:hint="eastAsia" w:asciiTheme="minorEastAsia" w:hAnsiTheme="minorEastAsia" w:eastAsiaTheme="minorEastAsia" w:cstheme="minorEastAsia"/>
                <w:b w:val="0"/>
                <w:bCs/>
                <w:color w:val="auto"/>
                <w:sz w:val="21"/>
                <w:szCs w:val="21"/>
                <w:highlight w:val="none"/>
                <w:lang w:val="en-US" w:eastAsia="zh-CN" w:bidi="ar-SA"/>
              </w:rPr>
              <w:t>需提供由投标人或投标人法人代表签署的租用合同，签署的租用合同需超过此项目的服务期限(自开标日计算起一年），如提供的租赁合同无法覆盖本项目服务期限，须提供续签承诺书，格式自拟并加盖投标人公章；有效期内的车辆行驶证（所有人须为车辆出租单位或车辆出租单位法人代表）、车辆正面及相关照片（必须体现车牌号，车牌号须与车辆行驶证一致，明显体现出运输车辆特征）等证明材料复印件并加盖公章。</w:t>
            </w:r>
          </w:p>
          <w:p w14:paraId="5D9B43B1">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bCs/>
                <w:color w:val="auto"/>
                <w:sz w:val="21"/>
                <w:szCs w:val="21"/>
                <w:highlight w:val="none"/>
              </w:rPr>
              <w:t>（提供加盖投标人公章的证明资料复印件，否则不得分。</w:t>
            </w:r>
            <w:r>
              <w:rPr>
                <w:rFonts w:hint="eastAsia" w:asciiTheme="minorEastAsia" w:hAnsiTheme="minorEastAsia" w:eastAsiaTheme="minorEastAsia" w:cstheme="minorEastAsia"/>
                <w:b w:val="0"/>
                <w:bCs/>
                <w:color w:val="auto"/>
                <w:sz w:val="21"/>
                <w:szCs w:val="21"/>
                <w:highlight w:val="none"/>
                <w:lang w:val="en-US" w:eastAsia="zh-CN"/>
              </w:rPr>
              <w:t>提供的车辆</w:t>
            </w:r>
            <w:r>
              <w:rPr>
                <w:rFonts w:hint="eastAsia" w:asciiTheme="minorEastAsia" w:hAnsiTheme="minorEastAsia" w:eastAsiaTheme="minorEastAsia" w:cstheme="minorEastAsia"/>
                <w:b w:val="0"/>
                <w:bCs/>
                <w:color w:val="auto"/>
                <w:sz w:val="21"/>
                <w:szCs w:val="21"/>
                <w:highlight w:val="none"/>
              </w:rPr>
              <w:t>需提供承诺书承诺相关车辆不得随意更换，格式自拟</w:t>
            </w:r>
            <w:r>
              <w:rPr>
                <w:rFonts w:hint="eastAsia" w:asciiTheme="minorEastAsia" w:hAnsiTheme="minorEastAsia" w:eastAsiaTheme="minorEastAsia" w:cstheme="minorEastAsia"/>
                <w:b w:val="0"/>
                <w:bCs/>
                <w:color w:val="auto"/>
                <w:sz w:val="21"/>
                <w:szCs w:val="21"/>
                <w:highlight w:val="none"/>
                <w:lang w:eastAsia="zh-CN"/>
              </w:rPr>
              <w:t>。</w:t>
            </w:r>
            <w:r>
              <w:rPr>
                <w:rFonts w:hint="eastAsia" w:asciiTheme="minorEastAsia" w:hAnsiTheme="minorEastAsia" w:eastAsiaTheme="minorEastAsia" w:cstheme="minorEastAsia"/>
                <w:b w:val="0"/>
                <w:bCs/>
                <w:color w:val="auto"/>
                <w:sz w:val="21"/>
                <w:szCs w:val="21"/>
                <w:highlight w:val="none"/>
              </w:rPr>
              <w:t>未提供或未按要求提供的不得分。）</w:t>
            </w:r>
          </w:p>
        </w:tc>
        <w:tc>
          <w:tcPr>
            <w:tcW w:w="575" w:type="dxa"/>
            <w:noWrap w:val="0"/>
            <w:vAlign w:val="center"/>
          </w:tcPr>
          <w:p w14:paraId="45A07EE3">
            <w:pPr>
              <w:keepNext w:val="0"/>
              <w:keepLines w:val="0"/>
              <w:pageBreakBefore w:val="0"/>
              <w:widowControl w:val="0"/>
              <w:spacing w:before="69" w:line="360" w:lineRule="auto"/>
              <w:jc w:val="center"/>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rPr>
              <w:t>4</w:t>
            </w:r>
          </w:p>
        </w:tc>
        <w:tc>
          <w:tcPr>
            <w:tcW w:w="789" w:type="dxa"/>
            <w:noWrap w:val="0"/>
            <w:vAlign w:val="center"/>
          </w:tcPr>
          <w:p w14:paraId="37B1413C">
            <w:pPr>
              <w:keepNext w:val="0"/>
              <w:keepLines w:val="0"/>
              <w:pageBreakBefore w:val="0"/>
              <w:widowControl w:val="0"/>
              <w:spacing w:before="68" w:line="360" w:lineRule="auto"/>
              <w:jc w:val="center"/>
              <w:rPr>
                <w:rFonts w:hint="eastAsia" w:asciiTheme="minorEastAsia" w:hAnsiTheme="minorEastAsia" w:eastAsiaTheme="minorEastAsia" w:cstheme="minorEastAsia"/>
                <w:spacing w:val="-6"/>
                <w:sz w:val="21"/>
                <w:szCs w:val="21"/>
                <w:highlight w:val="none"/>
              </w:rPr>
            </w:pPr>
            <w:r>
              <w:rPr>
                <w:rFonts w:hint="eastAsia" w:asciiTheme="minorEastAsia" w:hAnsiTheme="minorEastAsia" w:eastAsiaTheme="minorEastAsia" w:cstheme="minorEastAsia"/>
                <w:sz w:val="21"/>
                <w:szCs w:val="21"/>
                <w:highlight w:val="none"/>
              </w:rPr>
              <w:t>客观分</w:t>
            </w:r>
          </w:p>
        </w:tc>
      </w:tr>
      <w:tr w14:paraId="0A70F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8" w:hRule="atLeast"/>
          <w:jc w:val="center"/>
        </w:trPr>
        <w:tc>
          <w:tcPr>
            <w:tcW w:w="521" w:type="dxa"/>
            <w:noWrap w:val="0"/>
            <w:vAlign w:val="center"/>
          </w:tcPr>
          <w:p w14:paraId="675311AC">
            <w:pPr>
              <w:keepNext w:val="0"/>
              <w:keepLines w:val="0"/>
              <w:pageBreakBefore w:val="0"/>
              <w:widowControl w:val="0"/>
              <w:spacing w:line="360" w:lineRule="auto"/>
              <w:jc w:val="center"/>
              <w:rPr>
                <w:rFonts w:hint="eastAsia" w:asciiTheme="minorEastAsia" w:hAnsiTheme="minorEastAsia" w:eastAsiaTheme="minorEastAsia" w:cstheme="minorEastAsia"/>
                <w:spacing w:val="-2"/>
                <w:sz w:val="21"/>
                <w:szCs w:val="21"/>
                <w:highlight w:val="none"/>
                <w:lang w:eastAsia="zh-CN"/>
              </w:rPr>
            </w:pPr>
            <w:r>
              <w:rPr>
                <w:rFonts w:hint="eastAsia" w:asciiTheme="minorEastAsia" w:hAnsiTheme="minorEastAsia" w:eastAsiaTheme="minorEastAsia" w:cstheme="minorEastAsia"/>
                <w:spacing w:val="-2"/>
                <w:sz w:val="21"/>
                <w:szCs w:val="21"/>
                <w:highlight w:val="none"/>
                <w:lang w:val="en-US" w:eastAsia="zh-CN"/>
              </w:rPr>
              <w:t>4</w:t>
            </w:r>
          </w:p>
        </w:tc>
        <w:tc>
          <w:tcPr>
            <w:tcW w:w="596" w:type="dxa"/>
            <w:noWrap w:val="0"/>
            <w:vAlign w:val="center"/>
          </w:tcPr>
          <w:p w14:paraId="51B9A5EF">
            <w:pPr>
              <w:keepNext w:val="0"/>
              <w:keepLines w:val="0"/>
              <w:pageBreakBefore w:val="0"/>
              <w:widowControl w:val="0"/>
              <w:spacing w:before="68" w:line="360" w:lineRule="auto"/>
              <w:jc w:val="center"/>
              <w:rPr>
                <w:rFonts w:hint="eastAsia" w:asciiTheme="minorEastAsia" w:hAnsiTheme="minorEastAsia" w:eastAsiaTheme="minorEastAsia" w:cstheme="minorEastAsia"/>
                <w:spacing w:val="-2"/>
                <w:sz w:val="21"/>
                <w:szCs w:val="21"/>
                <w:highlight w:val="none"/>
                <w:lang w:val="en-US" w:eastAsia="zh-CN"/>
              </w:rPr>
            </w:pPr>
            <w:r>
              <w:rPr>
                <w:rFonts w:hint="eastAsia" w:asciiTheme="minorEastAsia" w:hAnsiTheme="minorEastAsia" w:eastAsiaTheme="minorEastAsia" w:cstheme="minorEastAsia"/>
                <w:spacing w:val="-2"/>
                <w:sz w:val="21"/>
                <w:szCs w:val="21"/>
                <w:highlight w:val="none"/>
                <w:lang w:val="en-US" w:eastAsia="zh-CN"/>
              </w:rPr>
              <w:t>项目保障能力</w:t>
            </w:r>
          </w:p>
        </w:tc>
        <w:tc>
          <w:tcPr>
            <w:tcW w:w="7243" w:type="dxa"/>
            <w:noWrap w:val="0"/>
            <w:vAlign w:val="center"/>
          </w:tcPr>
          <w:p w14:paraId="1D913D34">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eastAsia="zh-CN"/>
              </w:rPr>
              <w:t>投标人具有项目保障能力：</w:t>
            </w:r>
            <w:r>
              <w:rPr>
                <w:rFonts w:hint="eastAsia" w:asciiTheme="minorEastAsia" w:hAnsiTheme="minorEastAsia" w:eastAsiaTheme="minorEastAsia" w:cstheme="minorEastAsia"/>
                <w:sz w:val="21"/>
                <w:szCs w:val="21"/>
                <w:highlight w:val="none"/>
              </w:rPr>
              <w:t>自有或租赁仓库（面积 100 平方米及以上）得3分，冷库（面积 50 平方米及以上，不包含冰箱）得3分， 本项最高得6分。</w:t>
            </w:r>
          </w:p>
          <w:p w14:paraId="4EF8996F">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sz w:val="21"/>
                <w:szCs w:val="21"/>
                <w:highlight w:val="none"/>
              </w:rPr>
              <w:t>自有</w:t>
            </w:r>
            <w:r>
              <w:rPr>
                <w:rFonts w:hint="eastAsia" w:asciiTheme="minorEastAsia" w:hAnsiTheme="minorEastAsia" w:eastAsiaTheme="minorEastAsia" w:cstheme="minorEastAsia"/>
                <w:b/>
                <w:bCs/>
                <w:sz w:val="21"/>
                <w:szCs w:val="21"/>
                <w:highlight w:val="none"/>
                <w:lang w:val="en-US" w:eastAsia="zh-CN"/>
              </w:rPr>
              <w:t>仓库或冷库：</w:t>
            </w:r>
            <w:r>
              <w:rPr>
                <w:rFonts w:hint="eastAsia" w:asciiTheme="minorEastAsia" w:hAnsiTheme="minorEastAsia" w:eastAsiaTheme="minorEastAsia" w:cstheme="minorEastAsia"/>
                <w:sz w:val="21"/>
                <w:szCs w:val="21"/>
                <w:highlight w:val="none"/>
              </w:rPr>
              <w:t>需提供仓库场</w:t>
            </w:r>
            <w:r>
              <w:rPr>
                <w:rFonts w:hint="eastAsia" w:asciiTheme="minorEastAsia" w:hAnsiTheme="minorEastAsia" w:eastAsiaTheme="minorEastAsia" w:cstheme="minorEastAsia"/>
                <w:sz w:val="21"/>
                <w:szCs w:val="21"/>
                <w:highlight w:val="none"/>
                <w:lang w:val="en-US" w:eastAsia="zh-CN"/>
              </w:rPr>
              <w:t>或</w:t>
            </w:r>
            <w:r>
              <w:rPr>
                <w:rFonts w:hint="eastAsia" w:asciiTheme="minorEastAsia" w:hAnsiTheme="minorEastAsia" w:eastAsiaTheme="minorEastAsia" w:cstheme="minorEastAsia"/>
                <w:sz w:val="21"/>
                <w:szCs w:val="21"/>
                <w:highlight w:val="none"/>
              </w:rPr>
              <w:t>冷库</w:t>
            </w:r>
            <w:r>
              <w:rPr>
                <w:rFonts w:hint="eastAsia" w:asciiTheme="minorEastAsia" w:hAnsiTheme="minorEastAsia" w:eastAsiaTheme="minorEastAsia" w:cstheme="minorEastAsia"/>
                <w:sz w:val="21"/>
                <w:szCs w:val="21"/>
                <w:highlight w:val="none"/>
                <w:lang w:eastAsia="zh-CN"/>
              </w:rPr>
              <w:t>场所</w:t>
            </w:r>
            <w:r>
              <w:rPr>
                <w:rFonts w:hint="eastAsia" w:asciiTheme="minorEastAsia" w:hAnsiTheme="minorEastAsia" w:eastAsiaTheme="minorEastAsia" w:cstheme="minorEastAsia"/>
                <w:sz w:val="21"/>
                <w:szCs w:val="21"/>
                <w:highlight w:val="none"/>
              </w:rPr>
              <w:t>产权证明（所有人须为投标人或投标人法人代表）、仓库或冷库场所</w:t>
            </w:r>
            <w:r>
              <w:rPr>
                <w:rFonts w:hint="eastAsia" w:asciiTheme="minorEastAsia" w:hAnsiTheme="minorEastAsia" w:eastAsiaTheme="minorEastAsia" w:cstheme="minorEastAsia"/>
                <w:sz w:val="21"/>
                <w:szCs w:val="21"/>
                <w:highlight w:val="none"/>
                <w:lang w:val="en-US" w:eastAsia="zh-CN"/>
              </w:rPr>
              <w:t>实际</w:t>
            </w:r>
            <w:r>
              <w:rPr>
                <w:rFonts w:hint="eastAsia" w:asciiTheme="minorEastAsia" w:hAnsiTheme="minorEastAsia" w:eastAsiaTheme="minorEastAsia" w:cstheme="minorEastAsia"/>
                <w:sz w:val="21"/>
                <w:szCs w:val="21"/>
                <w:highlight w:val="none"/>
              </w:rPr>
              <w:t>照片等证明材料复印件并加盖公章。</w:t>
            </w:r>
          </w:p>
          <w:p w14:paraId="506429FB">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sz w:val="21"/>
                <w:szCs w:val="21"/>
                <w:highlight w:val="none"/>
              </w:rPr>
              <w:t>租赁仓库</w:t>
            </w:r>
            <w:r>
              <w:rPr>
                <w:rFonts w:hint="eastAsia" w:asciiTheme="minorEastAsia" w:hAnsiTheme="minorEastAsia" w:eastAsiaTheme="minorEastAsia" w:cstheme="minorEastAsia"/>
                <w:b/>
                <w:bCs/>
                <w:sz w:val="21"/>
                <w:szCs w:val="21"/>
                <w:highlight w:val="none"/>
                <w:lang w:val="en-US" w:eastAsia="zh-CN"/>
              </w:rPr>
              <w:t>或冷库：</w:t>
            </w:r>
            <w:r>
              <w:rPr>
                <w:rFonts w:hint="eastAsia" w:asciiTheme="minorEastAsia" w:hAnsiTheme="minorEastAsia" w:eastAsiaTheme="minorEastAsia" w:cstheme="minorEastAsia"/>
                <w:sz w:val="21"/>
                <w:szCs w:val="21"/>
                <w:highlight w:val="none"/>
              </w:rPr>
              <w:t>需提供由投标人或投标人法人代表签订的租用合同、仓库或冷库场所实际照片等证明材料，签订的租用合同需超过此项目的服务期限(</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rPr>
              <w:t>自开标日计算起一年），如提供的租赁合同无法覆盖本项目服务期限，须提供续签承诺书，格式自拟并加盖投标人公章。</w:t>
            </w:r>
          </w:p>
          <w:p w14:paraId="2BFF0407">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（提供加盖投标人公章的证明资料复印件，证明材料里须明确体现</w:t>
            </w:r>
            <w:r>
              <w:rPr>
                <w:rFonts w:hint="eastAsia" w:asciiTheme="minorEastAsia" w:hAnsiTheme="minorEastAsia" w:eastAsiaTheme="minorEastAsia" w:cstheme="minorEastAsia"/>
                <w:sz w:val="21"/>
                <w:szCs w:val="21"/>
                <w:highlight w:val="none"/>
                <w:lang w:val="en-US" w:eastAsia="zh-CN"/>
              </w:rPr>
              <w:t>场所</w:t>
            </w:r>
            <w:r>
              <w:rPr>
                <w:rFonts w:hint="eastAsia" w:asciiTheme="minorEastAsia" w:hAnsiTheme="minorEastAsia" w:eastAsiaTheme="minorEastAsia" w:cstheme="minorEastAsia"/>
                <w:sz w:val="21"/>
                <w:szCs w:val="21"/>
                <w:highlight w:val="none"/>
              </w:rPr>
              <w:t>种类和面积。</w:t>
            </w:r>
            <w:r>
              <w:rPr>
                <w:rFonts w:hint="eastAsia" w:asciiTheme="minorEastAsia" w:hAnsiTheme="minorEastAsia" w:eastAsiaTheme="minorEastAsia" w:cstheme="minorEastAsia"/>
                <w:sz w:val="21"/>
                <w:szCs w:val="21"/>
                <w:highlight w:val="none"/>
                <w:lang w:eastAsia="zh-CN"/>
              </w:rPr>
              <w:t>未提供或未按要求提供的不得分。</w:t>
            </w:r>
            <w:r>
              <w:rPr>
                <w:rFonts w:hint="eastAsia" w:asciiTheme="minorEastAsia" w:hAnsiTheme="minorEastAsia" w:eastAsiaTheme="minorEastAsia" w:cstheme="minorEastAsia"/>
                <w:sz w:val="21"/>
                <w:szCs w:val="21"/>
                <w:highlight w:val="none"/>
              </w:rPr>
              <w:t>）</w:t>
            </w:r>
          </w:p>
        </w:tc>
        <w:tc>
          <w:tcPr>
            <w:tcW w:w="575" w:type="dxa"/>
            <w:noWrap w:val="0"/>
            <w:vAlign w:val="center"/>
          </w:tcPr>
          <w:p w14:paraId="1988BCC4">
            <w:pPr>
              <w:keepNext w:val="0"/>
              <w:keepLines w:val="0"/>
              <w:pageBreakBefore w:val="0"/>
              <w:widowControl w:val="0"/>
              <w:spacing w:before="69" w:line="360" w:lineRule="auto"/>
              <w:jc w:val="center"/>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rPr>
              <w:t>6</w:t>
            </w:r>
          </w:p>
        </w:tc>
        <w:tc>
          <w:tcPr>
            <w:tcW w:w="789" w:type="dxa"/>
            <w:noWrap w:val="0"/>
            <w:vAlign w:val="center"/>
          </w:tcPr>
          <w:p w14:paraId="182F0D47">
            <w:pPr>
              <w:keepNext w:val="0"/>
              <w:keepLines w:val="0"/>
              <w:pageBreakBefore w:val="0"/>
              <w:widowControl w:val="0"/>
              <w:spacing w:before="68" w:line="360" w:lineRule="auto"/>
              <w:jc w:val="center"/>
              <w:rPr>
                <w:rFonts w:hint="eastAsia" w:asciiTheme="minorEastAsia" w:hAnsiTheme="minorEastAsia" w:eastAsiaTheme="minorEastAsia" w:cstheme="minorEastAsia"/>
                <w:spacing w:val="-6"/>
                <w:sz w:val="21"/>
                <w:szCs w:val="21"/>
                <w:highlight w:val="none"/>
              </w:rPr>
            </w:pPr>
            <w:r>
              <w:rPr>
                <w:rFonts w:hint="eastAsia" w:asciiTheme="minorEastAsia" w:hAnsiTheme="minorEastAsia" w:eastAsiaTheme="minorEastAsia" w:cstheme="minorEastAsia"/>
                <w:sz w:val="21"/>
                <w:szCs w:val="21"/>
                <w:highlight w:val="none"/>
              </w:rPr>
              <w:t>客观分</w:t>
            </w:r>
          </w:p>
        </w:tc>
      </w:tr>
      <w:tr w14:paraId="27A59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8" w:hRule="atLeast"/>
          <w:jc w:val="center"/>
        </w:trPr>
        <w:tc>
          <w:tcPr>
            <w:tcW w:w="521" w:type="dxa"/>
            <w:noWrap w:val="0"/>
            <w:vAlign w:val="center"/>
          </w:tcPr>
          <w:p w14:paraId="5DFB3BF1">
            <w:pPr>
              <w:keepNext w:val="0"/>
              <w:keepLines w:val="0"/>
              <w:pageBreakBefore w:val="0"/>
              <w:widowControl w:val="0"/>
              <w:spacing w:line="360" w:lineRule="auto"/>
              <w:jc w:val="center"/>
              <w:rPr>
                <w:rFonts w:hint="eastAsia" w:asciiTheme="minorEastAsia" w:hAnsiTheme="minorEastAsia" w:eastAsiaTheme="minorEastAsia" w:cstheme="minorEastAsia"/>
                <w:spacing w:val="-2"/>
                <w:sz w:val="21"/>
                <w:szCs w:val="21"/>
                <w:highlight w:val="none"/>
                <w:lang w:val="en-US" w:eastAsia="zh-CN"/>
              </w:rPr>
            </w:pPr>
            <w:r>
              <w:rPr>
                <w:rFonts w:hint="eastAsia" w:asciiTheme="minorEastAsia" w:hAnsiTheme="minorEastAsia" w:eastAsiaTheme="minorEastAsia" w:cstheme="minorEastAsia"/>
                <w:spacing w:val="-2"/>
                <w:sz w:val="21"/>
                <w:szCs w:val="21"/>
                <w:highlight w:val="none"/>
                <w:lang w:val="en-US" w:eastAsia="zh-CN"/>
              </w:rPr>
              <w:t>5</w:t>
            </w:r>
          </w:p>
        </w:tc>
        <w:tc>
          <w:tcPr>
            <w:tcW w:w="596" w:type="dxa"/>
            <w:noWrap w:val="0"/>
            <w:vAlign w:val="center"/>
          </w:tcPr>
          <w:p w14:paraId="5A5E8778">
            <w:pPr>
              <w:keepNext w:val="0"/>
              <w:keepLines w:val="0"/>
              <w:pageBreakBefore w:val="0"/>
              <w:widowControl w:val="0"/>
              <w:spacing w:before="68" w:line="360" w:lineRule="auto"/>
              <w:jc w:val="center"/>
              <w:rPr>
                <w:rFonts w:hint="eastAsia" w:asciiTheme="minorEastAsia" w:hAnsiTheme="minorEastAsia" w:eastAsiaTheme="minorEastAsia" w:cstheme="minorEastAsia"/>
                <w:spacing w:val="-2"/>
                <w:sz w:val="21"/>
                <w:szCs w:val="21"/>
                <w:highlight w:val="none"/>
                <w:lang w:val="en-US" w:eastAsia="zh-CN"/>
              </w:rPr>
            </w:pPr>
            <w:r>
              <w:rPr>
                <w:rFonts w:hint="eastAsia" w:asciiTheme="minorEastAsia" w:hAnsiTheme="minorEastAsia" w:eastAsiaTheme="minorEastAsia" w:cstheme="minorEastAsia"/>
                <w:spacing w:val="-2"/>
                <w:sz w:val="21"/>
                <w:szCs w:val="21"/>
                <w:highlight w:val="none"/>
                <w:lang w:val="en-US" w:eastAsia="zh-CN"/>
              </w:rPr>
              <w:t>食材溯源</w:t>
            </w:r>
          </w:p>
        </w:tc>
        <w:tc>
          <w:tcPr>
            <w:tcW w:w="7243" w:type="dxa"/>
            <w:noWrap w:val="0"/>
            <w:vAlign w:val="center"/>
          </w:tcPr>
          <w:p w14:paraId="5DAFAEA4">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rPr>
              <w:t>投标人</w:t>
            </w:r>
            <w:r>
              <w:rPr>
                <w:rFonts w:hint="eastAsia" w:asciiTheme="minorEastAsia" w:hAnsiTheme="minorEastAsia" w:eastAsiaTheme="minorEastAsia" w:cstheme="minorEastAsia"/>
                <w:sz w:val="21"/>
                <w:szCs w:val="21"/>
                <w:highlight w:val="none"/>
                <w:lang w:val="en-US" w:eastAsia="zh-CN"/>
              </w:rPr>
              <w:t>提供采购包中任意一类食材的溯源材料的得5分，本项最高得5分。</w:t>
            </w:r>
          </w:p>
          <w:p w14:paraId="7E845845">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提供加盖投标人公章的证明资料复印件，证明材料包括但不限于投标人与供货方签订的在有效期内的供货协议(供货期限需包含自开标日计算起一年）、供货方的营业执照、产品检疫检验合格证书等资质材料，未提供或未按要求提供材料的不得分。）</w:t>
            </w:r>
          </w:p>
        </w:tc>
        <w:tc>
          <w:tcPr>
            <w:tcW w:w="575" w:type="dxa"/>
            <w:noWrap w:val="0"/>
            <w:vAlign w:val="center"/>
          </w:tcPr>
          <w:p w14:paraId="3B0FF95F">
            <w:pPr>
              <w:keepNext w:val="0"/>
              <w:keepLines w:val="0"/>
              <w:pageBreakBefore w:val="0"/>
              <w:widowControl w:val="0"/>
              <w:spacing w:before="69" w:line="360" w:lineRule="auto"/>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5</w:t>
            </w:r>
          </w:p>
        </w:tc>
        <w:tc>
          <w:tcPr>
            <w:tcW w:w="789" w:type="dxa"/>
            <w:noWrap w:val="0"/>
            <w:vAlign w:val="center"/>
          </w:tcPr>
          <w:p w14:paraId="47DE4891">
            <w:pPr>
              <w:keepNext w:val="0"/>
              <w:keepLines w:val="0"/>
              <w:pageBreakBefore w:val="0"/>
              <w:widowControl w:val="0"/>
              <w:spacing w:before="68"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客观分</w:t>
            </w:r>
          </w:p>
        </w:tc>
      </w:tr>
      <w:tr w14:paraId="6E610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8" w:hRule="atLeast"/>
          <w:jc w:val="center"/>
        </w:trPr>
        <w:tc>
          <w:tcPr>
            <w:tcW w:w="521" w:type="dxa"/>
            <w:noWrap w:val="0"/>
            <w:vAlign w:val="center"/>
          </w:tcPr>
          <w:p w14:paraId="6B10F6F9">
            <w:pPr>
              <w:keepNext w:val="0"/>
              <w:keepLines w:val="0"/>
              <w:pageBreakBefore w:val="0"/>
              <w:widowControl w:val="0"/>
              <w:spacing w:line="360" w:lineRule="auto"/>
              <w:jc w:val="center"/>
              <w:rPr>
                <w:rFonts w:hint="eastAsia" w:asciiTheme="minorEastAsia" w:hAnsiTheme="minorEastAsia" w:eastAsiaTheme="minorEastAsia" w:cstheme="minorEastAsia"/>
                <w:spacing w:val="-2"/>
                <w:sz w:val="21"/>
                <w:szCs w:val="21"/>
                <w:highlight w:val="none"/>
                <w:lang w:val="en-US" w:eastAsia="zh-CN"/>
              </w:rPr>
            </w:pPr>
            <w:r>
              <w:rPr>
                <w:rFonts w:hint="eastAsia" w:asciiTheme="minorEastAsia" w:hAnsiTheme="minorEastAsia" w:eastAsiaTheme="minorEastAsia" w:cstheme="minorEastAsia"/>
                <w:spacing w:val="-2"/>
                <w:sz w:val="21"/>
                <w:szCs w:val="21"/>
                <w:highlight w:val="none"/>
                <w:lang w:val="en-US" w:eastAsia="zh-CN"/>
              </w:rPr>
              <w:t>6</w:t>
            </w:r>
          </w:p>
        </w:tc>
        <w:tc>
          <w:tcPr>
            <w:tcW w:w="596" w:type="dxa"/>
            <w:noWrap w:val="0"/>
            <w:vAlign w:val="center"/>
          </w:tcPr>
          <w:p w14:paraId="73A665D9">
            <w:pPr>
              <w:keepNext w:val="0"/>
              <w:keepLines w:val="0"/>
              <w:pageBreakBefore w:val="0"/>
              <w:widowControl w:val="0"/>
              <w:spacing w:before="68" w:line="360" w:lineRule="auto"/>
              <w:jc w:val="center"/>
              <w:rPr>
                <w:rFonts w:hint="eastAsia" w:asciiTheme="minorEastAsia" w:hAnsiTheme="minorEastAsia" w:eastAsiaTheme="minorEastAsia" w:cstheme="minorEastAsia"/>
                <w:spacing w:val="-2"/>
                <w:sz w:val="21"/>
                <w:szCs w:val="21"/>
                <w:highlight w:val="none"/>
              </w:rPr>
            </w:pPr>
            <w:r>
              <w:rPr>
                <w:rFonts w:hint="eastAsia" w:asciiTheme="minorEastAsia" w:hAnsiTheme="minorEastAsia" w:eastAsiaTheme="minorEastAsia" w:cstheme="minorEastAsia"/>
                <w:spacing w:val="-2"/>
                <w:sz w:val="21"/>
                <w:szCs w:val="21"/>
                <w:highlight w:val="none"/>
                <w:lang w:val="en-US" w:eastAsia="zh-CN"/>
              </w:rPr>
              <w:t>服务承诺</w:t>
            </w:r>
          </w:p>
        </w:tc>
        <w:tc>
          <w:tcPr>
            <w:tcW w:w="7243" w:type="dxa"/>
            <w:noWrap w:val="0"/>
            <w:vAlign w:val="center"/>
          </w:tcPr>
          <w:p w14:paraId="0B3BEBDC">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投标人承诺在中标后购买</w:t>
            </w:r>
            <w:r>
              <w:rPr>
                <w:rFonts w:hint="eastAsia" w:asciiTheme="minorEastAsia" w:hAnsiTheme="minorEastAsia" w:eastAsiaTheme="minorEastAsia" w:cstheme="minorEastAsia"/>
                <w:sz w:val="21"/>
                <w:szCs w:val="21"/>
                <w:highlight w:val="none"/>
              </w:rPr>
              <w:t>“食品安全责任险”</w:t>
            </w:r>
            <w:r>
              <w:rPr>
                <w:rFonts w:hint="eastAsia" w:asciiTheme="minorEastAsia" w:hAnsiTheme="minorEastAsia" w:eastAsiaTheme="minorEastAsia" w:cstheme="minorEastAsia"/>
                <w:sz w:val="21"/>
                <w:szCs w:val="21"/>
                <w:highlight w:val="none"/>
                <w:lang w:eastAsia="zh-CN"/>
              </w:rPr>
              <w:t>，食品安全责任险的</w:t>
            </w:r>
            <w:r>
              <w:rPr>
                <w:rFonts w:hint="eastAsia" w:asciiTheme="minorEastAsia" w:hAnsiTheme="minorEastAsia" w:eastAsiaTheme="minorEastAsia" w:cstheme="minorEastAsia"/>
                <w:sz w:val="21"/>
                <w:szCs w:val="21"/>
                <w:highlight w:val="none"/>
                <w:lang w:val="en-US" w:eastAsia="zh-CN"/>
              </w:rPr>
              <w:t>保险期限应覆盖项目合同服务期</w:t>
            </w:r>
            <w:r>
              <w:rPr>
                <w:rFonts w:hint="eastAsia" w:asciiTheme="minorEastAsia" w:hAnsiTheme="minorEastAsia" w:eastAsiaTheme="minorEastAsia" w:cstheme="minorEastAsia"/>
                <w:sz w:val="21"/>
                <w:szCs w:val="21"/>
                <w:highlight w:val="none"/>
              </w:rPr>
              <w:t>：</w:t>
            </w:r>
          </w:p>
          <w:p w14:paraId="1B87E389">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保单金额≥</w:t>
            </w:r>
            <w:r>
              <w:rPr>
                <w:rFonts w:hint="eastAsia" w:asciiTheme="minorEastAsia" w:hAnsiTheme="minorEastAsia" w:eastAsiaTheme="minorEastAsia" w:cstheme="minorEastAsia"/>
                <w:sz w:val="21"/>
                <w:szCs w:val="21"/>
                <w:highlight w:val="none"/>
                <w:lang w:val="en-US" w:eastAsia="zh-CN"/>
              </w:rPr>
              <w:t>300</w:t>
            </w:r>
            <w:r>
              <w:rPr>
                <w:rFonts w:hint="eastAsia" w:asciiTheme="minorEastAsia" w:hAnsiTheme="minorEastAsia" w:eastAsiaTheme="minorEastAsia" w:cstheme="minorEastAsia"/>
                <w:sz w:val="21"/>
                <w:szCs w:val="21"/>
                <w:highlight w:val="none"/>
              </w:rPr>
              <w:t>万元得2分</w:t>
            </w:r>
            <w:r>
              <w:rPr>
                <w:rFonts w:hint="eastAsia" w:asciiTheme="minorEastAsia" w:hAnsiTheme="minorEastAsia" w:eastAsiaTheme="minorEastAsia" w:cstheme="minorEastAsia"/>
                <w:sz w:val="21"/>
                <w:szCs w:val="21"/>
                <w:highlight w:val="none"/>
                <w:lang w:eastAsia="zh-CN"/>
              </w:rPr>
              <w:t>；</w:t>
            </w:r>
          </w:p>
          <w:p w14:paraId="09E41B8E">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100万元≤保单金额＜</w:t>
            </w:r>
            <w:r>
              <w:rPr>
                <w:rFonts w:hint="eastAsia" w:asciiTheme="minorEastAsia" w:hAnsiTheme="minorEastAsia" w:eastAsiaTheme="minorEastAsia" w:cstheme="minorEastAsia"/>
                <w:sz w:val="21"/>
                <w:szCs w:val="21"/>
                <w:highlight w:val="none"/>
                <w:lang w:val="en-US" w:eastAsia="zh-CN"/>
              </w:rPr>
              <w:t>300</w:t>
            </w:r>
            <w:r>
              <w:rPr>
                <w:rFonts w:hint="eastAsia" w:asciiTheme="minorEastAsia" w:hAnsiTheme="minorEastAsia" w:eastAsiaTheme="minorEastAsia" w:cstheme="minorEastAsia"/>
                <w:sz w:val="21"/>
                <w:szCs w:val="21"/>
                <w:highlight w:val="none"/>
              </w:rPr>
              <w:t>万元，得1分</w:t>
            </w:r>
            <w:r>
              <w:rPr>
                <w:rFonts w:hint="eastAsia" w:asciiTheme="minorEastAsia" w:hAnsiTheme="minorEastAsia" w:eastAsiaTheme="minorEastAsia" w:cstheme="minorEastAsia"/>
                <w:sz w:val="21"/>
                <w:szCs w:val="21"/>
                <w:highlight w:val="none"/>
                <w:lang w:eastAsia="zh-CN"/>
              </w:rPr>
              <w:t>；</w:t>
            </w:r>
          </w:p>
          <w:p w14:paraId="78227F8C">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保单金额＜100万元，不得分</w:t>
            </w:r>
            <w:r>
              <w:rPr>
                <w:rFonts w:hint="eastAsia" w:asciiTheme="minorEastAsia" w:hAnsiTheme="minorEastAsia" w:eastAsiaTheme="minorEastAsia" w:cstheme="minorEastAsia"/>
                <w:sz w:val="21"/>
                <w:szCs w:val="21"/>
                <w:highlight w:val="none"/>
                <w:lang w:eastAsia="zh-CN"/>
              </w:rPr>
              <w:t>。</w:t>
            </w:r>
          </w:p>
          <w:p w14:paraId="6C2DE36A">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（针对本条所涉评分标准，投标人需作出书面承诺，并提供加盖其公章的承诺书，承诺书格式由投标人自行拟定。若承诺内容不符合规定要求或未按要求作出承诺的，本项评分将不予计分。）</w:t>
            </w:r>
          </w:p>
        </w:tc>
        <w:tc>
          <w:tcPr>
            <w:tcW w:w="575" w:type="dxa"/>
            <w:noWrap w:val="0"/>
            <w:vAlign w:val="center"/>
          </w:tcPr>
          <w:p w14:paraId="4A94EDB2">
            <w:pPr>
              <w:keepNext w:val="0"/>
              <w:keepLines w:val="0"/>
              <w:pageBreakBefore w:val="0"/>
              <w:widowControl w:val="0"/>
              <w:spacing w:before="69" w:line="360" w:lineRule="auto"/>
              <w:jc w:val="center"/>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rPr>
              <w:t>2</w:t>
            </w:r>
          </w:p>
        </w:tc>
        <w:tc>
          <w:tcPr>
            <w:tcW w:w="789" w:type="dxa"/>
            <w:noWrap w:val="0"/>
            <w:vAlign w:val="center"/>
          </w:tcPr>
          <w:p w14:paraId="2673BFA9">
            <w:pPr>
              <w:keepNext w:val="0"/>
              <w:keepLines w:val="0"/>
              <w:pageBreakBefore w:val="0"/>
              <w:widowControl w:val="0"/>
              <w:spacing w:before="68" w:line="360" w:lineRule="auto"/>
              <w:jc w:val="center"/>
              <w:rPr>
                <w:rFonts w:hint="eastAsia" w:asciiTheme="minorEastAsia" w:hAnsiTheme="minorEastAsia" w:eastAsiaTheme="minorEastAsia" w:cstheme="minorEastAsia"/>
                <w:spacing w:val="-6"/>
                <w:sz w:val="21"/>
                <w:szCs w:val="21"/>
                <w:highlight w:val="none"/>
              </w:rPr>
            </w:pPr>
            <w:r>
              <w:rPr>
                <w:rFonts w:hint="eastAsia" w:asciiTheme="minorEastAsia" w:hAnsiTheme="minorEastAsia" w:eastAsiaTheme="minorEastAsia" w:cstheme="minorEastAsia"/>
                <w:spacing w:val="-6"/>
                <w:sz w:val="21"/>
                <w:szCs w:val="21"/>
                <w:highlight w:val="none"/>
                <w:lang w:val="en-US" w:eastAsia="zh-CN"/>
              </w:rPr>
              <w:t>客观分</w:t>
            </w:r>
          </w:p>
        </w:tc>
      </w:tr>
      <w:tr w14:paraId="001A4A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jc w:val="center"/>
        </w:trPr>
        <w:tc>
          <w:tcPr>
            <w:tcW w:w="9724" w:type="dxa"/>
            <w:gridSpan w:val="5"/>
            <w:noWrap w:val="0"/>
            <w:vAlign w:val="center"/>
          </w:tcPr>
          <w:p w14:paraId="1EC12845">
            <w:pPr>
              <w:keepNext w:val="0"/>
              <w:keepLines w:val="0"/>
              <w:pageBreakBefore w:val="0"/>
              <w:widowControl w:val="0"/>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sz w:val="21"/>
                <w:szCs w:val="21"/>
                <w:highlight w:val="none"/>
              </w:rPr>
              <w:t xml:space="preserve">三、技术 </w:t>
            </w:r>
            <w:r>
              <w:rPr>
                <w:rFonts w:hint="eastAsia" w:asciiTheme="minorEastAsia" w:hAnsiTheme="minorEastAsia" w:eastAsiaTheme="minorEastAsia" w:cstheme="minorEastAsia"/>
                <w:b/>
                <w:sz w:val="21"/>
                <w:szCs w:val="21"/>
                <w:highlight w:val="none"/>
                <w:lang w:val="en-US" w:eastAsia="zh-CN"/>
              </w:rPr>
              <w:t>41</w:t>
            </w:r>
            <w:r>
              <w:rPr>
                <w:rFonts w:hint="eastAsia" w:asciiTheme="minorEastAsia" w:hAnsiTheme="minorEastAsia" w:eastAsiaTheme="minorEastAsia" w:cstheme="minorEastAsia"/>
                <w:b/>
                <w:sz w:val="21"/>
                <w:szCs w:val="21"/>
                <w:highlight w:val="none"/>
              </w:rPr>
              <w:t>分</w:t>
            </w:r>
            <w:bookmarkEnd w:id="118"/>
          </w:p>
        </w:tc>
      </w:tr>
      <w:tr w14:paraId="35182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0" w:hRule="atLeast"/>
          <w:jc w:val="center"/>
        </w:trPr>
        <w:tc>
          <w:tcPr>
            <w:tcW w:w="521" w:type="dxa"/>
            <w:noWrap w:val="0"/>
            <w:vAlign w:val="center"/>
          </w:tcPr>
          <w:p w14:paraId="499186AA">
            <w:pPr>
              <w:keepNext w:val="0"/>
              <w:keepLines w:val="0"/>
              <w:pageBreakBefore w:val="0"/>
              <w:widowControl w:val="0"/>
              <w:spacing w:before="68" w:line="360" w:lineRule="auto"/>
              <w:jc w:val="center"/>
              <w:rPr>
                <w:rFonts w:hint="eastAsia" w:asciiTheme="minorEastAsia" w:hAnsiTheme="minorEastAsia" w:eastAsiaTheme="minorEastAsia" w:cstheme="minorEastAsia"/>
                <w:spacing w:val="-2"/>
                <w:sz w:val="21"/>
                <w:szCs w:val="21"/>
                <w:highlight w:val="none"/>
              </w:rPr>
            </w:pPr>
            <w:r>
              <w:rPr>
                <w:rFonts w:hint="eastAsia" w:asciiTheme="minorEastAsia" w:hAnsiTheme="minorEastAsia" w:eastAsiaTheme="minorEastAsia" w:cstheme="minorEastAsia"/>
                <w:spacing w:val="-2"/>
                <w:sz w:val="21"/>
                <w:szCs w:val="21"/>
                <w:highlight w:val="none"/>
              </w:rPr>
              <w:t>1</w:t>
            </w:r>
          </w:p>
        </w:tc>
        <w:tc>
          <w:tcPr>
            <w:tcW w:w="596" w:type="dxa"/>
            <w:noWrap w:val="0"/>
            <w:vAlign w:val="center"/>
          </w:tcPr>
          <w:p w14:paraId="0CBE2F53">
            <w:pPr>
              <w:keepNext w:val="0"/>
              <w:keepLines w:val="0"/>
              <w:pageBreakBefore w:val="0"/>
              <w:widowControl w:val="0"/>
              <w:spacing w:before="69" w:line="360" w:lineRule="auto"/>
              <w:jc w:val="center"/>
              <w:rPr>
                <w:rFonts w:hint="eastAsia" w:asciiTheme="minorEastAsia" w:hAnsiTheme="minorEastAsia" w:eastAsiaTheme="minorEastAsia" w:cstheme="minorEastAsia"/>
                <w:spacing w:val="-1"/>
                <w:sz w:val="21"/>
                <w:szCs w:val="21"/>
                <w:highlight w:val="none"/>
              </w:rPr>
            </w:pPr>
            <w:r>
              <w:rPr>
                <w:rFonts w:hint="eastAsia" w:asciiTheme="minorEastAsia" w:hAnsiTheme="minorEastAsia" w:eastAsiaTheme="minorEastAsia" w:cstheme="minorEastAsia"/>
                <w:spacing w:val="-1"/>
                <w:sz w:val="21"/>
                <w:szCs w:val="21"/>
                <w:highlight w:val="none"/>
              </w:rPr>
              <w:t>配送方案</w:t>
            </w:r>
          </w:p>
        </w:tc>
        <w:tc>
          <w:tcPr>
            <w:tcW w:w="7243" w:type="dxa"/>
            <w:noWrap w:val="0"/>
            <w:vAlign w:val="center"/>
          </w:tcPr>
          <w:p w14:paraId="46233300">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根据投标人提供的配送方案</w:t>
            </w:r>
            <w:r>
              <w:rPr>
                <w:rFonts w:hint="eastAsia" w:asciiTheme="minorEastAsia" w:hAnsiTheme="minorEastAsia" w:eastAsiaTheme="minorEastAsia" w:cstheme="minorEastAsia"/>
                <w:sz w:val="21"/>
                <w:szCs w:val="21"/>
                <w:highlight w:val="none"/>
                <w:lang w:eastAsia="zh-CN"/>
              </w:rPr>
              <w:t>（包括但不限于针对各食堂的配送方案）</w:t>
            </w:r>
            <w:r>
              <w:rPr>
                <w:rFonts w:hint="eastAsia" w:asciiTheme="minorEastAsia" w:hAnsiTheme="minorEastAsia" w:eastAsiaTheme="minorEastAsia" w:cstheme="minorEastAsia"/>
                <w:sz w:val="21"/>
                <w:szCs w:val="21"/>
                <w:highlight w:val="none"/>
              </w:rPr>
              <w:t>进行打分：</w:t>
            </w:r>
          </w:p>
          <w:p w14:paraId="066D035A">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针对采购包中每个食堂都有对应的配送方案，内容涵盖全面，理解准确，针对本项目与采购人实际情况可实施性、针对性强，完全满足采购需求的，得9分；</w:t>
            </w:r>
          </w:p>
          <w:p w14:paraId="342481C8">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针对采购包中每个食堂都有对应的配送方案，但与本项目内容有偏差或内容笼统没有针对性，未考虑多个食堂配送距离的，得6分；</w:t>
            </w:r>
          </w:p>
          <w:p w14:paraId="4AE23A94">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未针对采购包中每个食堂提供配送方案，方案内容具有切实可行性但条理不清晰的，得3分；</w:t>
            </w:r>
          </w:p>
          <w:p w14:paraId="53EC59FD">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未提供方案的不得分。</w:t>
            </w:r>
          </w:p>
        </w:tc>
        <w:tc>
          <w:tcPr>
            <w:tcW w:w="575" w:type="dxa"/>
            <w:noWrap w:val="0"/>
            <w:vAlign w:val="center"/>
          </w:tcPr>
          <w:p w14:paraId="4FAED9D5">
            <w:pPr>
              <w:keepNext w:val="0"/>
              <w:keepLines w:val="0"/>
              <w:pageBreakBefore w:val="0"/>
              <w:widowControl w:val="0"/>
              <w:spacing w:before="68" w:line="360" w:lineRule="auto"/>
              <w:jc w:val="center"/>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rPr>
              <w:t>9</w:t>
            </w:r>
          </w:p>
        </w:tc>
        <w:tc>
          <w:tcPr>
            <w:tcW w:w="789" w:type="dxa"/>
            <w:noWrap w:val="0"/>
            <w:vAlign w:val="center"/>
          </w:tcPr>
          <w:p w14:paraId="486922DA">
            <w:pPr>
              <w:keepNext w:val="0"/>
              <w:keepLines w:val="0"/>
              <w:pageBreakBefore w:val="0"/>
              <w:widowControl w:val="0"/>
              <w:spacing w:before="68" w:line="360" w:lineRule="auto"/>
              <w:jc w:val="center"/>
              <w:rPr>
                <w:rFonts w:hint="eastAsia" w:asciiTheme="minorEastAsia" w:hAnsiTheme="minorEastAsia" w:eastAsiaTheme="minorEastAsia" w:cstheme="minorEastAsia"/>
                <w:spacing w:val="-6"/>
                <w:sz w:val="21"/>
                <w:szCs w:val="21"/>
                <w:highlight w:val="none"/>
              </w:rPr>
            </w:pPr>
            <w:r>
              <w:rPr>
                <w:rFonts w:hint="eastAsia" w:asciiTheme="minorEastAsia" w:hAnsiTheme="minorEastAsia" w:eastAsiaTheme="minorEastAsia" w:cstheme="minorEastAsia"/>
                <w:spacing w:val="-6"/>
                <w:sz w:val="21"/>
                <w:szCs w:val="21"/>
                <w:highlight w:val="none"/>
              </w:rPr>
              <w:t>主观分</w:t>
            </w:r>
          </w:p>
        </w:tc>
      </w:tr>
      <w:tr w14:paraId="23930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0" w:hRule="atLeast"/>
          <w:jc w:val="center"/>
        </w:trPr>
        <w:tc>
          <w:tcPr>
            <w:tcW w:w="521" w:type="dxa"/>
            <w:noWrap w:val="0"/>
            <w:vAlign w:val="center"/>
          </w:tcPr>
          <w:p w14:paraId="2D3AEF08">
            <w:pPr>
              <w:keepNext w:val="0"/>
              <w:keepLines w:val="0"/>
              <w:pageBreakBefore w:val="0"/>
              <w:widowControl w:val="0"/>
              <w:spacing w:before="68" w:line="360" w:lineRule="auto"/>
              <w:jc w:val="center"/>
              <w:rPr>
                <w:rFonts w:hint="eastAsia" w:asciiTheme="minorEastAsia" w:hAnsiTheme="minorEastAsia" w:eastAsiaTheme="minorEastAsia" w:cstheme="minorEastAsia"/>
                <w:spacing w:val="-2"/>
                <w:sz w:val="21"/>
                <w:szCs w:val="21"/>
                <w:highlight w:val="none"/>
                <w:lang w:val="en-US" w:eastAsia="zh-CN"/>
              </w:rPr>
            </w:pPr>
            <w:r>
              <w:rPr>
                <w:rFonts w:hint="eastAsia" w:asciiTheme="minorEastAsia" w:hAnsiTheme="minorEastAsia" w:eastAsiaTheme="minorEastAsia" w:cstheme="minorEastAsia"/>
                <w:spacing w:val="-2"/>
                <w:sz w:val="21"/>
                <w:szCs w:val="21"/>
                <w:highlight w:val="none"/>
                <w:lang w:val="en-US" w:eastAsia="zh-CN"/>
              </w:rPr>
              <w:t>2</w:t>
            </w:r>
          </w:p>
        </w:tc>
        <w:tc>
          <w:tcPr>
            <w:tcW w:w="596" w:type="dxa"/>
            <w:noWrap w:val="0"/>
            <w:vAlign w:val="center"/>
          </w:tcPr>
          <w:p w14:paraId="3DEC507D">
            <w:pPr>
              <w:keepNext w:val="0"/>
              <w:keepLines w:val="0"/>
              <w:pageBreakBefore w:val="0"/>
              <w:widowControl w:val="0"/>
              <w:spacing w:before="69" w:line="360" w:lineRule="auto"/>
              <w:jc w:val="left"/>
              <w:rPr>
                <w:rFonts w:hint="eastAsia" w:asciiTheme="minorEastAsia" w:hAnsiTheme="minorEastAsia" w:eastAsiaTheme="minorEastAsia" w:cstheme="minorEastAsia"/>
                <w:spacing w:val="-1"/>
                <w:sz w:val="21"/>
                <w:szCs w:val="21"/>
                <w:highlight w:val="none"/>
                <w:lang w:val="en-US" w:eastAsia="zh-CN"/>
              </w:rPr>
            </w:pPr>
            <w:r>
              <w:rPr>
                <w:rFonts w:hint="eastAsia" w:asciiTheme="minorEastAsia" w:hAnsiTheme="minorEastAsia" w:eastAsiaTheme="minorEastAsia" w:cstheme="minorEastAsia"/>
                <w:spacing w:val="-1"/>
                <w:sz w:val="21"/>
                <w:szCs w:val="21"/>
                <w:highlight w:val="none"/>
                <w:lang w:val="en-US"/>
              </w:rPr>
              <w:t>响应时间</w:t>
            </w:r>
          </w:p>
        </w:tc>
        <w:tc>
          <w:tcPr>
            <w:tcW w:w="7243" w:type="dxa"/>
            <w:noWrap w:val="0"/>
            <w:vAlign w:val="center"/>
          </w:tcPr>
          <w:p w14:paraId="766743B3">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根据投标人提供的配送方案（包括但不限于各食堂配送到位响应时间）进行打分：</w:t>
            </w:r>
          </w:p>
          <w:p w14:paraId="49AE242E">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针对采购包中每个食堂都有</w:t>
            </w:r>
            <w:r>
              <w:rPr>
                <w:rFonts w:hint="eastAsia" w:asciiTheme="minorEastAsia" w:hAnsiTheme="minorEastAsia" w:eastAsiaTheme="minorEastAsia" w:cstheme="minorEastAsia"/>
                <w:sz w:val="21"/>
                <w:szCs w:val="21"/>
                <w:highlight w:val="none"/>
                <w:lang w:val="en-US" w:eastAsia="zh-CN"/>
              </w:rPr>
              <w:t>清晰准确的预估配送到位响应时间</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eastAsia="zh-CN"/>
              </w:rPr>
              <w:t>响应时间考虑工作日早高峰、节假日人员安排等情况</w:t>
            </w:r>
            <w:r>
              <w:rPr>
                <w:rFonts w:hint="eastAsia" w:asciiTheme="minorEastAsia" w:hAnsiTheme="minorEastAsia" w:eastAsiaTheme="minorEastAsia" w:cstheme="minorEastAsia"/>
                <w:sz w:val="21"/>
                <w:szCs w:val="21"/>
                <w:highlight w:val="none"/>
              </w:rPr>
              <w:t>，配送到位响应时间</w:t>
            </w:r>
            <w:r>
              <w:rPr>
                <w:rFonts w:hint="eastAsia" w:asciiTheme="minorEastAsia" w:hAnsiTheme="minorEastAsia" w:eastAsiaTheme="minorEastAsia" w:cstheme="minorEastAsia"/>
                <w:sz w:val="21"/>
                <w:szCs w:val="21"/>
                <w:highlight w:val="none"/>
                <w:lang w:val="en-US" w:eastAsia="zh-CN"/>
              </w:rPr>
              <w:t>有相关依据，</w:t>
            </w:r>
            <w:r>
              <w:rPr>
                <w:rFonts w:hint="eastAsia" w:asciiTheme="minorEastAsia" w:hAnsiTheme="minorEastAsia" w:eastAsiaTheme="minorEastAsia" w:cstheme="minorEastAsia"/>
                <w:sz w:val="21"/>
                <w:szCs w:val="21"/>
                <w:highlight w:val="none"/>
              </w:rPr>
              <w:t>完全满足采购需求的，得</w:t>
            </w:r>
            <w:r>
              <w:rPr>
                <w:rFonts w:hint="eastAsia" w:asciiTheme="minorEastAsia" w:hAnsiTheme="minorEastAsia" w:eastAsiaTheme="minorEastAsia" w:cstheme="minorEastAsia"/>
                <w:sz w:val="21"/>
                <w:szCs w:val="21"/>
                <w:highlight w:val="none"/>
                <w:lang w:val="en-US" w:eastAsia="zh-CN"/>
              </w:rPr>
              <w:t>9</w:t>
            </w:r>
            <w:r>
              <w:rPr>
                <w:rFonts w:hint="eastAsia" w:asciiTheme="minorEastAsia" w:hAnsiTheme="minorEastAsia" w:eastAsiaTheme="minorEastAsia" w:cstheme="minorEastAsia"/>
                <w:sz w:val="21"/>
                <w:szCs w:val="21"/>
                <w:highlight w:val="none"/>
              </w:rPr>
              <w:t>分；</w:t>
            </w:r>
          </w:p>
          <w:p w14:paraId="51F5A700">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针对采购包中每个食堂都有预估配送到位响应时间，</w:t>
            </w:r>
            <w:r>
              <w:rPr>
                <w:rFonts w:hint="eastAsia" w:asciiTheme="minorEastAsia" w:hAnsiTheme="minorEastAsia" w:eastAsiaTheme="minorEastAsia" w:cstheme="minorEastAsia"/>
                <w:sz w:val="21"/>
                <w:szCs w:val="21"/>
                <w:highlight w:val="none"/>
                <w:lang w:val="en-US" w:eastAsia="zh-CN"/>
              </w:rPr>
              <w:t>但预估时间缺乏相关依据的</w:t>
            </w:r>
            <w:r>
              <w:rPr>
                <w:rFonts w:hint="eastAsia" w:asciiTheme="minorEastAsia" w:hAnsiTheme="minorEastAsia" w:eastAsiaTheme="minorEastAsia" w:cstheme="minorEastAsia"/>
                <w:sz w:val="21"/>
                <w:szCs w:val="21"/>
                <w:highlight w:val="none"/>
              </w:rPr>
              <w:t>，得</w:t>
            </w:r>
            <w:r>
              <w:rPr>
                <w:rFonts w:hint="eastAsia" w:asciiTheme="minorEastAsia" w:hAnsiTheme="minorEastAsia" w:eastAsiaTheme="minorEastAsia" w:cstheme="minorEastAsia"/>
                <w:sz w:val="21"/>
                <w:szCs w:val="21"/>
                <w:highlight w:val="none"/>
                <w:lang w:val="en-US" w:eastAsia="zh-CN"/>
              </w:rPr>
              <w:t>6</w:t>
            </w:r>
            <w:r>
              <w:rPr>
                <w:rFonts w:hint="eastAsia" w:asciiTheme="minorEastAsia" w:hAnsiTheme="minorEastAsia" w:eastAsiaTheme="minorEastAsia" w:cstheme="minorEastAsia"/>
                <w:sz w:val="21"/>
                <w:szCs w:val="21"/>
                <w:highlight w:val="none"/>
              </w:rPr>
              <w:t>分；</w:t>
            </w:r>
          </w:p>
          <w:p w14:paraId="16345624">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未针对采购包中每个食堂提供预估配送到位响应时间，</w:t>
            </w:r>
            <w:r>
              <w:rPr>
                <w:rFonts w:hint="eastAsia" w:asciiTheme="minorEastAsia" w:hAnsiTheme="minorEastAsia" w:eastAsiaTheme="minorEastAsia" w:cstheme="minorEastAsia"/>
                <w:sz w:val="21"/>
                <w:szCs w:val="21"/>
                <w:highlight w:val="none"/>
                <w:lang w:val="en-US" w:eastAsia="zh-CN"/>
              </w:rPr>
              <w:t>预估时间未完全贴合实际情况</w:t>
            </w:r>
            <w:r>
              <w:rPr>
                <w:rFonts w:hint="eastAsia" w:asciiTheme="minorEastAsia" w:hAnsiTheme="minorEastAsia" w:eastAsiaTheme="minorEastAsia" w:cstheme="minorEastAsia"/>
                <w:sz w:val="21"/>
                <w:szCs w:val="21"/>
                <w:highlight w:val="none"/>
              </w:rPr>
              <w:t>的</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rPr>
              <w:t>得</w:t>
            </w:r>
            <w:r>
              <w:rPr>
                <w:rFonts w:hint="eastAsia" w:asciiTheme="minorEastAsia" w:hAnsiTheme="minorEastAsia" w:eastAsiaTheme="minorEastAsia" w:cstheme="minorEastAsia"/>
                <w:sz w:val="21"/>
                <w:szCs w:val="21"/>
                <w:highlight w:val="none"/>
                <w:lang w:val="en-US" w:eastAsia="zh-CN"/>
              </w:rPr>
              <w:t>3</w:t>
            </w:r>
            <w:r>
              <w:rPr>
                <w:rFonts w:hint="eastAsia" w:asciiTheme="minorEastAsia" w:hAnsiTheme="minorEastAsia" w:eastAsiaTheme="minorEastAsia" w:cstheme="minorEastAsia"/>
                <w:sz w:val="21"/>
                <w:szCs w:val="21"/>
                <w:highlight w:val="none"/>
              </w:rPr>
              <w:t>分；</w:t>
            </w:r>
          </w:p>
          <w:p w14:paraId="44FB9783">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未提供方案的不得分。</w:t>
            </w:r>
          </w:p>
        </w:tc>
        <w:tc>
          <w:tcPr>
            <w:tcW w:w="575" w:type="dxa"/>
            <w:noWrap w:val="0"/>
            <w:vAlign w:val="center"/>
          </w:tcPr>
          <w:p w14:paraId="20DF3E6F">
            <w:pPr>
              <w:keepNext w:val="0"/>
              <w:keepLines w:val="0"/>
              <w:pageBreakBefore w:val="0"/>
              <w:widowControl w:val="0"/>
              <w:spacing w:before="68" w:line="360" w:lineRule="auto"/>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9</w:t>
            </w:r>
          </w:p>
        </w:tc>
        <w:tc>
          <w:tcPr>
            <w:tcW w:w="789" w:type="dxa"/>
            <w:noWrap w:val="0"/>
            <w:vAlign w:val="center"/>
          </w:tcPr>
          <w:p w14:paraId="79B91B08">
            <w:pPr>
              <w:keepNext w:val="0"/>
              <w:keepLines w:val="0"/>
              <w:pageBreakBefore w:val="0"/>
              <w:widowControl w:val="0"/>
              <w:spacing w:before="68" w:line="360" w:lineRule="auto"/>
              <w:jc w:val="center"/>
              <w:rPr>
                <w:rFonts w:hint="eastAsia" w:asciiTheme="minorEastAsia" w:hAnsiTheme="minorEastAsia" w:eastAsiaTheme="minorEastAsia" w:cstheme="minorEastAsia"/>
                <w:spacing w:val="-6"/>
                <w:sz w:val="21"/>
                <w:szCs w:val="21"/>
                <w:highlight w:val="none"/>
              </w:rPr>
            </w:pPr>
            <w:r>
              <w:rPr>
                <w:rFonts w:hint="eastAsia" w:asciiTheme="minorEastAsia" w:hAnsiTheme="minorEastAsia" w:eastAsiaTheme="minorEastAsia" w:cstheme="minorEastAsia"/>
                <w:spacing w:val="-6"/>
                <w:sz w:val="21"/>
                <w:szCs w:val="21"/>
                <w:highlight w:val="none"/>
              </w:rPr>
              <w:t>主观分</w:t>
            </w:r>
          </w:p>
        </w:tc>
      </w:tr>
      <w:tr w14:paraId="4BBE8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0" w:hRule="atLeast"/>
          <w:jc w:val="center"/>
        </w:trPr>
        <w:tc>
          <w:tcPr>
            <w:tcW w:w="521" w:type="dxa"/>
            <w:noWrap w:val="0"/>
            <w:vAlign w:val="center"/>
          </w:tcPr>
          <w:p w14:paraId="55D0A5F7">
            <w:pPr>
              <w:keepNext w:val="0"/>
              <w:keepLines w:val="0"/>
              <w:pageBreakBefore w:val="0"/>
              <w:widowControl w:val="0"/>
              <w:spacing w:before="68" w:line="360" w:lineRule="auto"/>
              <w:jc w:val="center"/>
              <w:rPr>
                <w:rFonts w:hint="eastAsia" w:asciiTheme="minorEastAsia" w:hAnsiTheme="minorEastAsia" w:eastAsiaTheme="minorEastAsia" w:cstheme="minorEastAsia"/>
                <w:spacing w:val="-2"/>
                <w:sz w:val="21"/>
                <w:szCs w:val="21"/>
                <w:highlight w:val="none"/>
                <w:lang w:val="en-US" w:eastAsia="zh-CN"/>
              </w:rPr>
            </w:pPr>
            <w:r>
              <w:rPr>
                <w:rFonts w:hint="eastAsia" w:asciiTheme="minorEastAsia" w:hAnsiTheme="minorEastAsia" w:eastAsiaTheme="minorEastAsia" w:cstheme="minorEastAsia"/>
                <w:spacing w:val="-2"/>
                <w:sz w:val="21"/>
                <w:szCs w:val="21"/>
                <w:highlight w:val="none"/>
                <w:lang w:val="en-US" w:eastAsia="zh-CN"/>
              </w:rPr>
              <w:t>3</w:t>
            </w:r>
          </w:p>
        </w:tc>
        <w:tc>
          <w:tcPr>
            <w:tcW w:w="596" w:type="dxa"/>
            <w:noWrap w:val="0"/>
            <w:vAlign w:val="center"/>
          </w:tcPr>
          <w:p w14:paraId="1621D7BF">
            <w:pPr>
              <w:keepNext w:val="0"/>
              <w:keepLines w:val="0"/>
              <w:pageBreakBefore w:val="0"/>
              <w:widowControl w:val="0"/>
              <w:spacing w:before="69" w:line="360" w:lineRule="auto"/>
              <w:jc w:val="center"/>
              <w:rPr>
                <w:rFonts w:hint="eastAsia" w:asciiTheme="minorEastAsia" w:hAnsiTheme="minorEastAsia" w:eastAsiaTheme="minorEastAsia" w:cstheme="minorEastAsia"/>
                <w:spacing w:val="-1"/>
                <w:sz w:val="21"/>
                <w:szCs w:val="21"/>
                <w:highlight w:val="none"/>
              </w:rPr>
            </w:pPr>
            <w:r>
              <w:rPr>
                <w:rFonts w:hint="eastAsia" w:asciiTheme="minorEastAsia" w:hAnsiTheme="minorEastAsia" w:eastAsiaTheme="minorEastAsia" w:cstheme="minorEastAsia"/>
                <w:spacing w:val="-1"/>
                <w:sz w:val="21"/>
                <w:szCs w:val="21"/>
                <w:highlight w:val="none"/>
              </w:rPr>
              <w:t>安全、卫生保障方案</w:t>
            </w:r>
          </w:p>
        </w:tc>
        <w:tc>
          <w:tcPr>
            <w:tcW w:w="7243" w:type="dxa"/>
            <w:noWrap w:val="0"/>
            <w:vAlign w:val="center"/>
          </w:tcPr>
          <w:p w14:paraId="2CA8BDAA">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根据投标人提供的</w:t>
            </w:r>
            <w:r>
              <w:rPr>
                <w:rFonts w:hint="eastAsia" w:asciiTheme="minorEastAsia" w:hAnsiTheme="minorEastAsia" w:eastAsiaTheme="minorEastAsia" w:cstheme="minorEastAsia"/>
                <w:sz w:val="21"/>
                <w:szCs w:val="21"/>
                <w:highlight w:val="none"/>
                <w:lang w:val="en-US" w:eastAsia="zh-CN"/>
              </w:rPr>
              <w:t>配送过程中的</w:t>
            </w:r>
            <w:r>
              <w:rPr>
                <w:rFonts w:hint="eastAsia" w:asciiTheme="minorEastAsia" w:hAnsiTheme="minorEastAsia" w:eastAsiaTheme="minorEastAsia" w:cstheme="minorEastAsia"/>
                <w:sz w:val="21"/>
                <w:szCs w:val="21"/>
                <w:highlight w:val="none"/>
              </w:rPr>
              <w:t>安全、卫生保障方案进行打分：</w:t>
            </w:r>
          </w:p>
          <w:p w14:paraId="4F0389E0">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保障方案完整、思路清晰，</w:t>
            </w:r>
            <w:r>
              <w:rPr>
                <w:rFonts w:hint="eastAsia" w:asciiTheme="minorEastAsia" w:hAnsiTheme="minorEastAsia" w:eastAsiaTheme="minorEastAsia" w:cstheme="minorEastAsia"/>
                <w:sz w:val="21"/>
                <w:szCs w:val="21"/>
                <w:highlight w:val="none"/>
                <w:lang w:val="en-US" w:eastAsia="zh-CN"/>
              </w:rPr>
              <w:t>对参与配送的人员及车辆有完善的关于安全、卫生方面的培训方案及相关制度，送货车辆有清晰的安全保障体系，卫生保障措施</w:t>
            </w:r>
            <w:r>
              <w:rPr>
                <w:rFonts w:hint="eastAsia" w:asciiTheme="minorEastAsia" w:hAnsiTheme="minorEastAsia" w:eastAsiaTheme="minorEastAsia" w:cstheme="minorEastAsia"/>
                <w:sz w:val="21"/>
                <w:szCs w:val="21"/>
                <w:highlight w:val="none"/>
              </w:rPr>
              <w:t>完全满足采购需求的，得</w:t>
            </w:r>
            <w:r>
              <w:rPr>
                <w:rFonts w:hint="eastAsia" w:asciiTheme="minorEastAsia" w:hAnsiTheme="minorEastAsia" w:eastAsiaTheme="minorEastAsia" w:cstheme="minorEastAsia"/>
                <w:sz w:val="21"/>
                <w:szCs w:val="21"/>
                <w:highlight w:val="none"/>
                <w:lang w:val="en-US" w:eastAsia="zh-CN"/>
              </w:rPr>
              <w:t>9</w:t>
            </w:r>
            <w:r>
              <w:rPr>
                <w:rFonts w:hint="eastAsia" w:asciiTheme="minorEastAsia" w:hAnsiTheme="minorEastAsia" w:eastAsiaTheme="minorEastAsia" w:cstheme="minorEastAsia"/>
                <w:sz w:val="21"/>
                <w:szCs w:val="21"/>
                <w:highlight w:val="none"/>
              </w:rPr>
              <w:t>分；</w:t>
            </w:r>
          </w:p>
          <w:p w14:paraId="7DA1DE22">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有完善清晰的车辆安全、人员安全、卫生保障措施</w:t>
            </w:r>
            <w:r>
              <w:rPr>
                <w:rFonts w:hint="eastAsia" w:asciiTheme="minorEastAsia" w:hAnsiTheme="minorEastAsia" w:eastAsiaTheme="minorEastAsia" w:cstheme="minorEastAsia"/>
                <w:sz w:val="21"/>
                <w:szCs w:val="21"/>
                <w:highlight w:val="none"/>
              </w:rPr>
              <w:t>，具有实际可操作性</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能够有效避免安全事故的发生，</w:t>
            </w:r>
            <w:r>
              <w:rPr>
                <w:rFonts w:hint="eastAsia" w:asciiTheme="minorEastAsia" w:hAnsiTheme="minorEastAsia" w:eastAsiaTheme="minorEastAsia" w:cstheme="minorEastAsia"/>
                <w:sz w:val="21"/>
                <w:szCs w:val="21"/>
                <w:highlight w:val="none"/>
              </w:rPr>
              <w:t>得</w:t>
            </w:r>
            <w:r>
              <w:rPr>
                <w:rFonts w:hint="eastAsia" w:asciiTheme="minorEastAsia" w:hAnsiTheme="minorEastAsia" w:eastAsiaTheme="minorEastAsia" w:cstheme="minorEastAsia"/>
                <w:sz w:val="21"/>
                <w:szCs w:val="21"/>
                <w:highlight w:val="none"/>
                <w:lang w:val="en-US" w:eastAsia="zh-CN"/>
              </w:rPr>
              <w:t>6</w:t>
            </w:r>
            <w:r>
              <w:rPr>
                <w:rFonts w:hint="eastAsia" w:asciiTheme="minorEastAsia" w:hAnsiTheme="minorEastAsia" w:eastAsiaTheme="minorEastAsia" w:cstheme="minorEastAsia"/>
                <w:sz w:val="21"/>
                <w:szCs w:val="21"/>
                <w:highlight w:val="none"/>
              </w:rPr>
              <w:t>分；</w:t>
            </w:r>
          </w:p>
          <w:p w14:paraId="74D05163">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eastAsia="zh-CN"/>
              </w:rPr>
              <w:t>保障方案条理不清晰，</w:t>
            </w:r>
            <w:r>
              <w:rPr>
                <w:rFonts w:hint="eastAsia" w:asciiTheme="minorEastAsia" w:hAnsiTheme="minorEastAsia" w:eastAsiaTheme="minorEastAsia" w:cstheme="minorEastAsia"/>
                <w:sz w:val="21"/>
                <w:szCs w:val="21"/>
                <w:highlight w:val="none"/>
                <w:lang w:val="en-US" w:eastAsia="zh-CN"/>
              </w:rPr>
              <w:t>在配送过程中有可行的安全、卫生保障措施，但未完全贴合实际情况，</w:t>
            </w:r>
            <w:r>
              <w:rPr>
                <w:rFonts w:hint="eastAsia" w:asciiTheme="minorEastAsia" w:hAnsiTheme="minorEastAsia" w:eastAsiaTheme="minorEastAsia" w:cstheme="minorEastAsia"/>
                <w:sz w:val="21"/>
                <w:szCs w:val="21"/>
                <w:highlight w:val="none"/>
              </w:rPr>
              <w:t>得</w:t>
            </w:r>
            <w:r>
              <w:rPr>
                <w:rFonts w:hint="eastAsia" w:asciiTheme="minorEastAsia" w:hAnsiTheme="minorEastAsia" w:eastAsiaTheme="minorEastAsia" w:cstheme="minorEastAsia"/>
                <w:sz w:val="21"/>
                <w:szCs w:val="21"/>
                <w:highlight w:val="none"/>
                <w:lang w:val="en-US" w:eastAsia="zh-CN"/>
              </w:rPr>
              <w:t>3</w:t>
            </w:r>
            <w:r>
              <w:rPr>
                <w:rFonts w:hint="eastAsia" w:asciiTheme="minorEastAsia" w:hAnsiTheme="minorEastAsia" w:eastAsiaTheme="minorEastAsia" w:cstheme="minorEastAsia"/>
                <w:sz w:val="21"/>
                <w:szCs w:val="21"/>
                <w:highlight w:val="none"/>
              </w:rPr>
              <w:t>分；</w:t>
            </w:r>
          </w:p>
          <w:p w14:paraId="2A506E09">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未提供方案的不得分。</w:t>
            </w:r>
          </w:p>
        </w:tc>
        <w:tc>
          <w:tcPr>
            <w:tcW w:w="575" w:type="dxa"/>
            <w:noWrap w:val="0"/>
            <w:vAlign w:val="center"/>
          </w:tcPr>
          <w:p w14:paraId="44F0E472">
            <w:pPr>
              <w:keepNext w:val="0"/>
              <w:keepLines w:val="0"/>
              <w:pageBreakBefore w:val="0"/>
              <w:widowControl w:val="0"/>
              <w:spacing w:before="68" w:line="360" w:lineRule="auto"/>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9</w:t>
            </w:r>
          </w:p>
        </w:tc>
        <w:tc>
          <w:tcPr>
            <w:tcW w:w="789" w:type="dxa"/>
            <w:noWrap w:val="0"/>
            <w:vAlign w:val="center"/>
          </w:tcPr>
          <w:p w14:paraId="7D6F5C5B">
            <w:pPr>
              <w:keepNext w:val="0"/>
              <w:keepLines w:val="0"/>
              <w:pageBreakBefore w:val="0"/>
              <w:widowControl w:val="0"/>
              <w:spacing w:before="68" w:line="360" w:lineRule="auto"/>
              <w:jc w:val="center"/>
              <w:rPr>
                <w:rFonts w:hint="eastAsia" w:asciiTheme="minorEastAsia" w:hAnsiTheme="minorEastAsia" w:eastAsiaTheme="minorEastAsia" w:cstheme="minorEastAsia"/>
                <w:spacing w:val="-6"/>
                <w:sz w:val="21"/>
                <w:szCs w:val="21"/>
                <w:highlight w:val="none"/>
              </w:rPr>
            </w:pPr>
            <w:r>
              <w:rPr>
                <w:rFonts w:hint="eastAsia" w:asciiTheme="minorEastAsia" w:hAnsiTheme="minorEastAsia" w:eastAsiaTheme="minorEastAsia" w:cstheme="minorEastAsia"/>
                <w:spacing w:val="-6"/>
                <w:sz w:val="21"/>
                <w:szCs w:val="21"/>
                <w:highlight w:val="none"/>
              </w:rPr>
              <w:t>主观分</w:t>
            </w:r>
          </w:p>
        </w:tc>
      </w:tr>
      <w:tr w14:paraId="58099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0" w:hRule="atLeast"/>
          <w:jc w:val="center"/>
        </w:trPr>
        <w:tc>
          <w:tcPr>
            <w:tcW w:w="521" w:type="dxa"/>
            <w:noWrap w:val="0"/>
            <w:vAlign w:val="center"/>
          </w:tcPr>
          <w:p w14:paraId="45EC1B29">
            <w:pPr>
              <w:keepNext w:val="0"/>
              <w:keepLines w:val="0"/>
              <w:pageBreakBefore w:val="0"/>
              <w:widowControl w:val="0"/>
              <w:spacing w:before="68" w:line="360" w:lineRule="auto"/>
              <w:jc w:val="center"/>
              <w:rPr>
                <w:rFonts w:hint="eastAsia" w:asciiTheme="minorEastAsia" w:hAnsiTheme="minorEastAsia" w:eastAsiaTheme="minorEastAsia" w:cstheme="minorEastAsia"/>
                <w:spacing w:val="-2"/>
                <w:sz w:val="21"/>
                <w:szCs w:val="21"/>
                <w:highlight w:val="none"/>
                <w:lang w:eastAsia="zh-CN"/>
              </w:rPr>
            </w:pPr>
            <w:r>
              <w:rPr>
                <w:rFonts w:hint="eastAsia" w:asciiTheme="minorEastAsia" w:hAnsiTheme="minorEastAsia" w:eastAsiaTheme="minorEastAsia" w:cstheme="minorEastAsia"/>
                <w:spacing w:val="-2"/>
                <w:sz w:val="21"/>
                <w:szCs w:val="21"/>
                <w:highlight w:val="none"/>
                <w:lang w:val="en-US" w:eastAsia="zh-CN"/>
              </w:rPr>
              <w:t>4</w:t>
            </w:r>
          </w:p>
        </w:tc>
        <w:tc>
          <w:tcPr>
            <w:tcW w:w="596" w:type="dxa"/>
            <w:noWrap w:val="0"/>
            <w:vAlign w:val="center"/>
          </w:tcPr>
          <w:p w14:paraId="18F87577">
            <w:pPr>
              <w:keepNext w:val="0"/>
              <w:keepLines w:val="0"/>
              <w:pageBreakBefore w:val="0"/>
              <w:widowControl w:val="0"/>
              <w:spacing w:before="69" w:line="360" w:lineRule="auto"/>
              <w:jc w:val="center"/>
              <w:rPr>
                <w:rFonts w:hint="eastAsia" w:asciiTheme="minorEastAsia" w:hAnsiTheme="minorEastAsia" w:eastAsiaTheme="minorEastAsia" w:cstheme="minorEastAsia"/>
                <w:spacing w:val="-1"/>
                <w:sz w:val="21"/>
                <w:szCs w:val="21"/>
                <w:highlight w:val="none"/>
              </w:rPr>
            </w:pPr>
            <w:r>
              <w:rPr>
                <w:rFonts w:hint="eastAsia" w:asciiTheme="minorEastAsia" w:hAnsiTheme="minorEastAsia" w:eastAsiaTheme="minorEastAsia" w:cstheme="minorEastAsia"/>
                <w:spacing w:val="-1"/>
                <w:sz w:val="21"/>
                <w:szCs w:val="21"/>
                <w:highlight w:val="none"/>
              </w:rPr>
              <w:t>质量管理方案</w:t>
            </w:r>
          </w:p>
        </w:tc>
        <w:tc>
          <w:tcPr>
            <w:tcW w:w="7243" w:type="dxa"/>
            <w:noWrap w:val="0"/>
            <w:vAlign w:val="center"/>
          </w:tcPr>
          <w:p w14:paraId="0EFF56F0">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根据投标人提供的质量管理方案（包括但不限于采购、运输、保存过程中保障食材质量的相关制度措施）进行打分：</w:t>
            </w:r>
          </w:p>
          <w:p w14:paraId="14945A3D">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rPr>
              <w:t>质量管理方案完整、思路清晰，</w:t>
            </w:r>
            <w:r>
              <w:rPr>
                <w:rFonts w:hint="eastAsia" w:asciiTheme="minorEastAsia" w:hAnsiTheme="minorEastAsia" w:eastAsiaTheme="minorEastAsia" w:cstheme="minorEastAsia"/>
                <w:sz w:val="21"/>
                <w:szCs w:val="21"/>
                <w:highlight w:val="none"/>
                <w:lang w:val="en-US" w:eastAsia="zh-CN"/>
              </w:rPr>
              <w:t>在各项过程中均有完善清晰的管理制度及措施，食材质量的溯源机制清晰，完全满足采购需求的，</w:t>
            </w:r>
            <w:r>
              <w:rPr>
                <w:rFonts w:hint="eastAsia" w:asciiTheme="minorEastAsia" w:hAnsiTheme="minorEastAsia" w:eastAsiaTheme="minorEastAsia" w:cstheme="minorEastAsia"/>
                <w:sz w:val="21"/>
                <w:szCs w:val="21"/>
                <w:highlight w:val="none"/>
              </w:rPr>
              <w:t>得</w:t>
            </w:r>
            <w:r>
              <w:rPr>
                <w:rFonts w:hint="eastAsia" w:asciiTheme="minorEastAsia" w:hAnsiTheme="minorEastAsia" w:eastAsiaTheme="minorEastAsia" w:cstheme="minorEastAsia"/>
                <w:sz w:val="21"/>
                <w:szCs w:val="21"/>
                <w:highlight w:val="none"/>
                <w:lang w:val="en-US" w:eastAsia="zh-CN"/>
              </w:rPr>
              <w:t>9</w:t>
            </w:r>
            <w:r>
              <w:rPr>
                <w:rFonts w:hint="eastAsia" w:asciiTheme="minorEastAsia" w:hAnsiTheme="minorEastAsia" w:eastAsiaTheme="minorEastAsia" w:cstheme="minorEastAsia"/>
                <w:sz w:val="21"/>
                <w:szCs w:val="21"/>
                <w:highlight w:val="none"/>
              </w:rPr>
              <w:t>分；</w:t>
            </w:r>
          </w:p>
          <w:p w14:paraId="72909394">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质量管理方案合理</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rPr>
              <w:t>具</w:t>
            </w:r>
            <w:r>
              <w:rPr>
                <w:rFonts w:hint="eastAsia" w:asciiTheme="minorEastAsia" w:hAnsiTheme="minorEastAsia" w:eastAsiaTheme="minorEastAsia" w:cstheme="minorEastAsia"/>
                <w:sz w:val="21"/>
                <w:szCs w:val="21"/>
                <w:highlight w:val="none"/>
                <w:lang w:val="en-US" w:eastAsia="zh-CN"/>
              </w:rPr>
              <w:t>有实际</w:t>
            </w:r>
            <w:r>
              <w:rPr>
                <w:rFonts w:hint="eastAsia" w:asciiTheme="minorEastAsia" w:hAnsiTheme="minorEastAsia" w:eastAsiaTheme="minorEastAsia" w:cstheme="minorEastAsia"/>
                <w:sz w:val="21"/>
                <w:szCs w:val="21"/>
                <w:highlight w:val="none"/>
              </w:rPr>
              <w:t>可行性及针对性，</w:t>
            </w:r>
            <w:r>
              <w:rPr>
                <w:rFonts w:hint="eastAsia" w:asciiTheme="minorEastAsia" w:hAnsiTheme="minorEastAsia" w:eastAsiaTheme="minorEastAsia" w:cstheme="minorEastAsia"/>
                <w:sz w:val="21"/>
                <w:szCs w:val="21"/>
                <w:highlight w:val="none"/>
                <w:lang w:val="en-US" w:eastAsia="zh-CN"/>
              </w:rPr>
              <w:t>有完善的</w:t>
            </w:r>
            <w:r>
              <w:rPr>
                <w:rFonts w:hint="eastAsia" w:asciiTheme="minorEastAsia" w:hAnsiTheme="minorEastAsia" w:eastAsiaTheme="minorEastAsia" w:cstheme="minorEastAsia"/>
                <w:sz w:val="21"/>
                <w:szCs w:val="21"/>
                <w:highlight w:val="none"/>
              </w:rPr>
              <w:t>食材质量的溯源机制</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rPr>
              <w:t>能够有效避免</w:t>
            </w:r>
            <w:r>
              <w:rPr>
                <w:rFonts w:hint="eastAsia" w:asciiTheme="minorEastAsia" w:hAnsiTheme="minorEastAsia" w:eastAsiaTheme="minorEastAsia" w:cstheme="minorEastAsia"/>
                <w:sz w:val="21"/>
                <w:szCs w:val="21"/>
                <w:highlight w:val="none"/>
                <w:lang w:val="en-US" w:eastAsia="zh-CN"/>
              </w:rPr>
              <w:t>食品</w:t>
            </w:r>
            <w:r>
              <w:rPr>
                <w:rFonts w:hint="eastAsia" w:asciiTheme="minorEastAsia" w:hAnsiTheme="minorEastAsia" w:eastAsiaTheme="minorEastAsia" w:cstheme="minorEastAsia"/>
                <w:sz w:val="21"/>
                <w:szCs w:val="21"/>
                <w:highlight w:val="none"/>
              </w:rPr>
              <w:t>安全事故的发生，得</w:t>
            </w:r>
            <w:r>
              <w:rPr>
                <w:rFonts w:hint="eastAsia" w:asciiTheme="minorEastAsia" w:hAnsiTheme="minorEastAsia" w:eastAsiaTheme="minorEastAsia" w:cstheme="minorEastAsia"/>
                <w:sz w:val="21"/>
                <w:szCs w:val="21"/>
                <w:highlight w:val="none"/>
                <w:lang w:val="en-US" w:eastAsia="zh-CN"/>
              </w:rPr>
              <w:t>6</w:t>
            </w:r>
            <w:r>
              <w:rPr>
                <w:rFonts w:hint="eastAsia" w:asciiTheme="minorEastAsia" w:hAnsiTheme="minorEastAsia" w:eastAsiaTheme="minorEastAsia" w:cstheme="minorEastAsia"/>
                <w:sz w:val="21"/>
                <w:szCs w:val="21"/>
                <w:highlight w:val="none"/>
              </w:rPr>
              <w:t>分；</w:t>
            </w:r>
          </w:p>
          <w:p w14:paraId="7B7AD677">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质量管理方案条理不清晰</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有切实可行的保障措施，但内容笼统没有针对性</w:t>
            </w:r>
            <w:r>
              <w:rPr>
                <w:rFonts w:hint="eastAsia" w:asciiTheme="minorEastAsia" w:hAnsiTheme="minorEastAsia" w:eastAsiaTheme="minorEastAsia" w:cstheme="minorEastAsia"/>
                <w:sz w:val="21"/>
                <w:szCs w:val="21"/>
                <w:highlight w:val="none"/>
              </w:rPr>
              <w:t>，得</w:t>
            </w:r>
            <w:r>
              <w:rPr>
                <w:rFonts w:hint="eastAsia" w:asciiTheme="minorEastAsia" w:hAnsiTheme="minorEastAsia" w:eastAsiaTheme="minorEastAsia" w:cstheme="minorEastAsia"/>
                <w:sz w:val="21"/>
                <w:szCs w:val="21"/>
                <w:highlight w:val="none"/>
                <w:lang w:val="en-US" w:eastAsia="zh-CN"/>
              </w:rPr>
              <w:t>3</w:t>
            </w:r>
            <w:r>
              <w:rPr>
                <w:rFonts w:hint="eastAsia" w:asciiTheme="minorEastAsia" w:hAnsiTheme="minorEastAsia" w:eastAsiaTheme="minorEastAsia" w:cstheme="minorEastAsia"/>
                <w:sz w:val="21"/>
                <w:szCs w:val="21"/>
                <w:highlight w:val="none"/>
              </w:rPr>
              <w:t>分；</w:t>
            </w:r>
          </w:p>
          <w:p w14:paraId="18BA6F67">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未提供方案的不得分。</w:t>
            </w:r>
          </w:p>
        </w:tc>
        <w:tc>
          <w:tcPr>
            <w:tcW w:w="575" w:type="dxa"/>
            <w:noWrap w:val="0"/>
            <w:vAlign w:val="center"/>
          </w:tcPr>
          <w:p w14:paraId="01BBB3B3">
            <w:pPr>
              <w:keepNext w:val="0"/>
              <w:keepLines w:val="0"/>
              <w:pageBreakBefore w:val="0"/>
              <w:widowControl w:val="0"/>
              <w:spacing w:before="68" w:line="360" w:lineRule="auto"/>
              <w:jc w:val="center"/>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rPr>
              <w:t>9</w:t>
            </w:r>
          </w:p>
        </w:tc>
        <w:tc>
          <w:tcPr>
            <w:tcW w:w="789" w:type="dxa"/>
            <w:noWrap w:val="0"/>
            <w:vAlign w:val="center"/>
          </w:tcPr>
          <w:p w14:paraId="46685E08">
            <w:pPr>
              <w:keepNext w:val="0"/>
              <w:keepLines w:val="0"/>
              <w:pageBreakBefore w:val="0"/>
              <w:widowControl w:val="0"/>
              <w:spacing w:before="68" w:line="360" w:lineRule="auto"/>
              <w:jc w:val="center"/>
              <w:rPr>
                <w:rFonts w:hint="eastAsia" w:asciiTheme="minorEastAsia" w:hAnsiTheme="minorEastAsia" w:eastAsiaTheme="minorEastAsia" w:cstheme="minorEastAsia"/>
                <w:spacing w:val="-6"/>
                <w:sz w:val="21"/>
                <w:szCs w:val="21"/>
                <w:highlight w:val="none"/>
              </w:rPr>
            </w:pPr>
            <w:r>
              <w:rPr>
                <w:rFonts w:hint="eastAsia" w:asciiTheme="minorEastAsia" w:hAnsiTheme="minorEastAsia" w:eastAsiaTheme="minorEastAsia" w:cstheme="minorEastAsia"/>
                <w:sz w:val="21"/>
                <w:szCs w:val="21"/>
                <w:highlight w:val="none"/>
              </w:rPr>
              <w:t>主观分</w:t>
            </w:r>
          </w:p>
        </w:tc>
      </w:tr>
      <w:tr w14:paraId="6FBAB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0" w:hRule="atLeast"/>
          <w:jc w:val="center"/>
        </w:trPr>
        <w:tc>
          <w:tcPr>
            <w:tcW w:w="521" w:type="dxa"/>
            <w:noWrap w:val="0"/>
            <w:vAlign w:val="center"/>
          </w:tcPr>
          <w:p w14:paraId="4F708F41">
            <w:pPr>
              <w:keepNext w:val="0"/>
              <w:keepLines w:val="0"/>
              <w:pageBreakBefore w:val="0"/>
              <w:widowControl w:val="0"/>
              <w:spacing w:before="68" w:line="360" w:lineRule="auto"/>
              <w:jc w:val="center"/>
              <w:rPr>
                <w:rFonts w:hint="eastAsia" w:asciiTheme="minorEastAsia" w:hAnsiTheme="minorEastAsia" w:eastAsiaTheme="minorEastAsia" w:cstheme="minorEastAsia"/>
                <w:spacing w:val="-2"/>
                <w:sz w:val="21"/>
                <w:szCs w:val="21"/>
                <w:highlight w:val="none"/>
                <w:lang w:val="en-US" w:eastAsia="zh-CN"/>
              </w:rPr>
            </w:pPr>
            <w:r>
              <w:rPr>
                <w:rFonts w:hint="eastAsia" w:asciiTheme="minorEastAsia" w:hAnsiTheme="minorEastAsia" w:eastAsiaTheme="minorEastAsia" w:cstheme="minorEastAsia"/>
                <w:spacing w:val="-2"/>
                <w:sz w:val="21"/>
                <w:szCs w:val="21"/>
                <w:highlight w:val="none"/>
                <w:lang w:val="en-US" w:eastAsia="zh-CN"/>
              </w:rPr>
              <w:t>5</w:t>
            </w:r>
          </w:p>
        </w:tc>
        <w:tc>
          <w:tcPr>
            <w:tcW w:w="596" w:type="dxa"/>
            <w:noWrap w:val="0"/>
            <w:vAlign w:val="center"/>
          </w:tcPr>
          <w:p w14:paraId="36109858">
            <w:pPr>
              <w:keepNext w:val="0"/>
              <w:keepLines w:val="0"/>
              <w:pageBreakBefore w:val="0"/>
              <w:widowControl w:val="0"/>
              <w:spacing w:before="69" w:line="360" w:lineRule="auto"/>
              <w:jc w:val="center"/>
              <w:rPr>
                <w:rFonts w:hint="eastAsia" w:asciiTheme="minorEastAsia" w:hAnsiTheme="minorEastAsia" w:eastAsiaTheme="minorEastAsia" w:cstheme="minorEastAsia"/>
                <w:spacing w:val="-1"/>
                <w:sz w:val="21"/>
                <w:szCs w:val="21"/>
                <w:highlight w:val="none"/>
                <w:lang w:eastAsia="zh-CN"/>
              </w:rPr>
            </w:pPr>
            <w:r>
              <w:rPr>
                <w:rFonts w:hint="eastAsia" w:asciiTheme="minorEastAsia" w:hAnsiTheme="minorEastAsia" w:eastAsiaTheme="minorEastAsia" w:cstheme="minorEastAsia"/>
                <w:spacing w:val="-1"/>
                <w:sz w:val="21"/>
                <w:szCs w:val="21"/>
                <w:highlight w:val="none"/>
              </w:rPr>
              <w:t>应急</w:t>
            </w:r>
            <w:r>
              <w:rPr>
                <w:rFonts w:hint="eastAsia" w:asciiTheme="minorEastAsia" w:hAnsiTheme="minorEastAsia" w:eastAsiaTheme="minorEastAsia" w:cstheme="minorEastAsia"/>
                <w:spacing w:val="-1"/>
                <w:sz w:val="21"/>
                <w:szCs w:val="21"/>
                <w:highlight w:val="none"/>
                <w:lang w:val="en-US" w:eastAsia="zh-CN"/>
              </w:rPr>
              <w:t>方案</w:t>
            </w:r>
          </w:p>
        </w:tc>
        <w:tc>
          <w:tcPr>
            <w:tcW w:w="7243" w:type="dxa"/>
            <w:noWrap w:val="0"/>
            <w:vAlign w:val="center"/>
          </w:tcPr>
          <w:p w14:paraId="43DA5808">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投标人须有能力应对突发事件应急预案，包括但不仅限于针对类似市场断货供应保障措施、节假日或非工作时间配送的方案、采购人临时加货要求的配送方案等，根据应答情况评审打分。</w:t>
            </w:r>
          </w:p>
          <w:p w14:paraId="337D0EDF">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方案内容完整、科学合理、切实可行的，得</w:t>
            </w: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分；</w:t>
            </w:r>
          </w:p>
          <w:p w14:paraId="35E36964">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方案科学合理、切实可行、但内容不完整有欠缺的，得</w:t>
            </w:r>
            <w:r>
              <w:rPr>
                <w:rFonts w:hint="eastAsia" w:asciiTheme="minorEastAsia" w:hAnsiTheme="minorEastAsia" w:eastAsiaTheme="minorEastAsia" w:cstheme="minorEastAsia"/>
                <w:sz w:val="21"/>
                <w:szCs w:val="21"/>
                <w:highlight w:val="none"/>
                <w:lang w:val="en-US" w:eastAsia="zh-CN"/>
              </w:rPr>
              <w:t>2</w:t>
            </w:r>
            <w:r>
              <w:rPr>
                <w:rFonts w:hint="eastAsia" w:asciiTheme="minorEastAsia" w:hAnsiTheme="minorEastAsia" w:eastAsiaTheme="minorEastAsia" w:cstheme="minorEastAsia"/>
                <w:sz w:val="21"/>
                <w:szCs w:val="21"/>
                <w:highlight w:val="none"/>
              </w:rPr>
              <w:t>分；</w:t>
            </w:r>
          </w:p>
          <w:p w14:paraId="36CEED5D">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方案内容不完整、方案科学合理及可行性欠缺的，得</w:t>
            </w:r>
            <w:r>
              <w:rPr>
                <w:rFonts w:hint="eastAsia" w:asciiTheme="minorEastAsia" w:hAnsiTheme="minorEastAsia" w:eastAsiaTheme="minorEastAsia" w:cstheme="minorEastAsia"/>
                <w:sz w:val="21"/>
                <w:szCs w:val="21"/>
                <w:highlight w:val="none"/>
                <w:lang w:val="en-US" w:eastAsia="zh-CN"/>
              </w:rPr>
              <w:t>1</w:t>
            </w:r>
            <w:r>
              <w:rPr>
                <w:rFonts w:hint="eastAsia" w:asciiTheme="minorEastAsia" w:hAnsiTheme="minorEastAsia" w:eastAsiaTheme="minorEastAsia" w:cstheme="minorEastAsia"/>
                <w:sz w:val="21"/>
                <w:szCs w:val="21"/>
                <w:highlight w:val="none"/>
              </w:rPr>
              <w:t>分；</w:t>
            </w:r>
          </w:p>
          <w:p w14:paraId="7E5D0D34">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未提供服务方案的不得分。</w:t>
            </w:r>
          </w:p>
        </w:tc>
        <w:tc>
          <w:tcPr>
            <w:tcW w:w="575" w:type="dxa"/>
            <w:noWrap w:val="0"/>
            <w:vAlign w:val="center"/>
          </w:tcPr>
          <w:p w14:paraId="1980908A">
            <w:pPr>
              <w:keepNext w:val="0"/>
              <w:keepLines w:val="0"/>
              <w:pageBreakBefore w:val="0"/>
              <w:widowControl w:val="0"/>
              <w:spacing w:before="68"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5</w:t>
            </w:r>
          </w:p>
        </w:tc>
        <w:tc>
          <w:tcPr>
            <w:tcW w:w="789" w:type="dxa"/>
            <w:noWrap w:val="0"/>
            <w:vAlign w:val="center"/>
          </w:tcPr>
          <w:p w14:paraId="2C7B960A">
            <w:pPr>
              <w:keepNext w:val="0"/>
              <w:keepLines w:val="0"/>
              <w:pageBreakBefore w:val="0"/>
              <w:widowControl w:val="0"/>
              <w:spacing w:before="68"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主观分</w:t>
            </w:r>
          </w:p>
        </w:tc>
      </w:tr>
    </w:tbl>
    <w:p w14:paraId="60B6AF7B">
      <w:pPr>
        <w:pStyle w:val="87"/>
        <w:rPr>
          <w:color w:val="auto"/>
          <w:sz w:val="22"/>
          <w:highlight w:val="none"/>
        </w:rPr>
      </w:pPr>
    </w:p>
    <w:p w14:paraId="0F26187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特别说明：本项目实施兼投不兼中原则。投标人可同时参与多个采购包的投标，为保障整体项目按期保质完成，同一投标单位仅允许中标其中一个采购包。四个采购包的评标顺序依次为：包1、包2、包3、包4。按照此评标顺序，若投标单位被推荐为某一采购包的第一中标候选人，则在后续采购包的评标过程中，不再被推选为中标候选人，但其有效报价仍参与后续采购包评标基准价的计算。</w:t>
      </w:r>
    </w:p>
    <w:p w14:paraId="56E299AD">
      <w:pPr>
        <w:pStyle w:val="87"/>
        <w:rPr>
          <w:color w:val="auto"/>
          <w:sz w:val="22"/>
          <w:highlight w:val="none"/>
        </w:rPr>
      </w:pPr>
    </w:p>
    <w:p w14:paraId="105AA106">
      <w:pPr>
        <w:pStyle w:val="87"/>
        <w:rPr>
          <w:color w:val="auto"/>
          <w:sz w:val="22"/>
          <w:highlight w:val="none"/>
        </w:rPr>
      </w:pPr>
    </w:p>
    <w:p w14:paraId="2D81DF54">
      <w:pPr>
        <w:pStyle w:val="87"/>
        <w:rPr>
          <w:color w:val="auto"/>
          <w:sz w:val="22"/>
          <w:highlight w:val="none"/>
        </w:rPr>
      </w:pPr>
    </w:p>
    <w:p w14:paraId="3A3D8DB3">
      <w:pPr>
        <w:pStyle w:val="87"/>
        <w:rPr>
          <w:color w:val="auto"/>
          <w:sz w:val="22"/>
          <w:highlight w:val="none"/>
        </w:rPr>
      </w:pPr>
    </w:p>
    <w:p w14:paraId="29AEF79D">
      <w:pPr>
        <w:pStyle w:val="87"/>
        <w:rPr>
          <w:color w:val="auto"/>
          <w:sz w:val="22"/>
          <w:highlight w:val="none"/>
        </w:rPr>
      </w:pPr>
    </w:p>
    <w:p w14:paraId="480C63D8">
      <w:pPr>
        <w:pStyle w:val="87"/>
        <w:rPr>
          <w:color w:val="auto"/>
          <w:sz w:val="22"/>
          <w:highlight w:val="none"/>
        </w:rPr>
      </w:pPr>
    </w:p>
    <w:p w14:paraId="387FA32A">
      <w:pPr>
        <w:pStyle w:val="87"/>
        <w:rPr>
          <w:color w:val="auto"/>
          <w:sz w:val="22"/>
          <w:highlight w:val="none"/>
        </w:rPr>
      </w:pPr>
    </w:p>
    <w:p w14:paraId="5A7BD357">
      <w:pPr>
        <w:pStyle w:val="87"/>
        <w:rPr>
          <w:color w:val="auto"/>
          <w:sz w:val="22"/>
          <w:highlight w:val="none"/>
        </w:rPr>
      </w:pPr>
    </w:p>
    <w:p w14:paraId="6C394881">
      <w:pPr>
        <w:pStyle w:val="87"/>
        <w:rPr>
          <w:color w:val="auto"/>
          <w:sz w:val="22"/>
          <w:highlight w:val="none"/>
        </w:rPr>
      </w:pPr>
    </w:p>
    <w:p w14:paraId="27F6A8E6">
      <w:pPr>
        <w:pStyle w:val="87"/>
        <w:rPr>
          <w:color w:val="auto"/>
          <w:sz w:val="22"/>
          <w:highlight w:val="none"/>
        </w:rPr>
      </w:pPr>
    </w:p>
    <w:p w14:paraId="1F863B65">
      <w:pPr>
        <w:pStyle w:val="87"/>
        <w:rPr>
          <w:color w:val="auto"/>
          <w:sz w:val="22"/>
          <w:highlight w:val="none"/>
        </w:rPr>
      </w:pPr>
    </w:p>
    <w:p w14:paraId="583393E5">
      <w:pPr>
        <w:pStyle w:val="87"/>
        <w:rPr>
          <w:color w:val="auto"/>
          <w:sz w:val="22"/>
          <w:highlight w:val="none"/>
        </w:rPr>
      </w:pPr>
    </w:p>
    <w:p w14:paraId="0FDA0E98">
      <w:pPr>
        <w:pStyle w:val="87"/>
        <w:rPr>
          <w:color w:val="auto"/>
          <w:sz w:val="22"/>
          <w:highlight w:val="none"/>
        </w:rPr>
      </w:pPr>
    </w:p>
    <w:p w14:paraId="6F5DFA2E">
      <w:pPr>
        <w:pStyle w:val="87"/>
        <w:rPr>
          <w:color w:val="auto"/>
          <w:sz w:val="22"/>
          <w:highlight w:val="none"/>
        </w:rPr>
      </w:pPr>
    </w:p>
    <w:p w14:paraId="265F579A">
      <w:pPr>
        <w:pStyle w:val="87"/>
        <w:rPr>
          <w:color w:val="auto"/>
          <w:sz w:val="22"/>
          <w:highlight w:val="none"/>
        </w:rPr>
      </w:pPr>
    </w:p>
    <w:p w14:paraId="2A57645E">
      <w:pPr>
        <w:pStyle w:val="87"/>
        <w:rPr>
          <w:color w:val="auto"/>
          <w:sz w:val="22"/>
          <w:highlight w:val="none"/>
        </w:rPr>
      </w:pPr>
    </w:p>
    <w:bookmarkEnd w:id="115"/>
    <w:p w14:paraId="0E0E1AF0">
      <w:pPr>
        <w:rPr>
          <w:rFonts w:hint="eastAsia" w:ascii="宋体" w:hAnsi="宋体" w:eastAsia="宋体" w:cs="宋体"/>
          <w:b/>
          <w:color w:val="000000"/>
          <w:sz w:val="32"/>
          <w:szCs w:val="32"/>
          <w:highlight w:val="none"/>
        </w:rPr>
      </w:pPr>
    </w:p>
    <w:p w14:paraId="2ED38113">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r>
    </w:p>
    <w:p w14:paraId="21A86137">
      <w:pPr>
        <w:numPr>
          <w:ilvl w:val="0"/>
          <w:numId w:val="0"/>
        </w:numPr>
        <w:spacing w:line="360" w:lineRule="auto"/>
        <w:jc w:val="center"/>
        <w:rPr>
          <w:rFonts w:hint="eastAsia" w:ascii="黑体" w:hAnsi="黑体" w:eastAsia="黑体" w:cs="黑体"/>
          <w:b/>
          <w:color w:val="auto"/>
          <w:sz w:val="32"/>
          <w:szCs w:val="32"/>
          <w:highlight w:val="none"/>
        </w:rPr>
      </w:pPr>
      <w:r>
        <w:rPr>
          <w:rFonts w:hint="eastAsia" w:ascii="宋体" w:hAnsi="宋体" w:eastAsia="宋体" w:cs="宋体"/>
          <w:b/>
          <w:color w:val="000000"/>
          <w:sz w:val="32"/>
          <w:szCs w:val="32"/>
          <w:highlight w:val="none"/>
        </w:rPr>
        <w:t>★</w:t>
      </w:r>
      <w:r>
        <w:rPr>
          <w:rFonts w:hint="eastAsia" w:ascii="黑体" w:hAnsi="黑体" w:eastAsia="黑体" w:cs="黑体"/>
          <w:b/>
          <w:color w:val="auto"/>
          <w:sz w:val="32"/>
          <w:szCs w:val="32"/>
          <w:highlight w:val="none"/>
          <w:lang w:val="en-US" w:eastAsia="zh-CN" w:bidi="ar-SA"/>
        </w:rPr>
        <w:t xml:space="preserve">第四章 </w:t>
      </w:r>
      <w:r>
        <w:rPr>
          <w:rFonts w:hint="eastAsia" w:ascii="黑体" w:hAnsi="黑体" w:eastAsia="黑体" w:cs="黑体"/>
          <w:b/>
          <w:color w:val="000000"/>
          <w:sz w:val="32"/>
          <w:szCs w:val="32"/>
          <w:highlight w:val="none"/>
        </w:rPr>
        <w:t>采购需求</w:t>
      </w:r>
    </w:p>
    <w:p w14:paraId="2BE7CFF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2"/>
        <w:textAlignment w:val="auto"/>
        <w:rPr>
          <w:rFonts w:hint="eastAsia" w:asciiTheme="minorEastAsia" w:hAnsiTheme="minorEastAsia" w:eastAsiaTheme="minorEastAsia" w:cstheme="minorEastAsia"/>
          <w:sz w:val="21"/>
          <w:szCs w:val="21"/>
          <w:highlight w:val="none"/>
          <w:lang w:eastAsia="zh-CN"/>
        </w:rPr>
      </w:pPr>
      <w:bookmarkStart w:id="119" w:name="_Toc19"/>
      <w:bookmarkStart w:id="120" w:name="_Toc11326"/>
      <w:bookmarkStart w:id="121" w:name="_Toc11219"/>
      <w:r>
        <w:rPr>
          <w:rFonts w:hint="eastAsia" w:asciiTheme="minorEastAsia" w:hAnsiTheme="minorEastAsia" w:eastAsiaTheme="minorEastAsia" w:cstheme="minorEastAsia"/>
          <w:b/>
          <w:color w:val="000000"/>
          <w:sz w:val="21"/>
          <w:szCs w:val="21"/>
          <w:highlight w:val="none"/>
          <w:lang w:eastAsia="zh-CN"/>
        </w:rPr>
        <w:t>一、项目名称：2026年玄武分局机关食堂食材采购项目</w:t>
      </w:r>
    </w:p>
    <w:p w14:paraId="060E16C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2"/>
        <w:textAlignment w:val="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b/>
          <w:color w:val="000000"/>
          <w:sz w:val="21"/>
          <w:szCs w:val="21"/>
          <w:highlight w:val="none"/>
          <w:lang w:eastAsia="zh-CN"/>
        </w:rPr>
        <w:t>二、项目概况</w:t>
      </w:r>
    </w:p>
    <w:p w14:paraId="3970698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1.本项目采购内容为玄武公安分局机关食堂食材采购，内部工作人员（民警、辅警及开展公安工作相关分局认可的工作人员）的三餐食材包括但不限于肉类水产、粮油干调、副食品、水果、禽蛋、冻品、饮品、有机蔬菜等。</w:t>
      </w:r>
    </w:p>
    <w:p w14:paraId="07EC7B9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2.合同履行期限：</w:t>
      </w:r>
      <w:r>
        <w:rPr>
          <w:rFonts w:hint="eastAsia" w:asciiTheme="minorEastAsia" w:hAnsiTheme="minorEastAsia" w:eastAsiaTheme="minorEastAsia" w:cstheme="minorEastAsia"/>
          <w:color w:val="auto"/>
          <w:szCs w:val="21"/>
          <w:highlight w:val="none"/>
          <w:lang w:eastAsia="zh-CN"/>
        </w:rPr>
        <w:t>自甲方书面通知之日起供货，至所属分包预算资金使用完毕或供货满一年时自动终止，二者以先到者为准。</w:t>
      </w:r>
    </w:p>
    <w:p w14:paraId="4254D24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3.本项目所对应的中小企业划分标准所属行业：批发业。</w:t>
      </w:r>
    </w:p>
    <w:p w14:paraId="67E1B1B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2"/>
        <w:textAlignment w:val="auto"/>
        <w:rPr>
          <w:rFonts w:hint="eastAsia" w:asciiTheme="minorEastAsia" w:hAnsiTheme="minorEastAsia" w:eastAsiaTheme="minorEastAsia" w:cstheme="minorEastAsia"/>
          <w:b/>
          <w:color w:val="000000"/>
          <w:sz w:val="21"/>
          <w:szCs w:val="21"/>
          <w:highlight w:val="none"/>
          <w:lang w:val="en-US" w:eastAsia="zh-CN"/>
        </w:rPr>
      </w:pPr>
      <w:r>
        <w:rPr>
          <w:rFonts w:hint="eastAsia" w:asciiTheme="minorEastAsia" w:hAnsiTheme="minorEastAsia" w:eastAsiaTheme="minorEastAsia" w:cstheme="minorEastAsia"/>
          <w:b/>
          <w:color w:val="000000"/>
          <w:sz w:val="21"/>
          <w:szCs w:val="21"/>
          <w:highlight w:val="none"/>
          <w:lang w:val="en-US" w:eastAsia="zh-CN"/>
        </w:rPr>
        <w:t>三、采购标的需实现的功能及标准、规范</w:t>
      </w:r>
    </w:p>
    <w:p w14:paraId="32500F7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eastAsia="zh-CN"/>
        </w:rPr>
      </w:pPr>
      <w:bookmarkStart w:id="122" w:name="_Toc140705036"/>
      <w:r>
        <w:rPr>
          <w:rFonts w:hint="eastAsia" w:asciiTheme="minorEastAsia" w:hAnsiTheme="minorEastAsia" w:eastAsiaTheme="minorEastAsia" w:cstheme="minorEastAsia"/>
          <w:color w:val="000000"/>
          <w:sz w:val="21"/>
          <w:szCs w:val="21"/>
          <w:highlight w:val="none"/>
          <w:lang w:eastAsia="zh-CN"/>
        </w:rPr>
        <w:t>1、符合《中华人民共和国食品安全法》、《中华人民共和国食品安全法实施条例》、《中华人民共和国农产品质量安全法》、《中华人民共和国动物防疫法》等相关规定。</w:t>
      </w:r>
      <w:bookmarkEnd w:id="122"/>
      <w:r>
        <w:rPr>
          <w:rFonts w:hint="eastAsia" w:asciiTheme="minorEastAsia" w:hAnsiTheme="minorEastAsia" w:eastAsiaTheme="minorEastAsia" w:cstheme="minorEastAsia"/>
          <w:color w:val="000000"/>
          <w:sz w:val="21"/>
          <w:szCs w:val="21"/>
          <w:highlight w:val="none"/>
          <w:lang w:eastAsia="zh-CN"/>
        </w:rPr>
        <w:t xml:space="preserve"> </w:t>
      </w:r>
    </w:p>
    <w:p w14:paraId="3D057E1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eastAsia="zh-CN"/>
        </w:rPr>
      </w:pPr>
      <w:bookmarkStart w:id="123" w:name="_Toc140705037"/>
      <w:r>
        <w:rPr>
          <w:rFonts w:hint="eastAsia" w:asciiTheme="minorEastAsia" w:hAnsiTheme="minorEastAsia" w:eastAsiaTheme="minorEastAsia" w:cstheme="minorEastAsia"/>
          <w:color w:val="000000"/>
          <w:sz w:val="21"/>
          <w:szCs w:val="21"/>
          <w:highlight w:val="none"/>
          <w:lang w:eastAsia="zh-CN"/>
        </w:rPr>
        <w:t>2、符合国家及行业的相关标准。</w:t>
      </w:r>
      <w:bookmarkEnd w:id="123"/>
    </w:p>
    <w:p w14:paraId="3FDC24C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2"/>
        <w:textAlignment w:val="auto"/>
        <w:rPr>
          <w:rFonts w:hint="eastAsia" w:asciiTheme="minorEastAsia" w:hAnsiTheme="minorEastAsia" w:eastAsiaTheme="minorEastAsia" w:cstheme="minorEastAsia"/>
          <w:b/>
          <w:color w:val="000000"/>
          <w:sz w:val="21"/>
          <w:szCs w:val="21"/>
          <w:highlight w:val="none"/>
          <w:lang w:val="en-US" w:eastAsia="zh-CN"/>
        </w:rPr>
      </w:pPr>
      <w:r>
        <w:rPr>
          <w:rFonts w:hint="eastAsia" w:asciiTheme="minorEastAsia" w:hAnsiTheme="minorEastAsia" w:eastAsiaTheme="minorEastAsia" w:cstheme="minorEastAsia"/>
          <w:b/>
          <w:color w:val="000000"/>
          <w:sz w:val="21"/>
          <w:szCs w:val="21"/>
          <w:highlight w:val="none"/>
          <w:lang w:val="en-US" w:eastAsia="zh-CN"/>
        </w:rPr>
        <w:t>四、项目内容</w:t>
      </w:r>
    </w:p>
    <w:p w14:paraId="4AADB93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1、采购包内容及预算</w:t>
      </w:r>
    </w:p>
    <w:tbl>
      <w:tblPr>
        <w:tblStyle w:val="40"/>
        <w:tblW w:w="99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5"/>
        <w:gridCol w:w="3506"/>
        <w:gridCol w:w="2916"/>
        <w:gridCol w:w="2735"/>
      </w:tblGrid>
      <w:tr w14:paraId="5D123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blHeader/>
          <w:jc w:val="center"/>
        </w:trPr>
        <w:tc>
          <w:tcPr>
            <w:tcW w:w="805" w:type="dxa"/>
            <w:noWrap/>
            <w:vAlign w:val="center"/>
          </w:tcPr>
          <w:p w14:paraId="68AD6792">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b/>
                <w:sz w:val="21"/>
                <w:szCs w:val="21"/>
                <w:highlight w:val="none"/>
                <w:lang w:val="en-US" w:eastAsia="zh-CN"/>
              </w:rPr>
            </w:pPr>
            <w:r>
              <w:rPr>
                <w:rFonts w:hint="eastAsia" w:asciiTheme="minorEastAsia" w:hAnsiTheme="minorEastAsia" w:eastAsiaTheme="minorEastAsia" w:cstheme="minorEastAsia"/>
                <w:b/>
                <w:sz w:val="21"/>
                <w:szCs w:val="21"/>
                <w:highlight w:val="none"/>
                <w:lang w:val="en-US" w:eastAsia="zh-CN"/>
              </w:rPr>
              <w:t>包号</w:t>
            </w:r>
          </w:p>
        </w:tc>
        <w:tc>
          <w:tcPr>
            <w:tcW w:w="3506" w:type="dxa"/>
            <w:noWrap/>
            <w:vAlign w:val="center"/>
          </w:tcPr>
          <w:p w14:paraId="571290BC">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b/>
                <w:sz w:val="21"/>
                <w:szCs w:val="21"/>
                <w:highlight w:val="none"/>
                <w:lang w:val="en-US" w:eastAsia="zh-CN"/>
              </w:rPr>
            </w:pPr>
            <w:r>
              <w:rPr>
                <w:rFonts w:hint="eastAsia" w:asciiTheme="minorEastAsia" w:hAnsiTheme="minorEastAsia" w:eastAsiaTheme="minorEastAsia" w:cstheme="minorEastAsia"/>
                <w:b/>
                <w:sz w:val="21"/>
                <w:szCs w:val="21"/>
                <w:highlight w:val="none"/>
                <w:lang w:val="en-US" w:eastAsia="zh-CN"/>
              </w:rPr>
              <w:t>品类</w:t>
            </w:r>
          </w:p>
        </w:tc>
        <w:tc>
          <w:tcPr>
            <w:tcW w:w="2916" w:type="dxa"/>
            <w:noWrap/>
            <w:vAlign w:val="center"/>
          </w:tcPr>
          <w:p w14:paraId="5731AC28">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配送地址</w:t>
            </w:r>
          </w:p>
        </w:tc>
        <w:tc>
          <w:tcPr>
            <w:tcW w:w="2735" w:type="dxa"/>
            <w:noWrap/>
            <w:vAlign w:val="center"/>
          </w:tcPr>
          <w:p w14:paraId="2682D2AF">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采购预算（万元人民币）</w:t>
            </w:r>
          </w:p>
        </w:tc>
      </w:tr>
      <w:tr w14:paraId="2BFDDC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05" w:type="dxa"/>
            <w:noWrap/>
            <w:vAlign w:val="center"/>
          </w:tcPr>
          <w:p w14:paraId="107F56E5">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包1</w:t>
            </w:r>
          </w:p>
        </w:tc>
        <w:tc>
          <w:tcPr>
            <w:tcW w:w="3506" w:type="dxa"/>
            <w:noWrap/>
            <w:vAlign w:val="center"/>
          </w:tcPr>
          <w:p w14:paraId="35DFA6FD">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肉类、水产等</w:t>
            </w:r>
          </w:p>
        </w:tc>
        <w:tc>
          <w:tcPr>
            <w:tcW w:w="2916" w:type="dxa"/>
            <w:vMerge w:val="restart"/>
            <w:noWrap/>
            <w:vAlign w:val="center"/>
          </w:tcPr>
          <w:p w14:paraId="0D7A72E8">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南京市公安局玄武分局食堂</w:t>
            </w:r>
            <w:r>
              <w:rPr>
                <w:rFonts w:hint="eastAsia" w:asciiTheme="minorEastAsia" w:hAnsiTheme="minorEastAsia" w:eastAsiaTheme="minorEastAsia" w:cstheme="minorEastAsia"/>
                <w:sz w:val="21"/>
                <w:szCs w:val="21"/>
                <w:highlight w:val="none"/>
                <w:lang w:eastAsia="zh-CN"/>
              </w:rPr>
              <w:t>（玄武区红山路196号）</w:t>
            </w:r>
          </w:p>
        </w:tc>
        <w:tc>
          <w:tcPr>
            <w:tcW w:w="2735" w:type="dxa"/>
            <w:noWrap/>
            <w:vAlign w:val="center"/>
          </w:tcPr>
          <w:p w14:paraId="5E2ACE1C">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100</w:t>
            </w:r>
          </w:p>
        </w:tc>
      </w:tr>
      <w:tr w14:paraId="4C7A59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05" w:type="dxa"/>
            <w:noWrap/>
            <w:vAlign w:val="center"/>
          </w:tcPr>
          <w:p w14:paraId="6769205B">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包2</w:t>
            </w:r>
          </w:p>
        </w:tc>
        <w:tc>
          <w:tcPr>
            <w:tcW w:w="3506" w:type="dxa"/>
            <w:noWrap/>
            <w:vAlign w:val="center"/>
          </w:tcPr>
          <w:p w14:paraId="46F7B4C4">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粮油干调、米面、副食品、水果等</w:t>
            </w:r>
          </w:p>
        </w:tc>
        <w:tc>
          <w:tcPr>
            <w:tcW w:w="2916" w:type="dxa"/>
            <w:vMerge w:val="continue"/>
            <w:noWrap/>
            <w:vAlign w:val="center"/>
          </w:tcPr>
          <w:p w14:paraId="70752ACA">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sz w:val="21"/>
                <w:szCs w:val="21"/>
                <w:highlight w:val="none"/>
              </w:rPr>
            </w:pPr>
          </w:p>
        </w:tc>
        <w:tc>
          <w:tcPr>
            <w:tcW w:w="2735" w:type="dxa"/>
            <w:noWrap/>
            <w:vAlign w:val="center"/>
          </w:tcPr>
          <w:p w14:paraId="635A9F25">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100</w:t>
            </w:r>
          </w:p>
        </w:tc>
      </w:tr>
      <w:tr w14:paraId="68ABCE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05" w:type="dxa"/>
            <w:noWrap/>
            <w:vAlign w:val="center"/>
          </w:tcPr>
          <w:p w14:paraId="156B9D79">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包3</w:t>
            </w:r>
          </w:p>
        </w:tc>
        <w:tc>
          <w:tcPr>
            <w:tcW w:w="3506" w:type="dxa"/>
            <w:noWrap/>
            <w:vAlign w:val="center"/>
          </w:tcPr>
          <w:p w14:paraId="03EF637A">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禽蛋、冻品、饮品等</w:t>
            </w:r>
          </w:p>
        </w:tc>
        <w:tc>
          <w:tcPr>
            <w:tcW w:w="2916" w:type="dxa"/>
            <w:vMerge w:val="continue"/>
            <w:noWrap/>
            <w:vAlign w:val="center"/>
          </w:tcPr>
          <w:p w14:paraId="568FE57A">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sz w:val="21"/>
                <w:szCs w:val="21"/>
                <w:highlight w:val="none"/>
              </w:rPr>
            </w:pPr>
          </w:p>
        </w:tc>
        <w:tc>
          <w:tcPr>
            <w:tcW w:w="2735" w:type="dxa"/>
            <w:noWrap/>
            <w:vAlign w:val="center"/>
          </w:tcPr>
          <w:p w14:paraId="1DBE07AF">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70</w:t>
            </w:r>
          </w:p>
        </w:tc>
      </w:tr>
      <w:tr w14:paraId="7B5F6D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05" w:type="dxa"/>
            <w:noWrap/>
            <w:vAlign w:val="center"/>
          </w:tcPr>
          <w:p w14:paraId="1562BCE7">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包4</w:t>
            </w:r>
          </w:p>
        </w:tc>
        <w:tc>
          <w:tcPr>
            <w:tcW w:w="3506" w:type="dxa"/>
            <w:noWrap/>
            <w:vAlign w:val="center"/>
          </w:tcPr>
          <w:p w14:paraId="0FD09399">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有机蔬菜等</w:t>
            </w:r>
          </w:p>
        </w:tc>
        <w:tc>
          <w:tcPr>
            <w:tcW w:w="2916" w:type="dxa"/>
            <w:vMerge w:val="continue"/>
            <w:noWrap/>
            <w:vAlign w:val="center"/>
          </w:tcPr>
          <w:p w14:paraId="0C8302C8">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Theme="minorEastAsia" w:hAnsiTheme="minorEastAsia" w:eastAsiaTheme="minorEastAsia" w:cstheme="minorEastAsia"/>
                <w:sz w:val="21"/>
                <w:szCs w:val="21"/>
                <w:highlight w:val="none"/>
              </w:rPr>
            </w:pPr>
          </w:p>
        </w:tc>
        <w:tc>
          <w:tcPr>
            <w:tcW w:w="2735" w:type="dxa"/>
            <w:noWrap/>
            <w:vAlign w:val="center"/>
          </w:tcPr>
          <w:p w14:paraId="6D0AABB4">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30</w:t>
            </w:r>
          </w:p>
        </w:tc>
      </w:tr>
    </w:tbl>
    <w:p w14:paraId="2DAEE4F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2、采购包基本要求</w:t>
      </w:r>
    </w:p>
    <w:p w14:paraId="77EAA96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肉类：有检疫、检验合格的印章，干净新鲜、无异味、无污物；</w:t>
      </w:r>
      <w:bookmarkStart w:id="124" w:name="_Toc140705044"/>
    </w:p>
    <w:p w14:paraId="13ABC81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水产：鱼、虾等必须是鲜活的；</w:t>
      </w:r>
      <w:bookmarkEnd w:id="124"/>
    </w:p>
    <w:p w14:paraId="1C4D6BC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eastAsia="zh-CN"/>
        </w:rPr>
      </w:pPr>
      <w:bookmarkStart w:id="125" w:name="_Toc140705046"/>
      <w:r>
        <w:rPr>
          <w:rFonts w:hint="eastAsia" w:asciiTheme="minorEastAsia" w:hAnsiTheme="minorEastAsia" w:eastAsiaTheme="minorEastAsia" w:cstheme="minorEastAsia"/>
          <w:color w:val="000000"/>
          <w:sz w:val="21"/>
          <w:szCs w:val="21"/>
          <w:highlight w:val="none"/>
          <w:lang w:eastAsia="zh-CN"/>
        </w:rPr>
        <w:t>冷冻品：有正规的生产厂家、保证在合格的生产日期内、不能采购即将逾期的产品。</w:t>
      </w:r>
      <w:bookmarkEnd w:id="125"/>
      <w:r>
        <w:rPr>
          <w:rFonts w:hint="eastAsia" w:asciiTheme="minorEastAsia" w:hAnsiTheme="minorEastAsia" w:eastAsiaTheme="minorEastAsia" w:cstheme="minorEastAsia"/>
          <w:color w:val="000000"/>
          <w:sz w:val="21"/>
          <w:szCs w:val="21"/>
          <w:highlight w:val="none"/>
          <w:lang w:eastAsia="zh-CN"/>
        </w:rPr>
        <w:t xml:space="preserve"> </w:t>
      </w:r>
    </w:p>
    <w:p w14:paraId="7173A5E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eastAsia="zh-CN"/>
        </w:rPr>
      </w:pPr>
      <w:bookmarkStart w:id="126" w:name="_Toc140705040"/>
      <w:r>
        <w:rPr>
          <w:rFonts w:hint="eastAsia" w:asciiTheme="minorEastAsia" w:hAnsiTheme="minorEastAsia" w:eastAsiaTheme="minorEastAsia" w:cstheme="minorEastAsia"/>
          <w:color w:val="000000"/>
          <w:sz w:val="21"/>
          <w:szCs w:val="21"/>
          <w:highlight w:val="none"/>
          <w:lang w:eastAsia="zh-CN"/>
        </w:rPr>
        <w:t>素菜类：干净新鲜、无异味、无农药味、无腐烂、无黄叶、不带杂质泥土。</w:t>
      </w:r>
      <w:bookmarkEnd w:id="126"/>
      <w:r>
        <w:rPr>
          <w:rFonts w:hint="eastAsia" w:asciiTheme="minorEastAsia" w:hAnsiTheme="minorEastAsia" w:eastAsiaTheme="minorEastAsia" w:cstheme="minorEastAsia"/>
          <w:color w:val="000000"/>
          <w:sz w:val="21"/>
          <w:szCs w:val="21"/>
          <w:highlight w:val="none"/>
          <w:lang w:eastAsia="zh-CN"/>
        </w:rPr>
        <w:t xml:space="preserve"> </w:t>
      </w:r>
    </w:p>
    <w:p w14:paraId="0DE9491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eastAsia="zh-CN"/>
        </w:rPr>
      </w:pPr>
      <w:bookmarkStart w:id="127" w:name="_Toc140705041"/>
      <w:r>
        <w:rPr>
          <w:rFonts w:hint="eastAsia" w:asciiTheme="minorEastAsia" w:hAnsiTheme="minorEastAsia" w:eastAsiaTheme="minorEastAsia" w:cstheme="minorEastAsia"/>
          <w:color w:val="000000"/>
          <w:sz w:val="21"/>
          <w:szCs w:val="21"/>
          <w:highlight w:val="none"/>
          <w:lang w:eastAsia="zh-CN"/>
        </w:rPr>
        <w:t>乳制品：具备正规的包装、生产日期、生产厂家，无杂质、无异味；</w:t>
      </w:r>
      <w:bookmarkEnd w:id="127"/>
    </w:p>
    <w:p w14:paraId="7F1650D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eastAsia="zh-CN"/>
        </w:rPr>
      </w:pPr>
      <w:bookmarkStart w:id="128" w:name="_Toc140705042"/>
      <w:r>
        <w:rPr>
          <w:rFonts w:hint="eastAsia" w:asciiTheme="minorEastAsia" w:hAnsiTheme="minorEastAsia" w:eastAsiaTheme="minorEastAsia" w:cstheme="minorEastAsia"/>
          <w:color w:val="000000"/>
          <w:sz w:val="21"/>
          <w:szCs w:val="21"/>
          <w:highlight w:val="none"/>
          <w:lang w:eastAsia="zh-CN"/>
        </w:rPr>
        <w:t>调味品：具备正规的包装、生产日期、生产厂家，保证在合格的生产日期内；</w:t>
      </w:r>
      <w:bookmarkEnd w:id="128"/>
    </w:p>
    <w:p w14:paraId="76F49EB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eastAsia="zh-CN"/>
        </w:rPr>
      </w:pPr>
      <w:bookmarkStart w:id="129" w:name="_Toc140705043"/>
      <w:r>
        <w:rPr>
          <w:rFonts w:hint="eastAsia" w:asciiTheme="minorEastAsia" w:hAnsiTheme="minorEastAsia" w:eastAsiaTheme="minorEastAsia" w:cstheme="minorEastAsia"/>
          <w:color w:val="000000"/>
          <w:sz w:val="21"/>
          <w:szCs w:val="21"/>
          <w:highlight w:val="none"/>
          <w:lang w:eastAsia="zh-CN"/>
        </w:rPr>
        <w:t>水果：干净新鲜、无腐烂、大小均匀、根据需要提供不同种类的水果；</w:t>
      </w:r>
      <w:bookmarkEnd w:id="129"/>
      <w:r>
        <w:rPr>
          <w:rFonts w:hint="eastAsia" w:asciiTheme="minorEastAsia" w:hAnsiTheme="minorEastAsia" w:eastAsiaTheme="minorEastAsia" w:cstheme="minorEastAsia"/>
          <w:color w:val="000000"/>
          <w:sz w:val="21"/>
          <w:szCs w:val="21"/>
          <w:highlight w:val="none"/>
          <w:lang w:eastAsia="zh-CN"/>
        </w:rPr>
        <w:t xml:space="preserve"> </w:t>
      </w:r>
    </w:p>
    <w:p w14:paraId="65381AC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eastAsia="zh-CN"/>
        </w:rPr>
      </w:pPr>
      <w:bookmarkStart w:id="130" w:name="_Toc140705045"/>
      <w:r>
        <w:rPr>
          <w:rFonts w:hint="eastAsia" w:asciiTheme="minorEastAsia" w:hAnsiTheme="minorEastAsia" w:eastAsiaTheme="minorEastAsia" w:cstheme="minorEastAsia"/>
          <w:color w:val="000000"/>
          <w:sz w:val="21"/>
          <w:szCs w:val="21"/>
          <w:highlight w:val="none"/>
          <w:lang w:eastAsia="zh-CN"/>
        </w:rPr>
        <w:t>豆制品：干净新鲜、无异味；</w:t>
      </w:r>
      <w:bookmarkEnd w:id="130"/>
    </w:p>
    <w:p w14:paraId="7D0DEFE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eastAsia="zh-CN"/>
        </w:rPr>
      </w:pPr>
      <w:bookmarkStart w:id="131" w:name="_Toc140705047"/>
      <w:r>
        <w:rPr>
          <w:rFonts w:hint="eastAsia" w:asciiTheme="minorEastAsia" w:hAnsiTheme="minorEastAsia" w:eastAsiaTheme="minorEastAsia" w:cstheme="minorEastAsia"/>
          <w:color w:val="000000"/>
          <w:sz w:val="21"/>
          <w:szCs w:val="21"/>
          <w:highlight w:val="none"/>
          <w:lang w:eastAsia="zh-CN"/>
        </w:rPr>
        <w:t>注：</w:t>
      </w:r>
    </w:p>
    <w:p w14:paraId="713C2AB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val="en-US" w:eastAsia="zh-CN"/>
        </w:rPr>
        <w:t>1、</w:t>
      </w:r>
      <w:r>
        <w:rPr>
          <w:rFonts w:hint="eastAsia" w:asciiTheme="minorEastAsia" w:hAnsiTheme="minorEastAsia" w:eastAsiaTheme="minorEastAsia" w:cstheme="minorEastAsia"/>
          <w:color w:val="000000"/>
          <w:sz w:val="21"/>
          <w:szCs w:val="21"/>
          <w:highlight w:val="none"/>
          <w:lang w:eastAsia="zh-CN"/>
        </w:rPr>
        <w:t>菜单每天所需食材提前由</w:t>
      </w:r>
      <w:r>
        <w:rPr>
          <w:rFonts w:hint="eastAsia" w:asciiTheme="minorEastAsia" w:hAnsiTheme="minorEastAsia" w:eastAsiaTheme="minorEastAsia" w:cstheme="minorEastAsia"/>
          <w:color w:val="000000"/>
          <w:sz w:val="21"/>
          <w:szCs w:val="21"/>
          <w:highlight w:val="none"/>
          <w:lang w:val="en-US" w:eastAsia="zh-CN"/>
        </w:rPr>
        <w:t>采购方</w:t>
      </w:r>
      <w:r>
        <w:rPr>
          <w:rFonts w:hint="eastAsia" w:asciiTheme="minorEastAsia" w:hAnsiTheme="minorEastAsia" w:eastAsiaTheme="minorEastAsia" w:cstheme="minorEastAsia"/>
          <w:color w:val="000000"/>
          <w:sz w:val="21"/>
          <w:szCs w:val="21"/>
          <w:highlight w:val="none"/>
          <w:lang w:eastAsia="zh-CN"/>
        </w:rPr>
        <w:t>交予中标供应商</w:t>
      </w:r>
      <w:bookmarkEnd w:id="131"/>
      <w:r>
        <w:rPr>
          <w:rFonts w:hint="eastAsia" w:asciiTheme="minorEastAsia" w:hAnsiTheme="minorEastAsia" w:eastAsiaTheme="minorEastAsia" w:cstheme="minorEastAsia"/>
          <w:color w:val="000000"/>
          <w:sz w:val="21"/>
          <w:szCs w:val="21"/>
          <w:highlight w:val="none"/>
          <w:lang w:eastAsia="zh-CN"/>
        </w:rPr>
        <w:t>。</w:t>
      </w:r>
    </w:p>
    <w:p w14:paraId="7A52579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val="en-US" w:eastAsia="zh-CN"/>
        </w:rPr>
        <w:t>2、</w:t>
      </w:r>
      <w:r>
        <w:rPr>
          <w:rFonts w:hint="eastAsia" w:asciiTheme="minorEastAsia" w:hAnsiTheme="minorEastAsia" w:eastAsiaTheme="minorEastAsia" w:cstheme="minorEastAsia"/>
          <w:color w:val="000000"/>
          <w:sz w:val="21"/>
          <w:szCs w:val="21"/>
          <w:highlight w:val="none"/>
          <w:lang w:eastAsia="zh-CN"/>
        </w:rPr>
        <w:t>本项采购预算为年度预估采购量，</w:t>
      </w:r>
      <w:r>
        <w:rPr>
          <w:rFonts w:hint="eastAsia" w:asciiTheme="minorEastAsia" w:hAnsiTheme="minorEastAsia" w:eastAsiaTheme="minorEastAsia" w:cstheme="minorEastAsia"/>
          <w:color w:val="000000"/>
          <w:sz w:val="21"/>
          <w:szCs w:val="21"/>
          <w:highlight w:val="none"/>
          <w:lang w:val="en-US" w:eastAsia="zh-CN"/>
        </w:rPr>
        <w:t>仅</w:t>
      </w:r>
      <w:r>
        <w:rPr>
          <w:rFonts w:hint="eastAsia" w:asciiTheme="minorEastAsia" w:hAnsiTheme="minorEastAsia" w:eastAsiaTheme="minorEastAsia" w:cstheme="minorEastAsia"/>
          <w:color w:val="000000"/>
          <w:sz w:val="21"/>
          <w:szCs w:val="21"/>
          <w:highlight w:val="none"/>
          <w:lang w:eastAsia="zh-CN"/>
        </w:rPr>
        <w:t>供供应商参考，实际用量不做保证，按实际用量结算。</w:t>
      </w:r>
    </w:p>
    <w:p w14:paraId="5AAAED0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说明：以上明细仅为采购人所采购部分产品，其他未列明以采购人需求为准，实际采购品种规格包括但不限于以上产品。</w:t>
      </w:r>
    </w:p>
    <w:p w14:paraId="3CDCA0D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2"/>
        <w:textAlignment w:val="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b/>
          <w:color w:val="000000"/>
          <w:sz w:val="21"/>
          <w:szCs w:val="21"/>
          <w:highlight w:val="none"/>
          <w:lang w:val="en-US" w:eastAsia="zh-CN"/>
        </w:rPr>
        <w:t>五</w:t>
      </w:r>
      <w:r>
        <w:rPr>
          <w:rFonts w:hint="eastAsia" w:asciiTheme="minorEastAsia" w:hAnsiTheme="minorEastAsia" w:eastAsiaTheme="minorEastAsia" w:cstheme="minorEastAsia"/>
          <w:b/>
          <w:color w:val="000000"/>
          <w:sz w:val="21"/>
          <w:szCs w:val="21"/>
          <w:highlight w:val="none"/>
          <w:lang w:eastAsia="zh-CN"/>
        </w:rPr>
        <w:t>、项目供货要求</w:t>
      </w:r>
    </w:p>
    <w:p w14:paraId="7E732F7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eastAsia="zh-CN"/>
        </w:rPr>
      </w:pPr>
      <w:bookmarkStart w:id="132" w:name="_Toc140705049"/>
      <w:r>
        <w:rPr>
          <w:rFonts w:hint="eastAsia" w:asciiTheme="minorEastAsia" w:hAnsiTheme="minorEastAsia" w:eastAsiaTheme="minorEastAsia" w:cstheme="minorEastAsia"/>
          <w:color w:val="000000"/>
          <w:sz w:val="21"/>
          <w:szCs w:val="21"/>
          <w:highlight w:val="none"/>
          <w:lang w:eastAsia="zh-CN"/>
        </w:rPr>
        <w:t>（一）产品质量要求：</w:t>
      </w:r>
      <w:bookmarkEnd w:id="132"/>
      <w:r>
        <w:rPr>
          <w:rFonts w:hint="eastAsia" w:asciiTheme="minorEastAsia" w:hAnsiTheme="minorEastAsia" w:eastAsiaTheme="minorEastAsia" w:cstheme="minorEastAsia"/>
          <w:color w:val="000000"/>
          <w:sz w:val="21"/>
          <w:szCs w:val="21"/>
          <w:highlight w:val="none"/>
          <w:lang w:eastAsia="zh-CN"/>
        </w:rPr>
        <w:t xml:space="preserve"> </w:t>
      </w:r>
    </w:p>
    <w:p w14:paraId="46C176F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eastAsia="zh-CN"/>
        </w:rPr>
      </w:pPr>
      <w:bookmarkStart w:id="133" w:name="_Toc140705050"/>
      <w:r>
        <w:rPr>
          <w:rFonts w:hint="eastAsia" w:asciiTheme="minorEastAsia" w:hAnsiTheme="minorEastAsia" w:eastAsiaTheme="minorEastAsia" w:cstheme="minorEastAsia"/>
          <w:color w:val="000000"/>
          <w:sz w:val="21"/>
          <w:szCs w:val="21"/>
          <w:highlight w:val="none"/>
          <w:lang w:eastAsia="zh-CN"/>
        </w:rPr>
        <w:t>1、中标供应商应严格遵守《食品安全法》等相关规定，严格保证食品质量，符合国家相关产品质量标准，符合国家各级强制性规范要求。在中标供应商环节出现因食品质量导致食物中毒的事故，中标供应商承担一切法律责任和赔偿，并取消其供货资格。</w:t>
      </w:r>
      <w:bookmarkEnd w:id="133"/>
      <w:r>
        <w:rPr>
          <w:rFonts w:hint="eastAsia" w:asciiTheme="minorEastAsia" w:hAnsiTheme="minorEastAsia" w:eastAsiaTheme="minorEastAsia" w:cstheme="minorEastAsia"/>
          <w:color w:val="000000"/>
          <w:sz w:val="21"/>
          <w:szCs w:val="21"/>
          <w:highlight w:val="none"/>
          <w:lang w:eastAsia="zh-CN"/>
        </w:rPr>
        <w:t xml:space="preserve"> </w:t>
      </w:r>
    </w:p>
    <w:p w14:paraId="413CEBF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eastAsia="zh-CN"/>
        </w:rPr>
      </w:pPr>
      <w:bookmarkStart w:id="134" w:name="_Toc140705051"/>
      <w:r>
        <w:rPr>
          <w:rFonts w:hint="eastAsia" w:asciiTheme="minorEastAsia" w:hAnsiTheme="minorEastAsia" w:eastAsiaTheme="minorEastAsia" w:cstheme="minorEastAsia"/>
          <w:color w:val="000000"/>
          <w:sz w:val="21"/>
          <w:szCs w:val="21"/>
          <w:highlight w:val="none"/>
          <w:lang w:eastAsia="zh-CN"/>
        </w:rPr>
        <w:t>2、严格禁止供应如下食品，一经发现，取消其供货资格：</w:t>
      </w:r>
      <w:bookmarkEnd w:id="134"/>
      <w:r>
        <w:rPr>
          <w:rFonts w:hint="eastAsia" w:asciiTheme="minorEastAsia" w:hAnsiTheme="minorEastAsia" w:eastAsiaTheme="minorEastAsia" w:cstheme="minorEastAsia"/>
          <w:color w:val="000000"/>
          <w:sz w:val="21"/>
          <w:szCs w:val="21"/>
          <w:highlight w:val="none"/>
          <w:lang w:eastAsia="zh-CN"/>
        </w:rPr>
        <w:t xml:space="preserve"> </w:t>
      </w:r>
    </w:p>
    <w:p w14:paraId="459952F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eastAsia="zh-CN"/>
        </w:rPr>
      </w:pPr>
      <w:bookmarkStart w:id="135" w:name="_Toc140705052"/>
      <w:r>
        <w:rPr>
          <w:rFonts w:hint="eastAsia" w:asciiTheme="minorEastAsia" w:hAnsiTheme="minorEastAsia" w:eastAsiaTheme="minorEastAsia" w:cstheme="minorEastAsia"/>
          <w:color w:val="000000"/>
          <w:sz w:val="21"/>
          <w:szCs w:val="21"/>
          <w:highlight w:val="none"/>
          <w:lang w:eastAsia="zh-CN"/>
        </w:rPr>
        <w:t>（1）腐败变质、油脂酸败、霉变、生虫、污秽不洁、混有异物或其他感官性状异常，对人体有害的。</w:t>
      </w:r>
      <w:bookmarkEnd w:id="135"/>
      <w:r>
        <w:rPr>
          <w:rFonts w:hint="eastAsia" w:asciiTheme="minorEastAsia" w:hAnsiTheme="minorEastAsia" w:eastAsiaTheme="minorEastAsia" w:cstheme="minorEastAsia"/>
          <w:color w:val="000000"/>
          <w:sz w:val="21"/>
          <w:szCs w:val="21"/>
          <w:highlight w:val="none"/>
          <w:lang w:eastAsia="zh-CN"/>
        </w:rPr>
        <w:t xml:space="preserve"> </w:t>
      </w:r>
    </w:p>
    <w:p w14:paraId="7F0F201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eastAsia="zh-CN"/>
        </w:rPr>
      </w:pPr>
      <w:bookmarkStart w:id="136" w:name="_Toc140705053"/>
      <w:r>
        <w:rPr>
          <w:rFonts w:hint="eastAsia" w:asciiTheme="minorEastAsia" w:hAnsiTheme="minorEastAsia" w:eastAsiaTheme="minorEastAsia" w:cstheme="minorEastAsia"/>
          <w:color w:val="000000"/>
          <w:sz w:val="21"/>
          <w:szCs w:val="21"/>
          <w:highlight w:val="none"/>
          <w:lang w:eastAsia="zh-CN"/>
        </w:rPr>
        <w:t>（2）含有毒、有害物质或被有害物质污染，对人体健康有害的；含有严重超出标准限量的农药残留、兽药残留、重金属、污染物质以及其他危害人体健康的。</w:t>
      </w:r>
      <w:bookmarkEnd w:id="136"/>
      <w:r>
        <w:rPr>
          <w:rFonts w:hint="eastAsia" w:asciiTheme="minorEastAsia" w:hAnsiTheme="minorEastAsia" w:eastAsiaTheme="minorEastAsia" w:cstheme="minorEastAsia"/>
          <w:color w:val="000000"/>
          <w:sz w:val="21"/>
          <w:szCs w:val="21"/>
          <w:highlight w:val="none"/>
          <w:lang w:eastAsia="zh-CN"/>
        </w:rPr>
        <w:t xml:space="preserve"> </w:t>
      </w:r>
    </w:p>
    <w:p w14:paraId="75EE45B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eastAsia="zh-CN"/>
        </w:rPr>
      </w:pPr>
      <w:bookmarkStart w:id="137" w:name="_Toc140705054"/>
      <w:r>
        <w:rPr>
          <w:rFonts w:hint="eastAsia" w:asciiTheme="minorEastAsia" w:hAnsiTheme="minorEastAsia" w:eastAsiaTheme="minorEastAsia" w:cstheme="minorEastAsia"/>
          <w:color w:val="000000"/>
          <w:sz w:val="21"/>
          <w:szCs w:val="21"/>
          <w:highlight w:val="none"/>
          <w:lang w:eastAsia="zh-CN"/>
        </w:rPr>
        <w:t>（3）未经动物部门检疫、检验或者检疫、检验不合格的肉类及其制品。</w:t>
      </w:r>
      <w:bookmarkEnd w:id="137"/>
      <w:r>
        <w:rPr>
          <w:rFonts w:hint="eastAsia" w:asciiTheme="minorEastAsia" w:hAnsiTheme="minorEastAsia" w:eastAsiaTheme="minorEastAsia" w:cstheme="minorEastAsia"/>
          <w:color w:val="000000"/>
          <w:sz w:val="21"/>
          <w:szCs w:val="21"/>
          <w:highlight w:val="none"/>
          <w:lang w:eastAsia="zh-CN"/>
        </w:rPr>
        <w:t xml:space="preserve"> </w:t>
      </w:r>
    </w:p>
    <w:p w14:paraId="1BCCEE7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eastAsia="zh-CN"/>
        </w:rPr>
      </w:pPr>
      <w:bookmarkStart w:id="138" w:name="_Toc140705055"/>
      <w:r>
        <w:rPr>
          <w:rFonts w:hint="eastAsia" w:asciiTheme="minorEastAsia" w:hAnsiTheme="minorEastAsia" w:eastAsiaTheme="minorEastAsia" w:cstheme="minorEastAsia"/>
          <w:color w:val="000000"/>
          <w:sz w:val="21"/>
          <w:szCs w:val="21"/>
          <w:highlight w:val="none"/>
          <w:lang w:eastAsia="zh-CN"/>
        </w:rPr>
        <w:t>（4）病死、毒死或不明死因的禽、畜、兽、水产动物等及其制品。</w:t>
      </w:r>
      <w:bookmarkEnd w:id="138"/>
      <w:r>
        <w:rPr>
          <w:rFonts w:hint="eastAsia" w:asciiTheme="minorEastAsia" w:hAnsiTheme="minorEastAsia" w:eastAsiaTheme="minorEastAsia" w:cstheme="minorEastAsia"/>
          <w:color w:val="000000"/>
          <w:sz w:val="21"/>
          <w:szCs w:val="21"/>
          <w:highlight w:val="none"/>
          <w:lang w:eastAsia="zh-CN"/>
        </w:rPr>
        <w:t xml:space="preserve"> </w:t>
      </w:r>
    </w:p>
    <w:p w14:paraId="2160C0E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eastAsia="zh-CN"/>
        </w:rPr>
      </w:pPr>
      <w:bookmarkStart w:id="139" w:name="_Toc140705056"/>
      <w:r>
        <w:rPr>
          <w:rFonts w:hint="eastAsia" w:asciiTheme="minorEastAsia" w:hAnsiTheme="minorEastAsia" w:eastAsiaTheme="minorEastAsia" w:cstheme="minorEastAsia"/>
          <w:color w:val="000000"/>
          <w:sz w:val="21"/>
          <w:szCs w:val="21"/>
          <w:highlight w:val="none"/>
          <w:lang w:eastAsia="zh-CN"/>
        </w:rPr>
        <w:t>（5）用非食品原料加工的，加入非食品用化学物质或将非食品当作食品的。</w:t>
      </w:r>
      <w:bookmarkEnd w:id="139"/>
      <w:r>
        <w:rPr>
          <w:rFonts w:hint="eastAsia" w:asciiTheme="minorEastAsia" w:hAnsiTheme="minorEastAsia" w:eastAsiaTheme="minorEastAsia" w:cstheme="minorEastAsia"/>
          <w:color w:val="000000"/>
          <w:sz w:val="21"/>
          <w:szCs w:val="21"/>
          <w:highlight w:val="none"/>
          <w:lang w:eastAsia="zh-CN"/>
        </w:rPr>
        <w:t xml:space="preserve"> </w:t>
      </w:r>
    </w:p>
    <w:p w14:paraId="7E652F9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eastAsia="zh-CN"/>
        </w:rPr>
      </w:pPr>
      <w:bookmarkStart w:id="140" w:name="_Toc140705057"/>
      <w:r>
        <w:rPr>
          <w:rFonts w:hint="eastAsia" w:asciiTheme="minorEastAsia" w:hAnsiTheme="minorEastAsia" w:eastAsiaTheme="minorEastAsia" w:cstheme="minorEastAsia"/>
          <w:color w:val="000000"/>
          <w:sz w:val="21"/>
          <w:szCs w:val="21"/>
          <w:highlight w:val="none"/>
          <w:lang w:eastAsia="zh-CN"/>
        </w:rPr>
        <w:t>（6）其它采购方认为不符合要求的果蔬以及各类食品。</w:t>
      </w:r>
      <w:bookmarkEnd w:id="140"/>
      <w:r>
        <w:rPr>
          <w:rFonts w:hint="eastAsia" w:asciiTheme="minorEastAsia" w:hAnsiTheme="minorEastAsia" w:eastAsiaTheme="minorEastAsia" w:cstheme="minorEastAsia"/>
          <w:color w:val="000000"/>
          <w:sz w:val="21"/>
          <w:szCs w:val="21"/>
          <w:highlight w:val="none"/>
          <w:lang w:eastAsia="zh-CN"/>
        </w:rPr>
        <w:t xml:space="preserve"> </w:t>
      </w:r>
    </w:p>
    <w:p w14:paraId="69574BA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eastAsia="zh-CN"/>
        </w:rPr>
      </w:pPr>
      <w:bookmarkStart w:id="141" w:name="_Toc140705058"/>
      <w:r>
        <w:rPr>
          <w:rFonts w:hint="eastAsia" w:asciiTheme="minorEastAsia" w:hAnsiTheme="minorEastAsia" w:eastAsiaTheme="minorEastAsia" w:cstheme="minorEastAsia"/>
          <w:color w:val="000000"/>
          <w:sz w:val="21"/>
          <w:szCs w:val="21"/>
          <w:highlight w:val="none"/>
          <w:lang w:eastAsia="zh-CN"/>
        </w:rPr>
        <w:t>（二）其他供货要求：</w:t>
      </w:r>
      <w:bookmarkEnd w:id="141"/>
      <w:r>
        <w:rPr>
          <w:rFonts w:hint="eastAsia" w:asciiTheme="minorEastAsia" w:hAnsiTheme="minorEastAsia" w:eastAsiaTheme="minorEastAsia" w:cstheme="minorEastAsia"/>
          <w:color w:val="000000"/>
          <w:sz w:val="21"/>
          <w:szCs w:val="21"/>
          <w:highlight w:val="none"/>
          <w:lang w:eastAsia="zh-CN"/>
        </w:rPr>
        <w:t xml:space="preserve"> </w:t>
      </w:r>
    </w:p>
    <w:p w14:paraId="7006C7E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eastAsia="zh-CN"/>
        </w:rPr>
      </w:pPr>
      <w:bookmarkStart w:id="142" w:name="_Toc140705059"/>
      <w:r>
        <w:rPr>
          <w:rFonts w:hint="eastAsia" w:asciiTheme="minorEastAsia" w:hAnsiTheme="minorEastAsia" w:eastAsiaTheme="minorEastAsia" w:cstheme="minorEastAsia"/>
          <w:color w:val="000000"/>
          <w:sz w:val="21"/>
          <w:szCs w:val="21"/>
          <w:highlight w:val="none"/>
          <w:lang w:eastAsia="zh-CN"/>
        </w:rPr>
        <w:t>1、因市场特殊原因，个别食材品种不能及时提供，供应商应提前与采购方沟通协调，更换品种，满足需要。</w:t>
      </w:r>
      <w:bookmarkEnd w:id="142"/>
      <w:r>
        <w:rPr>
          <w:rFonts w:hint="eastAsia" w:asciiTheme="minorEastAsia" w:hAnsiTheme="minorEastAsia" w:eastAsiaTheme="minorEastAsia" w:cstheme="minorEastAsia"/>
          <w:color w:val="000000"/>
          <w:sz w:val="21"/>
          <w:szCs w:val="21"/>
          <w:highlight w:val="none"/>
          <w:lang w:eastAsia="zh-CN"/>
        </w:rPr>
        <w:t xml:space="preserve"> </w:t>
      </w:r>
    </w:p>
    <w:p w14:paraId="287394B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eastAsia="zh-CN"/>
        </w:rPr>
      </w:pPr>
      <w:bookmarkStart w:id="143" w:name="_Toc140705060"/>
      <w:r>
        <w:rPr>
          <w:rFonts w:hint="eastAsia" w:asciiTheme="minorEastAsia" w:hAnsiTheme="minorEastAsia" w:eastAsiaTheme="minorEastAsia" w:cstheme="minorEastAsia"/>
          <w:color w:val="000000"/>
          <w:sz w:val="21"/>
          <w:szCs w:val="21"/>
          <w:highlight w:val="none"/>
          <w:lang w:eastAsia="zh-CN"/>
        </w:rPr>
        <w:t>2、所有产品因验收货物时不能直接判断质量的，在使用过程中发现不合格产品，供应商应作退货处理。</w:t>
      </w:r>
      <w:bookmarkEnd w:id="143"/>
      <w:r>
        <w:rPr>
          <w:rFonts w:hint="eastAsia" w:asciiTheme="minorEastAsia" w:hAnsiTheme="minorEastAsia" w:eastAsiaTheme="minorEastAsia" w:cstheme="minorEastAsia"/>
          <w:color w:val="000000"/>
          <w:sz w:val="21"/>
          <w:szCs w:val="21"/>
          <w:highlight w:val="none"/>
          <w:lang w:eastAsia="zh-CN"/>
        </w:rPr>
        <w:t xml:space="preserve"> </w:t>
      </w:r>
    </w:p>
    <w:p w14:paraId="4708EEF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eastAsia="zh-CN"/>
        </w:rPr>
      </w:pPr>
      <w:bookmarkStart w:id="144" w:name="_Toc140705061"/>
      <w:r>
        <w:rPr>
          <w:rFonts w:hint="eastAsia" w:asciiTheme="minorEastAsia" w:hAnsiTheme="minorEastAsia" w:eastAsiaTheme="minorEastAsia" w:cstheme="minorEastAsia"/>
          <w:color w:val="000000"/>
          <w:sz w:val="21"/>
          <w:szCs w:val="21"/>
          <w:highlight w:val="none"/>
          <w:lang w:eastAsia="zh-CN"/>
        </w:rPr>
        <w:t>3、物资验收中不合格产品，供应商应在招标人规定时间内调换，以不影响正常工作为准。</w:t>
      </w:r>
      <w:bookmarkEnd w:id="144"/>
      <w:r>
        <w:rPr>
          <w:rFonts w:hint="eastAsia" w:asciiTheme="minorEastAsia" w:hAnsiTheme="minorEastAsia" w:eastAsiaTheme="minorEastAsia" w:cstheme="minorEastAsia"/>
          <w:color w:val="000000"/>
          <w:sz w:val="21"/>
          <w:szCs w:val="21"/>
          <w:highlight w:val="none"/>
          <w:lang w:eastAsia="zh-CN"/>
        </w:rPr>
        <w:t xml:space="preserve"> </w:t>
      </w:r>
    </w:p>
    <w:p w14:paraId="526D69D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eastAsia="zh-CN"/>
        </w:rPr>
      </w:pPr>
      <w:bookmarkStart w:id="145" w:name="_Toc140705062"/>
      <w:r>
        <w:rPr>
          <w:rFonts w:hint="eastAsia" w:asciiTheme="minorEastAsia" w:hAnsiTheme="minorEastAsia" w:eastAsiaTheme="minorEastAsia" w:cstheme="minorEastAsia"/>
          <w:color w:val="000000"/>
          <w:sz w:val="21"/>
          <w:szCs w:val="21"/>
          <w:highlight w:val="none"/>
          <w:lang w:eastAsia="zh-CN"/>
        </w:rPr>
        <w:t>4、因配送的物资质量导致出现食品安全事故和配送过程发生的交通安全事故，供应商承担相应法律责任。</w:t>
      </w:r>
      <w:bookmarkEnd w:id="145"/>
      <w:r>
        <w:rPr>
          <w:rFonts w:hint="eastAsia" w:asciiTheme="minorEastAsia" w:hAnsiTheme="minorEastAsia" w:eastAsiaTheme="minorEastAsia" w:cstheme="minorEastAsia"/>
          <w:color w:val="000000"/>
          <w:sz w:val="21"/>
          <w:szCs w:val="21"/>
          <w:highlight w:val="none"/>
          <w:lang w:eastAsia="zh-CN"/>
        </w:rPr>
        <w:t xml:space="preserve"> </w:t>
      </w:r>
    </w:p>
    <w:p w14:paraId="46A5057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eastAsia="zh-CN"/>
        </w:rPr>
      </w:pPr>
      <w:bookmarkStart w:id="146" w:name="_Toc140705063"/>
      <w:r>
        <w:rPr>
          <w:rFonts w:hint="eastAsia" w:asciiTheme="minorEastAsia" w:hAnsiTheme="minorEastAsia" w:eastAsiaTheme="minorEastAsia" w:cstheme="minorEastAsia"/>
          <w:color w:val="000000"/>
          <w:sz w:val="21"/>
          <w:szCs w:val="21"/>
          <w:highlight w:val="none"/>
          <w:lang w:eastAsia="zh-CN"/>
        </w:rPr>
        <w:t>5、因市场价格波动，引起的食堂食材调价的必要性，以双方共同市场询价结果作为价格基准依据适当调价，供应商可按需提出申请，招标人具有是否调价和调价周期的完全选择决定权。</w:t>
      </w:r>
      <w:bookmarkEnd w:id="146"/>
    </w:p>
    <w:p w14:paraId="302B9C3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b/>
          <w:bCs/>
          <w:color w:val="000000"/>
          <w:sz w:val="21"/>
          <w:szCs w:val="21"/>
          <w:highlight w:val="none"/>
          <w:lang w:val="en-US" w:eastAsia="zh-CN"/>
        </w:rPr>
      </w:pPr>
      <w:r>
        <w:rPr>
          <w:rFonts w:hint="eastAsia" w:asciiTheme="minorEastAsia" w:hAnsiTheme="minorEastAsia" w:eastAsiaTheme="minorEastAsia" w:cstheme="minorEastAsia"/>
          <w:b/>
          <w:bCs/>
          <w:color w:val="000000"/>
          <w:sz w:val="21"/>
          <w:szCs w:val="21"/>
          <w:highlight w:val="none"/>
          <w:lang w:val="en-US" w:eastAsia="zh-CN"/>
        </w:rPr>
        <w:t>6、供应商需承诺对采购方负责，若在项目进行中，发现供应商与采购方食堂服务人员串通、损害采购人利益的，采购方有权终止项目。（需提供承诺书并加盖公章，未提供或未按要求提供按照无效投标处理）。</w:t>
      </w:r>
    </w:p>
    <w:p w14:paraId="609EAA7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b/>
          <w:bCs/>
          <w:color w:val="000000"/>
          <w:sz w:val="21"/>
          <w:szCs w:val="21"/>
          <w:highlight w:val="none"/>
          <w:lang w:val="en-US" w:eastAsia="zh-CN"/>
        </w:rPr>
      </w:pPr>
      <w:r>
        <w:rPr>
          <w:rFonts w:hint="eastAsia" w:asciiTheme="minorEastAsia" w:hAnsiTheme="minorEastAsia" w:eastAsiaTheme="minorEastAsia" w:cstheme="minorEastAsia"/>
          <w:b/>
          <w:bCs/>
          <w:color w:val="000000"/>
          <w:sz w:val="21"/>
          <w:szCs w:val="21"/>
          <w:highlight w:val="none"/>
          <w:lang w:val="en-US" w:eastAsia="zh-CN"/>
        </w:rPr>
        <w:t>7、投标人需配备专门负责送货人员不少于2人，必须是投标人的正式员工，在合同签订前向采购人提供健康证、劳动合同及社保机构出具的近一个月投标人为其缴纳的加盖社保中心章或社保中心参保缴费证明电子专用章的社会保险缴纳清单（需提供承诺书并加盖公章，未提供或未按要求提供按照无效投标处理）。</w:t>
      </w:r>
    </w:p>
    <w:p w14:paraId="1358CA5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b/>
          <w:bCs/>
          <w:color w:val="000000"/>
          <w:sz w:val="21"/>
          <w:szCs w:val="21"/>
          <w:highlight w:val="none"/>
          <w:lang w:eastAsia="zh-CN"/>
        </w:rPr>
      </w:pPr>
      <w:r>
        <w:rPr>
          <w:rFonts w:hint="eastAsia" w:asciiTheme="minorEastAsia" w:hAnsiTheme="minorEastAsia" w:eastAsiaTheme="minorEastAsia" w:cstheme="minorEastAsia"/>
          <w:b/>
          <w:bCs/>
          <w:color w:val="000000"/>
          <w:sz w:val="21"/>
          <w:szCs w:val="21"/>
          <w:highlight w:val="none"/>
          <w:lang w:val="en-US" w:eastAsia="zh-CN"/>
        </w:rPr>
        <w:t>8、投标人必须承诺采购人如遇应急或特殊情况下半小时内响应，1小时内送货到场（需提供承诺书并加盖公章，未提供或未按要求提供按照无效投标处理）。</w:t>
      </w:r>
    </w:p>
    <w:p w14:paraId="7F825F1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2"/>
        <w:textAlignment w:val="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b/>
          <w:color w:val="000000"/>
          <w:sz w:val="21"/>
          <w:szCs w:val="21"/>
          <w:highlight w:val="none"/>
          <w:lang w:val="en-US" w:eastAsia="zh-CN"/>
        </w:rPr>
        <w:t>六</w:t>
      </w:r>
      <w:r>
        <w:rPr>
          <w:rFonts w:hint="eastAsia" w:asciiTheme="minorEastAsia" w:hAnsiTheme="minorEastAsia" w:eastAsiaTheme="minorEastAsia" w:cstheme="minorEastAsia"/>
          <w:b/>
          <w:color w:val="000000"/>
          <w:sz w:val="21"/>
          <w:szCs w:val="21"/>
          <w:highlight w:val="none"/>
          <w:lang w:eastAsia="zh-CN"/>
        </w:rPr>
        <w:t>、验收交付要求</w:t>
      </w:r>
    </w:p>
    <w:p w14:paraId="4EB8E3A8">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47" w:name="_Toc140705066"/>
      <w:r>
        <w:rPr>
          <w:rFonts w:hint="eastAsia" w:asciiTheme="minorEastAsia" w:hAnsiTheme="minorEastAsia" w:eastAsiaTheme="minorEastAsia" w:cstheme="minorEastAsia"/>
          <w:color w:val="000000" w:themeColor="text1"/>
          <w:sz w:val="21"/>
          <w:szCs w:val="21"/>
          <w14:textFill>
            <w14:solidFill>
              <w14:schemeClr w14:val="tx1"/>
            </w14:solidFill>
          </w14:textFill>
        </w:rPr>
        <w:t>（一）交付要求：</w:t>
      </w:r>
      <w:bookmarkEnd w:id="147"/>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p>
    <w:p w14:paraId="032240E0">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48" w:name="_Toc140705067"/>
      <w:r>
        <w:rPr>
          <w:rFonts w:hint="eastAsia" w:asciiTheme="minorEastAsia" w:hAnsiTheme="minorEastAsia" w:eastAsiaTheme="minorEastAsia" w:cstheme="minorEastAsia"/>
          <w:color w:val="000000" w:themeColor="text1"/>
          <w:sz w:val="21"/>
          <w:szCs w:val="21"/>
          <w14:textFill>
            <w14:solidFill>
              <w14:schemeClr w14:val="tx1"/>
            </w14:solidFill>
          </w14:textFill>
        </w:rPr>
        <w:t>1、食堂所需各类食材，根据招标人前一天17：30之前出具</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的</w:t>
      </w:r>
      <w:r>
        <w:rPr>
          <w:rFonts w:hint="eastAsia" w:asciiTheme="minorEastAsia" w:hAnsiTheme="minorEastAsia" w:eastAsiaTheme="minorEastAsia" w:cstheme="minorEastAsia"/>
          <w:color w:val="000000" w:themeColor="text1"/>
          <w:sz w:val="21"/>
          <w:szCs w:val="21"/>
          <w14:textFill>
            <w14:solidFill>
              <w14:schemeClr w14:val="tx1"/>
            </w14:solidFill>
          </w14:textFill>
        </w:rPr>
        <w:t>需求货品清单，中标人次日清晨5:30-6:10之间送达至招标人指定地点（详见配送地址）。</w:t>
      </w:r>
      <w:bookmarkEnd w:id="148"/>
    </w:p>
    <w:p w14:paraId="4F566B01">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49" w:name="_Toc140705068"/>
      <w:r>
        <w:rPr>
          <w:rFonts w:hint="eastAsia" w:asciiTheme="minorEastAsia" w:hAnsiTheme="minorEastAsia" w:eastAsiaTheme="minorEastAsia" w:cstheme="minorEastAsia"/>
          <w:color w:val="000000" w:themeColor="text1"/>
          <w:sz w:val="21"/>
          <w:szCs w:val="21"/>
          <w14:textFill>
            <w14:solidFill>
              <w14:schemeClr w14:val="tx1"/>
            </w14:solidFill>
          </w14:textFill>
        </w:rPr>
        <w:t>2、招标人有权根据中标人实际供货能力调整配送时间段，中标人须无条件按招标人要求执行。</w:t>
      </w:r>
      <w:bookmarkEnd w:id="149"/>
    </w:p>
    <w:p w14:paraId="68207386">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50" w:name="_Toc140705069"/>
      <w:r>
        <w:rPr>
          <w:rFonts w:hint="eastAsia" w:asciiTheme="minorEastAsia" w:hAnsiTheme="minorEastAsia" w:eastAsiaTheme="minorEastAsia" w:cstheme="minorEastAsia"/>
          <w:color w:val="000000" w:themeColor="text1"/>
          <w:sz w:val="21"/>
          <w:szCs w:val="21"/>
          <w14:textFill>
            <w14:solidFill>
              <w14:schemeClr w14:val="tx1"/>
            </w14:solidFill>
          </w14:textFill>
        </w:rPr>
        <w:t>3、招标人可根据自身需求以及对货物的品质要求，随时有权终止某些商品的采购或变更，中标人不得以任何理由拒绝。</w:t>
      </w:r>
      <w:bookmarkEnd w:id="150"/>
    </w:p>
    <w:p w14:paraId="5CECD6FA">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b/>
          <w:bCs/>
          <w:color w:val="000000" w:themeColor="text1"/>
          <w:sz w:val="21"/>
          <w:szCs w:val="21"/>
          <w14:textFill>
            <w14:solidFill>
              <w14:schemeClr w14:val="tx1"/>
            </w14:solidFill>
          </w14:textFill>
        </w:rPr>
      </w:pPr>
      <w:bookmarkStart w:id="151" w:name="_Toc140705070"/>
      <w:r>
        <w:rPr>
          <w:rFonts w:hint="eastAsia" w:asciiTheme="minorEastAsia" w:hAnsiTheme="minorEastAsia" w:eastAsiaTheme="minorEastAsia" w:cstheme="minorEastAsia"/>
          <w:color w:val="000000" w:themeColor="text1"/>
          <w:sz w:val="21"/>
          <w:szCs w:val="21"/>
          <w14:textFill>
            <w14:solidFill>
              <w14:schemeClr w14:val="tx1"/>
            </w14:solidFill>
          </w14:textFill>
        </w:rPr>
        <w:t>4、投标人须具备应急服务能力，且有长期驻地人员，有一定的处理紧急情况的经验。如遇节假日、招标人临时有大批量食材采购或紧急采购任务时，中标人须承诺在接到招标人通知后，2小时内将指定食材运送至招标人指定地点（详见配送地址）并卸货，派专人负责跟踪服务，保证食材准时准点供应，如推迟送货的，招标人有权拒绝验收签单。</w:t>
      </w:r>
      <w:r>
        <w:rPr>
          <w:rFonts w:hint="eastAsia" w:asciiTheme="minorEastAsia" w:hAnsiTheme="minorEastAsia" w:eastAsiaTheme="minorEastAsia" w:cstheme="minorEastAsia"/>
          <w:b/>
          <w:bCs/>
          <w:color w:val="000000" w:themeColor="text1"/>
          <w:sz w:val="21"/>
          <w:szCs w:val="21"/>
          <w14:textFill>
            <w14:solidFill>
              <w14:schemeClr w14:val="tx1"/>
            </w14:solidFill>
          </w14:textFill>
        </w:rPr>
        <w:t>（提供相关证明材料及技术团队主要成员联系人、联系方式表及承诺书加盖投标人公章。）</w:t>
      </w:r>
      <w:bookmarkEnd w:id="151"/>
    </w:p>
    <w:p w14:paraId="57467D82">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52" w:name="_Toc140705071"/>
      <w:r>
        <w:rPr>
          <w:rFonts w:hint="eastAsia" w:asciiTheme="minorEastAsia" w:hAnsiTheme="minorEastAsia" w:eastAsiaTheme="minorEastAsia" w:cstheme="minorEastAsia"/>
          <w:color w:val="000000" w:themeColor="text1"/>
          <w:sz w:val="21"/>
          <w:szCs w:val="21"/>
          <w14:textFill>
            <w14:solidFill>
              <w14:schemeClr w14:val="tx1"/>
            </w14:solidFill>
          </w14:textFill>
        </w:rPr>
        <w:t>5、服务期限：</w:t>
      </w:r>
      <w:bookmarkEnd w:id="152"/>
      <w:r>
        <w:rPr>
          <w:rFonts w:hint="eastAsia" w:asciiTheme="minorEastAsia" w:hAnsiTheme="minorEastAsia" w:eastAsiaTheme="minorEastAsia" w:cstheme="minorEastAsia"/>
          <w:color w:val="auto"/>
          <w:szCs w:val="21"/>
          <w:highlight w:val="none"/>
          <w:lang w:eastAsia="zh-CN"/>
        </w:rPr>
        <w:t>自甲方书面通知之日起供货，至所属分包预算资金使用完毕或供货满一年时自动终止，二者以先到者为准。</w:t>
      </w:r>
    </w:p>
    <w:p w14:paraId="0EDF194D">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53" w:name="_Toc140705072"/>
      <w:r>
        <w:rPr>
          <w:rFonts w:hint="eastAsia" w:asciiTheme="minorEastAsia" w:hAnsiTheme="minorEastAsia" w:eastAsiaTheme="minorEastAsia" w:cstheme="minorEastAsia"/>
          <w:color w:val="000000" w:themeColor="text1"/>
          <w:sz w:val="21"/>
          <w:szCs w:val="21"/>
          <w14:textFill>
            <w14:solidFill>
              <w14:schemeClr w14:val="tx1"/>
            </w14:solidFill>
          </w14:textFill>
        </w:rPr>
        <w:t>（二）验收要求：</w:t>
      </w:r>
      <w:bookmarkEnd w:id="153"/>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p>
    <w:p w14:paraId="3FF9A4CC">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54" w:name="_Toc140705073"/>
      <w:r>
        <w:rPr>
          <w:rFonts w:hint="eastAsia" w:asciiTheme="minorEastAsia" w:hAnsiTheme="minorEastAsia" w:eastAsiaTheme="minorEastAsia" w:cstheme="minorEastAsia"/>
          <w:color w:val="000000" w:themeColor="text1"/>
          <w:sz w:val="21"/>
          <w:szCs w:val="21"/>
          <w14:textFill>
            <w14:solidFill>
              <w14:schemeClr w14:val="tx1"/>
            </w14:solidFill>
          </w14:textFill>
        </w:rPr>
        <w:t>采购方每天上午收货、验收一次，送菜到达时间必须按约定时间到约定地点，提供配送服务的供应商需将约定好的所有食材、商品一次性打包密闭送达，不得将项目分包给多家供应商及多次送货。货物到达现场后，供应商应在使用单位人员和质量监督员在场情况下当面进行感官检验、外观检验或试用检验，若产品外观、包装、质量不能达到收货标准，招标人拒收配送物资，供应商应无条件迅速补充合格产品，不得影响正常开餐。对符合要求的产品当场作出记录，双方签字确认。</w:t>
      </w:r>
      <w:bookmarkEnd w:id="154"/>
    </w:p>
    <w:p w14:paraId="2F2373BC">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55" w:name="_Toc140705074"/>
      <w:r>
        <w:rPr>
          <w:rFonts w:hint="eastAsia" w:asciiTheme="minorEastAsia" w:hAnsiTheme="minorEastAsia" w:eastAsiaTheme="minorEastAsia" w:cstheme="minorEastAsia"/>
          <w:color w:val="000000" w:themeColor="text1"/>
          <w:sz w:val="21"/>
          <w:szCs w:val="21"/>
          <w14:textFill>
            <w14:solidFill>
              <w14:schemeClr w14:val="tx1"/>
            </w14:solidFill>
          </w14:textFill>
        </w:rPr>
        <w:t>提供货物未达到投标文件规定要求，且对采购方造成损失的，由供应商承担一切责任，并赔偿所造成</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的</w:t>
      </w:r>
      <w:r>
        <w:rPr>
          <w:rFonts w:hint="eastAsia" w:asciiTheme="minorEastAsia" w:hAnsiTheme="minorEastAsia" w:eastAsiaTheme="minorEastAsia" w:cstheme="minorEastAsia"/>
          <w:color w:val="000000" w:themeColor="text1"/>
          <w:sz w:val="21"/>
          <w:szCs w:val="21"/>
          <w14:textFill>
            <w14:solidFill>
              <w14:schemeClr w14:val="tx1"/>
            </w14:solidFill>
          </w14:textFill>
        </w:rPr>
        <w:t>损失。供应商未按照约定时间到达的，采购方有权拒绝收货，由供应商承担一切责任，并赔偿所造成</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的</w:t>
      </w:r>
      <w:r>
        <w:rPr>
          <w:rFonts w:hint="eastAsia" w:asciiTheme="minorEastAsia" w:hAnsiTheme="minorEastAsia" w:eastAsiaTheme="minorEastAsia" w:cstheme="minorEastAsia"/>
          <w:color w:val="000000" w:themeColor="text1"/>
          <w:sz w:val="21"/>
          <w:szCs w:val="21"/>
          <w14:textFill>
            <w14:solidFill>
              <w14:schemeClr w14:val="tx1"/>
            </w14:solidFill>
          </w14:textFill>
        </w:rPr>
        <w:t>损失。</w:t>
      </w:r>
      <w:bookmarkEnd w:id="155"/>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p>
    <w:p w14:paraId="0C88FBBE">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56" w:name="_Toc140705075"/>
      <w:r>
        <w:rPr>
          <w:rFonts w:hint="eastAsia" w:asciiTheme="minorEastAsia" w:hAnsiTheme="minorEastAsia" w:eastAsiaTheme="minorEastAsia" w:cstheme="minorEastAsia"/>
          <w:color w:val="000000" w:themeColor="text1"/>
          <w:sz w:val="21"/>
          <w:szCs w:val="21"/>
          <w14:textFill>
            <w14:solidFill>
              <w14:schemeClr w14:val="tx1"/>
            </w14:solidFill>
          </w14:textFill>
        </w:rPr>
        <w:t>采购方组织定期或不定期货品抽检和送检。对检验不合格产品无条件退、换货。因验收货物时不能直接判断质量的，在使用过程中发现不合格商品，供应商应作退换货处理。</w:t>
      </w:r>
      <w:bookmarkEnd w:id="156"/>
    </w:p>
    <w:p w14:paraId="6356E2B8">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57" w:name="_Toc140705076"/>
      <w:r>
        <w:rPr>
          <w:rFonts w:hint="eastAsia" w:asciiTheme="minorEastAsia" w:hAnsiTheme="minorEastAsia" w:eastAsiaTheme="minorEastAsia" w:cstheme="minorEastAsia"/>
          <w:color w:val="000000" w:themeColor="text1"/>
          <w:sz w:val="21"/>
          <w:szCs w:val="21"/>
          <w14:textFill>
            <w14:solidFill>
              <w14:schemeClr w14:val="tx1"/>
            </w14:solidFill>
          </w14:textFill>
        </w:rPr>
        <w:t>凡按重量计量物资，均以物品净重方式计量结算。</w:t>
      </w:r>
      <w:bookmarkEnd w:id="157"/>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p>
    <w:p w14:paraId="738AE87E">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58" w:name="_Toc140705077"/>
      <w:r>
        <w:rPr>
          <w:rFonts w:hint="eastAsia" w:asciiTheme="minorEastAsia" w:hAnsiTheme="minorEastAsia" w:eastAsiaTheme="minorEastAsia" w:cstheme="minorEastAsia"/>
          <w:color w:val="000000" w:themeColor="text1"/>
          <w:sz w:val="21"/>
          <w:szCs w:val="21"/>
          <w14:textFill>
            <w14:solidFill>
              <w14:schemeClr w14:val="tx1"/>
            </w14:solidFill>
          </w14:textFill>
        </w:rPr>
        <w:t>所有货物送达采购方指定地点前必须按包装要求进行封闭装运。</w:t>
      </w:r>
      <w:bookmarkEnd w:id="158"/>
      <w:bookmarkStart w:id="159" w:name="_Toc140705078"/>
    </w:p>
    <w:p w14:paraId="32C24DCA">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（三）验收标准</w:t>
      </w:r>
      <w:bookmarkEnd w:id="159"/>
    </w:p>
    <w:tbl>
      <w:tblPr>
        <w:tblStyle w:val="40"/>
        <w:tblW w:w="5278" w:type="pct"/>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59"/>
        <w:gridCol w:w="4724"/>
        <w:gridCol w:w="4633"/>
      </w:tblGrid>
      <w:tr w14:paraId="50BEA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51" w:type="pct"/>
            <w:tcBorders>
              <w:left w:val="single" w:color="000000" w:sz="4" w:space="0"/>
            </w:tcBorders>
            <w:shd w:val="clear" w:color="auto" w:fill="FFFFFF"/>
            <w:noWrap w:val="0"/>
            <w:vAlign w:val="center"/>
          </w:tcPr>
          <w:p w14:paraId="7AC7218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60" w:name="_Toc140705079"/>
            <w:bookmarkStart w:id="161" w:name="_Toc140705112"/>
            <w:r>
              <w:rPr>
                <w:rFonts w:hint="eastAsia" w:asciiTheme="minorEastAsia" w:hAnsiTheme="minorEastAsia" w:eastAsiaTheme="minorEastAsia" w:cstheme="minorEastAsia"/>
                <w:color w:val="000000" w:themeColor="text1"/>
                <w:sz w:val="21"/>
                <w:szCs w:val="21"/>
                <w14:textFill>
                  <w14:solidFill>
                    <w14:schemeClr w14:val="tx1"/>
                  </w14:solidFill>
                </w14:textFill>
              </w:rPr>
              <w:t>种类</w:t>
            </w:r>
            <w:bookmarkEnd w:id="160"/>
          </w:p>
        </w:tc>
        <w:tc>
          <w:tcPr>
            <w:tcW w:w="2246" w:type="pct"/>
            <w:shd w:val="clear" w:color="auto" w:fill="FFFFFF"/>
            <w:noWrap w:val="0"/>
            <w:vAlign w:val="center"/>
          </w:tcPr>
          <w:p w14:paraId="2520DB8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62" w:name="_Toc140705080"/>
            <w:r>
              <w:rPr>
                <w:rFonts w:hint="eastAsia" w:asciiTheme="minorEastAsia" w:hAnsiTheme="minorEastAsia" w:eastAsiaTheme="minorEastAsia" w:cstheme="minorEastAsia"/>
                <w:color w:val="000000" w:themeColor="text1"/>
                <w:sz w:val="21"/>
                <w:szCs w:val="21"/>
                <w14:textFill>
                  <w14:solidFill>
                    <w14:schemeClr w14:val="tx1"/>
                  </w14:solidFill>
                </w14:textFill>
              </w:rPr>
              <w:t>验收标准</w:t>
            </w:r>
            <w:bookmarkEnd w:id="162"/>
          </w:p>
        </w:tc>
        <w:tc>
          <w:tcPr>
            <w:tcW w:w="2203" w:type="pct"/>
            <w:shd w:val="clear" w:color="auto" w:fill="FFFFFF"/>
            <w:noWrap w:val="0"/>
            <w:vAlign w:val="center"/>
          </w:tcPr>
          <w:p w14:paraId="5CDBDB8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63" w:name="_Toc140705081"/>
            <w:r>
              <w:rPr>
                <w:rFonts w:hint="eastAsia" w:asciiTheme="minorEastAsia" w:hAnsiTheme="minorEastAsia" w:eastAsiaTheme="minorEastAsia" w:cstheme="minorEastAsia"/>
                <w:color w:val="000000" w:themeColor="text1"/>
                <w:sz w:val="21"/>
                <w:szCs w:val="21"/>
                <w14:textFill>
                  <w14:solidFill>
                    <w14:schemeClr w14:val="tx1"/>
                  </w14:solidFill>
                </w14:textFill>
              </w:rPr>
              <w:t>退货依据</w:t>
            </w:r>
            <w:bookmarkEnd w:id="163"/>
          </w:p>
        </w:tc>
      </w:tr>
      <w:tr w14:paraId="20CB90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51" w:type="pct"/>
            <w:tcBorders>
              <w:left w:val="single" w:color="000000" w:sz="4" w:space="0"/>
            </w:tcBorders>
            <w:shd w:val="clear" w:color="auto" w:fill="FFFFFF"/>
            <w:noWrap w:val="0"/>
            <w:vAlign w:val="center"/>
          </w:tcPr>
          <w:p w14:paraId="16B7C9C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64" w:name="_Toc140705094"/>
            <w:r>
              <w:rPr>
                <w:rFonts w:hint="eastAsia" w:asciiTheme="minorEastAsia" w:hAnsiTheme="minorEastAsia" w:eastAsiaTheme="minorEastAsia" w:cstheme="minorEastAsia"/>
                <w:color w:val="000000" w:themeColor="text1"/>
                <w:sz w:val="21"/>
                <w:szCs w:val="21"/>
                <w14:textFill>
                  <w14:solidFill>
                    <w14:schemeClr w14:val="tx1"/>
                  </w14:solidFill>
                </w14:textFill>
              </w:rPr>
              <w:t>肉食类</w:t>
            </w:r>
            <w:bookmarkEnd w:id="164"/>
          </w:p>
        </w:tc>
        <w:tc>
          <w:tcPr>
            <w:tcW w:w="4449" w:type="pct"/>
            <w:gridSpan w:val="2"/>
            <w:shd w:val="clear" w:color="auto" w:fill="FFFFFF"/>
            <w:noWrap w:val="0"/>
            <w:vAlign w:val="center"/>
          </w:tcPr>
          <w:p w14:paraId="4F885CA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65" w:name="_Toc140705095"/>
            <w:r>
              <w:rPr>
                <w:rFonts w:hint="eastAsia" w:asciiTheme="minorEastAsia" w:hAnsiTheme="minorEastAsia" w:eastAsiaTheme="minorEastAsia" w:cstheme="minorEastAsia"/>
                <w:color w:val="000000" w:themeColor="text1"/>
                <w:sz w:val="21"/>
                <w:szCs w:val="21"/>
                <w14:textFill>
                  <w14:solidFill>
                    <w14:schemeClr w14:val="tx1"/>
                  </w14:solidFill>
                </w14:textFill>
              </w:rPr>
              <w:t>符合鲜、冻片猪肉国家标准GB2707-2016，冷鲜肉屠宰检验日期48小时内交付，冷冻肉剩余保存期不少于原有保质期的三分之二。猪肉、牛肉等必须具有动物检验检疫合格证明，新鲜无异味，无注水现象，并按食堂要求需进行初步加工，如切块、片、段、丝等。</w:t>
            </w:r>
            <w:bookmarkEnd w:id="165"/>
          </w:p>
        </w:tc>
      </w:tr>
      <w:tr w14:paraId="5B360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51" w:type="pct"/>
            <w:tcBorders>
              <w:left w:val="single" w:color="000000" w:sz="4" w:space="0"/>
            </w:tcBorders>
            <w:shd w:val="clear" w:color="auto" w:fill="FFFFFF"/>
            <w:noWrap w:val="0"/>
            <w:vAlign w:val="center"/>
          </w:tcPr>
          <w:p w14:paraId="76A4DCE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66" w:name="_Toc140705098"/>
            <w:r>
              <w:rPr>
                <w:rFonts w:hint="eastAsia" w:asciiTheme="minorEastAsia" w:hAnsiTheme="minorEastAsia" w:eastAsiaTheme="minorEastAsia" w:cstheme="minorEastAsia"/>
                <w:color w:val="000000" w:themeColor="text1"/>
                <w:sz w:val="21"/>
                <w:szCs w:val="21"/>
                <w14:textFill>
                  <w14:solidFill>
                    <w14:schemeClr w14:val="tx1"/>
                  </w14:solidFill>
                </w14:textFill>
              </w:rPr>
              <w:t>水产品类</w:t>
            </w:r>
            <w:bookmarkEnd w:id="166"/>
          </w:p>
        </w:tc>
        <w:tc>
          <w:tcPr>
            <w:tcW w:w="4449" w:type="pct"/>
            <w:gridSpan w:val="2"/>
            <w:shd w:val="clear" w:color="auto" w:fill="FFFFFF"/>
            <w:noWrap w:val="0"/>
            <w:vAlign w:val="center"/>
          </w:tcPr>
          <w:p w14:paraId="77A00B9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67" w:name="_Toc140705099"/>
            <w:r>
              <w:rPr>
                <w:rFonts w:hint="eastAsia" w:asciiTheme="minorEastAsia" w:hAnsiTheme="minorEastAsia" w:eastAsiaTheme="minorEastAsia" w:cstheme="minorEastAsia"/>
                <w:color w:val="000000" w:themeColor="text1"/>
                <w:sz w:val="21"/>
                <w:szCs w:val="21"/>
                <w14:textFill>
                  <w14:solidFill>
                    <w14:schemeClr w14:val="tx1"/>
                  </w14:solidFill>
                </w14:textFill>
              </w:rPr>
              <w:t>必须符合GB2733-2015标准；外表新鲜无异味，根据招标人要求大小适中及均匀，按照招标人要求进行加工，如活鱼类现场宰杀，刨肚去鳞等。</w:t>
            </w:r>
            <w:bookmarkEnd w:id="167"/>
          </w:p>
        </w:tc>
      </w:tr>
      <w:tr w14:paraId="1A7B53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51" w:type="pct"/>
            <w:tcBorders>
              <w:left w:val="single" w:color="000000" w:sz="4" w:space="0"/>
            </w:tcBorders>
            <w:shd w:val="clear" w:color="auto" w:fill="FFFFFF"/>
            <w:noWrap w:val="0"/>
            <w:vAlign w:val="center"/>
          </w:tcPr>
          <w:p w14:paraId="06F3427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68" w:name="_Toc140705096"/>
            <w:r>
              <w:rPr>
                <w:rFonts w:hint="eastAsia" w:asciiTheme="minorEastAsia" w:hAnsiTheme="minorEastAsia" w:eastAsiaTheme="minorEastAsia" w:cstheme="minorEastAsia"/>
                <w:color w:val="000000" w:themeColor="text1"/>
                <w:sz w:val="21"/>
                <w:szCs w:val="21"/>
                <w14:textFill>
                  <w14:solidFill>
                    <w14:schemeClr w14:val="tx1"/>
                  </w14:solidFill>
                </w14:textFill>
              </w:rPr>
              <w:t>禽蛋类</w:t>
            </w:r>
            <w:bookmarkEnd w:id="168"/>
          </w:p>
        </w:tc>
        <w:tc>
          <w:tcPr>
            <w:tcW w:w="4449" w:type="pct"/>
            <w:gridSpan w:val="2"/>
            <w:shd w:val="clear" w:color="auto" w:fill="FFFFFF"/>
            <w:noWrap w:val="0"/>
            <w:vAlign w:val="center"/>
          </w:tcPr>
          <w:p w14:paraId="26DC954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69" w:name="_Toc140705097"/>
            <w:r>
              <w:rPr>
                <w:rFonts w:hint="eastAsia" w:asciiTheme="minorEastAsia" w:hAnsiTheme="minorEastAsia" w:eastAsiaTheme="minorEastAsia" w:cstheme="minorEastAsia"/>
                <w:color w:val="000000" w:themeColor="text1"/>
                <w:sz w:val="21"/>
                <w:szCs w:val="21"/>
                <w14:textFill>
                  <w14:solidFill>
                    <w14:schemeClr w14:val="tx1"/>
                  </w14:solidFill>
                </w14:textFill>
              </w:rPr>
              <w:t>鲜(冻)鸡鸭、鸡副产品等必须具有动物检验检疫合格证明，符号国家标准GB/T 37108-2018，新鲜无异味，无注水现象，并按食堂要求需进行初步加工，如切块、段等，鸡鸭类宰杀刨肚等。蛋壳清洁完整，灯光透视时整个蛋呈微红色，蛋黄不见或略有阴影，打开后蛋黄凸起完整并带有韧性，蛋白澄清透明，稀稠分明。</w:t>
            </w:r>
            <w:bookmarkEnd w:id="169"/>
          </w:p>
        </w:tc>
      </w:tr>
      <w:tr w14:paraId="4B328A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51" w:type="pct"/>
            <w:tcBorders>
              <w:left w:val="single" w:color="000000" w:sz="4" w:space="0"/>
            </w:tcBorders>
            <w:shd w:val="clear" w:color="auto" w:fill="FFFFFF"/>
            <w:noWrap w:val="0"/>
            <w:vAlign w:val="center"/>
          </w:tcPr>
          <w:p w14:paraId="0F7B769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70" w:name="_Toc140705106"/>
            <w:r>
              <w:rPr>
                <w:rFonts w:hint="eastAsia" w:asciiTheme="minorEastAsia" w:hAnsiTheme="minorEastAsia" w:eastAsiaTheme="minorEastAsia" w:cstheme="minorEastAsia"/>
                <w:color w:val="000000" w:themeColor="text1"/>
                <w:sz w:val="21"/>
                <w:szCs w:val="21"/>
                <w14:textFill>
                  <w14:solidFill>
                    <w14:schemeClr w14:val="tx1"/>
                  </w14:solidFill>
                </w14:textFill>
              </w:rPr>
              <w:t>乳制品类</w:t>
            </w:r>
            <w:bookmarkEnd w:id="170"/>
          </w:p>
        </w:tc>
        <w:tc>
          <w:tcPr>
            <w:tcW w:w="4449" w:type="pct"/>
            <w:gridSpan w:val="2"/>
            <w:shd w:val="clear" w:color="auto" w:fill="FFFFFF"/>
            <w:noWrap w:val="0"/>
            <w:vAlign w:val="center"/>
          </w:tcPr>
          <w:p w14:paraId="3FC45AE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71" w:name="_Toc140705107"/>
            <w:r>
              <w:rPr>
                <w:rFonts w:hint="eastAsia" w:asciiTheme="minorEastAsia" w:hAnsiTheme="minorEastAsia" w:eastAsiaTheme="minorEastAsia" w:cstheme="minorEastAsia"/>
                <w:color w:val="000000" w:themeColor="text1"/>
                <w:sz w:val="21"/>
                <w:szCs w:val="21"/>
                <w14:textFill>
                  <w14:solidFill>
                    <w14:schemeClr w14:val="tx1"/>
                  </w14:solidFill>
                </w14:textFill>
              </w:rPr>
              <w:t>酸奶（小塑杯）必须符合GB19302-2010标准，并拥有“QS“食品质量安全认证；鲜奶类（巴氏奶）：必须符合GB19301-2010标准，并拥有“QS”食品质量安全认证；当天生产，当天送货，冷链运输，安全储存。</w:t>
            </w:r>
            <w:bookmarkEnd w:id="171"/>
          </w:p>
        </w:tc>
      </w:tr>
      <w:tr w14:paraId="323EDF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51" w:type="pct"/>
            <w:tcBorders>
              <w:left w:val="single" w:color="000000" w:sz="4" w:space="0"/>
            </w:tcBorders>
            <w:shd w:val="clear" w:color="auto" w:fill="FFFFFF"/>
            <w:noWrap w:val="0"/>
            <w:vAlign w:val="center"/>
          </w:tcPr>
          <w:p w14:paraId="54F7ED4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72" w:name="_Toc140705110"/>
            <w:r>
              <w:rPr>
                <w:rFonts w:hint="eastAsia" w:asciiTheme="minorEastAsia" w:hAnsiTheme="minorEastAsia" w:eastAsiaTheme="minorEastAsia" w:cstheme="minorEastAsia"/>
                <w:color w:val="000000" w:themeColor="text1"/>
                <w:sz w:val="21"/>
                <w:szCs w:val="21"/>
                <w14:textFill>
                  <w14:solidFill>
                    <w14:schemeClr w14:val="tx1"/>
                  </w14:solidFill>
                </w14:textFill>
              </w:rPr>
              <w:t>水果类</w:t>
            </w:r>
            <w:bookmarkEnd w:id="172"/>
          </w:p>
        </w:tc>
        <w:tc>
          <w:tcPr>
            <w:tcW w:w="4449" w:type="pct"/>
            <w:gridSpan w:val="2"/>
            <w:shd w:val="clear" w:color="auto" w:fill="FFFFFF"/>
            <w:noWrap w:val="0"/>
            <w:vAlign w:val="center"/>
          </w:tcPr>
          <w:p w14:paraId="031FA75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73" w:name="_Toc140705111"/>
            <w:r>
              <w:rPr>
                <w:rFonts w:hint="eastAsia" w:asciiTheme="minorEastAsia" w:hAnsiTheme="minorEastAsia" w:eastAsiaTheme="minorEastAsia" w:cstheme="minorEastAsia"/>
                <w:color w:val="000000" w:themeColor="text1"/>
                <w:sz w:val="21"/>
                <w:szCs w:val="21"/>
                <w14:textFill>
                  <w14:solidFill>
                    <w14:schemeClr w14:val="tx1"/>
                  </w14:solidFill>
                </w14:textFill>
              </w:rPr>
              <w:t>水果必须符合GB23200-2016标准、根据甲方要求大小适中及均匀,成熟度适中，品种好、口感好。</w:t>
            </w:r>
            <w:bookmarkEnd w:id="173"/>
          </w:p>
        </w:tc>
      </w:tr>
      <w:tr w14:paraId="54681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51" w:type="pct"/>
            <w:tcBorders>
              <w:left w:val="single" w:color="000000" w:sz="4" w:space="0"/>
            </w:tcBorders>
            <w:shd w:val="clear" w:color="auto" w:fill="FFFFFF"/>
            <w:noWrap w:val="0"/>
            <w:vAlign w:val="center"/>
          </w:tcPr>
          <w:p w14:paraId="5F7E577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74" w:name="_Toc140705082"/>
            <w:r>
              <w:rPr>
                <w:rFonts w:hint="eastAsia" w:asciiTheme="minorEastAsia" w:hAnsiTheme="minorEastAsia" w:eastAsiaTheme="minorEastAsia" w:cstheme="minorEastAsia"/>
                <w:color w:val="000000" w:themeColor="text1"/>
                <w:sz w:val="21"/>
                <w:szCs w:val="21"/>
                <w14:textFill>
                  <w14:solidFill>
                    <w14:schemeClr w14:val="tx1"/>
                  </w14:solidFill>
                </w14:textFill>
              </w:rPr>
              <w:t>叶菜</w:t>
            </w:r>
            <w:bookmarkEnd w:id="174"/>
          </w:p>
        </w:tc>
        <w:tc>
          <w:tcPr>
            <w:tcW w:w="2246" w:type="pct"/>
            <w:shd w:val="clear" w:color="auto" w:fill="FFFFFF"/>
            <w:noWrap w:val="0"/>
            <w:vAlign w:val="center"/>
          </w:tcPr>
          <w:p w14:paraId="66479E9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75" w:name="_Toc140705083"/>
            <w:r>
              <w:rPr>
                <w:rFonts w:hint="eastAsia" w:asciiTheme="minorEastAsia" w:hAnsiTheme="minorEastAsia" w:eastAsiaTheme="minorEastAsia" w:cstheme="minorEastAsia"/>
                <w:color w:val="000000" w:themeColor="text1"/>
                <w:sz w:val="21"/>
                <w:szCs w:val="21"/>
                <w14:textFill>
                  <w14:solidFill>
                    <w14:schemeClr w14:val="tx1"/>
                  </w14:solidFill>
                </w14:textFill>
              </w:rPr>
              <w:t>叶菜必须符合GB23200-2016标准，外形正常，叶梗光滑幼嫩，不干瘪凋萎，无过多黄叶，色泽正常。去除根须，不含土，无虫害，大白菜、卷心菜切开心不变黑，无腐烂情形，无明显浸水现象；农药残留不超标。</w:t>
            </w:r>
            <w:bookmarkEnd w:id="175"/>
          </w:p>
        </w:tc>
        <w:tc>
          <w:tcPr>
            <w:tcW w:w="2203" w:type="pct"/>
            <w:shd w:val="clear" w:color="auto" w:fill="FFFFFF"/>
            <w:noWrap w:val="0"/>
            <w:vAlign w:val="center"/>
          </w:tcPr>
          <w:p w14:paraId="0B87960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76" w:name="_Toc140705084"/>
            <w:r>
              <w:rPr>
                <w:rFonts w:hint="eastAsia" w:asciiTheme="minorEastAsia" w:hAnsiTheme="minorEastAsia" w:eastAsiaTheme="minorEastAsia" w:cstheme="minorEastAsia"/>
                <w:color w:val="000000" w:themeColor="text1"/>
                <w:sz w:val="21"/>
                <w:szCs w:val="21"/>
                <w14:textFill>
                  <w14:solidFill>
                    <w14:schemeClr w14:val="tx1"/>
                  </w14:solidFill>
                </w14:textFill>
              </w:rPr>
              <w:t>味苦，鲜度嫩度明显不佳，含黄叶须根，泥土、虫害严重，萎捏严重，浸水后仍不可恢复；农药残留超标。</w:t>
            </w:r>
            <w:bookmarkEnd w:id="176"/>
          </w:p>
        </w:tc>
      </w:tr>
      <w:tr w14:paraId="10037D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51" w:type="pct"/>
            <w:tcBorders>
              <w:left w:val="single" w:color="000000" w:sz="4" w:space="0"/>
            </w:tcBorders>
            <w:shd w:val="clear" w:color="auto" w:fill="FFFFFF"/>
            <w:noWrap w:val="0"/>
            <w:vAlign w:val="center"/>
          </w:tcPr>
          <w:p w14:paraId="1478CBC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77" w:name="_Toc140705108"/>
            <w:r>
              <w:rPr>
                <w:rFonts w:hint="eastAsia" w:asciiTheme="minorEastAsia" w:hAnsiTheme="minorEastAsia" w:eastAsiaTheme="minorEastAsia" w:cstheme="minorEastAsia"/>
                <w:color w:val="000000" w:themeColor="text1"/>
                <w:sz w:val="21"/>
                <w:szCs w:val="21"/>
                <w14:textFill>
                  <w14:solidFill>
                    <w14:schemeClr w14:val="tx1"/>
                  </w14:solidFill>
                </w14:textFill>
              </w:rPr>
              <w:t>豆制品类</w:t>
            </w:r>
            <w:bookmarkEnd w:id="177"/>
          </w:p>
        </w:tc>
        <w:tc>
          <w:tcPr>
            <w:tcW w:w="4449" w:type="pct"/>
            <w:gridSpan w:val="2"/>
            <w:shd w:val="clear" w:color="auto" w:fill="FFFFFF"/>
            <w:noWrap w:val="0"/>
            <w:vAlign w:val="center"/>
          </w:tcPr>
          <w:p w14:paraId="34C32D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78" w:name="_Toc140705109"/>
            <w:r>
              <w:rPr>
                <w:rFonts w:hint="eastAsia" w:asciiTheme="minorEastAsia" w:hAnsiTheme="minorEastAsia" w:eastAsiaTheme="minorEastAsia" w:cstheme="minorEastAsia"/>
                <w:color w:val="000000" w:themeColor="text1"/>
                <w:sz w:val="21"/>
                <w:szCs w:val="21"/>
                <w14:textFill>
                  <w14:solidFill>
                    <w14:schemeClr w14:val="tx1"/>
                  </w14:solidFill>
                </w14:textFill>
              </w:rPr>
              <w:t>包括但不限于干丝、豆腐、千张等，必须具有“QS“食品质量安全认证。</w:t>
            </w:r>
            <w:bookmarkEnd w:id="178"/>
          </w:p>
        </w:tc>
      </w:tr>
      <w:tr w14:paraId="6E2D57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51" w:type="pct"/>
            <w:tcBorders>
              <w:left w:val="single" w:color="000000" w:sz="4" w:space="0"/>
            </w:tcBorders>
            <w:shd w:val="clear" w:color="auto" w:fill="FFFFFF"/>
            <w:noWrap w:val="0"/>
            <w:vAlign w:val="center"/>
          </w:tcPr>
          <w:p w14:paraId="5E9FE47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79" w:name="_Toc140705085"/>
            <w:r>
              <w:rPr>
                <w:rFonts w:hint="eastAsia" w:asciiTheme="minorEastAsia" w:hAnsiTheme="minorEastAsia" w:eastAsiaTheme="minorEastAsia" w:cstheme="minorEastAsia"/>
                <w:color w:val="000000" w:themeColor="text1"/>
                <w:sz w:val="21"/>
                <w:szCs w:val="21"/>
                <w14:textFill>
                  <w14:solidFill>
                    <w14:schemeClr w14:val="tx1"/>
                  </w14:solidFill>
                </w14:textFill>
              </w:rPr>
              <w:t>根茎类（如香芋、土豆、莴笋等）</w:t>
            </w:r>
            <w:bookmarkEnd w:id="179"/>
          </w:p>
        </w:tc>
        <w:tc>
          <w:tcPr>
            <w:tcW w:w="2246" w:type="pct"/>
            <w:shd w:val="clear" w:color="auto" w:fill="FFFFFF"/>
            <w:noWrap w:val="0"/>
            <w:vAlign w:val="center"/>
          </w:tcPr>
          <w:p w14:paraId="53C92B5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80" w:name="_Toc140705086"/>
            <w:r>
              <w:rPr>
                <w:rFonts w:hint="eastAsia" w:asciiTheme="minorEastAsia" w:hAnsiTheme="minorEastAsia" w:eastAsiaTheme="minorEastAsia" w:cstheme="minorEastAsia"/>
                <w:color w:val="000000" w:themeColor="text1"/>
                <w:sz w:val="21"/>
                <w:szCs w:val="21"/>
                <w14:textFill>
                  <w14:solidFill>
                    <w14:schemeClr w14:val="tx1"/>
                  </w14:solidFill>
                </w14:textFill>
              </w:rPr>
              <w:t>根茎类蔬菜必须符合GB23200-2016标准，无虫咬、发芽、发霉现象，新鲜，形态大小与招标人自购标准相当。农药残留不超标。</w:t>
            </w:r>
            <w:bookmarkEnd w:id="180"/>
          </w:p>
        </w:tc>
        <w:tc>
          <w:tcPr>
            <w:tcW w:w="2203" w:type="pct"/>
            <w:shd w:val="clear" w:color="auto" w:fill="FFFFFF"/>
            <w:noWrap w:val="0"/>
            <w:vAlign w:val="center"/>
          </w:tcPr>
          <w:p w14:paraId="6EAFD1B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81" w:name="_Toc140705087"/>
            <w:r>
              <w:rPr>
                <w:rFonts w:hint="eastAsia" w:asciiTheme="minorEastAsia" w:hAnsiTheme="minorEastAsia" w:eastAsiaTheme="minorEastAsia" w:cstheme="minorEastAsia"/>
                <w:color w:val="000000" w:themeColor="text1"/>
                <w:sz w:val="21"/>
                <w:szCs w:val="21"/>
                <w14:textFill>
                  <w14:solidFill>
                    <w14:schemeClr w14:val="tx1"/>
                  </w14:solidFill>
                </w14:textFill>
              </w:rPr>
              <w:t>发芽严重、发霉，新鲜度不佳，形态大小与招标人自购标准存在较大负偏差。农药残留超标。</w:t>
            </w:r>
            <w:bookmarkEnd w:id="181"/>
          </w:p>
        </w:tc>
      </w:tr>
      <w:tr w14:paraId="740534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51" w:type="pct"/>
            <w:tcBorders>
              <w:left w:val="single" w:color="000000" w:sz="4" w:space="0"/>
            </w:tcBorders>
            <w:shd w:val="clear" w:color="auto" w:fill="FFFFFF"/>
            <w:noWrap w:val="0"/>
            <w:vAlign w:val="center"/>
          </w:tcPr>
          <w:p w14:paraId="36007EB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82" w:name="_Toc140705088"/>
            <w:r>
              <w:rPr>
                <w:rFonts w:hint="eastAsia" w:asciiTheme="minorEastAsia" w:hAnsiTheme="minorEastAsia" w:eastAsiaTheme="minorEastAsia" w:cstheme="minorEastAsia"/>
                <w:color w:val="000000" w:themeColor="text1"/>
                <w:sz w:val="21"/>
                <w:szCs w:val="21"/>
                <w14:textFill>
                  <w14:solidFill>
                    <w14:schemeClr w14:val="tx1"/>
                  </w14:solidFill>
                </w14:textFill>
              </w:rPr>
              <w:t>花果类（如西兰花、白菜花）</w:t>
            </w:r>
            <w:bookmarkEnd w:id="182"/>
          </w:p>
        </w:tc>
        <w:tc>
          <w:tcPr>
            <w:tcW w:w="2246" w:type="pct"/>
            <w:shd w:val="clear" w:color="auto" w:fill="FFFFFF"/>
            <w:noWrap w:val="0"/>
            <w:vAlign w:val="center"/>
          </w:tcPr>
          <w:p w14:paraId="77AEEEA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83" w:name="_Toc140705089"/>
            <w:r>
              <w:rPr>
                <w:rFonts w:hint="eastAsia" w:asciiTheme="minorEastAsia" w:hAnsiTheme="minorEastAsia" w:eastAsiaTheme="minorEastAsia" w:cstheme="minorEastAsia"/>
                <w:color w:val="000000" w:themeColor="text1"/>
                <w:sz w:val="21"/>
                <w:szCs w:val="21"/>
                <w14:textFill>
                  <w14:solidFill>
                    <w14:schemeClr w14:val="tx1"/>
                  </w14:solidFill>
                </w14:textFill>
              </w:rPr>
              <w:t>花果类蔬菜必须符合GB23200-2016标准，无虫害，成熟度良好，新鲜固有的色泽鲜明，无发霉发黄。农药残留不超标。</w:t>
            </w:r>
            <w:bookmarkEnd w:id="183"/>
          </w:p>
        </w:tc>
        <w:tc>
          <w:tcPr>
            <w:tcW w:w="2203" w:type="pct"/>
            <w:shd w:val="clear" w:color="auto" w:fill="FFFFFF"/>
            <w:noWrap w:val="0"/>
            <w:vAlign w:val="center"/>
          </w:tcPr>
          <w:p w14:paraId="7473666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84" w:name="_Toc140705090"/>
            <w:r>
              <w:rPr>
                <w:rFonts w:hint="eastAsia" w:asciiTheme="minorEastAsia" w:hAnsiTheme="minorEastAsia" w:eastAsiaTheme="minorEastAsia" w:cstheme="minorEastAsia"/>
                <w:color w:val="000000" w:themeColor="text1"/>
                <w:sz w:val="21"/>
                <w:szCs w:val="21"/>
                <w14:textFill>
                  <w14:solidFill>
                    <w14:schemeClr w14:val="tx1"/>
                  </w14:solidFill>
                </w14:textFill>
              </w:rPr>
              <w:t>不新鲜，发霉，虫害过多。农药残留超标。</w:t>
            </w:r>
            <w:bookmarkEnd w:id="184"/>
          </w:p>
        </w:tc>
      </w:tr>
      <w:tr w14:paraId="2E335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51" w:type="pct"/>
            <w:tcBorders>
              <w:left w:val="single" w:color="000000" w:sz="4" w:space="0"/>
            </w:tcBorders>
            <w:shd w:val="clear" w:color="auto" w:fill="FFFFFF"/>
            <w:noWrap w:val="0"/>
            <w:vAlign w:val="center"/>
          </w:tcPr>
          <w:p w14:paraId="7CCBF80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85" w:name="_Toc140705091"/>
            <w:r>
              <w:rPr>
                <w:rFonts w:hint="eastAsia" w:asciiTheme="minorEastAsia" w:hAnsiTheme="minorEastAsia" w:eastAsiaTheme="minorEastAsia" w:cstheme="minorEastAsia"/>
                <w:color w:val="000000" w:themeColor="text1"/>
                <w:sz w:val="21"/>
                <w:szCs w:val="21"/>
                <w14:textFill>
                  <w14:solidFill>
                    <w14:schemeClr w14:val="tx1"/>
                  </w14:solidFill>
                </w14:textFill>
              </w:rPr>
              <w:t>瓜果类</w:t>
            </w:r>
            <w:bookmarkEnd w:id="185"/>
          </w:p>
        </w:tc>
        <w:tc>
          <w:tcPr>
            <w:tcW w:w="2246" w:type="pct"/>
            <w:shd w:val="clear" w:color="auto" w:fill="FFFFFF"/>
            <w:noWrap w:val="0"/>
            <w:vAlign w:val="center"/>
          </w:tcPr>
          <w:p w14:paraId="6BAA6C2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86" w:name="_Toc140705092"/>
            <w:r>
              <w:rPr>
                <w:rFonts w:hint="eastAsia" w:asciiTheme="minorEastAsia" w:hAnsiTheme="minorEastAsia" w:eastAsiaTheme="minorEastAsia" w:cstheme="minorEastAsia"/>
                <w:color w:val="000000" w:themeColor="text1"/>
                <w:sz w:val="21"/>
                <w:szCs w:val="21"/>
                <w14:textFill>
                  <w14:solidFill>
                    <w14:schemeClr w14:val="tx1"/>
                  </w14:solidFill>
                </w14:textFill>
              </w:rPr>
              <w:t>瓜果必须符合GB23200-2016标准，外表光亮无斑点，有新鲜连接的秧，形状正常、大小均匀，无软塌，成熟度适度。无腐烂，无污染，清洁、新鲜，无异味、无病虫损害。农药残留不超标。</w:t>
            </w:r>
            <w:bookmarkEnd w:id="186"/>
          </w:p>
        </w:tc>
        <w:tc>
          <w:tcPr>
            <w:tcW w:w="2203" w:type="pct"/>
            <w:shd w:val="clear" w:color="auto" w:fill="FFFFFF"/>
            <w:noWrap w:val="0"/>
            <w:vAlign w:val="center"/>
          </w:tcPr>
          <w:p w14:paraId="588802B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87" w:name="_Toc140705093"/>
            <w:r>
              <w:rPr>
                <w:rFonts w:hint="eastAsia" w:asciiTheme="minorEastAsia" w:hAnsiTheme="minorEastAsia" w:eastAsiaTheme="minorEastAsia" w:cstheme="minorEastAsia"/>
                <w:color w:val="000000" w:themeColor="text1"/>
                <w:sz w:val="21"/>
                <w:szCs w:val="21"/>
                <w14:textFill>
                  <w14:solidFill>
                    <w14:schemeClr w14:val="tx1"/>
                  </w14:solidFill>
                </w14:textFill>
              </w:rPr>
              <w:t>不新鲜、软塌、腐烂，有异味。病虫损害严重，形状不太正常，大小不适中。农药残留超标。</w:t>
            </w:r>
            <w:bookmarkEnd w:id="187"/>
          </w:p>
        </w:tc>
      </w:tr>
      <w:tr w14:paraId="184F8B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51" w:type="pct"/>
            <w:tcBorders>
              <w:left w:val="single" w:color="000000" w:sz="4" w:space="0"/>
            </w:tcBorders>
            <w:shd w:val="clear" w:color="auto" w:fill="FFFFFF"/>
            <w:noWrap w:val="0"/>
            <w:vAlign w:val="center"/>
          </w:tcPr>
          <w:p w14:paraId="169FD6E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88" w:name="_Toc140705100"/>
            <w:r>
              <w:rPr>
                <w:rFonts w:hint="eastAsia" w:asciiTheme="minorEastAsia" w:hAnsiTheme="minorEastAsia" w:eastAsiaTheme="minorEastAsia" w:cstheme="minorEastAsia"/>
                <w:color w:val="000000" w:themeColor="text1"/>
                <w:sz w:val="21"/>
                <w:szCs w:val="21"/>
                <w14:textFill>
                  <w14:solidFill>
                    <w14:schemeClr w14:val="tx1"/>
                  </w14:solidFill>
                </w14:textFill>
              </w:rPr>
              <w:t>调味品类</w:t>
            </w:r>
            <w:bookmarkEnd w:id="188"/>
          </w:p>
        </w:tc>
        <w:tc>
          <w:tcPr>
            <w:tcW w:w="4449" w:type="pct"/>
            <w:gridSpan w:val="2"/>
            <w:shd w:val="clear" w:color="auto" w:fill="FFFFFF"/>
            <w:noWrap w:val="0"/>
            <w:vAlign w:val="center"/>
          </w:tcPr>
          <w:p w14:paraId="44B0EB2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89" w:name="_Toc140705101"/>
            <w:r>
              <w:rPr>
                <w:rFonts w:hint="eastAsia" w:asciiTheme="minorEastAsia" w:hAnsiTheme="minorEastAsia" w:eastAsiaTheme="minorEastAsia" w:cstheme="minorEastAsia"/>
                <w:color w:val="000000" w:themeColor="text1"/>
                <w:sz w:val="21"/>
                <w:szCs w:val="21"/>
                <w14:textFill>
                  <w14:solidFill>
                    <w14:schemeClr w14:val="tx1"/>
                  </w14:solidFill>
                </w14:textFill>
              </w:rPr>
              <w:t>包括但不限于符合白砂糖（白砂糖国家标准GB/T 317-2018）；食用盐（食用盐国家标准GB/T 5461-2016 、食用盐卫生标准GB 2721-2015）；酱油（酿造酱油国家标准GB18186-2000、酱油卫生标准GB 2717-2018）；味精（味精卫生标准GB 2720-2015）；生粉（淀粉制品卫生标准GB 2713-2015）；绵白糖（绵白糖国家标准GB1445-2018）；香醋（食醋国家标准GB18187-2000、食醋卫生标准GB2719-2018），剩余保存期不少于原有保质期的三分之二。</w:t>
            </w:r>
            <w:bookmarkEnd w:id="189"/>
          </w:p>
        </w:tc>
      </w:tr>
      <w:tr w14:paraId="1B5814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51" w:type="pct"/>
            <w:tcBorders>
              <w:left w:val="single" w:color="000000" w:sz="4" w:space="0"/>
            </w:tcBorders>
            <w:shd w:val="clear" w:color="auto" w:fill="FFFFFF"/>
            <w:noWrap w:val="0"/>
            <w:vAlign w:val="center"/>
          </w:tcPr>
          <w:p w14:paraId="0245459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90" w:name="_Toc140705102"/>
            <w:r>
              <w:rPr>
                <w:rFonts w:hint="eastAsia" w:asciiTheme="minorEastAsia" w:hAnsiTheme="minorEastAsia" w:eastAsiaTheme="minorEastAsia" w:cstheme="minorEastAsia"/>
                <w:color w:val="000000" w:themeColor="text1"/>
                <w:sz w:val="21"/>
                <w:szCs w:val="21"/>
                <w14:textFill>
                  <w14:solidFill>
                    <w14:schemeClr w14:val="tx1"/>
                  </w14:solidFill>
                </w14:textFill>
              </w:rPr>
              <w:t>米、面、油类</w:t>
            </w:r>
            <w:bookmarkEnd w:id="190"/>
          </w:p>
        </w:tc>
        <w:tc>
          <w:tcPr>
            <w:tcW w:w="4449" w:type="pct"/>
            <w:gridSpan w:val="2"/>
            <w:shd w:val="clear" w:color="auto" w:fill="FFFFFF"/>
            <w:noWrap w:val="0"/>
            <w:vAlign w:val="center"/>
          </w:tcPr>
          <w:p w14:paraId="1E4E8C9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91" w:name="_Toc140705103"/>
            <w:r>
              <w:rPr>
                <w:rFonts w:hint="eastAsia" w:asciiTheme="minorEastAsia" w:hAnsiTheme="minorEastAsia" w:eastAsiaTheme="minorEastAsia" w:cstheme="minorEastAsia"/>
                <w:color w:val="000000" w:themeColor="text1"/>
                <w:sz w:val="21"/>
                <w:szCs w:val="21"/>
                <w14:textFill>
                  <w14:solidFill>
                    <w14:schemeClr w14:val="tx1"/>
                  </w14:solidFill>
                </w14:textFill>
              </w:rPr>
              <w:t>大米质量要求：粳米一级国家标准GB1354-2018；</w:t>
            </w:r>
            <w:bookmarkEnd w:id="191"/>
          </w:p>
          <w:p w14:paraId="085BC74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92" w:name="_Toc140705104"/>
            <w:r>
              <w:rPr>
                <w:rFonts w:hint="eastAsia" w:asciiTheme="minorEastAsia" w:hAnsiTheme="minorEastAsia" w:eastAsiaTheme="minorEastAsia" w:cstheme="minorEastAsia"/>
                <w:color w:val="000000" w:themeColor="text1"/>
                <w:sz w:val="21"/>
                <w:szCs w:val="21"/>
                <w14:textFill>
                  <w14:solidFill>
                    <w14:schemeClr w14:val="tx1"/>
                  </w14:solidFill>
                </w14:textFill>
              </w:rPr>
              <w:t>面粉质量要求：小麦粉特制一等国家标准GB1355-1986；</w:t>
            </w:r>
            <w:bookmarkEnd w:id="192"/>
          </w:p>
          <w:p w14:paraId="185F1F6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93" w:name="_Toc140705105"/>
            <w:r>
              <w:rPr>
                <w:rFonts w:hint="eastAsia" w:asciiTheme="minorEastAsia" w:hAnsiTheme="minorEastAsia" w:eastAsiaTheme="minorEastAsia" w:cstheme="minorEastAsia"/>
                <w:color w:val="000000" w:themeColor="text1"/>
                <w:sz w:val="21"/>
                <w:szCs w:val="21"/>
                <w14:textFill>
                  <w14:solidFill>
                    <w14:schemeClr w14:val="tx1"/>
                  </w14:solidFill>
                </w14:textFill>
              </w:rPr>
              <w:t>食用油质量要求：非转基因，国家标准GB1535-2017。</w:t>
            </w:r>
            <w:bookmarkEnd w:id="193"/>
          </w:p>
        </w:tc>
      </w:tr>
    </w:tbl>
    <w:p w14:paraId="49BD90F5">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以上涉及的国家食品安全、卫生生产标准均按照最新标准执行，如在合同履行过程中出台了更新的标准，则按照最新标准执行。</w:t>
      </w:r>
      <w:bookmarkEnd w:id="161"/>
    </w:p>
    <w:p w14:paraId="0A42FFDD">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94" w:name="_Toc140705113"/>
      <w:r>
        <w:rPr>
          <w:rFonts w:hint="eastAsia" w:asciiTheme="minorEastAsia" w:hAnsiTheme="minorEastAsia" w:eastAsiaTheme="minorEastAsia" w:cstheme="minorEastAsia"/>
          <w:color w:val="000000" w:themeColor="text1"/>
          <w:sz w:val="21"/>
          <w:szCs w:val="21"/>
          <w14:textFill>
            <w14:solidFill>
              <w14:schemeClr w14:val="tx1"/>
            </w14:solidFill>
          </w14:textFill>
        </w:rPr>
        <w:t>（三）质保及售后服务要求：</w:t>
      </w:r>
      <w:bookmarkEnd w:id="194"/>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p>
    <w:p w14:paraId="420427B4">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95" w:name="_Toc140705114"/>
      <w:r>
        <w:rPr>
          <w:rFonts w:hint="eastAsia" w:asciiTheme="minorEastAsia" w:hAnsiTheme="minorEastAsia" w:eastAsiaTheme="minorEastAsia" w:cstheme="minorEastAsia"/>
          <w:color w:val="000000" w:themeColor="text1"/>
          <w:sz w:val="21"/>
          <w:szCs w:val="21"/>
          <w14:textFill>
            <w14:solidFill>
              <w14:schemeClr w14:val="tx1"/>
            </w14:solidFill>
          </w14:textFill>
        </w:rPr>
        <w:t>1、质保期限：所有货物在配送到招标人单位时，预包装商品的保质期不得低于总保质期的三分之二。</w:t>
      </w:r>
      <w:bookmarkEnd w:id="195"/>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p>
    <w:p w14:paraId="1EBE28A4">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96" w:name="_Toc140705115"/>
      <w:r>
        <w:rPr>
          <w:rFonts w:hint="eastAsia" w:asciiTheme="minorEastAsia" w:hAnsiTheme="minorEastAsia" w:eastAsiaTheme="minorEastAsia" w:cstheme="minorEastAsia"/>
          <w:color w:val="000000" w:themeColor="text1"/>
          <w:sz w:val="21"/>
          <w:szCs w:val="21"/>
          <w14:textFill>
            <w14:solidFill>
              <w14:schemeClr w14:val="tx1"/>
            </w14:solidFill>
          </w14:textFill>
        </w:rPr>
        <w:t>2、售后服务：</w:t>
      </w:r>
      <w:bookmarkEnd w:id="196"/>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p>
    <w:p w14:paraId="2473C927">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97" w:name="_Toc140705117"/>
      <w:r>
        <w:rPr>
          <w:rFonts w:hint="eastAsia" w:asciiTheme="minorEastAsia" w:hAnsiTheme="minorEastAsia" w:eastAsiaTheme="minorEastAsia" w:cstheme="minorEastAsia"/>
          <w:color w:val="000000" w:themeColor="text1"/>
          <w:sz w:val="21"/>
          <w:szCs w:val="21"/>
          <w14:textFill>
            <w14:solidFill>
              <w14:schemeClr w14:val="tx1"/>
            </w14:solidFill>
          </w14:textFill>
        </w:rPr>
        <w:t>（1）供应商在配送服务过程中应遵守招标人单位的各项规章制度，不得与招标人单位或人员发生各种不文明行为，如遇不可解决之矛盾应以沟通为主，相互谅解。</w:t>
      </w:r>
      <w:bookmarkEnd w:id="197"/>
    </w:p>
    <w:p w14:paraId="06D6B28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firstLine="482"/>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198" w:name="_Toc140705118"/>
      <w:r>
        <w:rPr>
          <w:rFonts w:hint="eastAsia" w:asciiTheme="minorEastAsia" w:hAnsiTheme="minorEastAsia" w:eastAsiaTheme="minorEastAsia" w:cstheme="minorEastAsia"/>
          <w:color w:val="000000" w:themeColor="text1"/>
          <w:sz w:val="21"/>
          <w:szCs w:val="21"/>
          <w14:textFill>
            <w14:solidFill>
              <w14:schemeClr w14:val="tx1"/>
            </w14:solidFill>
          </w14:textFill>
        </w:rPr>
        <w:t>（2）培训：供应商应对送货人员进行专业培训，以完成工作任务。</w:t>
      </w:r>
      <w:bookmarkEnd w:id="198"/>
    </w:p>
    <w:p w14:paraId="63A7187A">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四</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履约保证金</w:t>
      </w:r>
    </w:p>
    <w:p w14:paraId="25912B20">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default"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签订合同时，乙方按照“采购包1：壹万元整（￥10000元）；采购包2：壹万元整（￥10000元）；采购包3：柒仟元整（￥7000元）；采购包4：叁仟元整（￥3000元）”缴纳履约保证金。</w:t>
      </w:r>
    </w:p>
    <w:p w14:paraId="79763EA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2"/>
        <w:textAlignment w:val="auto"/>
        <w:rPr>
          <w:rFonts w:hint="default" w:asciiTheme="minorEastAsia" w:hAnsiTheme="minorEastAsia" w:eastAsiaTheme="minorEastAsia" w:cstheme="minorEastAsia"/>
          <w:b/>
          <w:color w:val="000000"/>
          <w:sz w:val="21"/>
          <w:szCs w:val="21"/>
          <w:highlight w:val="none"/>
          <w:lang w:val="en-US" w:eastAsia="zh-CN"/>
        </w:rPr>
      </w:pPr>
      <w:r>
        <w:rPr>
          <w:rFonts w:hint="eastAsia" w:asciiTheme="minorEastAsia" w:hAnsiTheme="minorEastAsia" w:eastAsiaTheme="minorEastAsia" w:cstheme="minorEastAsia"/>
          <w:b/>
          <w:color w:val="000000"/>
          <w:sz w:val="21"/>
          <w:szCs w:val="21"/>
          <w:highlight w:val="none"/>
          <w:lang w:val="en-US" w:eastAsia="zh-CN"/>
        </w:rPr>
        <w:t>七、付款方式</w:t>
      </w:r>
    </w:p>
    <w:p w14:paraId="5601CC8B">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投标人每次的送货单必须标明种类、订单数量、实收数量、规格、单位、单价、合价。每个月汇总交由食堂食材采购负责人核实单价后结算，发票每月一开，按照招标人相关要求执行（每次付款时间最长不超过60天）。（中标人每月结算食材价款时须严格按照折扣后</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价格</w:t>
      </w:r>
      <w:r>
        <w:rPr>
          <w:rFonts w:hint="eastAsia" w:asciiTheme="minorEastAsia" w:hAnsiTheme="minorEastAsia" w:eastAsiaTheme="minorEastAsia" w:cstheme="minorEastAsia"/>
          <w:color w:val="000000" w:themeColor="text1"/>
          <w:sz w:val="21"/>
          <w:szCs w:val="21"/>
          <w14:textFill>
            <w14:solidFill>
              <w14:schemeClr w14:val="tx1"/>
            </w14:solidFill>
          </w14:textFill>
        </w:rPr>
        <w:t>进行计算申报，其提供的所有结算资料均须真实有效、准确详实、有迹可循，如经招标人发现弄虚作假，一经查实，招标人将解除合同，并依法追究中标人的经济和法律责任。）</w:t>
      </w:r>
    </w:p>
    <w:p w14:paraId="66DA4C4B">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中标人从项目开始时，每三个月汇总所有供货品类报价单，提供甲方审阅，</w:t>
      </w:r>
      <w:r>
        <w:rPr>
          <w:rFonts w:hint="eastAsia" w:asciiTheme="minorEastAsia" w:hAnsiTheme="minorEastAsia" w:eastAsiaTheme="minorEastAsia" w:cstheme="minorEastAsia"/>
          <w:color w:val="000000" w:themeColor="text1"/>
          <w:sz w:val="21"/>
          <w:szCs w:val="21"/>
          <w14:textFill>
            <w14:solidFill>
              <w14:schemeClr w14:val="tx1"/>
            </w14:solidFill>
          </w14:textFill>
        </w:rPr>
        <w:t>基准价为南京市发展和改革委员会官网（http://fgw.nanjing.gov.cn/）公布的“南京市部分农贸市场主副食品周平均价格水平” 当月四周的平均价格</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执行优惠率；</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中标人提供的食材需为超市或农贸市场在售的常规品牌、型号，若提供食材品牌为市面较少、难于询价的，采购人有权拒收。</w:t>
      </w:r>
      <w:r>
        <w:rPr>
          <w:rFonts w:hint="eastAsia" w:asciiTheme="minorEastAsia" w:hAnsiTheme="minorEastAsia" w:eastAsiaTheme="minorEastAsia" w:cstheme="minorEastAsia"/>
          <w:b/>
          <w:bCs/>
          <w:color w:val="000000" w:themeColor="text1"/>
          <w:sz w:val="21"/>
          <w:szCs w:val="21"/>
          <w:lang w:val="en-US" w:eastAsia="zh-CN"/>
          <w14:textFill>
            <w14:solidFill>
              <w14:schemeClr w14:val="tx1"/>
            </w14:solidFill>
          </w14:textFill>
        </w:rPr>
        <w:t>（需提供承诺书并加盖公章，未提供或未按要求提供按照无效投标处理）</w:t>
      </w:r>
    </w:p>
    <w:p w14:paraId="33EE8B0D">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若存在官网无法提供参考依据的食材品类，以双方共同协商在其他超市或周边大、中型农贸市场的询价结果作为价格基础再进行优惠。</w:t>
      </w:r>
    </w:p>
    <w:p w14:paraId="31EC955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2"/>
        <w:textAlignment w:val="auto"/>
        <w:rPr>
          <w:rFonts w:hint="eastAsia" w:asciiTheme="minorEastAsia" w:hAnsiTheme="minorEastAsia" w:eastAsiaTheme="minorEastAsia" w:cstheme="minorEastAsia"/>
          <w:b/>
          <w:color w:val="000000"/>
          <w:sz w:val="21"/>
          <w:szCs w:val="21"/>
          <w:highlight w:val="none"/>
          <w:lang w:val="en-US" w:eastAsia="zh-CN"/>
        </w:rPr>
      </w:pPr>
      <w:r>
        <w:rPr>
          <w:rFonts w:hint="eastAsia" w:asciiTheme="minorEastAsia" w:hAnsiTheme="minorEastAsia" w:eastAsiaTheme="minorEastAsia" w:cstheme="minorEastAsia"/>
          <w:b/>
          <w:color w:val="000000"/>
          <w:sz w:val="21"/>
          <w:szCs w:val="21"/>
          <w:highlight w:val="none"/>
          <w:lang w:val="en-US" w:eastAsia="zh-CN"/>
        </w:rPr>
        <w:t>八、履约及考核要求</w:t>
      </w:r>
    </w:p>
    <w:p w14:paraId="7E5ABD23">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（一）招标人如临时增加用餐人员，需临时补充食材的，中标人应在约定时间内无条件把指定的食材送至指定的地点，否则给予警告通知，三次及以上的解除合作关系。</w:t>
      </w:r>
    </w:p>
    <w:p w14:paraId="778836AB">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二）凡经相关部门认定，如因中标人所提供的原食材原因造成食物中毒等卫生事故的，中标人除必须承担全部的法律责任外，还要全额承担因食物中毒发生造成后果的一切费用，立即停止供货和取消供货资格，并暂停支付当月所有供应原食材的货款。</w:t>
      </w:r>
    </w:p>
    <w:p w14:paraId="69213B39">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（三）凡中标人向招标人提供的食材发生质量问题，影响食用，经验收小组确认，供应商须重新配送合格食材；三次以上采购人有权解除合同。</w:t>
      </w:r>
    </w:p>
    <w:p w14:paraId="56E8B96A">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五）凡中标人供应的食材故意串规、定量包装批量误差超过相关规定、延迟交货或配送货物不符合订单要求，中标人须按招标人要求及时补货、换货或退货。对于上述情况的发生，前两次招标人将予以警告，第三次招标人有权直接解除合同。</w:t>
      </w:r>
    </w:p>
    <w:p w14:paraId="451F252C">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（六）如中标人在项目实施期间出现违背投标时的承诺，或经营异常，或丧失商业信誉，或产品被曝光不合格或被政府部门取缔相关生产经营资格的情况，招标人有权直接解除合同。</w:t>
      </w:r>
    </w:p>
    <w:p w14:paraId="5FF18220">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七）招标人根据食材供应质量情况，有权决定抽查供应食材的价格、质量（包括报送质检部门抽检，检测合格检测费用由招标人承担，检测不合格的检测费用由中标人承担）和重量，如果与合同约定及实际要求不符，第一次书面警告，并及时调整到位；第二次书面警告，扣除当天供应商供应食材价格的10%；第三次书面警告，扣除当天供应商供应食材价格的50%；第四次书面警告，招标人有权解除合同，更换其他供应商。</w:t>
      </w:r>
    </w:p>
    <w:p w14:paraId="2253D0F0">
      <w:pP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br w:type="page"/>
      </w:r>
    </w:p>
    <w:p w14:paraId="456D6D4E">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八</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）考核标准</w:t>
      </w:r>
    </w:p>
    <w:p w14:paraId="1135ECB2">
      <w:pPr>
        <w:spacing w:line="480" w:lineRule="exact"/>
        <w:ind w:firstLine="480"/>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食堂食材采购供应商管理考核办法</w:t>
      </w:r>
    </w:p>
    <w:p w14:paraId="4E08DCD2">
      <w:pPr>
        <w:spacing w:line="480" w:lineRule="exact"/>
        <w:ind w:firstLine="480"/>
        <w:jc w:val="lef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总则：</w:t>
      </w:r>
    </w:p>
    <w:p w14:paraId="126CAF36">
      <w:pPr>
        <w:spacing w:line="480" w:lineRule="exact"/>
        <w:ind w:firstLine="480"/>
        <w:jc w:val="lef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为保障食堂食材供给，维护供需双方合法权益，保证供需合同的履行，制定《食材采购供应商管理考核办法》。</w:t>
      </w:r>
    </w:p>
    <w:p w14:paraId="7289A691">
      <w:pPr>
        <w:spacing w:line="480" w:lineRule="exact"/>
        <w:ind w:firstLine="480"/>
        <w:jc w:val="lef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供应商的日常管理</w:t>
      </w:r>
    </w:p>
    <w:p w14:paraId="6C23A1AB">
      <w:pPr>
        <w:spacing w:line="480" w:lineRule="exact"/>
        <w:ind w:firstLine="480"/>
        <w:jc w:val="lef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供应商的日常管理由南京市公安局玄武分局食材供应商考核管理小组负责日常管理。日常管理的重点内容包括：</w:t>
      </w:r>
    </w:p>
    <w:p w14:paraId="224564B9">
      <w:pPr>
        <w:spacing w:line="480" w:lineRule="exact"/>
        <w:ind w:firstLine="480"/>
        <w:jc w:val="lef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1、配送要求：供应商必须严格按照订单数量和品种进行供货，无特殊情况，必须按约定的时间送达指定的收货地点。</w:t>
      </w:r>
    </w:p>
    <w:p w14:paraId="5CF8A41C">
      <w:pPr>
        <w:spacing w:line="480" w:lineRule="exact"/>
        <w:ind w:firstLine="480"/>
        <w:jc w:val="lef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2、来料验收：验收环节严格执行三方验收制度，即采购方、使用方、供货方三方到场方能进行来料验收。对验收中出现的问题由采购方、使用方人员进行现场考核记录。</w:t>
      </w:r>
    </w:p>
    <w:p w14:paraId="12FA683B">
      <w:pPr>
        <w:spacing w:line="480" w:lineRule="exact"/>
        <w:ind w:firstLine="480"/>
        <w:jc w:val="lef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3、价格管理：供应商必须按照招标议定价格进行供货，在未经招标人同意情况下，严禁随意变动中标产品的供货价格；如遇产品市场价格波动幅度超过合同约定范围，则需要向南京市公安局玄武分局递交书面调价申请，经南京市公安局玄武分局审批同意之后方可进行调价。</w:t>
      </w:r>
    </w:p>
    <w:p w14:paraId="07DE3C56">
      <w:pPr>
        <w:spacing w:line="480" w:lineRule="exact"/>
        <w:ind w:firstLine="480"/>
        <w:jc w:val="lef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4、供应商考核：供应商的日常考核由伙食原料供应商考核管理小组综合考核（内容包括质量、安全、服务等），伙食原料供应商考核管理小组每月填写《供货验收日常追踪考核表》 (见附件1)，由采购方、使用方、供货商三方签字，月末招标人汇总考核情况。</w:t>
      </w:r>
    </w:p>
    <w:p w14:paraId="494FD4E4">
      <w:pPr>
        <w:spacing w:line="480" w:lineRule="exact"/>
        <w:ind w:firstLine="480"/>
        <w:jc w:val="lef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供货验收（使用）日常考核表、供应商整改通知单附件附后。</w:t>
      </w:r>
    </w:p>
    <w:p w14:paraId="51F96DAF">
      <w:pPr>
        <w:spacing w:line="480" w:lineRule="exact"/>
        <w:ind w:firstLine="480"/>
        <w:jc w:val="lef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5、考核结果应用</w:t>
      </w:r>
    </w:p>
    <w:p w14:paraId="44E760FE">
      <w:pPr>
        <w:spacing w:line="480" w:lineRule="exact"/>
        <w:ind w:firstLine="480"/>
        <w:jc w:val="lef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食堂管理人员根据月度考核结果，对供应商实行相应经济和扣分考核：月度考核90分及以上为合格；考核得分在80（含）-90之间甲方将给予警告、整改通知，警告、整改通知累计超过3次以上的甲方有权终止合同，得分在80（含）-90之间的，每低1分扣除履约保证金500元。月度考核得分低于80分的供应商，甲方有权终止合同。</w:t>
      </w:r>
    </w:p>
    <w:p w14:paraId="5075FF6F">
      <w:pPr>
        <w:spacing w:line="480" w:lineRule="exact"/>
        <w:ind w:firstLine="480"/>
        <w:jc w:val="left"/>
        <w:rPr>
          <w:rFonts w:hint="eastAsia" w:asciiTheme="minorEastAsia" w:hAnsiTheme="minorEastAsia" w:eastAsiaTheme="minorEastAsia" w:cstheme="minorEastAsia"/>
          <w:color w:val="000000" w:themeColor="text1"/>
          <w:sz w:val="21"/>
          <w:szCs w:val="21"/>
          <w14:textFill>
            <w14:solidFill>
              <w14:schemeClr w14:val="tx1"/>
            </w14:solidFill>
          </w14:textFill>
        </w:rPr>
      </w:pPr>
    </w:p>
    <w:p w14:paraId="47B2223A">
      <w:pPr>
        <w:spacing w:line="480" w:lineRule="exact"/>
        <w:ind w:firstLine="480"/>
        <w:jc w:val="lef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南京市公安局玄武分局</w:t>
      </w:r>
    </w:p>
    <w:p w14:paraId="49BC7708">
      <w:pPr>
        <w:spacing w:line="480" w:lineRule="exact"/>
        <w:ind w:firstLine="480"/>
        <w:jc w:val="lef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年  月  日</w:t>
      </w:r>
    </w:p>
    <w:p w14:paraId="4192F70E">
      <w:pPr>
        <w:spacing w:line="480" w:lineRule="exact"/>
        <w:ind w:firstLine="480"/>
        <w:jc w:val="left"/>
        <w:rPr>
          <w:rFonts w:hint="eastAsia" w:asciiTheme="minorEastAsia" w:hAnsiTheme="minorEastAsia" w:eastAsiaTheme="minorEastAsia" w:cstheme="minorEastAsia"/>
          <w:color w:val="000000" w:themeColor="text1"/>
          <w:sz w:val="21"/>
          <w:szCs w:val="21"/>
          <w14:textFill>
            <w14:solidFill>
              <w14:schemeClr w14:val="tx1"/>
            </w14:solidFill>
          </w14:textFill>
        </w:rPr>
      </w:pPr>
    </w:p>
    <w:p w14:paraId="24836609">
      <w:pPr>
        <w:spacing w:line="480" w:lineRule="exact"/>
        <w:ind w:firstLine="480"/>
        <w:jc w:val="left"/>
        <w:rPr>
          <w:rFonts w:hint="eastAsia" w:asciiTheme="minorEastAsia" w:hAnsiTheme="minorEastAsia" w:eastAsiaTheme="minorEastAsia" w:cstheme="minorEastAsia"/>
          <w:color w:val="000000" w:themeColor="text1"/>
          <w:sz w:val="21"/>
          <w:szCs w:val="21"/>
          <w14:textFill>
            <w14:solidFill>
              <w14:schemeClr w14:val="tx1"/>
            </w14:solidFill>
          </w14:textFill>
        </w:rPr>
      </w:pPr>
    </w:p>
    <w:p w14:paraId="2EC1FD44">
      <w:pPr>
        <w:spacing w:line="480" w:lineRule="exact"/>
        <w:ind w:firstLine="480"/>
        <w:jc w:val="left"/>
        <w:rPr>
          <w:rFonts w:hint="eastAsia" w:asciiTheme="minorEastAsia" w:hAnsiTheme="minorEastAsia" w:eastAsiaTheme="minorEastAsia" w:cstheme="minorEastAsia"/>
          <w:color w:val="000000" w:themeColor="text1"/>
          <w:sz w:val="21"/>
          <w:szCs w:val="21"/>
          <w14:textFill>
            <w14:solidFill>
              <w14:schemeClr w14:val="tx1"/>
            </w14:solidFill>
          </w14:textFill>
        </w:rPr>
      </w:pPr>
    </w:p>
    <w:p w14:paraId="338F0444">
      <w:pPr>
        <w:spacing w:line="480" w:lineRule="exact"/>
        <w:ind w:firstLine="480"/>
        <w:jc w:val="left"/>
        <w:rPr>
          <w:rFonts w:hint="eastAsia" w:asciiTheme="minorEastAsia" w:hAnsiTheme="minorEastAsia" w:eastAsiaTheme="minorEastAsia" w:cstheme="minorEastAsia"/>
          <w:color w:val="000000" w:themeColor="text1"/>
          <w:sz w:val="21"/>
          <w:szCs w:val="21"/>
          <w14:textFill>
            <w14:solidFill>
              <w14:schemeClr w14:val="tx1"/>
            </w14:solidFill>
          </w14:textFill>
        </w:rPr>
      </w:pPr>
    </w:p>
    <w:p w14:paraId="697B0B7E">
      <w:pPr>
        <w:spacing w:line="480" w:lineRule="exact"/>
        <w:ind w:firstLine="480"/>
        <w:jc w:val="lef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供货商确认</w:t>
      </w:r>
    </w:p>
    <w:p w14:paraId="5AD0BC07">
      <w:pPr>
        <w:spacing w:line="480" w:lineRule="exact"/>
        <w:ind w:firstLine="480"/>
        <w:jc w:val="left"/>
        <w:rPr>
          <w:rFonts w:hint="eastAsia" w:asciiTheme="minorEastAsia" w:hAnsiTheme="minorEastAsia" w:eastAsiaTheme="minorEastAsia" w:cstheme="minorEastAsia"/>
          <w:color w:val="000000" w:themeColor="text1"/>
          <w:sz w:val="21"/>
          <w:szCs w:val="21"/>
          <w14:textFill>
            <w14:solidFill>
              <w14:schemeClr w14:val="tx1"/>
            </w14:solidFill>
          </w14:textFill>
        </w:rPr>
      </w:pPr>
    </w:p>
    <w:p w14:paraId="5E59C6F6">
      <w:pPr>
        <w:spacing w:line="480" w:lineRule="exact"/>
        <w:ind w:firstLine="480"/>
        <w:jc w:val="lef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本单位完全了解并同意遵照该办法执行!</w:t>
      </w:r>
    </w:p>
    <w:p w14:paraId="27A3129E">
      <w:pPr>
        <w:spacing w:line="480" w:lineRule="exact"/>
        <w:ind w:firstLine="480"/>
        <w:jc w:val="lef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w:t>
      </w:r>
    </w:p>
    <w:p w14:paraId="7CF52F43">
      <w:pPr>
        <w:spacing w:line="480" w:lineRule="exact"/>
        <w:ind w:firstLine="480"/>
        <w:jc w:val="lef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供货单位(章):                       </w:t>
      </w:r>
    </w:p>
    <w:p w14:paraId="45045CDE">
      <w:pPr>
        <w:spacing w:line="480" w:lineRule="exact"/>
        <w:ind w:firstLine="480"/>
        <w:jc w:val="lef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负责人签字:                         </w:t>
      </w:r>
    </w:p>
    <w:p w14:paraId="7FF6A72A">
      <w:pPr>
        <w:spacing w:line="480" w:lineRule="exact"/>
        <w:ind w:firstLine="480"/>
        <w:jc w:val="lef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年   月   日</w:t>
      </w:r>
    </w:p>
    <w:p w14:paraId="2EB71146">
      <w:pP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br w:type="page"/>
      </w:r>
    </w:p>
    <w:p w14:paraId="5ABA9ED7">
      <w:pPr>
        <w:spacing w:line="480" w:lineRule="exact"/>
        <w:ind w:firstLine="480"/>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附件</w:t>
      </w:r>
      <w:r>
        <w:rPr>
          <w:rFonts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14:textFill>
            <w14:solidFill>
              <w14:schemeClr w14:val="tx1"/>
            </w14:solidFill>
          </w14:textFill>
        </w:rPr>
        <w:t>：</w:t>
      </w:r>
    </w:p>
    <w:tbl>
      <w:tblPr>
        <w:tblStyle w:val="40"/>
        <w:tblpPr w:leftFromText="180" w:rightFromText="180" w:vertAnchor="text" w:horzAnchor="margin" w:tblpXSpec="center" w:tblpY="297"/>
        <w:tblW w:w="8670" w:type="dxa"/>
        <w:tblInd w:w="0" w:type="dxa"/>
        <w:tblLayout w:type="fixed"/>
        <w:tblCellMar>
          <w:top w:w="0" w:type="dxa"/>
          <w:left w:w="108" w:type="dxa"/>
          <w:bottom w:w="0" w:type="dxa"/>
          <w:right w:w="108" w:type="dxa"/>
        </w:tblCellMar>
      </w:tblPr>
      <w:tblGrid>
        <w:gridCol w:w="563"/>
        <w:gridCol w:w="822"/>
        <w:gridCol w:w="992"/>
        <w:gridCol w:w="885"/>
        <w:gridCol w:w="1276"/>
        <w:gridCol w:w="992"/>
        <w:gridCol w:w="1215"/>
        <w:gridCol w:w="1336"/>
        <w:gridCol w:w="589"/>
      </w:tblGrid>
      <w:tr w14:paraId="79A71302">
        <w:tblPrEx>
          <w:tblCellMar>
            <w:top w:w="0" w:type="dxa"/>
            <w:left w:w="108" w:type="dxa"/>
            <w:bottom w:w="0" w:type="dxa"/>
            <w:right w:w="108" w:type="dxa"/>
          </w:tblCellMar>
        </w:tblPrEx>
        <w:trPr>
          <w:trHeight w:val="615" w:hRule="atLeast"/>
        </w:trPr>
        <w:tc>
          <w:tcPr>
            <w:tcW w:w="8669" w:type="dxa"/>
            <w:gridSpan w:val="9"/>
            <w:tcBorders>
              <w:top w:val="nil"/>
              <w:left w:val="nil"/>
              <w:bottom w:val="nil"/>
              <w:right w:val="nil"/>
            </w:tcBorders>
            <w:noWrap w:val="0"/>
            <w:vAlign w:val="center"/>
          </w:tcPr>
          <w:p w14:paraId="17E3E496">
            <w:pPr>
              <w:spacing w:line="480" w:lineRule="exact"/>
              <w:ind w:firstLine="200"/>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供货验收日常追踪考核表</w:t>
            </w:r>
          </w:p>
        </w:tc>
      </w:tr>
      <w:tr w14:paraId="6189D0AB">
        <w:tblPrEx>
          <w:tblCellMar>
            <w:top w:w="0" w:type="dxa"/>
            <w:left w:w="108" w:type="dxa"/>
            <w:bottom w:w="0" w:type="dxa"/>
            <w:right w:w="108" w:type="dxa"/>
          </w:tblCellMar>
        </w:tblPrEx>
        <w:trPr>
          <w:trHeight w:val="1125" w:hRule="atLeast"/>
        </w:trPr>
        <w:tc>
          <w:tcPr>
            <w:tcW w:w="562" w:type="dxa"/>
            <w:tcBorders>
              <w:top w:val="single" w:color="000000" w:sz="4" w:space="0"/>
              <w:left w:val="single" w:color="000000" w:sz="4" w:space="0"/>
              <w:bottom w:val="single" w:color="000000" w:sz="4" w:space="0"/>
              <w:right w:val="single" w:color="000000" w:sz="4" w:space="0"/>
            </w:tcBorders>
            <w:noWrap w:val="0"/>
            <w:vAlign w:val="center"/>
          </w:tcPr>
          <w:p w14:paraId="0CBBB7F3">
            <w:pPr>
              <w:spacing w:line="0" w:lineRule="atLeast"/>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序号</w:t>
            </w:r>
          </w:p>
        </w:tc>
        <w:tc>
          <w:tcPr>
            <w:tcW w:w="822" w:type="dxa"/>
            <w:tcBorders>
              <w:top w:val="single" w:color="000000" w:sz="4" w:space="0"/>
              <w:left w:val="nil"/>
              <w:bottom w:val="single" w:color="000000" w:sz="4" w:space="0"/>
              <w:right w:val="single" w:color="000000" w:sz="4" w:space="0"/>
            </w:tcBorders>
            <w:noWrap w:val="0"/>
            <w:vAlign w:val="center"/>
          </w:tcPr>
          <w:p w14:paraId="6172C650">
            <w:pPr>
              <w:spacing w:line="0" w:lineRule="atLeast"/>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验收时间</w:t>
            </w:r>
          </w:p>
        </w:tc>
        <w:tc>
          <w:tcPr>
            <w:tcW w:w="992" w:type="dxa"/>
            <w:tcBorders>
              <w:top w:val="single" w:color="000000" w:sz="4" w:space="0"/>
              <w:left w:val="nil"/>
              <w:bottom w:val="single" w:color="000000" w:sz="4" w:space="0"/>
              <w:right w:val="single" w:color="000000" w:sz="4" w:space="0"/>
            </w:tcBorders>
            <w:noWrap w:val="0"/>
            <w:vAlign w:val="center"/>
          </w:tcPr>
          <w:p w14:paraId="0873F11F">
            <w:pPr>
              <w:spacing w:line="0" w:lineRule="atLeast"/>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供应商名称</w:t>
            </w:r>
          </w:p>
        </w:tc>
        <w:tc>
          <w:tcPr>
            <w:tcW w:w="885" w:type="dxa"/>
            <w:tcBorders>
              <w:top w:val="single" w:color="000000" w:sz="4" w:space="0"/>
              <w:left w:val="nil"/>
              <w:bottom w:val="single" w:color="000000" w:sz="4" w:space="0"/>
              <w:right w:val="single" w:color="000000" w:sz="4" w:space="0"/>
            </w:tcBorders>
            <w:noWrap w:val="0"/>
            <w:vAlign w:val="center"/>
          </w:tcPr>
          <w:p w14:paraId="7DB50C4E">
            <w:pPr>
              <w:spacing w:line="0" w:lineRule="atLeast"/>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违规问题描述</w:t>
            </w:r>
          </w:p>
        </w:tc>
        <w:tc>
          <w:tcPr>
            <w:tcW w:w="1276" w:type="dxa"/>
            <w:tcBorders>
              <w:top w:val="single" w:color="000000" w:sz="4" w:space="0"/>
              <w:left w:val="nil"/>
              <w:bottom w:val="single" w:color="000000" w:sz="4" w:space="0"/>
              <w:right w:val="single" w:color="000000" w:sz="4" w:space="0"/>
            </w:tcBorders>
            <w:noWrap w:val="0"/>
            <w:vAlign w:val="center"/>
          </w:tcPr>
          <w:p w14:paraId="108CB615">
            <w:pPr>
              <w:spacing w:line="0" w:lineRule="atLeast"/>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追踪结果</w:t>
            </w:r>
          </w:p>
        </w:tc>
        <w:tc>
          <w:tcPr>
            <w:tcW w:w="992" w:type="dxa"/>
            <w:tcBorders>
              <w:top w:val="single" w:color="000000" w:sz="4" w:space="0"/>
              <w:left w:val="nil"/>
              <w:bottom w:val="single" w:color="000000" w:sz="4" w:space="0"/>
              <w:right w:val="single" w:color="000000" w:sz="4" w:space="0"/>
            </w:tcBorders>
            <w:noWrap w:val="0"/>
            <w:vAlign w:val="center"/>
          </w:tcPr>
          <w:p w14:paraId="344F1FF3">
            <w:pPr>
              <w:spacing w:line="0" w:lineRule="atLeast"/>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是否及时整改</w:t>
            </w:r>
          </w:p>
        </w:tc>
        <w:tc>
          <w:tcPr>
            <w:tcW w:w="1215" w:type="dxa"/>
            <w:tcBorders>
              <w:top w:val="single" w:color="000000" w:sz="4" w:space="0"/>
              <w:left w:val="nil"/>
              <w:bottom w:val="single" w:color="000000" w:sz="4" w:space="0"/>
              <w:right w:val="single" w:color="000000" w:sz="4" w:space="0"/>
            </w:tcBorders>
            <w:noWrap w:val="0"/>
            <w:vAlign w:val="center"/>
          </w:tcPr>
          <w:p w14:paraId="090584DF">
            <w:pPr>
              <w:spacing w:line="0" w:lineRule="atLeast"/>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扣分分值</w:t>
            </w:r>
          </w:p>
        </w:tc>
        <w:tc>
          <w:tcPr>
            <w:tcW w:w="1336" w:type="dxa"/>
            <w:tcBorders>
              <w:top w:val="single" w:color="000000" w:sz="4" w:space="0"/>
              <w:left w:val="nil"/>
              <w:bottom w:val="single" w:color="000000" w:sz="4" w:space="0"/>
              <w:right w:val="single" w:color="000000" w:sz="4" w:space="0"/>
            </w:tcBorders>
            <w:noWrap w:val="0"/>
            <w:vAlign w:val="center"/>
          </w:tcPr>
          <w:p w14:paraId="72D9AEF0">
            <w:pPr>
              <w:spacing w:line="0" w:lineRule="atLeast"/>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使用人/验收人</w:t>
            </w:r>
          </w:p>
        </w:tc>
        <w:tc>
          <w:tcPr>
            <w:tcW w:w="562" w:type="dxa"/>
            <w:tcBorders>
              <w:top w:val="single" w:color="000000" w:sz="4" w:space="0"/>
              <w:left w:val="nil"/>
              <w:bottom w:val="single" w:color="000000" w:sz="4" w:space="0"/>
              <w:right w:val="single" w:color="000000" w:sz="4" w:space="0"/>
            </w:tcBorders>
            <w:noWrap w:val="0"/>
            <w:vAlign w:val="center"/>
          </w:tcPr>
          <w:p w14:paraId="32EA06C4">
            <w:pPr>
              <w:spacing w:line="0" w:lineRule="atLeast"/>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备注</w:t>
            </w:r>
          </w:p>
        </w:tc>
      </w:tr>
      <w:tr w14:paraId="0EA47B75">
        <w:tblPrEx>
          <w:tblCellMar>
            <w:top w:w="0" w:type="dxa"/>
            <w:left w:w="108" w:type="dxa"/>
            <w:bottom w:w="0" w:type="dxa"/>
            <w:right w:w="108" w:type="dxa"/>
          </w:tblCellMar>
        </w:tblPrEx>
        <w:trPr>
          <w:trHeight w:val="1125" w:hRule="atLeast"/>
        </w:trPr>
        <w:tc>
          <w:tcPr>
            <w:tcW w:w="562" w:type="dxa"/>
            <w:tcBorders>
              <w:top w:val="single" w:color="000000" w:sz="4" w:space="0"/>
              <w:left w:val="single" w:color="000000" w:sz="4" w:space="0"/>
              <w:bottom w:val="single" w:color="000000" w:sz="4" w:space="0"/>
              <w:right w:val="single" w:color="000000" w:sz="4" w:space="0"/>
            </w:tcBorders>
            <w:noWrap w:val="0"/>
            <w:vAlign w:val="center"/>
          </w:tcPr>
          <w:p w14:paraId="32214501">
            <w:pPr>
              <w:spacing w:line="0" w:lineRule="atLeast"/>
              <w:jc w:val="left"/>
              <w:rPr>
                <w:rFonts w:hint="eastAsia" w:ascii="宋体" w:hAnsi="宋体"/>
                <w:color w:val="000000" w:themeColor="text1"/>
                <w:sz w:val="24"/>
                <w:szCs w:val="24"/>
                <w14:textFill>
                  <w14:solidFill>
                    <w14:schemeClr w14:val="tx1"/>
                  </w14:solidFill>
                </w14:textFill>
              </w:rPr>
            </w:pPr>
          </w:p>
        </w:tc>
        <w:tc>
          <w:tcPr>
            <w:tcW w:w="822" w:type="dxa"/>
            <w:tcBorders>
              <w:top w:val="single" w:color="000000" w:sz="4" w:space="0"/>
              <w:left w:val="nil"/>
              <w:bottom w:val="single" w:color="000000" w:sz="4" w:space="0"/>
              <w:right w:val="single" w:color="000000" w:sz="4" w:space="0"/>
            </w:tcBorders>
            <w:noWrap w:val="0"/>
            <w:vAlign w:val="center"/>
          </w:tcPr>
          <w:p w14:paraId="3A40ECF3">
            <w:pPr>
              <w:spacing w:line="0" w:lineRule="atLeast"/>
              <w:jc w:val="left"/>
              <w:rPr>
                <w:rFonts w:hint="eastAsia" w:ascii="宋体" w:hAnsi="宋体"/>
                <w:color w:val="000000" w:themeColor="text1"/>
                <w:sz w:val="24"/>
                <w:szCs w:val="24"/>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noWrap w:val="0"/>
            <w:vAlign w:val="center"/>
          </w:tcPr>
          <w:p w14:paraId="52DCCC84">
            <w:pPr>
              <w:spacing w:line="0" w:lineRule="atLeast"/>
              <w:jc w:val="left"/>
              <w:rPr>
                <w:rFonts w:hint="eastAsia" w:ascii="宋体" w:hAnsi="宋体"/>
                <w:color w:val="000000" w:themeColor="text1"/>
                <w:sz w:val="24"/>
                <w:szCs w:val="24"/>
                <w14:textFill>
                  <w14:solidFill>
                    <w14:schemeClr w14:val="tx1"/>
                  </w14:solidFill>
                </w14:textFill>
              </w:rPr>
            </w:pPr>
          </w:p>
        </w:tc>
        <w:tc>
          <w:tcPr>
            <w:tcW w:w="885" w:type="dxa"/>
            <w:tcBorders>
              <w:top w:val="single" w:color="000000" w:sz="4" w:space="0"/>
              <w:left w:val="nil"/>
              <w:bottom w:val="single" w:color="000000" w:sz="4" w:space="0"/>
              <w:right w:val="single" w:color="000000" w:sz="4" w:space="0"/>
            </w:tcBorders>
            <w:noWrap w:val="0"/>
            <w:vAlign w:val="center"/>
          </w:tcPr>
          <w:p w14:paraId="1C6C7F8E">
            <w:pPr>
              <w:spacing w:line="0" w:lineRule="atLeast"/>
              <w:jc w:val="left"/>
              <w:rPr>
                <w:rFonts w:hint="eastAsia" w:ascii="宋体" w:hAnsi="宋体"/>
                <w:color w:val="000000" w:themeColor="text1"/>
                <w:sz w:val="24"/>
                <w:szCs w:val="24"/>
                <w14:textFill>
                  <w14:solidFill>
                    <w14:schemeClr w14:val="tx1"/>
                  </w14:solidFill>
                </w14:textFill>
              </w:rPr>
            </w:pPr>
          </w:p>
        </w:tc>
        <w:tc>
          <w:tcPr>
            <w:tcW w:w="1276" w:type="dxa"/>
            <w:tcBorders>
              <w:top w:val="single" w:color="000000" w:sz="4" w:space="0"/>
              <w:left w:val="nil"/>
              <w:bottom w:val="single" w:color="000000" w:sz="4" w:space="0"/>
              <w:right w:val="single" w:color="000000" w:sz="4" w:space="0"/>
            </w:tcBorders>
            <w:noWrap w:val="0"/>
            <w:vAlign w:val="center"/>
          </w:tcPr>
          <w:p w14:paraId="4770C06D">
            <w:pPr>
              <w:spacing w:line="0" w:lineRule="atLeast"/>
              <w:jc w:val="left"/>
              <w:rPr>
                <w:rFonts w:hint="eastAsia" w:ascii="宋体" w:hAnsi="宋体"/>
                <w:color w:val="000000" w:themeColor="text1"/>
                <w:sz w:val="24"/>
                <w:szCs w:val="24"/>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noWrap w:val="0"/>
            <w:vAlign w:val="center"/>
          </w:tcPr>
          <w:p w14:paraId="7E2C3153">
            <w:pPr>
              <w:spacing w:line="0" w:lineRule="atLeast"/>
              <w:jc w:val="left"/>
              <w:rPr>
                <w:rFonts w:hint="eastAsia" w:ascii="宋体" w:hAnsi="宋体"/>
                <w:color w:val="000000" w:themeColor="text1"/>
                <w:sz w:val="24"/>
                <w:szCs w:val="24"/>
                <w14:textFill>
                  <w14:solidFill>
                    <w14:schemeClr w14:val="tx1"/>
                  </w14:solidFill>
                </w14:textFill>
              </w:rPr>
            </w:pPr>
          </w:p>
        </w:tc>
        <w:tc>
          <w:tcPr>
            <w:tcW w:w="1215" w:type="dxa"/>
            <w:tcBorders>
              <w:top w:val="single" w:color="000000" w:sz="4" w:space="0"/>
              <w:left w:val="nil"/>
              <w:bottom w:val="single" w:color="000000" w:sz="4" w:space="0"/>
              <w:right w:val="single" w:color="000000" w:sz="4" w:space="0"/>
            </w:tcBorders>
            <w:noWrap w:val="0"/>
            <w:vAlign w:val="center"/>
          </w:tcPr>
          <w:p w14:paraId="57EA0993">
            <w:pPr>
              <w:spacing w:line="0" w:lineRule="atLeast"/>
              <w:jc w:val="left"/>
              <w:rPr>
                <w:rFonts w:hint="eastAsia" w:ascii="宋体" w:hAnsi="宋体"/>
                <w:color w:val="000000" w:themeColor="text1"/>
                <w:sz w:val="24"/>
                <w:szCs w:val="24"/>
                <w14:textFill>
                  <w14:solidFill>
                    <w14:schemeClr w14:val="tx1"/>
                  </w14:solidFill>
                </w14:textFill>
              </w:rPr>
            </w:pPr>
          </w:p>
        </w:tc>
        <w:tc>
          <w:tcPr>
            <w:tcW w:w="1336" w:type="dxa"/>
            <w:tcBorders>
              <w:top w:val="single" w:color="000000" w:sz="4" w:space="0"/>
              <w:left w:val="nil"/>
              <w:bottom w:val="single" w:color="000000" w:sz="4" w:space="0"/>
              <w:right w:val="single" w:color="000000" w:sz="4" w:space="0"/>
            </w:tcBorders>
            <w:noWrap w:val="0"/>
            <w:vAlign w:val="center"/>
          </w:tcPr>
          <w:p w14:paraId="49584EDD">
            <w:pPr>
              <w:spacing w:line="0" w:lineRule="atLeast"/>
              <w:jc w:val="left"/>
              <w:rPr>
                <w:rFonts w:hint="eastAsia" w:ascii="宋体" w:hAnsi="宋体"/>
                <w:color w:val="000000" w:themeColor="text1"/>
                <w:sz w:val="24"/>
                <w:szCs w:val="24"/>
                <w14:textFill>
                  <w14:solidFill>
                    <w14:schemeClr w14:val="tx1"/>
                  </w14:solidFill>
                </w14:textFill>
              </w:rPr>
            </w:pPr>
          </w:p>
        </w:tc>
        <w:tc>
          <w:tcPr>
            <w:tcW w:w="562" w:type="dxa"/>
            <w:tcBorders>
              <w:top w:val="single" w:color="000000" w:sz="4" w:space="0"/>
              <w:left w:val="nil"/>
              <w:bottom w:val="single" w:color="000000" w:sz="4" w:space="0"/>
              <w:right w:val="single" w:color="000000" w:sz="4" w:space="0"/>
            </w:tcBorders>
            <w:noWrap w:val="0"/>
            <w:vAlign w:val="center"/>
          </w:tcPr>
          <w:p w14:paraId="66D8656D">
            <w:pPr>
              <w:spacing w:line="0" w:lineRule="atLeast"/>
              <w:jc w:val="left"/>
              <w:rPr>
                <w:rFonts w:hint="eastAsia" w:ascii="宋体" w:hAnsi="宋体"/>
                <w:color w:val="000000" w:themeColor="text1"/>
                <w:sz w:val="24"/>
                <w:szCs w:val="24"/>
                <w14:textFill>
                  <w14:solidFill>
                    <w14:schemeClr w14:val="tx1"/>
                  </w14:solidFill>
                </w14:textFill>
              </w:rPr>
            </w:pPr>
          </w:p>
        </w:tc>
      </w:tr>
      <w:tr w14:paraId="3038F9B5">
        <w:tblPrEx>
          <w:tblCellMar>
            <w:top w:w="0" w:type="dxa"/>
            <w:left w:w="108" w:type="dxa"/>
            <w:bottom w:w="0" w:type="dxa"/>
            <w:right w:w="108" w:type="dxa"/>
          </w:tblCellMar>
        </w:tblPrEx>
        <w:trPr>
          <w:trHeight w:val="1125" w:hRule="atLeast"/>
        </w:trPr>
        <w:tc>
          <w:tcPr>
            <w:tcW w:w="562" w:type="dxa"/>
            <w:tcBorders>
              <w:top w:val="single" w:color="000000" w:sz="4" w:space="0"/>
              <w:left w:val="single" w:color="000000" w:sz="4" w:space="0"/>
              <w:bottom w:val="single" w:color="000000" w:sz="4" w:space="0"/>
              <w:right w:val="single" w:color="000000" w:sz="4" w:space="0"/>
            </w:tcBorders>
            <w:noWrap w:val="0"/>
            <w:vAlign w:val="center"/>
          </w:tcPr>
          <w:p w14:paraId="7216519D">
            <w:pPr>
              <w:spacing w:line="0" w:lineRule="atLeast"/>
              <w:jc w:val="left"/>
              <w:rPr>
                <w:rFonts w:hint="eastAsia" w:ascii="宋体" w:hAnsi="宋体"/>
                <w:color w:val="000000" w:themeColor="text1"/>
                <w:sz w:val="24"/>
                <w:szCs w:val="24"/>
                <w14:textFill>
                  <w14:solidFill>
                    <w14:schemeClr w14:val="tx1"/>
                  </w14:solidFill>
                </w14:textFill>
              </w:rPr>
            </w:pPr>
          </w:p>
        </w:tc>
        <w:tc>
          <w:tcPr>
            <w:tcW w:w="822" w:type="dxa"/>
            <w:tcBorders>
              <w:top w:val="single" w:color="000000" w:sz="4" w:space="0"/>
              <w:left w:val="nil"/>
              <w:bottom w:val="single" w:color="000000" w:sz="4" w:space="0"/>
              <w:right w:val="single" w:color="000000" w:sz="4" w:space="0"/>
            </w:tcBorders>
            <w:noWrap w:val="0"/>
            <w:vAlign w:val="center"/>
          </w:tcPr>
          <w:p w14:paraId="312E6D74">
            <w:pPr>
              <w:spacing w:line="0" w:lineRule="atLeast"/>
              <w:jc w:val="left"/>
              <w:rPr>
                <w:rFonts w:hint="eastAsia" w:ascii="宋体" w:hAnsi="宋体"/>
                <w:color w:val="000000" w:themeColor="text1"/>
                <w:sz w:val="24"/>
                <w:szCs w:val="24"/>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noWrap w:val="0"/>
            <w:vAlign w:val="center"/>
          </w:tcPr>
          <w:p w14:paraId="5B1C6418">
            <w:pPr>
              <w:spacing w:line="0" w:lineRule="atLeast"/>
              <w:jc w:val="left"/>
              <w:rPr>
                <w:rFonts w:hint="eastAsia" w:ascii="宋体" w:hAnsi="宋体"/>
                <w:color w:val="000000" w:themeColor="text1"/>
                <w:sz w:val="24"/>
                <w:szCs w:val="24"/>
                <w14:textFill>
                  <w14:solidFill>
                    <w14:schemeClr w14:val="tx1"/>
                  </w14:solidFill>
                </w14:textFill>
              </w:rPr>
            </w:pPr>
          </w:p>
        </w:tc>
        <w:tc>
          <w:tcPr>
            <w:tcW w:w="885" w:type="dxa"/>
            <w:tcBorders>
              <w:top w:val="single" w:color="000000" w:sz="4" w:space="0"/>
              <w:left w:val="nil"/>
              <w:bottom w:val="single" w:color="000000" w:sz="4" w:space="0"/>
              <w:right w:val="single" w:color="000000" w:sz="4" w:space="0"/>
            </w:tcBorders>
            <w:noWrap w:val="0"/>
            <w:vAlign w:val="center"/>
          </w:tcPr>
          <w:p w14:paraId="4017A1CF">
            <w:pPr>
              <w:spacing w:line="0" w:lineRule="atLeast"/>
              <w:jc w:val="left"/>
              <w:rPr>
                <w:rFonts w:hint="eastAsia" w:ascii="宋体" w:hAnsi="宋体"/>
                <w:color w:val="000000" w:themeColor="text1"/>
                <w:sz w:val="24"/>
                <w:szCs w:val="24"/>
                <w14:textFill>
                  <w14:solidFill>
                    <w14:schemeClr w14:val="tx1"/>
                  </w14:solidFill>
                </w14:textFill>
              </w:rPr>
            </w:pPr>
          </w:p>
        </w:tc>
        <w:tc>
          <w:tcPr>
            <w:tcW w:w="1276" w:type="dxa"/>
            <w:tcBorders>
              <w:top w:val="single" w:color="000000" w:sz="4" w:space="0"/>
              <w:left w:val="nil"/>
              <w:bottom w:val="single" w:color="000000" w:sz="4" w:space="0"/>
              <w:right w:val="single" w:color="000000" w:sz="4" w:space="0"/>
            </w:tcBorders>
            <w:noWrap w:val="0"/>
            <w:vAlign w:val="center"/>
          </w:tcPr>
          <w:p w14:paraId="7EDFC87E">
            <w:pPr>
              <w:spacing w:line="0" w:lineRule="atLeast"/>
              <w:jc w:val="left"/>
              <w:rPr>
                <w:rFonts w:hint="eastAsia" w:ascii="宋体" w:hAnsi="宋体"/>
                <w:color w:val="000000" w:themeColor="text1"/>
                <w:sz w:val="24"/>
                <w:szCs w:val="24"/>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noWrap w:val="0"/>
            <w:vAlign w:val="center"/>
          </w:tcPr>
          <w:p w14:paraId="5C1C31FC">
            <w:pPr>
              <w:spacing w:line="0" w:lineRule="atLeast"/>
              <w:jc w:val="left"/>
              <w:rPr>
                <w:rFonts w:hint="eastAsia" w:ascii="宋体" w:hAnsi="宋体"/>
                <w:color w:val="000000" w:themeColor="text1"/>
                <w:sz w:val="24"/>
                <w:szCs w:val="24"/>
                <w14:textFill>
                  <w14:solidFill>
                    <w14:schemeClr w14:val="tx1"/>
                  </w14:solidFill>
                </w14:textFill>
              </w:rPr>
            </w:pPr>
          </w:p>
        </w:tc>
        <w:tc>
          <w:tcPr>
            <w:tcW w:w="1215" w:type="dxa"/>
            <w:tcBorders>
              <w:top w:val="single" w:color="000000" w:sz="4" w:space="0"/>
              <w:left w:val="nil"/>
              <w:bottom w:val="single" w:color="000000" w:sz="4" w:space="0"/>
              <w:right w:val="single" w:color="000000" w:sz="4" w:space="0"/>
            </w:tcBorders>
            <w:noWrap w:val="0"/>
            <w:vAlign w:val="center"/>
          </w:tcPr>
          <w:p w14:paraId="1BC2DCE1">
            <w:pPr>
              <w:spacing w:line="0" w:lineRule="atLeast"/>
              <w:jc w:val="left"/>
              <w:rPr>
                <w:rFonts w:hint="eastAsia" w:ascii="宋体" w:hAnsi="宋体"/>
                <w:color w:val="000000" w:themeColor="text1"/>
                <w:sz w:val="24"/>
                <w:szCs w:val="24"/>
                <w14:textFill>
                  <w14:solidFill>
                    <w14:schemeClr w14:val="tx1"/>
                  </w14:solidFill>
                </w14:textFill>
              </w:rPr>
            </w:pPr>
          </w:p>
        </w:tc>
        <w:tc>
          <w:tcPr>
            <w:tcW w:w="1336" w:type="dxa"/>
            <w:tcBorders>
              <w:top w:val="single" w:color="000000" w:sz="4" w:space="0"/>
              <w:left w:val="nil"/>
              <w:bottom w:val="single" w:color="000000" w:sz="4" w:space="0"/>
              <w:right w:val="single" w:color="000000" w:sz="4" w:space="0"/>
            </w:tcBorders>
            <w:noWrap w:val="0"/>
            <w:vAlign w:val="center"/>
          </w:tcPr>
          <w:p w14:paraId="339008AE">
            <w:pPr>
              <w:spacing w:line="0" w:lineRule="atLeast"/>
              <w:jc w:val="left"/>
              <w:rPr>
                <w:rFonts w:hint="eastAsia" w:ascii="宋体" w:hAnsi="宋体"/>
                <w:color w:val="000000" w:themeColor="text1"/>
                <w:sz w:val="24"/>
                <w:szCs w:val="24"/>
                <w14:textFill>
                  <w14:solidFill>
                    <w14:schemeClr w14:val="tx1"/>
                  </w14:solidFill>
                </w14:textFill>
              </w:rPr>
            </w:pPr>
          </w:p>
        </w:tc>
        <w:tc>
          <w:tcPr>
            <w:tcW w:w="562" w:type="dxa"/>
            <w:tcBorders>
              <w:top w:val="single" w:color="000000" w:sz="4" w:space="0"/>
              <w:left w:val="nil"/>
              <w:bottom w:val="single" w:color="000000" w:sz="4" w:space="0"/>
              <w:right w:val="single" w:color="000000" w:sz="4" w:space="0"/>
            </w:tcBorders>
            <w:noWrap w:val="0"/>
            <w:vAlign w:val="center"/>
          </w:tcPr>
          <w:p w14:paraId="7189DDE5">
            <w:pPr>
              <w:spacing w:line="0" w:lineRule="atLeast"/>
              <w:jc w:val="left"/>
              <w:rPr>
                <w:rFonts w:hint="eastAsia" w:ascii="宋体" w:hAnsi="宋体"/>
                <w:color w:val="000000" w:themeColor="text1"/>
                <w:sz w:val="24"/>
                <w:szCs w:val="24"/>
                <w14:textFill>
                  <w14:solidFill>
                    <w14:schemeClr w14:val="tx1"/>
                  </w14:solidFill>
                </w14:textFill>
              </w:rPr>
            </w:pPr>
          </w:p>
        </w:tc>
      </w:tr>
      <w:tr w14:paraId="5921E51B">
        <w:tblPrEx>
          <w:tblCellMar>
            <w:top w:w="0" w:type="dxa"/>
            <w:left w:w="108" w:type="dxa"/>
            <w:bottom w:w="0" w:type="dxa"/>
            <w:right w:w="108" w:type="dxa"/>
          </w:tblCellMar>
        </w:tblPrEx>
        <w:trPr>
          <w:trHeight w:val="1125" w:hRule="atLeast"/>
        </w:trPr>
        <w:tc>
          <w:tcPr>
            <w:tcW w:w="562" w:type="dxa"/>
            <w:tcBorders>
              <w:top w:val="single" w:color="000000" w:sz="4" w:space="0"/>
              <w:left w:val="single" w:color="000000" w:sz="4" w:space="0"/>
              <w:bottom w:val="single" w:color="000000" w:sz="4" w:space="0"/>
              <w:right w:val="single" w:color="000000" w:sz="4" w:space="0"/>
            </w:tcBorders>
            <w:noWrap w:val="0"/>
            <w:vAlign w:val="center"/>
          </w:tcPr>
          <w:p w14:paraId="361C8ECC">
            <w:pPr>
              <w:spacing w:line="0" w:lineRule="atLeast"/>
              <w:jc w:val="left"/>
              <w:rPr>
                <w:rFonts w:hint="eastAsia" w:ascii="宋体" w:hAnsi="宋体"/>
                <w:color w:val="000000" w:themeColor="text1"/>
                <w:sz w:val="24"/>
                <w:szCs w:val="24"/>
                <w14:textFill>
                  <w14:solidFill>
                    <w14:schemeClr w14:val="tx1"/>
                  </w14:solidFill>
                </w14:textFill>
              </w:rPr>
            </w:pPr>
          </w:p>
        </w:tc>
        <w:tc>
          <w:tcPr>
            <w:tcW w:w="822" w:type="dxa"/>
            <w:tcBorders>
              <w:top w:val="single" w:color="000000" w:sz="4" w:space="0"/>
              <w:left w:val="nil"/>
              <w:bottom w:val="single" w:color="000000" w:sz="4" w:space="0"/>
              <w:right w:val="single" w:color="000000" w:sz="4" w:space="0"/>
            </w:tcBorders>
            <w:noWrap w:val="0"/>
            <w:vAlign w:val="center"/>
          </w:tcPr>
          <w:p w14:paraId="1A1F4105">
            <w:pPr>
              <w:spacing w:line="0" w:lineRule="atLeast"/>
              <w:jc w:val="left"/>
              <w:rPr>
                <w:rFonts w:hint="eastAsia" w:ascii="宋体" w:hAnsi="宋体"/>
                <w:color w:val="000000" w:themeColor="text1"/>
                <w:sz w:val="24"/>
                <w:szCs w:val="24"/>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noWrap w:val="0"/>
            <w:vAlign w:val="center"/>
          </w:tcPr>
          <w:p w14:paraId="0C450BF6">
            <w:pPr>
              <w:spacing w:line="0" w:lineRule="atLeast"/>
              <w:jc w:val="left"/>
              <w:rPr>
                <w:rFonts w:hint="eastAsia" w:ascii="宋体" w:hAnsi="宋体"/>
                <w:color w:val="000000" w:themeColor="text1"/>
                <w:sz w:val="24"/>
                <w:szCs w:val="24"/>
                <w14:textFill>
                  <w14:solidFill>
                    <w14:schemeClr w14:val="tx1"/>
                  </w14:solidFill>
                </w14:textFill>
              </w:rPr>
            </w:pPr>
          </w:p>
        </w:tc>
        <w:tc>
          <w:tcPr>
            <w:tcW w:w="885" w:type="dxa"/>
            <w:tcBorders>
              <w:top w:val="single" w:color="000000" w:sz="4" w:space="0"/>
              <w:left w:val="nil"/>
              <w:bottom w:val="single" w:color="000000" w:sz="4" w:space="0"/>
              <w:right w:val="single" w:color="000000" w:sz="4" w:space="0"/>
            </w:tcBorders>
            <w:noWrap w:val="0"/>
            <w:vAlign w:val="center"/>
          </w:tcPr>
          <w:p w14:paraId="4886E6B5">
            <w:pPr>
              <w:spacing w:line="0" w:lineRule="atLeast"/>
              <w:jc w:val="left"/>
              <w:rPr>
                <w:rFonts w:hint="eastAsia" w:ascii="宋体" w:hAnsi="宋体"/>
                <w:color w:val="000000" w:themeColor="text1"/>
                <w:sz w:val="24"/>
                <w:szCs w:val="24"/>
                <w14:textFill>
                  <w14:solidFill>
                    <w14:schemeClr w14:val="tx1"/>
                  </w14:solidFill>
                </w14:textFill>
              </w:rPr>
            </w:pPr>
          </w:p>
        </w:tc>
        <w:tc>
          <w:tcPr>
            <w:tcW w:w="1276" w:type="dxa"/>
            <w:tcBorders>
              <w:top w:val="single" w:color="000000" w:sz="4" w:space="0"/>
              <w:left w:val="nil"/>
              <w:bottom w:val="single" w:color="000000" w:sz="4" w:space="0"/>
              <w:right w:val="single" w:color="000000" w:sz="4" w:space="0"/>
            </w:tcBorders>
            <w:noWrap w:val="0"/>
            <w:vAlign w:val="center"/>
          </w:tcPr>
          <w:p w14:paraId="7071A9CF">
            <w:pPr>
              <w:spacing w:line="0" w:lineRule="atLeast"/>
              <w:jc w:val="left"/>
              <w:rPr>
                <w:rFonts w:hint="eastAsia" w:ascii="宋体" w:hAnsi="宋体"/>
                <w:color w:val="000000" w:themeColor="text1"/>
                <w:sz w:val="24"/>
                <w:szCs w:val="24"/>
                <w14:textFill>
                  <w14:solidFill>
                    <w14:schemeClr w14:val="tx1"/>
                  </w14:solidFill>
                </w14:textFill>
              </w:rPr>
            </w:pPr>
          </w:p>
        </w:tc>
        <w:tc>
          <w:tcPr>
            <w:tcW w:w="992" w:type="dxa"/>
            <w:tcBorders>
              <w:top w:val="single" w:color="000000" w:sz="4" w:space="0"/>
              <w:left w:val="nil"/>
              <w:bottom w:val="single" w:color="000000" w:sz="4" w:space="0"/>
              <w:right w:val="single" w:color="000000" w:sz="4" w:space="0"/>
            </w:tcBorders>
            <w:noWrap w:val="0"/>
            <w:vAlign w:val="center"/>
          </w:tcPr>
          <w:p w14:paraId="10EB1FEC">
            <w:pPr>
              <w:spacing w:line="0" w:lineRule="atLeast"/>
              <w:jc w:val="left"/>
              <w:rPr>
                <w:rFonts w:hint="eastAsia" w:ascii="宋体" w:hAnsi="宋体"/>
                <w:color w:val="000000" w:themeColor="text1"/>
                <w:sz w:val="24"/>
                <w:szCs w:val="24"/>
                <w14:textFill>
                  <w14:solidFill>
                    <w14:schemeClr w14:val="tx1"/>
                  </w14:solidFill>
                </w14:textFill>
              </w:rPr>
            </w:pPr>
          </w:p>
        </w:tc>
        <w:tc>
          <w:tcPr>
            <w:tcW w:w="1215" w:type="dxa"/>
            <w:tcBorders>
              <w:top w:val="single" w:color="000000" w:sz="4" w:space="0"/>
              <w:left w:val="nil"/>
              <w:bottom w:val="single" w:color="000000" w:sz="4" w:space="0"/>
              <w:right w:val="single" w:color="000000" w:sz="4" w:space="0"/>
            </w:tcBorders>
            <w:noWrap w:val="0"/>
            <w:vAlign w:val="center"/>
          </w:tcPr>
          <w:p w14:paraId="101A4407">
            <w:pPr>
              <w:spacing w:line="0" w:lineRule="atLeast"/>
              <w:jc w:val="left"/>
              <w:rPr>
                <w:rFonts w:hint="eastAsia" w:ascii="宋体" w:hAnsi="宋体"/>
                <w:color w:val="000000" w:themeColor="text1"/>
                <w:sz w:val="24"/>
                <w:szCs w:val="24"/>
                <w14:textFill>
                  <w14:solidFill>
                    <w14:schemeClr w14:val="tx1"/>
                  </w14:solidFill>
                </w14:textFill>
              </w:rPr>
            </w:pPr>
          </w:p>
        </w:tc>
        <w:tc>
          <w:tcPr>
            <w:tcW w:w="1336" w:type="dxa"/>
            <w:tcBorders>
              <w:top w:val="single" w:color="000000" w:sz="4" w:space="0"/>
              <w:left w:val="nil"/>
              <w:bottom w:val="single" w:color="000000" w:sz="4" w:space="0"/>
              <w:right w:val="single" w:color="000000" w:sz="4" w:space="0"/>
            </w:tcBorders>
            <w:noWrap w:val="0"/>
            <w:vAlign w:val="center"/>
          </w:tcPr>
          <w:p w14:paraId="596DEE37">
            <w:pPr>
              <w:spacing w:line="0" w:lineRule="atLeast"/>
              <w:jc w:val="left"/>
              <w:rPr>
                <w:rFonts w:hint="eastAsia" w:ascii="宋体" w:hAnsi="宋体"/>
                <w:color w:val="000000" w:themeColor="text1"/>
                <w:sz w:val="24"/>
                <w:szCs w:val="24"/>
                <w14:textFill>
                  <w14:solidFill>
                    <w14:schemeClr w14:val="tx1"/>
                  </w14:solidFill>
                </w14:textFill>
              </w:rPr>
            </w:pPr>
          </w:p>
        </w:tc>
        <w:tc>
          <w:tcPr>
            <w:tcW w:w="562" w:type="dxa"/>
            <w:tcBorders>
              <w:top w:val="single" w:color="000000" w:sz="4" w:space="0"/>
              <w:left w:val="nil"/>
              <w:bottom w:val="single" w:color="000000" w:sz="4" w:space="0"/>
              <w:right w:val="single" w:color="000000" w:sz="4" w:space="0"/>
            </w:tcBorders>
            <w:noWrap w:val="0"/>
            <w:vAlign w:val="center"/>
          </w:tcPr>
          <w:p w14:paraId="6D3ACA5B">
            <w:pPr>
              <w:spacing w:line="0" w:lineRule="atLeast"/>
              <w:jc w:val="left"/>
              <w:rPr>
                <w:rFonts w:hint="eastAsia" w:ascii="宋体" w:hAnsi="宋体"/>
                <w:color w:val="000000" w:themeColor="text1"/>
                <w:sz w:val="24"/>
                <w:szCs w:val="24"/>
                <w14:textFill>
                  <w14:solidFill>
                    <w14:schemeClr w14:val="tx1"/>
                  </w14:solidFill>
                </w14:textFill>
              </w:rPr>
            </w:pPr>
          </w:p>
        </w:tc>
      </w:tr>
    </w:tbl>
    <w:p w14:paraId="34BB1A3B">
      <w:pPr>
        <w:spacing w:line="480" w:lineRule="exact"/>
        <w:ind w:firstLine="480"/>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注：有违规情况填写说明，无违规情况不记</w:t>
      </w:r>
    </w:p>
    <w:p w14:paraId="5CB8B556">
      <w:pPr>
        <w:spacing w:line="480" w:lineRule="exact"/>
        <w:ind w:firstLine="480"/>
        <w:jc w:val="left"/>
        <w:rPr>
          <w:rFonts w:hint="eastAsia" w:ascii="宋体" w:hAnsi="宋体"/>
          <w:color w:val="000000" w:themeColor="text1"/>
          <w:sz w:val="24"/>
          <w:szCs w:val="24"/>
          <w14:textFill>
            <w14:solidFill>
              <w14:schemeClr w14:val="tx1"/>
            </w14:solidFill>
          </w14:textFill>
        </w:rPr>
      </w:pPr>
    </w:p>
    <w:p w14:paraId="21632596">
      <w:pPr>
        <w:spacing w:line="480" w:lineRule="exact"/>
        <w:ind w:firstLine="480"/>
        <w:jc w:val="left"/>
        <w:rPr>
          <w:rFonts w:hint="eastAsia" w:ascii="宋体" w:hAnsi="宋体"/>
          <w:color w:val="000000" w:themeColor="text1"/>
          <w:sz w:val="24"/>
          <w:szCs w:val="24"/>
          <w14:textFill>
            <w14:solidFill>
              <w14:schemeClr w14:val="tx1"/>
            </w14:solidFill>
          </w14:textFill>
        </w:rPr>
      </w:pPr>
    </w:p>
    <w:p w14:paraId="574296D9">
      <w:pPr>
        <w:spacing w:line="480" w:lineRule="exact"/>
        <w:ind w:firstLine="480"/>
        <w:jc w:val="left"/>
        <w:rPr>
          <w:rFonts w:hint="eastAsia" w:ascii="宋体" w:hAnsi="宋体"/>
          <w:color w:val="000000" w:themeColor="text1"/>
          <w:sz w:val="24"/>
          <w:szCs w:val="24"/>
          <w14:textFill>
            <w14:solidFill>
              <w14:schemeClr w14:val="tx1"/>
            </w14:solidFill>
          </w14:textFill>
        </w:rPr>
      </w:pPr>
    </w:p>
    <w:p w14:paraId="4B3CFF56">
      <w:pPr>
        <w:spacing w:line="480" w:lineRule="exact"/>
        <w:ind w:firstLine="480"/>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br w:type="page" w:clear="all"/>
      </w:r>
    </w:p>
    <w:p w14:paraId="5512863E">
      <w:pPr>
        <w:spacing w:line="480" w:lineRule="exact"/>
        <w:ind w:firstLine="480"/>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附件2：</w:t>
      </w:r>
    </w:p>
    <w:tbl>
      <w:tblPr>
        <w:tblStyle w:val="40"/>
        <w:tblW w:w="9360" w:type="dxa"/>
        <w:jc w:val="center"/>
        <w:tblLayout w:type="fixed"/>
        <w:tblCellMar>
          <w:top w:w="0" w:type="dxa"/>
          <w:left w:w="108" w:type="dxa"/>
          <w:bottom w:w="0" w:type="dxa"/>
          <w:right w:w="108" w:type="dxa"/>
        </w:tblCellMar>
      </w:tblPr>
      <w:tblGrid>
        <w:gridCol w:w="2037"/>
        <w:gridCol w:w="2424"/>
        <w:gridCol w:w="2960"/>
        <w:gridCol w:w="1472"/>
        <w:gridCol w:w="467"/>
      </w:tblGrid>
      <w:tr w14:paraId="0F0C7225">
        <w:tblPrEx>
          <w:tblCellMar>
            <w:top w:w="0" w:type="dxa"/>
            <w:left w:w="108" w:type="dxa"/>
            <w:bottom w:w="0" w:type="dxa"/>
            <w:right w:w="108" w:type="dxa"/>
          </w:tblCellMar>
        </w:tblPrEx>
        <w:trPr>
          <w:gridAfter w:val="1"/>
          <w:wAfter w:w="467" w:type="dxa"/>
          <w:trHeight w:val="600" w:hRule="atLeast"/>
          <w:jc w:val="center"/>
        </w:trPr>
        <w:tc>
          <w:tcPr>
            <w:tcW w:w="9356" w:type="dxa"/>
            <w:gridSpan w:val="4"/>
            <w:tcBorders>
              <w:top w:val="nil"/>
              <w:left w:val="nil"/>
              <w:bottom w:val="nil"/>
              <w:right w:val="nil"/>
            </w:tcBorders>
            <w:noWrap w:val="0"/>
            <w:vAlign w:val="center"/>
          </w:tcPr>
          <w:p w14:paraId="1A803779">
            <w:pPr>
              <w:spacing w:line="0" w:lineRule="atLeas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南京市公安局玄武分局</w:t>
            </w:r>
          </w:p>
          <w:p w14:paraId="696F5AD2">
            <w:pPr>
              <w:spacing w:line="0" w:lineRule="atLeas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食堂食材采购供应商整改通知单</w:t>
            </w:r>
          </w:p>
        </w:tc>
      </w:tr>
      <w:tr w14:paraId="71997402">
        <w:tblPrEx>
          <w:tblCellMar>
            <w:top w:w="0" w:type="dxa"/>
            <w:left w:w="108" w:type="dxa"/>
            <w:bottom w:w="0" w:type="dxa"/>
            <w:right w:w="108" w:type="dxa"/>
          </w:tblCellMar>
        </w:tblPrEx>
        <w:trPr>
          <w:gridAfter w:val="1"/>
          <w:wAfter w:w="467" w:type="dxa"/>
          <w:trHeight w:val="930" w:hRule="atLeast"/>
          <w:jc w:val="center"/>
        </w:trPr>
        <w:tc>
          <w:tcPr>
            <w:tcW w:w="2142" w:type="dxa"/>
            <w:tcBorders>
              <w:top w:val="single" w:color="000000" w:sz="4" w:space="0"/>
              <w:left w:val="single" w:color="000000" w:sz="4" w:space="0"/>
              <w:bottom w:val="single" w:color="000000" w:sz="4" w:space="0"/>
              <w:right w:val="single" w:color="000000" w:sz="4" w:space="0"/>
            </w:tcBorders>
            <w:noWrap w:val="0"/>
            <w:vAlign w:val="center"/>
          </w:tcPr>
          <w:p w14:paraId="2E0F531B">
            <w:pPr>
              <w:spacing w:line="0" w:lineRule="atLeast"/>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供应商名称</w:t>
            </w:r>
          </w:p>
        </w:tc>
        <w:tc>
          <w:tcPr>
            <w:tcW w:w="2551" w:type="dxa"/>
            <w:tcBorders>
              <w:top w:val="single" w:color="000000" w:sz="4" w:space="0"/>
              <w:left w:val="nil"/>
              <w:bottom w:val="single" w:color="000000" w:sz="4" w:space="0"/>
              <w:right w:val="single" w:color="000000" w:sz="4" w:space="0"/>
            </w:tcBorders>
            <w:noWrap w:val="0"/>
            <w:vAlign w:val="center"/>
          </w:tcPr>
          <w:p w14:paraId="03B69CB2">
            <w:pPr>
              <w:spacing w:line="0" w:lineRule="atLeast"/>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w:t>
            </w:r>
          </w:p>
        </w:tc>
        <w:tc>
          <w:tcPr>
            <w:tcW w:w="3119" w:type="dxa"/>
            <w:tcBorders>
              <w:top w:val="single" w:color="000000" w:sz="4" w:space="0"/>
              <w:left w:val="nil"/>
              <w:bottom w:val="single" w:color="000000" w:sz="4" w:space="0"/>
              <w:right w:val="single" w:color="000000" w:sz="4" w:space="0"/>
            </w:tcBorders>
            <w:noWrap w:val="0"/>
            <w:vAlign w:val="center"/>
          </w:tcPr>
          <w:p w14:paraId="4DA2EDD2">
            <w:pPr>
              <w:spacing w:line="0" w:lineRule="atLeast"/>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整改通知发出时间</w:t>
            </w:r>
          </w:p>
        </w:tc>
        <w:tc>
          <w:tcPr>
            <w:tcW w:w="1544" w:type="dxa"/>
            <w:tcBorders>
              <w:top w:val="single" w:color="000000" w:sz="4" w:space="0"/>
              <w:left w:val="nil"/>
              <w:bottom w:val="single" w:color="000000" w:sz="4" w:space="0"/>
              <w:right w:val="single" w:color="000000" w:sz="4" w:space="0"/>
            </w:tcBorders>
            <w:noWrap w:val="0"/>
            <w:vAlign w:val="center"/>
          </w:tcPr>
          <w:p w14:paraId="24B67BC5">
            <w:pPr>
              <w:spacing w:line="0" w:lineRule="atLeast"/>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w:t>
            </w:r>
          </w:p>
        </w:tc>
      </w:tr>
      <w:tr w14:paraId="6E848278">
        <w:tblPrEx>
          <w:tblCellMar>
            <w:top w:w="0" w:type="dxa"/>
            <w:left w:w="108" w:type="dxa"/>
            <w:bottom w:w="0" w:type="dxa"/>
            <w:right w:w="108" w:type="dxa"/>
          </w:tblCellMar>
        </w:tblPrEx>
        <w:trPr>
          <w:gridAfter w:val="1"/>
          <w:wAfter w:w="467" w:type="dxa"/>
          <w:trHeight w:val="930" w:hRule="atLeast"/>
          <w:jc w:val="center"/>
        </w:trPr>
        <w:tc>
          <w:tcPr>
            <w:tcW w:w="2142" w:type="dxa"/>
            <w:tcBorders>
              <w:top w:val="nil"/>
              <w:left w:val="single" w:color="000000" w:sz="4" w:space="0"/>
              <w:bottom w:val="single" w:color="000000" w:sz="4" w:space="0"/>
              <w:right w:val="single" w:color="000000" w:sz="4" w:space="0"/>
            </w:tcBorders>
            <w:noWrap w:val="0"/>
            <w:vAlign w:val="center"/>
          </w:tcPr>
          <w:p w14:paraId="2534AD6A">
            <w:pPr>
              <w:spacing w:line="0" w:lineRule="atLeast"/>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整改事项</w:t>
            </w:r>
          </w:p>
        </w:tc>
        <w:tc>
          <w:tcPr>
            <w:tcW w:w="2551" w:type="dxa"/>
            <w:tcBorders>
              <w:top w:val="nil"/>
              <w:left w:val="nil"/>
              <w:bottom w:val="single" w:color="000000" w:sz="4" w:space="0"/>
              <w:right w:val="single" w:color="000000" w:sz="4" w:space="0"/>
            </w:tcBorders>
            <w:noWrap w:val="0"/>
            <w:vAlign w:val="center"/>
          </w:tcPr>
          <w:p w14:paraId="6CEE99DC">
            <w:pPr>
              <w:spacing w:line="0" w:lineRule="atLeast"/>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w:t>
            </w:r>
          </w:p>
        </w:tc>
        <w:tc>
          <w:tcPr>
            <w:tcW w:w="3119" w:type="dxa"/>
            <w:tcBorders>
              <w:top w:val="nil"/>
              <w:left w:val="nil"/>
              <w:bottom w:val="single" w:color="000000" w:sz="4" w:space="0"/>
              <w:right w:val="single" w:color="000000" w:sz="4" w:space="0"/>
            </w:tcBorders>
            <w:noWrap w:val="0"/>
            <w:vAlign w:val="center"/>
          </w:tcPr>
          <w:p w14:paraId="2F09580D">
            <w:pPr>
              <w:spacing w:line="0" w:lineRule="atLeast"/>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整改期限</w:t>
            </w:r>
          </w:p>
        </w:tc>
        <w:tc>
          <w:tcPr>
            <w:tcW w:w="1544" w:type="dxa"/>
            <w:tcBorders>
              <w:top w:val="nil"/>
              <w:left w:val="nil"/>
              <w:bottom w:val="single" w:color="000000" w:sz="4" w:space="0"/>
              <w:right w:val="single" w:color="000000" w:sz="4" w:space="0"/>
            </w:tcBorders>
            <w:noWrap w:val="0"/>
            <w:vAlign w:val="center"/>
          </w:tcPr>
          <w:p w14:paraId="55148993">
            <w:pPr>
              <w:spacing w:line="0" w:lineRule="atLeast"/>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w:t>
            </w:r>
          </w:p>
        </w:tc>
      </w:tr>
      <w:tr w14:paraId="7DDE119A">
        <w:tblPrEx>
          <w:tblCellMar>
            <w:top w:w="0" w:type="dxa"/>
            <w:left w:w="108" w:type="dxa"/>
            <w:bottom w:w="0" w:type="dxa"/>
            <w:right w:w="108" w:type="dxa"/>
          </w:tblCellMar>
        </w:tblPrEx>
        <w:trPr>
          <w:gridAfter w:val="1"/>
          <w:wAfter w:w="467" w:type="dxa"/>
          <w:trHeight w:val="930" w:hRule="atLeast"/>
          <w:jc w:val="center"/>
        </w:trPr>
        <w:tc>
          <w:tcPr>
            <w:tcW w:w="2142" w:type="dxa"/>
            <w:tcBorders>
              <w:top w:val="nil"/>
              <w:left w:val="single" w:color="000000" w:sz="4" w:space="0"/>
              <w:bottom w:val="single" w:color="000000" w:sz="4" w:space="0"/>
              <w:right w:val="single" w:color="000000" w:sz="4" w:space="0"/>
            </w:tcBorders>
            <w:noWrap w:val="0"/>
            <w:vAlign w:val="center"/>
          </w:tcPr>
          <w:p w14:paraId="3BDD8B86">
            <w:pPr>
              <w:spacing w:line="0" w:lineRule="atLeast"/>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违规扣分项</w:t>
            </w:r>
          </w:p>
        </w:tc>
        <w:tc>
          <w:tcPr>
            <w:tcW w:w="2551" w:type="dxa"/>
            <w:tcBorders>
              <w:top w:val="nil"/>
              <w:left w:val="nil"/>
              <w:bottom w:val="single" w:color="000000" w:sz="4" w:space="0"/>
              <w:right w:val="single" w:color="000000" w:sz="4" w:space="0"/>
            </w:tcBorders>
            <w:noWrap w:val="0"/>
            <w:vAlign w:val="center"/>
          </w:tcPr>
          <w:p w14:paraId="3452A2B4">
            <w:pPr>
              <w:spacing w:line="0" w:lineRule="atLeast"/>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w:t>
            </w:r>
          </w:p>
        </w:tc>
        <w:tc>
          <w:tcPr>
            <w:tcW w:w="3119" w:type="dxa"/>
            <w:tcBorders>
              <w:top w:val="nil"/>
              <w:left w:val="nil"/>
              <w:bottom w:val="single" w:color="000000" w:sz="4" w:space="0"/>
              <w:right w:val="single" w:color="000000" w:sz="4" w:space="0"/>
            </w:tcBorders>
            <w:noWrap w:val="0"/>
            <w:vAlign w:val="center"/>
          </w:tcPr>
          <w:p w14:paraId="5A631C82">
            <w:pPr>
              <w:spacing w:line="0" w:lineRule="atLeast"/>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扣分分值</w:t>
            </w:r>
          </w:p>
        </w:tc>
        <w:tc>
          <w:tcPr>
            <w:tcW w:w="1544" w:type="dxa"/>
            <w:tcBorders>
              <w:top w:val="nil"/>
              <w:left w:val="nil"/>
              <w:bottom w:val="single" w:color="000000" w:sz="4" w:space="0"/>
              <w:right w:val="single" w:color="000000" w:sz="4" w:space="0"/>
            </w:tcBorders>
            <w:noWrap w:val="0"/>
            <w:vAlign w:val="center"/>
          </w:tcPr>
          <w:p w14:paraId="30907CE4">
            <w:pPr>
              <w:spacing w:line="0" w:lineRule="atLeast"/>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w:t>
            </w:r>
          </w:p>
        </w:tc>
      </w:tr>
      <w:tr w14:paraId="75298BF8">
        <w:tblPrEx>
          <w:tblCellMar>
            <w:top w:w="0" w:type="dxa"/>
            <w:left w:w="108" w:type="dxa"/>
            <w:bottom w:w="0" w:type="dxa"/>
            <w:right w:w="108" w:type="dxa"/>
          </w:tblCellMar>
        </w:tblPrEx>
        <w:trPr>
          <w:gridAfter w:val="1"/>
          <w:wAfter w:w="467" w:type="dxa"/>
          <w:trHeight w:val="930" w:hRule="atLeast"/>
          <w:jc w:val="center"/>
        </w:trPr>
        <w:tc>
          <w:tcPr>
            <w:tcW w:w="2142" w:type="dxa"/>
            <w:tcBorders>
              <w:top w:val="nil"/>
              <w:left w:val="single" w:color="000000" w:sz="4" w:space="0"/>
              <w:bottom w:val="single" w:color="000000" w:sz="4" w:space="0"/>
              <w:right w:val="single" w:color="000000" w:sz="4" w:space="0"/>
            </w:tcBorders>
            <w:noWrap w:val="0"/>
            <w:vAlign w:val="center"/>
          </w:tcPr>
          <w:p w14:paraId="25CC12BF">
            <w:pPr>
              <w:spacing w:line="0" w:lineRule="atLeast"/>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通知书发出部门</w:t>
            </w:r>
          </w:p>
        </w:tc>
        <w:tc>
          <w:tcPr>
            <w:tcW w:w="2551" w:type="dxa"/>
            <w:tcBorders>
              <w:top w:val="nil"/>
              <w:left w:val="nil"/>
              <w:bottom w:val="single" w:color="000000" w:sz="4" w:space="0"/>
              <w:right w:val="single" w:color="000000" w:sz="4" w:space="0"/>
            </w:tcBorders>
            <w:noWrap w:val="0"/>
            <w:vAlign w:val="center"/>
          </w:tcPr>
          <w:p w14:paraId="672D02DB">
            <w:pPr>
              <w:spacing w:line="0" w:lineRule="atLeast"/>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w:t>
            </w:r>
          </w:p>
        </w:tc>
        <w:tc>
          <w:tcPr>
            <w:tcW w:w="3119" w:type="dxa"/>
            <w:tcBorders>
              <w:top w:val="nil"/>
              <w:left w:val="nil"/>
              <w:bottom w:val="single" w:color="000000" w:sz="4" w:space="0"/>
              <w:right w:val="single" w:color="000000" w:sz="4" w:space="0"/>
            </w:tcBorders>
            <w:noWrap w:val="0"/>
            <w:vAlign w:val="center"/>
          </w:tcPr>
          <w:p w14:paraId="4FEF9870">
            <w:pPr>
              <w:spacing w:line="0" w:lineRule="atLeast"/>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发出人</w:t>
            </w:r>
          </w:p>
        </w:tc>
        <w:tc>
          <w:tcPr>
            <w:tcW w:w="1544" w:type="dxa"/>
            <w:tcBorders>
              <w:top w:val="nil"/>
              <w:left w:val="nil"/>
              <w:bottom w:val="single" w:color="000000" w:sz="4" w:space="0"/>
              <w:right w:val="single" w:color="000000" w:sz="4" w:space="0"/>
            </w:tcBorders>
            <w:noWrap w:val="0"/>
            <w:vAlign w:val="center"/>
          </w:tcPr>
          <w:p w14:paraId="12772A51">
            <w:pPr>
              <w:spacing w:line="0" w:lineRule="atLeast"/>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w:t>
            </w:r>
          </w:p>
        </w:tc>
      </w:tr>
      <w:tr w14:paraId="3E4270F1">
        <w:tblPrEx>
          <w:tblCellMar>
            <w:top w:w="0" w:type="dxa"/>
            <w:left w:w="108" w:type="dxa"/>
            <w:bottom w:w="0" w:type="dxa"/>
            <w:right w:w="108" w:type="dxa"/>
          </w:tblCellMar>
        </w:tblPrEx>
        <w:trPr>
          <w:gridAfter w:val="1"/>
          <w:wAfter w:w="467" w:type="dxa"/>
          <w:trHeight w:val="930" w:hRule="atLeast"/>
          <w:jc w:val="center"/>
        </w:trPr>
        <w:tc>
          <w:tcPr>
            <w:tcW w:w="9356" w:type="dxa"/>
            <w:gridSpan w:val="4"/>
            <w:tcBorders>
              <w:top w:val="single" w:color="000000" w:sz="4" w:space="0"/>
              <w:left w:val="single" w:color="000000" w:sz="4" w:space="0"/>
              <w:bottom w:val="single" w:color="000000" w:sz="4" w:space="0"/>
              <w:right w:val="single" w:color="000000" w:sz="4" w:space="0"/>
            </w:tcBorders>
            <w:noWrap w:val="0"/>
            <w:vAlign w:val="center"/>
          </w:tcPr>
          <w:p w14:paraId="05E80FE2">
            <w:pPr>
              <w:spacing w:line="0" w:lineRule="atLeast"/>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整改情况（供应商填写）</w:t>
            </w:r>
          </w:p>
        </w:tc>
      </w:tr>
      <w:tr w14:paraId="06B62330">
        <w:tblPrEx>
          <w:tblCellMar>
            <w:top w:w="0" w:type="dxa"/>
            <w:left w:w="108" w:type="dxa"/>
            <w:bottom w:w="0" w:type="dxa"/>
            <w:right w:w="108" w:type="dxa"/>
          </w:tblCellMar>
        </w:tblPrEx>
        <w:trPr>
          <w:gridAfter w:val="1"/>
          <w:wAfter w:w="467" w:type="dxa"/>
          <w:cantSplit/>
          <w:trHeight w:val="930" w:hRule="atLeast"/>
          <w:jc w:val="center"/>
        </w:trPr>
        <w:tc>
          <w:tcPr>
            <w:tcW w:w="9356" w:type="dxa"/>
            <w:gridSpan w:val="4"/>
            <w:vMerge w:val="restart"/>
            <w:tcBorders>
              <w:top w:val="single" w:color="000000" w:sz="4" w:space="0"/>
              <w:left w:val="single" w:color="000000" w:sz="4" w:space="0"/>
              <w:bottom w:val="single" w:color="000000" w:sz="4" w:space="0"/>
              <w:right w:val="single" w:color="000000" w:sz="4" w:space="0"/>
            </w:tcBorders>
            <w:noWrap w:val="0"/>
            <w:vAlign w:val="bottom"/>
          </w:tcPr>
          <w:p w14:paraId="0CE8866B">
            <w:pPr>
              <w:spacing w:line="0" w:lineRule="atLeast"/>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供应商责任人：</w:t>
            </w:r>
          </w:p>
        </w:tc>
      </w:tr>
      <w:tr w14:paraId="522CA04E">
        <w:tblPrEx>
          <w:tblCellMar>
            <w:top w:w="0" w:type="dxa"/>
            <w:left w:w="108" w:type="dxa"/>
            <w:bottom w:w="0" w:type="dxa"/>
            <w:right w:w="108" w:type="dxa"/>
          </w:tblCellMar>
        </w:tblPrEx>
        <w:trPr>
          <w:cantSplit/>
          <w:trHeight w:val="930" w:hRule="atLeast"/>
          <w:jc w:val="center"/>
        </w:trPr>
        <w:tc>
          <w:tcPr>
            <w:tcW w:w="16570" w:type="dxa"/>
            <w:gridSpan w:val="4"/>
            <w:vMerge w:val="continue"/>
            <w:tcBorders>
              <w:top w:val="single" w:color="000000" w:sz="4" w:space="0"/>
              <w:left w:val="single" w:color="000000" w:sz="4" w:space="0"/>
              <w:bottom w:val="single" w:color="000000" w:sz="4" w:space="0"/>
              <w:right w:val="single" w:color="000000" w:sz="4" w:space="0"/>
            </w:tcBorders>
            <w:noWrap w:val="0"/>
            <w:vAlign w:val="center"/>
          </w:tcPr>
          <w:p w14:paraId="2F84030D">
            <w:pPr>
              <w:spacing w:line="0" w:lineRule="atLeast"/>
              <w:jc w:val="left"/>
              <w:rPr>
                <w:rFonts w:ascii="宋体" w:hAnsi="宋体"/>
                <w:sz w:val="24"/>
                <w:szCs w:val="24"/>
              </w:rPr>
            </w:pPr>
          </w:p>
        </w:tc>
        <w:tc>
          <w:tcPr>
            <w:tcW w:w="480" w:type="dxa"/>
            <w:noWrap w:val="0"/>
            <w:vAlign w:val="center"/>
          </w:tcPr>
          <w:p w14:paraId="23C0493D">
            <w:pPr>
              <w:spacing w:line="0" w:lineRule="atLeast"/>
              <w:jc w:val="left"/>
              <w:rPr>
                <w:rFonts w:hint="eastAsia" w:ascii="宋体" w:hAnsi="宋体"/>
                <w:color w:val="000000" w:themeColor="text1"/>
                <w:sz w:val="24"/>
                <w:szCs w:val="24"/>
                <w14:textFill>
                  <w14:solidFill>
                    <w14:schemeClr w14:val="tx1"/>
                  </w14:solidFill>
                </w14:textFill>
              </w:rPr>
            </w:pPr>
          </w:p>
        </w:tc>
      </w:tr>
      <w:tr w14:paraId="132D36E3">
        <w:tblPrEx>
          <w:tblCellMar>
            <w:top w:w="0" w:type="dxa"/>
            <w:left w:w="108" w:type="dxa"/>
            <w:bottom w:w="0" w:type="dxa"/>
            <w:right w:w="108" w:type="dxa"/>
          </w:tblCellMar>
        </w:tblPrEx>
        <w:trPr>
          <w:cantSplit/>
          <w:trHeight w:val="930" w:hRule="atLeast"/>
          <w:jc w:val="center"/>
        </w:trPr>
        <w:tc>
          <w:tcPr>
            <w:tcW w:w="16570" w:type="dxa"/>
            <w:gridSpan w:val="4"/>
            <w:vMerge w:val="continue"/>
            <w:tcBorders>
              <w:top w:val="single" w:color="000000" w:sz="4" w:space="0"/>
              <w:left w:val="single" w:color="000000" w:sz="4" w:space="0"/>
              <w:bottom w:val="single" w:color="000000" w:sz="4" w:space="0"/>
              <w:right w:val="single" w:color="000000" w:sz="4" w:space="0"/>
            </w:tcBorders>
            <w:noWrap w:val="0"/>
            <w:vAlign w:val="center"/>
          </w:tcPr>
          <w:p w14:paraId="717961E1">
            <w:pPr>
              <w:spacing w:line="0" w:lineRule="atLeast"/>
              <w:jc w:val="left"/>
              <w:rPr>
                <w:rFonts w:ascii="宋体" w:hAnsi="宋体"/>
                <w:sz w:val="24"/>
                <w:szCs w:val="24"/>
              </w:rPr>
            </w:pPr>
          </w:p>
        </w:tc>
        <w:tc>
          <w:tcPr>
            <w:tcW w:w="480" w:type="dxa"/>
            <w:noWrap w:val="0"/>
            <w:vAlign w:val="center"/>
          </w:tcPr>
          <w:p w14:paraId="0D2C8118">
            <w:pPr>
              <w:spacing w:line="0" w:lineRule="atLeast"/>
              <w:jc w:val="left"/>
              <w:rPr>
                <w:rFonts w:ascii="宋体" w:hAnsi="宋体"/>
                <w:color w:val="000000" w:themeColor="text1"/>
                <w:sz w:val="24"/>
                <w:szCs w:val="24"/>
                <w14:textFill>
                  <w14:solidFill>
                    <w14:schemeClr w14:val="tx1"/>
                  </w14:solidFill>
                </w14:textFill>
              </w:rPr>
            </w:pPr>
          </w:p>
        </w:tc>
      </w:tr>
      <w:tr w14:paraId="1C2CFBE0">
        <w:tblPrEx>
          <w:tblCellMar>
            <w:top w:w="0" w:type="dxa"/>
            <w:left w:w="108" w:type="dxa"/>
            <w:bottom w:w="0" w:type="dxa"/>
            <w:right w:w="108" w:type="dxa"/>
          </w:tblCellMar>
        </w:tblPrEx>
        <w:trPr>
          <w:cantSplit/>
          <w:trHeight w:val="60" w:hRule="atLeast"/>
          <w:jc w:val="center"/>
        </w:trPr>
        <w:tc>
          <w:tcPr>
            <w:tcW w:w="16570" w:type="dxa"/>
            <w:gridSpan w:val="4"/>
            <w:vMerge w:val="continue"/>
            <w:tcBorders>
              <w:top w:val="single" w:color="000000" w:sz="4" w:space="0"/>
              <w:left w:val="single" w:color="000000" w:sz="4" w:space="0"/>
              <w:bottom w:val="single" w:color="000000" w:sz="4" w:space="0"/>
              <w:right w:val="single" w:color="000000" w:sz="4" w:space="0"/>
            </w:tcBorders>
            <w:noWrap w:val="0"/>
            <w:vAlign w:val="center"/>
          </w:tcPr>
          <w:p w14:paraId="575B7AA2">
            <w:pPr>
              <w:spacing w:line="0" w:lineRule="atLeast"/>
              <w:jc w:val="left"/>
              <w:rPr>
                <w:rFonts w:ascii="宋体" w:hAnsi="宋体"/>
                <w:sz w:val="24"/>
                <w:szCs w:val="24"/>
              </w:rPr>
            </w:pPr>
          </w:p>
        </w:tc>
        <w:tc>
          <w:tcPr>
            <w:tcW w:w="480" w:type="dxa"/>
            <w:noWrap w:val="0"/>
            <w:vAlign w:val="center"/>
          </w:tcPr>
          <w:p w14:paraId="68B1A3F5">
            <w:pPr>
              <w:spacing w:line="0" w:lineRule="atLeast"/>
              <w:jc w:val="left"/>
              <w:rPr>
                <w:rFonts w:ascii="宋体" w:hAnsi="宋体"/>
                <w:color w:val="000000" w:themeColor="text1"/>
                <w:sz w:val="24"/>
                <w:szCs w:val="24"/>
                <w14:textFill>
                  <w14:solidFill>
                    <w14:schemeClr w14:val="tx1"/>
                  </w14:solidFill>
                </w14:textFill>
              </w:rPr>
            </w:pPr>
          </w:p>
        </w:tc>
      </w:tr>
      <w:tr w14:paraId="310E37DE">
        <w:tblPrEx>
          <w:tblCellMar>
            <w:top w:w="0" w:type="dxa"/>
            <w:left w:w="108" w:type="dxa"/>
            <w:bottom w:w="0" w:type="dxa"/>
            <w:right w:w="108" w:type="dxa"/>
          </w:tblCellMar>
        </w:tblPrEx>
        <w:trPr>
          <w:trHeight w:val="930" w:hRule="atLeast"/>
          <w:jc w:val="center"/>
        </w:trPr>
        <w:tc>
          <w:tcPr>
            <w:tcW w:w="9356" w:type="dxa"/>
            <w:gridSpan w:val="4"/>
            <w:tcBorders>
              <w:top w:val="single" w:color="000000" w:sz="4" w:space="0"/>
              <w:left w:val="single" w:color="000000" w:sz="4" w:space="0"/>
              <w:bottom w:val="single" w:color="000000" w:sz="4" w:space="0"/>
              <w:right w:val="single" w:color="000000" w:sz="4" w:space="0"/>
            </w:tcBorders>
            <w:noWrap w:val="0"/>
            <w:vAlign w:val="center"/>
          </w:tcPr>
          <w:p w14:paraId="40943AB6">
            <w:pPr>
              <w:spacing w:line="0" w:lineRule="atLeast"/>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结果验证（发出部门填写）</w:t>
            </w:r>
          </w:p>
        </w:tc>
        <w:tc>
          <w:tcPr>
            <w:tcW w:w="480" w:type="dxa"/>
            <w:noWrap w:val="0"/>
            <w:vAlign w:val="center"/>
          </w:tcPr>
          <w:p w14:paraId="1BC91012">
            <w:pPr>
              <w:spacing w:line="0" w:lineRule="atLeast"/>
              <w:jc w:val="left"/>
              <w:rPr>
                <w:rFonts w:hint="eastAsia" w:ascii="宋体" w:hAnsi="宋体"/>
                <w:color w:val="000000" w:themeColor="text1"/>
                <w:sz w:val="24"/>
                <w:szCs w:val="24"/>
                <w14:textFill>
                  <w14:solidFill>
                    <w14:schemeClr w14:val="tx1"/>
                  </w14:solidFill>
                </w14:textFill>
              </w:rPr>
            </w:pPr>
          </w:p>
        </w:tc>
      </w:tr>
      <w:tr w14:paraId="1A65B8AB">
        <w:tblPrEx>
          <w:tblCellMar>
            <w:top w:w="0" w:type="dxa"/>
            <w:left w:w="108" w:type="dxa"/>
            <w:bottom w:w="0" w:type="dxa"/>
            <w:right w:w="108" w:type="dxa"/>
          </w:tblCellMar>
        </w:tblPrEx>
        <w:trPr>
          <w:cantSplit/>
          <w:trHeight w:val="558" w:hRule="atLeast"/>
          <w:jc w:val="center"/>
        </w:trPr>
        <w:tc>
          <w:tcPr>
            <w:tcW w:w="9356" w:type="dxa"/>
            <w:gridSpan w:val="4"/>
            <w:vMerge w:val="restart"/>
            <w:tcBorders>
              <w:top w:val="single" w:color="000000" w:sz="4" w:space="0"/>
              <w:left w:val="single" w:color="000000" w:sz="4" w:space="0"/>
              <w:bottom w:val="single" w:color="000000" w:sz="4" w:space="0"/>
              <w:right w:val="single" w:color="000000" w:sz="4" w:space="0"/>
            </w:tcBorders>
            <w:noWrap w:val="0"/>
            <w:vAlign w:val="bottom"/>
          </w:tcPr>
          <w:p w14:paraId="73BEA302">
            <w:pPr>
              <w:spacing w:line="0" w:lineRule="atLeast"/>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确认人：</w:t>
            </w:r>
          </w:p>
          <w:p w14:paraId="3C4FFFEB">
            <w:pPr>
              <w:rPr>
                <w:rFonts w:hint="eastAsia" w:ascii="宋体" w:hAnsi="宋体"/>
                <w:color w:val="000000" w:themeColor="text1"/>
                <w:sz w:val="24"/>
                <w:szCs w:val="24"/>
                <w14:textFill>
                  <w14:solidFill>
                    <w14:schemeClr w14:val="tx1"/>
                  </w14:solidFill>
                </w14:textFill>
              </w:rPr>
            </w:pPr>
          </w:p>
          <w:p w14:paraId="5C7DF77E">
            <w:pPr>
              <w:rPr>
                <w:rFonts w:hint="eastAsia" w:ascii="宋体" w:hAnsi="宋体"/>
                <w:color w:val="000000" w:themeColor="text1"/>
                <w:sz w:val="24"/>
                <w:szCs w:val="24"/>
                <w14:textFill>
                  <w14:solidFill>
                    <w14:schemeClr w14:val="tx1"/>
                  </w14:solidFill>
                </w14:textFill>
              </w:rPr>
            </w:pPr>
          </w:p>
          <w:p w14:paraId="34511B37">
            <w:pPr>
              <w:rPr>
                <w:rFonts w:ascii="宋体" w:hAnsi="宋体"/>
                <w:color w:val="000000" w:themeColor="text1"/>
                <w:sz w:val="24"/>
                <w:szCs w:val="24"/>
                <w14:textFill>
                  <w14:solidFill>
                    <w14:schemeClr w14:val="tx1"/>
                  </w14:solidFill>
                </w14:textFill>
              </w:rPr>
            </w:pPr>
          </w:p>
        </w:tc>
        <w:tc>
          <w:tcPr>
            <w:tcW w:w="480" w:type="dxa"/>
            <w:noWrap w:val="0"/>
            <w:vAlign w:val="center"/>
          </w:tcPr>
          <w:p w14:paraId="64DCB43B">
            <w:pPr>
              <w:spacing w:line="0" w:lineRule="atLeast"/>
              <w:jc w:val="left"/>
              <w:rPr>
                <w:rFonts w:hint="eastAsia" w:ascii="宋体" w:hAnsi="宋体"/>
                <w:color w:val="000000" w:themeColor="text1"/>
                <w:sz w:val="24"/>
                <w:szCs w:val="24"/>
                <w14:textFill>
                  <w14:solidFill>
                    <w14:schemeClr w14:val="tx1"/>
                  </w14:solidFill>
                </w14:textFill>
              </w:rPr>
            </w:pPr>
          </w:p>
        </w:tc>
      </w:tr>
      <w:tr w14:paraId="1898059F">
        <w:tblPrEx>
          <w:tblCellMar>
            <w:top w:w="0" w:type="dxa"/>
            <w:left w:w="108" w:type="dxa"/>
            <w:bottom w:w="0" w:type="dxa"/>
            <w:right w:w="108" w:type="dxa"/>
          </w:tblCellMar>
        </w:tblPrEx>
        <w:trPr>
          <w:cantSplit/>
          <w:trHeight w:val="930" w:hRule="atLeast"/>
          <w:jc w:val="center"/>
        </w:trPr>
        <w:tc>
          <w:tcPr>
            <w:tcW w:w="16570" w:type="dxa"/>
            <w:gridSpan w:val="4"/>
            <w:vMerge w:val="continue"/>
            <w:tcBorders>
              <w:top w:val="single" w:color="000000" w:sz="4" w:space="0"/>
              <w:left w:val="single" w:color="000000" w:sz="4" w:space="0"/>
              <w:bottom w:val="single" w:color="000000" w:sz="4" w:space="0"/>
              <w:right w:val="single" w:color="000000" w:sz="4" w:space="0"/>
            </w:tcBorders>
            <w:noWrap w:val="0"/>
            <w:vAlign w:val="center"/>
          </w:tcPr>
          <w:p w14:paraId="232C84CC">
            <w:pPr>
              <w:spacing w:line="0" w:lineRule="atLeast"/>
              <w:jc w:val="left"/>
              <w:rPr>
                <w:rFonts w:ascii="宋体" w:hAnsi="宋体"/>
                <w:sz w:val="24"/>
                <w:szCs w:val="24"/>
              </w:rPr>
            </w:pPr>
          </w:p>
        </w:tc>
        <w:tc>
          <w:tcPr>
            <w:tcW w:w="480" w:type="dxa"/>
            <w:noWrap w:val="0"/>
            <w:vAlign w:val="center"/>
          </w:tcPr>
          <w:p w14:paraId="5F51E77D">
            <w:pPr>
              <w:spacing w:line="0" w:lineRule="atLeast"/>
              <w:jc w:val="left"/>
              <w:rPr>
                <w:rFonts w:ascii="宋体" w:hAnsi="宋体"/>
                <w:color w:val="000000" w:themeColor="text1"/>
                <w:sz w:val="24"/>
                <w:szCs w:val="24"/>
                <w14:textFill>
                  <w14:solidFill>
                    <w14:schemeClr w14:val="tx1"/>
                  </w14:solidFill>
                </w14:textFill>
              </w:rPr>
            </w:pPr>
          </w:p>
        </w:tc>
      </w:tr>
      <w:tr w14:paraId="34614D45">
        <w:tblPrEx>
          <w:tblCellMar>
            <w:top w:w="0" w:type="dxa"/>
            <w:left w:w="108" w:type="dxa"/>
            <w:bottom w:w="0" w:type="dxa"/>
            <w:right w:w="108" w:type="dxa"/>
          </w:tblCellMar>
        </w:tblPrEx>
        <w:trPr>
          <w:cantSplit/>
          <w:trHeight w:val="312" w:hRule="atLeast"/>
          <w:jc w:val="center"/>
        </w:trPr>
        <w:tc>
          <w:tcPr>
            <w:tcW w:w="16570" w:type="dxa"/>
            <w:gridSpan w:val="4"/>
            <w:vMerge w:val="continue"/>
            <w:tcBorders>
              <w:top w:val="single" w:color="000000" w:sz="4" w:space="0"/>
              <w:left w:val="single" w:color="000000" w:sz="4" w:space="0"/>
              <w:bottom w:val="single" w:color="000000" w:sz="4" w:space="0"/>
              <w:right w:val="single" w:color="000000" w:sz="4" w:space="0"/>
            </w:tcBorders>
            <w:noWrap w:val="0"/>
            <w:vAlign w:val="center"/>
          </w:tcPr>
          <w:p w14:paraId="6ABCCB96">
            <w:pPr>
              <w:spacing w:line="0" w:lineRule="atLeast"/>
              <w:jc w:val="left"/>
              <w:rPr>
                <w:rFonts w:ascii="宋体" w:hAnsi="宋体"/>
                <w:sz w:val="24"/>
                <w:szCs w:val="24"/>
              </w:rPr>
            </w:pPr>
          </w:p>
        </w:tc>
        <w:tc>
          <w:tcPr>
            <w:tcW w:w="480" w:type="dxa"/>
            <w:noWrap w:val="0"/>
            <w:vAlign w:val="center"/>
          </w:tcPr>
          <w:p w14:paraId="72DAEAE1">
            <w:pPr>
              <w:spacing w:line="0" w:lineRule="atLeast"/>
              <w:jc w:val="left"/>
              <w:rPr>
                <w:rFonts w:ascii="宋体" w:hAnsi="宋体"/>
                <w:color w:val="000000" w:themeColor="text1"/>
                <w:sz w:val="24"/>
                <w:szCs w:val="24"/>
                <w14:textFill>
                  <w14:solidFill>
                    <w14:schemeClr w14:val="tx1"/>
                  </w14:solidFill>
                </w14:textFill>
              </w:rPr>
            </w:pPr>
          </w:p>
        </w:tc>
      </w:tr>
    </w:tbl>
    <w:p w14:paraId="6CC68AD4">
      <w:pPr>
        <w:pStyle w:val="2"/>
        <w:ind w:left="0" w:leftChars="0" w:firstLine="0" w:firstLineChars="0"/>
        <w:rPr>
          <w:rFonts w:hint="eastAsia"/>
        </w:rPr>
        <w:sectPr>
          <w:pgSz w:w="11906" w:h="16838"/>
          <w:pgMar w:top="1440" w:right="1080" w:bottom="1440" w:left="1080" w:header="851" w:footer="992" w:gutter="0"/>
          <w:pgNumType w:fmt="decimal"/>
          <w:cols w:space="720" w:num="1"/>
          <w:docGrid w:linePitch="360" w:charSpace="0"/>
        </w:sectPr>
      </w:pPr>
    </w:p>
    <w:p w14:paraId="070A1757">
      <w:pPr>
        <w:spacing w:line="480" w:lineRule="exact"/>
        <w:ind w:firstLine="48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附件</w:t>
      </w:r>
      <w:r>
        <w:rPr>
          <w:rFonts w:ascii="宋体" w:hAnsi="宋体"/>
          <w:color w:val="000000" w:themeColor="text1"/>
          <w:sz w:val="24"/>
          <w:szCs w:val="24"/>
          <w14:textFill>
            <w14:solidFill>
              <w14:schemeClr w14:val="tx1"/>
            </w14:solidFill>
          </w14:textFill>
        </w:rPr>
        <w:t>3</w:t>
      </w:r>
      <w:r>
        <w:rPr>
          <w:rFonts w:hint="eastAsia" w:ascii="宋体" w:hAnsi="宋体"/>
          <w:color w:val="000000" w:themeColor="text1"/>
          <w:sz w:val="24"/>
          <w:szCs w:val="24"/>
          <w14:textFill>
            <w14:solidFill>
              <w14:schemeClr w14:val="tx1"/>
            </w14:solidFill>
          </w14:textFill>
        </w:rPr>
        <w:t>：</w:t>
      </w:r>
    </w:p>
    <w:p w14:paraId="34709E7E">
      <w:pPr>
        <w:spacing w:line="480" w:lineRule="exact"/>
        <w:ind w:firstLine="480"/>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供应商考核评分办法</w:t>
      </w:r>
    </w:p>
    <w:tbl>
      <w:tblPr>
        <w:tblStyle w:val="40"/>
        <w:tblW w:w="13056" w:type="dxa"/>
        <w:jc w:val="center"/>
        <w:tblLayout w:type="fixed"/>
        <w:tblCellMar>
          <w:top w:w="0" w:type="dxa"/>
          <w:left w:w="108" w:type="dxa"/>
          <w:bottom w:w="0" w:type="dxa"/>
          <w:right w:w="108" w:type="dxa"/>
        </w:tblCellMar>
      </w:tblPr>
      <w:tblGrid>
        <w:gridCol w:w="583"/>
        <w:gridCol w:w="708"/>
        <w:gridCol w:w="992"/>
        <w:gridCol w:w="1276"/>
        <w:gridCol w:w="3827"/>
        <w:gridCol w:w="4425"/>
        <w:gridCol w:w="1245"/>
      </w:tblGrid>
      <w:tr w14:paraId="15B6631B">
        <w:tblPrEx>
          <w:tblCellMar>
            <w:top w:w="0" w:type="dxa"/>
            <w:left w:w="108" w:type="dxa"/>
            <w:bottom w:w="0" w:type="dxa"/>
            <w:right w:w="108" w:type="dxa"/>
          </w:tblCellMar>
        </w:tblPrEx>
        <w:trPr>
          <w:trHeight w:val="822" w:hRule="atLeast"/>
          <w:tblHeader/>
          <w:jc w:val="center"/>
        </w:trPr>
        <w:tc>
          <w:tcPr>
            <w:tcW w:w="583" w:type="dxa"/>
            <w:tcBorders>
              <w:top w:val="single" w:color="000000" w:sz="4" w:space="0"/>
              <w:left w:val="single" w:color="000000" w:sz="4" w:space="0"/>
              <w:bottom w:val="single" w:color="000000" w:sz="4" w:space="0"/>
              <w:right w:val="single" w:color="000000" w:sz="4" w:space="0"/>
            </w:tcBorders>
            <w:noWrap w:val="0"/>
            <w:vAlign w:val="center"/>
          </w:tcPr>
          <w:p w14:paraId="0C6E93BC">
            <w:pPr>
              <w:spacing w:line="0" w:lineRule="atLeast"/>
              <w:jc w:val="left"/>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序号</w:t>
            </w:r>
          </w:p>
        </w:tc>
        <w:tc>
          <w:tcPr>
            <w:tcW w:w="708" w:type="dxa"/>
            <w:tcBorders>
              <w:top w:val="single" w:color="000000" w:sz="4" w:space="0"/>
              <w:left w:val="nil"/>
              <w:bottom w:val="single" w:color="000000" w:sz="4" w:space="0"/>
              <w:right w:val="single" w:color="000000" w:sz="4" w:space="0"/>
            </w:tcBorders>
            <w:noWrap w:val="0"/>
            <w:vAlign w:val="center"/>
          </w:tcPr>
          <w:p w14:paraId="7949A04E">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考评项目</w:t>
            </w:r>
          </w:p>
        </w:tc>
        <w:tc>
          <w:tcPr>
            <w:tcW w:w="2268" w:type="dxa"/>
            <w:gridSpan w:val="2"/>
            <w:tcBorders>
              <w:top w:val="single" w:color="000000" w:sz="4" w:space="0"/>
              <w:left w:val="nil"/>
              <w:bottom w:val="single" w:color="000000" w:sz="4" w:space="0"/>
              <w:right w:val="single" w:color="000000" w:sz="4" w:space="0"/>
            </w:tcBorders>
            <w:noWrap w:val="0"/>
            <w:vAlign w:val="center"/>
          </w:tcPr>
          <w:p w14:paraId="126D7B92">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考评内容及分值</w:t>
            </w:r>
          </w:p>
        </w:tc>
        <w:tc>
          <w:tcPr>
            <w:tcW w:w="3827" w:type="dxa"/>
            <w:tcBorders>
              <w:top w:val="single" w:color="000000" w:sz="4" w:space="0"/>
              <w:left w:val="nil"/>
              <w:bottom w:val="single" w:color="000000" w:sz="4" w:space="0"/>
              <w:right w:val="single" w:color="000000" w:sz="4" w:space="0"/>
            </w:tcBorders>
            <w:noWrap w:val="0"/>
            <w:vAlign w:val="center"/>
          </w:tcPr>
          <w:p w14:paraId="481DD2AA">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标准流程</w:t>
            </w:r>
          </w:p>
        </w:tc>
        <w:tc>
          <w:tcPr>
            <w:tcW w:w="4425" w:type="dxa"/>
            <w:tcBorders>
              <w:top w:val="single" w:color="000000" w:sz="4" w:space="0"/>
              <w:left w:val="nil"/>
              <w:bottom w:val="single" w:color="000000" w:sz="4" w:space="0"/>
              <w:right w:val="single" w:color="000000" w:sz="4" w:space="0"/>
            </w:tcBorders>
            <w:noWrap w:val="0"/>
            <w:vAlign w:val="center"/>
          </w:tcPr>
          <w:p w14:paraId="3D00A53E">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具体加/扣分项及分值</w:t>
            </w:r>
          </w:p>
        </w:tc>
        <w:tc>
          <w:tcPr>
            <w:tcW w:w="1245" w:type="dxa"/>
            <w:tcBorders>
              <w:top w:val="single" w:color="000000" w:sz="4" w:space="0"/>
              <w:left w:val="nil"/>
              <w:bottom w:val="single" w:color="000000" w:sz="4" w:space="0"/>
              <w:right w:val="single" w:color="000000" w:sz="4" w:space="0"/>
            </w:tcBorders>
            <w:noWrap w:val="0"/>
            <w:vAlign w:val="center"/>
          </w:tcPr>
          <w:p w14:paraId="2D598681">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备注</w:t>
            </w:r>
          </w:p>
        </w:tc>
      </w:tr>
      <w:tr w14:paraId="0B3C4379">
        <w:tblPrEx>
          <w:tblCellMar>
            <w:top w:w="0" w:type="dxa"/>
            <w:left w:w="108" w:type="dxa"/>
            <w:bottom w:w="0" w:type="dxa"/>
            <w:right w:w="108" w:type="dxa"/>
          </w:tblCellMar>
        </w:tblPrEx>
        <w:trPr>
          <w:cantSplit/>
          <w:trHeight w:val="945" w:hRule="atLeast"/>
          <w:jc w:val="center"/>
        </w:trPr>
        <w:tc>
          <w:tcPr>
            <w:tcW w:w="583" w:type="dxa"/>
            <w:vMerge w:val="restart"/>
            <w:tcBorders>
              <w:top w:val="nil"/>
              <w:left w:val="single" w:color="000000" w:sz="4" w:space="0"/>
              <w:bottom w:val="single" w:color="000000" w:sz="4" w:space="0"/>
              <w:right w:val="single" w:color="000000" w:sz="4" w:space="0"/>
            </w:tcBorders>
            <w:noWrap w:val="0"/>
            <w:vAlign w:val="center"/>
          </w:tcPr>
          <w:p w14:paraId="5DA8AE95">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1</w:t>
            </w:r>
          </w:p>
        </w:tc>
        <w:tc>
          <w:tcPr>
            <w:tcW w:w="708" w:type="dxa"/>
            <w:vMerge w:val="restart"/>
            <w:tcBorders>
              <w:top w:val="nil"/>
              <w:left w:val="single" w:color="000000" w:sz="4" w:space="0"/>
              <w:bottom w:val="single" w:color="000000" w:sz="4" w:space="0"/>
              <w:right w:val="single" w:color="000000" w:sz="4" w:space="0"/>
            </w:tcBorders>
            <w:noWrap w:val="0"/>
            <w:vAlign w:val="center"/>
          </w:tcPr>
          <w:p w14:paraId="22A1746D">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配送能力评价</w:t>
            </w:r>
          </w:p>
        </w:tc>
        <w:tc>
          <w:tcPr>
            <w:tcW w:w="992" w:type="dxa"/>
            <w:vMerge w:val="restart"/>
            <w:tcBorders>
              <w:top w:val="nil"/>
              <w:left w:val="single" w:color="000000" w:sz="4" w:space="0"/>
              <w:bottom w:val="single" w:color="000000" w:sz="4" w:space="0"/>
              <w:right w:val="single" w:color="000000" w:sz="4" w:space="0"/>
            </w:tcBorders>
            <w:noWrap w:val="0"/>
            <w:vAlign w:val="center"/>
          </w:tcPr>
          <w:p w14:paraId="65A056A4">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供货质量</w:t>
            </w:r>
          </w:p>
        </w:tc>
        <w:tc>
          <w:tcPr>
            <w:tcW w:w="1276" w:type="dxa"/>
            <w:vMerge w:val="restart"/>
            <w:tcBorders>
              <w:top w:val="nil"/>
              <w:left w:val="single" w:color="000000" w:sz="4" w:space="0"/>
              <w:bottom w:val="single" w:color="000000" w:sz="4" w:space="0"/>
              <w:right w:val="single" w:color="000000" w:sz="4" w:space="0"/>
            </w:tcBorders>
            <w:noWrap w:val="0"/>
            <w:vAlign w:val="center"/>
          </w:tcPr>
          <w:p w14:paraId="4D559F66">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来料质量验收（15分）</w:t>
            </w:r>
          </w:p>
        </w:tc>
        <w:tc>
          <w:tcPr>
            <w:tcW w:w="3827" w:type="dxa"/>
            <w:vMerge w:val="restart"/>
            <w:tcBorders>
              <w:top w:val="nil"/>
              <w:left w:val="single" w:color="000000" w:sz="4" w:space="0"/>
              <w:bottom w:val="single" w:color="000000" w:sz="4" w:space="0"/>
              <w:right w:val="single" w:color="000000" w:sz="4" w:space="0"/>
            </w:tcBorders>
            <w:noWrap w:val="0"/>
            <w:vAlign w:val="center"/>
          </w:tcPr>
          <w:p w14:paraId="4E017A28">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供应商必须严格按照招标要求，提供符合食品安全法、国标及食堂要求的产品</w:t>
            </w:r>
          </w:p>
        </w:tc>
        <w:tc>
          <w:tcPr>
            <w:tcW w:w="4425" w:type="dxa"/>
            <w:tcBorders>
              <w:top w:val="nil"/>
              <w:left w:val="nil"/>
              <w:bottom w:val="single" w:color="000000" w:sz="4" w:space="0"/>
              <w:right w:val="single" w:color="000000" w:sz="4" w:space="0"/>
            </w:tcBorders>
            <w:noWrap w:val="0"/>
            <w:vAlign w:val="center"/>
          </w:tcPr>
          <w:p w14:paraId="164404B5">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Ⅰ不影响食堂使用，及时退、换货，不扣分</w:t>
            </w:r>
          </w:p>
        </w:tc>
        <w:tc>
          <w:tcPr>
            <w:tcW w:w="1245" w:type="dxa"/>
            <w:vMerge w:val="restart"/>
            <w:tcBorders>
              <w:top w:val="nil"/>
              <w:left w:val="single" w:color="000000" w:sz="4" w:space="0"/>
              <w:bottom w:val="single" w:color="000000" w:sz="4" w:space="0"/>
              <w:right w:val="single" w:color="000000" w:sz="4" w:space="0"/>
            </w:tcBorders>
            <w:noWrap w:val="0"/>
            <w:vAlign w:val="center"/>
          </w:tcPr>
          <w:p w14:paraId="02EFA419">
            <w:pPr>
              <w:spacing w:line="0" w:lineRule="atLeast"/>
              <w:jc w:val="left"/>
              <w:rPr>
                <w:rFonts w:hint="eastAsia" w:ascii="宋体" w:hAnsi="宋体"/>
                <w:color w:val="000000" w:themeColor="text1"/>
                <w:sz w:val="21"/>
                <w:szCs w:val="21"/>
                <w14:textFill>
                  <w14:solidFill>
                    <w14:schemeClr w14:val="tx1"/>
                  </w14:solidFill>
                </w14:textFill>
              </w:rPr>
            </w:pPr>
          </w:p>
        </w:tc>
      </w:tr>
      <w:tr w14:paraId="57A80904">
        <w:tblPrEx>
          <w:tblCellMar>
            <w:top w:w="0" w:type="dxa"/>
            <w:left w:w="108" w:type="dxa"/>
            <w:bottom w:w="0" w:type="dxa"/>
            <w:right w:w="108" w:type="dxa"/>
          </w:tblCellMar>
        </w:tblPrEx>
        <w:trPr>
          <w:cantSplit/>
          <w:trHeight w:val="750" w:hRule="atLeast"/>
          <w:jc w:val="center"/>
        </w:trPr>
        <w:tc>
          <w:tcPr>
            <w:tcW w:w="583" w:type="dxa"/>
            <w:vMerge w:val="continue"/>
            <w:tcBorders>
              <w:top w:val="nil"/>
              <w:left w:val="single" w:color="000000" w:sz="4" w:space="0"/>
              <w:bottom w:val="single" w:color="000000" w:sz="4" w:space="0"/>
              <w:right w:val="single" w:color="000000" w:sz="4" w:space="0"/>
            </w:tcBorders>
            <w:noWrap w:val="0"/>
            <w:vAlign w:val="center"/>
          </w:tcPr>
          <w:p w14:paraId="1296ABFD">
            <w:pPr>
              <w:spacing w:line="0" w:lineRule="atLeast"/>
              <w:jc w:val="left"/>
              <w:rPr>
                <w:rFonts w:ascii="宋体" w:hAnsi="宋体"/>
                <w:sz w:val="21"/>
                <w:szCs w:val="21"/>
              </w:rPr>
            </w:pPr>
          </w:p>
        </w:tc>
        <w:tc>
          <w:tcPr>
            <w:tcW w:w="708" w:type="dxa"/>
            <w:vMerge w:val="continue"/>
            <w:tcBorders>
              <w:top w:val="nil"/>
              <w:left w:val="single" w:color="000000" w:sz="4" w:space="0"/>
              <w:bottom w:val="single" w:color="000000" w:sz="4" w:space="0"/>
              <w:right w:val="single" w:color="000000" w:sz="4" w:space="0"/>
            </w:tcBorders>
            <w:noWrap w:val="0"/>
            <w:vAlign w:val="center"/>
          </w:tcPr>
          <w:p w14:paraId="3AEC7680">
            <w:pPr>
              <w:spacing w:line="0" w:lineRule="atLeast"/>
              <w:jc w:val="left"/>
              <w:rPr>
                <w:rFonts w:ascii="宋体" w:hAnsi="宋体"/>
                <w:sz w:val="21"/>
                <w:szCs w:val="21"/>
              </w:rPr>
            </w:pPr>
          </w:p>
        </w:tc>
        <w:tc>
          <w:tcPr>
            <w:tcW w:w="992" w:type="dxa"/>
            <w:vMerge w:val="continue"/>
            <w:tcBorders>
              <w:top w:val="nil"/>
              <w:left w:val="single" w:color="000000" w:sz="4" w:space="0"/>
              <w:bottom w:val="single" w:color="000000" w:sz="4" w:space="0"/>
              <w:right w:val="single" w:color="000000" w:sz="4" w:space="0"/>
            </w:tcBorders>
            <w:noWrap w:val="0"/>
            <w:vAlign w:val="center"/>
          </w:tcPr>
          <w:p w14:paraId="2057E66A">
            <w:pPr>
              <w:spacing w:line="0" w:lineRule="atLeast"/>
              <w:jc w:val="left"/>
              <w:rPr>
                <w:rFonts w:ascii="宋体" w:hAnsi="宋体"/>
                <w:sz w:val="21"/>
                <w:szCs w:val="21"/>
              </w:rPr>
            </w:pPr>
          </w:p>
        </w:tc>
        <w:tc>
          <w:tcPr>
            <w:tcW w:w="1276" w:type="dxa"/>
            <w:vMerge w:val="continue"/>
            <w:tcBorders>
              <w:top w:val="nil"/>
              <w:left w:val="single" w:color="000000" w:sz="4" w:space="0"/>
              <w:bottom w:val="single" w:color="000000" w:sz="4" w:space="0"/>
              <w:right w:val="single" w:color="000000" w:sz="4" w:space="0"/>
            </w:tcBorders>
            <w:noWrap w:val="0"/>
            <w:vAlign w:val="center"/>
          </w:tcPr>
          <w:p w14:paraId="169D87AE">
            <w:pPr>
              <w:spacing w:line="0" w:lineRule="atLeast"/>
              <w:jc w:val="left"/>
              <w:rPr>
                <w:rFonts w:ascii="宋体" w:hAnsi="宋体"/>
                <w:sz w:val="21"/>
                <w:szCs w:val="21"/>
              </w:rPr>
            </w:pPr>
          </w:p>
        </w:tc>
        <w:tc>
          <w:tcPr>
            <w:tcW w:w="3827" w:type="dxa"/>
            <w:vMerge w:val="continue"/>
            <w:tcBorders>
              <w:top w:val="nil"/>
              <w:left w:val="single" w:color="000000" w:sz="4" w:space="0"/>
              <w:bottom w:val="single" w:color="000000" w:sz="4" w:space="0"/>
              <w:right w:val="single" w:color="000000" w:sz="4" w:space="0"/>
            </w:tcBorders>
            <w:noWrap w:val="0"/>
            <w:vAlign w:val="center"/>
          </w:tcPr>
          <w:p w14:paraId="1B8A2459">
            <w:pPr>
              <w:spacing w:line="0" w:lineRule="atLeast"/>
              <w:jc w:val="left"/>
              <w:rPr>
                <w:rFonts w:ascii="宋体" w:hAnsi="宋体"/>
                <w:sz w:val="21"/>
                <w:szCs w:val="21"/>
              </w:rPr>
            </w:pPr>
          </w:p>
        </w:tc>
        <w:tc>
          <w:tcPr>
            <w:tcW w:w="4425" w:type="dxa"/>
            <w:tcBorders>
              <w:top w:val="nil"/>
              <w:left w:val="nil"/>
              <w:bottom w:val="single" w:color="000000" w:sz="4" w:space="0"/>
              <w:right w:val="single" w:color="000000" w:sz="4" w:space="0"/>
            </w:tcBorders>
            <w:noWrap w:val="0"/>
            <w:vAlign w:val="center"/>
          </w:tcPr>
          <w:p w14:paraId="7D1DDE65">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Ⅱ 未及时采取有效措施的，影响食堂正常使用，当日扣5分</w:t>
            </w:r>
          </w:p>
        </w:tc>
        <w:tc>
          <w:tcPr>
            <w:tcW w:w="1245" w:type="dxa"/>
            <w:vMerge w:val="continue"/>
            <w:tcBorders>
              <w:top w:val="nil"/>
              <w:left w:val="single" w:color="000000" w:sz="4" w:space="0"/>
              <w:bottom w:val="single" w:color="000000" w:sz="4" w:space="0"/>
              <w:right w:val="single" w:color="000000" w:sz="4" w:space="0"/>
            </w:tcBorders>
            <w:noWrap w:val="0"/>
            <w:vAlign w:val="center"/>
          </w:tcPr>
          <w:p w14:paraId="16D3FE76">
            <w:pPr>
              <w:spacing w:line="0" w:lineRule="atLeast"/>
              <w:jc w:val="left"/>
              <w:rPr>
                <w:rFonts w:ascii="宋体" w:hAnsi="宋体"/>
                <w:sz w:val="21"/>
                <w:szCs w:val="21"/>
              </w:rPr>
            </w:pPr>
          </w:p>
        </w:tc>
      </w:tr>
      <w:tr w14:paraId="3EA5B48E">
        <w:tblPrEx>
          <w:tblCellMar>
            <w:top w:w="0" w:type="dxa"/>
            <w:left w:w="108" w:type="dxa"/>
            <w:bottom w:w="0" w:type="dxa"/>
            <w:right w:w="108" w:type="dxa"/>
          </w:tblCellMar>
        </w:tblPrEx>
        <w:trPr>
          <w:cantSplit/>
          <w:trHeight w:val="1620" w:hRule="atLeast"/>
          <w:jc w:val="center"/>
        </w:trPr>
        <w:tc>
          <w:tcPr>
            <w:tcW w:w="583" w:type="dxa"/>
            <w:vMerge w:val="continue"/>
            <w:tcBorders>
              <w:top w:val="nil"/>
              <w:left w:val="single" w:color="000000" w:sz="4" w:space="0"/>
              <w:bottom w:val="single" w:color="000000" w:sz="4" w:space="0"/>
              <w:right w:val="single" w:color="000000" w:sz="4" w:space="0"/>
            </w:tcBorders>
            <w:noWrap w:val="0"/>
            <w:vAlign w:val="center"/>
          </w:tcPr>
          <w:p w14:paraId="21665610">
            <w:pPr>
              <w:spacing w:line="0" w:lineRule="atLeast"/>
              <w:jc w:val="left"/>
              <w:rPr>
                <w:rFonts w:ascii="宋体" w:hAnsi="宋体"/>
                <w:sz w:val="21"/>
                <w:szCs w:val="21"/>
              </w:rPr>
            </w:pPr>
          </w:p>
        </w:tc>
        <w:tc>
          <w:tcPr>
            <w:tcW w:w="708" w:type="dxa"/>
            <w:vMerge w:val="continue"/>
            <w:tcBorders>
              <w:top w:val="nil"/>
              <w:left w:val="single" w:color="000000" w:sz="4" w:space="0"/>
              <w:bottom w:val="single" w:color="000000" w:sz="4" w:space="0"/>
              <w:right w:val="single" w:color="000000" w:sz="4" w:space="0"/>
            </w:tcBorders>
            <w:noWrap w:val="0"/>
            <w:vAlign w:val="center"/>
          </w:tcPr>
          <w:p w14:paraId="77BC1278">
            <w:pPr>
              <w:spacing w:line="0" w:lineRule="atLeast"/>
              <w:jc w:val="left"/>
              <w:rPr>
                <w:rFonts w:ascii="宋体" w:hAnsi="宋体"/>
                <w:sz w:val="21"/>
                <w:szCs w:val="21"/>
              </w:rPr>
            </w:pPr>
          </w:p>
        </w:tc>
        <w:tc>
          <w:tcPr>
            <w:tcW w:w="992" w:type="dxa"/>
            <w:vMerge w:val="restart"/>
            <w:tcBorders>
              <w:top w:val="nil"/>
              <w:left w:val="single" w:color="000000" w:sz="4" w:space="0"/>
              <w:bottom w:val="single" w:color="000000" w:sz="4" w:space="0"/>
              <w:right w:val="single" w:color="000000" w:sz="4" w:space="0"/>
            </w:tcBorders>
            <w:noWrap w:val="0"/>
            <w:vAlign w:val="center"/>
          </w:tcPr>
          <w:p w14:paraId="115686A4">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到货情况</w:t>
            </w:r>
          </w:p>
        </w:tc>
        <w:tc>
          <w:tcPr>
            <w:tcW w:w="1276" w:type="dxa"/>
            <w:tcBorders>
              <w:top w:val="nil"/>
              <w:left w:val="nil"/>
              <w:bottom w:val="single" w:color="000000" w:sz="4" w:space="0"/>
              <w:right w:val="single" w:color="000000" w:sz="4" w:space="0"/>
            </w:tcBorders>
            <w:noWrap w:val="0"/>
            <w:vAlign w:val="center"/>
          </w:tcPr>
          <w:p w14:paraId="42793236">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交货及时性（15分）</w:t>
            </w:r>
          </w:p>
        </w:tc>
        <w:tc>
          <w:tcPr>
            <w:tcW w:w="3827" w:type="dxa"/>
            <w:tcBorders>
              <w:top w:val="nil"/>
              <w:left w:val="nil"/>
              <w:bottom w:val="single" w:color="000000" w:sz="4" w:space="0"/>
              <w:right w:val="single" w:color="000000" w:sz="4" w:space="0"/>
            </w:tcBorders>
            <w:noWrap w:val="0"/>
            <w:vAlign w:val="center"/>
          </w:tcPr>
          <w:p w14:paraId="1A1528DF">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除米面油等按照实际需要指定送货时间的货物，其他品类产品在订货次日早上5:30-6:10之间务必供货完成。</w:t>
            </w:r>
          </w:p>
        </w:tc>
        <w:tc>
          <w:tcPr>
            <w:tcW w:w="4425" w:type="dxa"/>
            <w:tcBorders>
              <w:top w:val="nil"/>
              <w:left w:val="nil"/>
              <w:bottom w:val="single" w:color="000000" w:sz="4" w:space="0"/>
              <w:right w:val="single" w:color="000000" w:sz="4" w:space="0"/>
            </w:tcBorders>
            <w:noWrap w:val="0"/>
            <w:vAlign w:val="center"/>
          </w:tcPr>
          <w:p w14:paraId="28A887F7">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供应商务必在要求的时间内送货，送货每延迟或提前0.5小时（包括0.5小时内）扣2.5分，以此顺延，每日5分为上限</w:t>
            </w:r>
          </w:p>
        </w:tc>
        <w:tc>
          <w:tcPr>
            <w:tcW w:w="1245" w:type="dxa"/>
            <w:vMerge w:val="continue"/>
            <w:tcBorders>
              <w:top w:val="nil"/>
              <w:left w:val="single" w:color="000000" w:sz="4" w:space="0"/>
              <w:bottom w:val="single" w:color="000000" w:sz="4" w:space="0"/>
              <w:right w:val="single" w:color="000000" w:sz="4" w:space="0"/>
            </w:tcBorders>
            <w:noWrap w:val="0"/>
            <w:vAlign w:val="center"/>
          </w:tcPr>
          <w:p w14:paraId="5DCAF7EF">
            <w:pPr>
              <w:spacing w:line="0" w:lineRule="atLeast"/>
              <w:jc w:val="left"/>
              <w:rPr>
                <w:rFonts w:ascii="宋体" w:hAnsi="宋体"/>
                <w:sz w:val="21"/>
                <w:szCs w:val="21"/>
              </w:rPr>
            </w:pPr>
          </w:p>
        </w:tc>
      </w:tr>
      <w:tr w14:paraId="7803C008">
        <w:tblPrEx>
          <w:tblCellMar>
            <w:top w:w="0" w:type="dxa"/>
            <w:left w:w="108" w:type="dxa"/>
            <w:bottom w:w="0" w:type="dxa"/>
            <w:right w:w="108" w:type="dxa"/>
          </w:tblCellMar>
        </w:tblPrEx>
        <w:trPr>
          <w:cantSplit/>
          <w:trHeight w:val="636" w:hRule="atLeast"/>
          <w:jc w:val="center"/>
        </w:trPr>
        <w:tc>
          <w:tcPr>
            <w:tcW w:w="583" w:type="dxa"/>
            <w:vMerge w:val="continue"/>
            <w:tcBorders>
              <w:top w:val="nil"/>
              <w:left w:val="single" w:color="000000" w:sz="4" w:space="0"/>
              <w:bottom w:val="single" w:color="000000" w:sz="4" w:space="0"/>
              <w:right w:val="single" w:color="000000" w:sz="4" w:space="0"/>
            </w:tcBorders>
            <w:noWrap w:val="0"/>
            <w:vAlign w:val="center"/>
          </w:tcPr>
          <w:p w14:paraId="6DC19A6B">
            <w:pPr>
              <w:spacing w:line="0" w:lineRule="atLeast"/>
              <w:jc w:val="left"/>
              <w:rPr>
                <w:rFonts w:ascii="宋体" w:hAnsi="宋体"/>
                <w:sz w:val="21"/>
                <w:szCs w:val="21"/>
              </w:rPr>
            </w:pPr>
          </w:p>
        </w:tc>
        <w:tc>
          <w:tcPr>
            <w:tcW w:w="708" w:type="dxa"/>
            <w:vMerge w:val="continue"/>
            <w:tcBorders>
              <w:top w:val="nil"/>
              <w:left w:val="single" w:color="000000" w:sz="4" w:space="0"/>
              <w:bottom w:val="single" w:color="000000" w:sz="4" w:space="0"/>
              <w:right w:val="single" w:color="000000" w:sz="4" w:space="0"/>
            </w:tcBorders>
            <w:noWrap w:val="0"/>
            <w:vAlign w:val="center"/>
          </w:tcPr>
          <w:p w14:paraId="75903C4E">
            <w:pPr>
              <w:spacing w:line="0" w:lineRule="atLeast"/>
              <w:jc w:val="left"/>
              <w:rPr>
                <w:rFonts w:ascii="宋体" w:hAnsi="宋体"/>
                <w:sz w:val="21"/>
                <w:szCs w:val="21"/>
              </w:rPr>
            </w:pPr>
          </w:p>
        </w:tc>
        <w:tc>
          <w:tcPr>
            <w:tcW w:w="992" w:type="dxa"/>
            <w:vMerge w:val="continue"/>
            <w:tcBorders>
              <w:top w:val="nil"/>
              <w:left w:val="single" w:color="000000" w:sz="4" w:space="0"/>
              <w:bottom w:val="single" w:color="000000" w:sz="4" w:space="0"/>
              <w:right w:val="single" w:color="000000" w:sz="4" w:space="0"/>
            </w:tcBorders>
            <w:noWrap w:val="0"/>
            <w:vAlign w:val="center"/>
          </w:tcPr>
          <w:p w14:paraId="7A2DA76C">
            <w:pPr>
              <w:spacing w:line="0" w:lineRule="atLeast"/>
              <w:jc w:val="left"/>
              <w:rPr>
                <w:rFonts w:ascii="宋体" w:hAnsi="宋体"/>
                <w:sz w:val="21"/>
                <w:szCs w:val="21"/>
              </w:rPr>
            </w:pPr>
          </w:p>
        </w:tc>
        <w:tc>
          <w:tcPr>
            <w:tcW w:w="1276" w:type="dxa"/>
            <w:vMerge w:val="restart"/>
            <w:tcBorders>
              <w:top w:val="nil"/>
              <w:left w:val="single" w:color="000000" w:sz="4" w:space="0"/>
              <w:bottom w:val="single" w:color="000000" w:sz="4" w:space="0"/>
              <w:right w:val="single" w:color="000000" w:sz="4" w:space="0"/>
            </w:tcBorders>
            <w:noWrap w:val="0"/>
            <w:vAlign w:val="center"/>
          </w:tcPr>
          <w:p w14:paraId="5FB650CC">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交货数量准确性（15分）</w:t>
            </w:r>
          </w:p>
        </w:tc>
        <w:tc>
          <w:tcPr>
            <w:tcW w:w="3827" w:type="dxa"/>
            <w:vMerge w:val="restart"/>
            <w:tcBorders>
              <w:top w:val="nil"/>
              <w:left w:val="single" w:color="000000" w:sz="4" w:space="0"/>
              <w:bottom w:val="single" w:color="000000" w:sz="4" w:space="0"/>
              <w:right w:val="single" w:color="000000" w:sz="4" w:space="0"/>
            </w:tcBorders>
            <w:noWrap w:val="0"/>
            <w:vAlign w:val="center"/>
          </w:tcPr>
          <w:p w14:paraId="59B6C655">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供应商供货必须与订单实际需求量相符</w:t>
            </w:r>
          </w:p>
        </w:tc>
        <w:tc>
          <w:tcPr>
            <w:tcW w:w="4425" w:type="dxa"/>
            <w:tcBorders>
              <w:top w:val="nil"/>
              <w:left w:val="nil"/>
              <w:bottom w:val="single" w:color="000000" w:sz="4" w:space="0"/>
              <w:right w:val="single" w:color="000000" w:sz="4" w:space="0"/>
            </w:tcBorders>
            <w:noWrap w:val="0"/>
            <w:vAlign w:val="center"/>
          </w:tcPr>
          <w:p w14:paraId="6C6CB1B8">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Ⅰ人为原因故意多送货物，食堂按照订单量做账，多余货物恕不退回，不扣分</w:t>
            </w:r>
          </w:p>
        </w:tc>
        <w:tc>
          <w:tcPr>
            <w:tcW w:w="1245" w:type="dxa"/>
            <w:vMerge w:val="continue"/>
            <w:tcBorders>
              <w:top w:val="nil"/>
              <w:left w:val="single" w:color="000000" w:sz="4" w:space="0"/>
              <w:bottom w:val="single" w:color="000000" w:sz="4" w:space="0"/>
              <w:right w:val="single" w:color="000000" w:sz="4" w:space="0"/>
            </w:tcBorders>
            <w:noWrap w:val="0"/>
            <w:vAlign w:val="center"/>
          </w:tcPr>
          <w:p w14:paraId="2F2FD8EA">
            <w:pPr>
              <w:spacing w:line="0" w:lineRule="atLeast"/>
              <w:jc w:val="left"/>
              <w:rPr>
                <w:rFonts w:ascii="宋体" w:hAnsi="宋体"/>
                <w:sz w:val="21"/>
                <w:szCs w:val="21"/>
              </w:rPr>
            </w:pPr>
          </w:p>
        </w:tc>
      </w:tr>
      <w:tr w14:paraId="6BC907B0">
        <w:tblPrEx>
          <w:tblCellMar>
            <w:top w:w="0" w:type="dxa"/>
            <w:left w:w="108" w:type="dxa"/>
            <w:bottom w:w="0" w:type="dxa"/>
            <w:right w:w="108" w:type="dxa"/>
          </w:tblCellMar>
        </w:tblPrEx>
        <w:trPr>
          <w:cantSplit/>
          <w:trHeight w:val="702" w:hRule="atLeast"/>
          <w:jc w:val="center"/>
        </w:trPr>
        <w:tc>
          <w:tcPr>
            <w:tcW w:w="583" w:type="dxa"/>
            <w:vMerge w:val="continue"/>
            <w:tcBorders>
              <w:top w:val="nil"/>
              <w:left w:val="single" w:color="000000" w:sz="4" w:space="0"/>
              <w:bottom w:val="single" w:color="000000" w:sz="4" w:space="0"/>
              <w:right w:val="single" w:color="000000" w:sz="4" w:space="0"/>
            </w:tcBorders>
            <w:noWrap w:val="0"/>
            <w:vAlign w:val="center"/>
          </w:tcPr>
          <w:p w14:paraId="7836A9B0">
            <w:pPr>
              <w:spacing w:line="0" w:lineRule="atLeast"/>
              <w:jc w:val="left"/>
              <w:rPr>
                <w:rFonts w:ascii="宋体" w:hAnsi="宋体"/>
                <w:sz w:val="21"/>
                <w:szCs w:val="21"/>
              </w:rPr>
            </w:pPr>
          </w:p>
        </w:tc>
        <w:tc>
          <w:tcPr>
            <w:tcW w:w="708" w:type="dxa"/>
            <w:vMerge w:val="continue"/>
            <w:tcBorders>
              <w:top w:val="nil"/>
              <w:left w:val="single" w:color="000000" w:sz="4" w:space="0"/>
              <w:bottom w:val="single" w:color="000000" w:sz="4" w:space="0"/>
              <w:right w:val="single" w:color="000000" w:sz="4" w:space="0"/>
            </w:tcBorders>
            <w:noWrap w:val="0"/>
            <w:vAlign w:val="center"/>
          </w:tcPr>
          <w:p w14:paraId="267DAE4C">
            <w:pPr>
              <w:spacing w:line="0" w:lineRule="atLeast"/>
              <w:jc w:val="left"/>
              <w:rPr>
                <w:rFonts w:ascii="宋体" w:hAnsi="宋体"/>
                <w:sz w:val="21"/>
                <w:szCs w:val="21"/>
              </w:rPr>
            </w:pPr>
          </w:p>
        </w:tc>
        <w:tc>
          <w:tcPr>
            <w:tcW w:w="992" w:type="dxa"/>
            <w:vMerge w:val="continue"/>
            <w:tcBorders>
              <w:top w:val="nil"/>
              <w:left w:val="single" w:color="000000" w:sz="4" w:space="0"/>
              <w:bottom w:val="single" w:color="000000" w:sz="4" w:space="0"/>
              <w:right w:val="single" w:color="000000" w:sz="4" w:space="0"/>
            </w:tcBorders>
            <w:noWrap w:val="0"/>
            <w:vAlign w:val="center"/>
          </w:tcPr>
          <w:p w14:paraId="239FC34A">
            <w:pPr>
              <w:spacing w:line="0" w:lineRule="atLeast"/>
              <w:jc w:val="left"/>
              <w:rPr>
                <w:rFonts w:ascii="宋体" w:hAnsi="宋体"/>
                <w:sz w:val="21"/>
                <w:szCs w:val="21"/>
              </w:rPr>
            </w:pPr>
          </w:p>
        </w:tc>
        <w:tc>
          <w:tcPr>
            <w:tcW w:w="1276" w:type="dxa"/>
            <w:vMerge w:val="continue"/>
            <w:tcBorders>
              <w:top w:val="nil"/>
              <w:left w:val="single" w:color="000000" w:sz="4" w:space="0"/>
              <w:bottom w:val="single" w:color="000000" w:sz="4" w:space="0"/>
              <w:right w:val="single" w:color="000000" w:sz="4" w:space="0"/>
            </w:tcBorders>
            <w:noWrap w:val="0"/>
            <w:vAlign w:val="center"/>
          </w:tcPr>
          <w:p w14:paraId="70440F6F">
            <w:pPr>
              <w:spacing w:line="0" w:lineRule="atLeast"/>
              <w:jc w:val="left"/>
              <w:rPr>
                <w:rFonts w:ascii="宋体" w:hAnsi="宋体"/>
                <w:sz w:val="21"/>
                <w:szCs w:val="21"/>
              </w:rPr>
            </w:pPr>
          </w:p>
        </w:tc>
        <w:tc>
          <w:tcPr>
            <w:tcW w:w="3827" w:type="dxa"/>
            <w:vMerge w:val="continue"/>
            <w:tcBorders>
              <w:top w:val="nil"/>
              <w:left w:val="single" w:color="000000" w:sz="4" w:space="0"/>
              <w:bottom w:val="single" w:color="000000" w:sz="4" w:space="0"/>
              <w:right w:val="single" w:color="000000" w:sz="4" w:space="0"/>
            </w:tcBorders>
            <w:noWrap w:val="0"/>
            <w:vAlign w:val="center"/>
          </w:tcPr>
          <w:p w14:paraId="71092DF7">
            <w:pPr>
              <w:spacing w:line="0" w:lineRule="atLeast"/>
              <w:jc w:val="left"/>
              <w:rPr>
                <w:rFonts w:ascii="宋体" w:hAnsi="宋体"/>
                <w:sz w:val="21"/>
                <w:szCs w:val="21"/>
              </w:rPr>
            </w:pPr>
          </w:p>
        </w:tc>
        <w:tc>
          <w:tcPr>
            <w:tcW w:w="4425" w:type="dxa"/>
            <w:tcBorders>
              <w:top w:val="nil"/>
              <w:left w:val="nil"/>
              <w:bottom w:val="single" w:color="000000" w:sz="4" w:space="0"/>
              <w:right w:val="single" w:color="000000" w:sz="4" w:space="0"/>
            </w:tcBorders>
            <w:noWrap w:val="0"/>
            <w:vAlign w:val="center"/>
          </w:tcPr>
          <w:p w14:paraId="0B61DFD7">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Ⅱ人为原因故意缺斤少两，在不影响实际使用的前提下按实物验收或补齐货物，当日扣3分</w:t>
            </w:r>
          </w:p>
        </w:tc>
        <w:tc>
          <w:tcPr>
            <w:tcW w:w="1245" w:type="dxa"/>
            <w:vMerge w:val="continue"/>
            <w:tcBorders>
              <w:top w:val="nil"/>
              <w:left w:val="single" w:color="000000" w:sz="4" w:space="0"/>
              <w:bottom w:val="single" w:color="000000" w:sz="4" w:space="0"/>
              <w:right w:val="single" w:color="000000" w:sz="4" w:space="0"/>
            </w:tcBorders>
            <w:noWrap w:val="0"/>
            <w:vAlign w:val="center"/>
          </w:tcPr>
          <w:p w14:paraId="2C11E1E0">
            <w:pPr>
              <w:spacing w:line="0" w:lineRule="atLeast"/>
              <w:jc w:val="left"/>
              <w:rPr>
                <w:rFonts w:ascii="宋体" w:hAnsi="宋体"/>
                <w:sz w:val="21"/>
                <w:szCs w:val="21"/>
              </w:rPr>
            </w:pPr>
          </w:p>
        </w:tc>
      </w:tr>
      <w:tr w14:paraId="52AC060D">
        <w:tblPrEx>
          <w:tblCellMar>
            <w:top w:w="0" w:type="dxa"/>
            <w:left w:w="108" w:type="dxa"/>
            <w:bottom w:w="0" w:type="dxa"/>
            <w:right w:w="108" w:type="dxa"/>
          </w:tblCellMar>
        </w:tblPrEx>
        <w:trPr>
          <w:cantSplit/>
          <w:trHeight w:val="1064" w:hRule="atLeast"/>
          <w:jc w:val="center"/>
        </w:trPr>
        <w:tc>
          <w:tcPr>
            <w:tcW w:w="583" w:type="dxa"/>
            <w:vMerge w:val="continue"/>
            <w:tcBorders>
              <w:top w:val="nil"/>
              <w:left w:val="single" w:color="000000" w:sz="4" w:space="0"/>
              <w:bottom w:val="single" w:color="000000" w:sz="4" w:space="0"/>
              <w:right w:val="single" w:color="000000" w:sz="4" w:space="0"/>
            </w:tcBorders>
            <w:noWrap w:val="0"/>
            <w:vAlign w:val="center"/>
          </w:tcPr>
          <w:p w14:paraId="169E9BF1">
            <w:pPr>
              <w:spacing w:line="0" w:lineRule="atLeast"/>
              <w:jc w:val="left"/>
              <w:rPr>
                <w:rFonts w:ascii="宋体" w:hAnsi="宋体"/>
                <w:sz w:val="21"/>
                <w:szCs w:val="21"/>
              </w:rPr>
            </w:pPr>
          </w:p>
        </w:tc>
        <w:tc>
          <w:tcPr>
            <w:tcW w:w="708" w:type="dxa"/>
            <w:vMerge w:val="continue"/>
            <w:tcBorders>
              <w:top w:val="nil"/>
              <w:left w:val="single" w:color="000000" w:sz="4" w:space="0"/>
              <w:bottom w:val="single" w:color="000000" w:sz="4" w:space="0"/>
              <w:right w:val="single" w:color="000000" w:sz="4" w:space="0"/>
            </w:tcBorders>
            <w:noWrap w:val="0"/>
            <w:vAlign w:val="center"/>
          </w:tcPr>
          <w:p w14:paraId="07616E4C">
            <w:pPr>
              <w:spacing w:line="0" w:lineRule="atLeast"/>
              <w:jc w:val="left"/>
              <w:rPr>
                <w:rFonts w:ascii="宋体" w:hAnsi="宋体"/>
                <w:sz w:val="21"/>
                <w:szCs w:val="21"/>
              </w:rPr>
            </w:pPr>
          </w:p>
        </w:tc>
        <w:tc>
          <w:tcPr>
            <w:tcW w:w="992" w:type="dxa"/>
            <w:vMerge w:val="continue"/>
            <w:tcBorders>
              <w:top w:val="nil"/>
              <w:left w:val="single" w:color="000000" w:sz="4" w:space="0"/>
              <w:bottom w:val="single" w:color="000000" w:sz="4" w:space="0"/>
              <w:right w:val="single" w:color="000000" w:sz="4" w:space="0"/>
            </w:tcBorders>
            <w:noWrap w:val="0"/>
            <w:vAlign w:val="center"/>
          </w:tcPr>
          <w:p w14:paraId="4AB35833">
            <w:pPr>
              <w:spacing w:line="0" w:lineRule="atLeast"/>
              <w:jc w:val="left"/>
              <w:rPr>
                <w:rFonts w:ascii="宋体" w:hAnsi="宋体"/>
                <w:sz w:val="21"/>
                <w:szCs w:val="21"/>
              </w:rPr>
            </w:pPr>
          </w:p>
        </w:tc>
        <w:tc>
          <w:tcPr>
            <w:tcW w:w="1276" w:type="dxa"/>
            <w:vMerge w:val="continue"/>
            <w:tcBorders>
              <w:top w:val="nil"/>
              <w:left w:val="single" w:color="000000" w:sz="4" w:space="0"/>
              <w:bottom w:val="single" w:color="000000" w:sz="4" w:space="0"/>
              <w:right w:val="single" w:color="000000" w:sz="4" w:space="0"/>
            </w:tcBorders>
            <w:noWrap w:val="0"/>
            <w:vAlign w:val="center"/>
          </w:tcPr>
          <w:p w14:paraId="6DCD08ED">
            <w:pPr>
              <w:spacing w:line="0" w:lineRule="atLeast"/>
              <w:jc w:val="left"/>
              <w:rPr>
                <w:rFonts w:ascii="宋体" w:hAnsi="宋体"/>
                <w:sz w:val="21"/>
                <w:szCs w:val="21"/>
              </w:rPr>
            </w:pPr>
          </w:p>
        </w:tc>
        <w:tc>
          <w:tcPr>
            <w:tcW w:w="3827" w:type="dxa"/>
            <w:vMerge w:val="continue"/>
            <w:tcBorders>
              <w:top w:val="nil"/>
              <w:left w:val="single" w:color="000000" w:sz="4" w:space="0"/>
              <w:bottom w:val="single" w:color="000000" w:sz="4" w:space="0"/>
              <w:right w:val="single" w:color="000000" w:sz="4" w:space="0"/>
            </w:tcBorders>
            <w:noWrap w:val="0"/>
            <w:vAlign w:val="center"/>
          </w:tcPr>
          <w:p w14:paraId="112E03EB">
            <w:pPr>
              <w:spacing w:line="0" w:lineRule="atLeast"/>
              <w:jc w:val="left"/>
              <w:rPr>
                <w:rFonts w:ascii="宋体" w:hAnsi="宋体"/>
                <w:sz w:val="21"/>
                <w:szCs w:val="21"/>
              </w:rPr>
            </w:pPr>
          </w:p>
        </w:tc>
        <w:tc>
          <w:tcPr>
            <w:tcW w:w="4425" w:type="dxa"/>
            <w:tcBorders>
              <w:top w:val="nil"/>
              <w:left w:val="nil"/>
              <w:bottom w:val="single" w:color="000000" w:sz="4" w:space="0"/>
              <w:right w:val="single" w:color="000000" w:sz="4" w:space="0"/>
            </w:tcBorders>
            <w:noWrap w:val="0"/>
            <w:vAlign w:val="center"/>
          </w:tcPr>
          <w:p w14:paraId="1366352C">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Ⅲ供应商供货缺斤少两，漏货缺货，影响食堂实际使用，按实物验收或补齐货物，当日扣3分</w:t>
            </w:r>
          </w:p>
        </w:tc>
        <w:tc>
          <w:tcPr>
            <w:tcW w:w="1245" w:type="dxa"/>
            <w:vMerge w:val="continue"/>
            <w:tcBorders>
              <w:top w:val="nil"/>
              <w:left w:val="single" w:color="000000" w:sz="4" w:space="0"/>
              <w:bottom w:val="single" w:color="000000" w:sz="4" w:space="0"/>
              <w:right w:val="single" w:color="000000" w:sz="4" w:space="0"/>
            </w:tcBorders>
            <w:noWrap w:val="0"/>
            <w:vAlign w:val="center"/>
          </w:tcPr>
          <w:p w14:paraId="4DDDC01A">
            <w:pPr>
              <w:spacing w:line="0" w:lineRule="atLeast"/>
              <w:jc w:val="left"/>
              <w:rPr>
                <w:rFonts w:ascii="宋体" w:hAnsi="宋体"/>
                <w:sz w:val="21"/>
                <w:szCs w:val="21"/>
              </w:rPr>
            </w:pPr>
          </w:p>
        </w:tc>
      </w:tr>
      <w:tr w14:paraId="329884FA">
        <w:tblPrEx>
          <w:tblCellMar>
            <w:top w:w="0" w:type="dxa"/>
            <w:left w:w="108" w:type="dxa"/>
            <w:bottom w:w="0" w:type="dxa"/>
            <w:right w:w="108" w:type="dxa"/>
          </w:tblCellMar>
        </w:tblPrEx>
        <w:trPr>
          <w:cantSplit/>
          <w:trHeight w:val="293" w:hRule="atLeast"/>
          <w:jc w:val="center"/>
        </w:trPr>
        <w:tc>
          <w:tcPr>
            <w:tcW w:w="583" w:type="dxa"/>
            <w:vMerge w:val="restart"/>
            <w:tcBorders>
              <w:top w:val="single" w:color="000000" w:sz="4" w:space="0"/>
              <w:left w:val="single" w:color="000000" w:sz="4" w:space="0"/>
              <w:bottom w:val="single" w:color="000000" w:sz="4" w:space="0"/>
              <w:right w:val="single" w:color="000000" w:sz="4" w:space="0"/>
            </w:tcBorders>
            <w:noWrap w:val="0"/>
            <w:vAlign w:val="center"/>
          </w:tcPr>
          <w:p w14:paraId="0725C7D5">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2</w:t>
            </w:r>
          </w:p>
        </w:tc>
        <w:tc>
          <w:tcPr>
            <w:tcW w:w="708" w:type="dxa"/>
            <w:vMerge w:val="restart"/>
            <w:tcBorders>
              <w:top w:val="single" w:color="000000" w:sz="4" w:space="0"/>
              <w:left w:val="single" w:color="000000" w:sz="4" w:space="0"/>
              <w:bottom w:val="single" w:color="000000" w:sz="4" w:space="0"/>
              <w:right w:val="single" w:color="000000" w:sz="4" w:space="0"/>
            </w:tcBorders>
            <w:noWrap w:val="0"/>
            <w:vAlign w:val="center"/>
          </w:tcPr>
          <w:p w14:paraId="79DF4EC2">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服务能力评价</w:t>
            </w:r>
          </w:p>
        </w:tc>
        <w:tc>
          <w:tcPr>
            <w:tcW w:w="992" w:type="dxa"/>
            <w:vMerge w:val="restart"/>
            <w:tcBorders>
              <w:top w:val="single" w:color="000000" w:sz="4" w:space="0"/>
              <w:left w:val="single" w:color="000000" w:sz="4" w:space="0"/>
              <w:bottom w:val="single" w:color="000000" w:sz="4" w:space="0"/>
              <w:right w:val="single" w:color="000000" w:sz="4" w:space="0"/>
            </w:tcBorders>
            <w:noWrap w:val="0"/>
            <w:vAlign w:val="center"/>
          </w:tcPr>
          <w:p w14:paraId="1822DF53">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配合度</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3EC88512">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货物资质完整性（10分）</w:t>
            </w:r>
          </w:p>
        </w:tc>
        <w:tc>
          <w:tcPr>
            <w:tcW w:w="3827" w:type="dxa"/>
            <w:tcBorders>
              <w:top w:val="single" w:color="000000" w:sz="4" w:space="0"/>
              <w:left w:val="single" w:color="000000" w:sz="4" w:space="0"/>
              <w:bottom w:val="single" w:color="000000" w:sz="4" w:space="0"/>
              <w:right w:val="single" w:color="000000" w:sz="4" w:space="0"/>
            </w:tcBorders>
            <w:noWrap w:val="0"/>
            <w:vAlign w:val="center"/>
          </w:tcPr>
          <w:p w14:paraId="60FF69EA">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供应商在配送货物过程中，必须随货附带字迹清楚且盖有供应商公章的验收单以及有效的产品合格证明、检测报告、检疫证明等凭证</w:t>
            </w:r>
          </w:p>
        </w:tc>
        <w:tc>
          <w:tcPr>
            <w:tcW w:w="4425" w:type="dxa"/>
            <w:tcBorders>
              <w:top w:val="single" w:color="000000" w:sz="4" w:space="0"/>
              <w:left w:val="nil"/>
              <w:bottom w:val="single" w:color="000000" w:sz="4" w:space="0"/>
              <w:right w:val="single" w:color="000000" w:sz="4" w:space="0"/>
            </w:tcBorders>
            <w:noWrap w:val="0"/>
            <w:vAlign w:val="center"/>
          </w:tcPr>
          <w:p w14:paraId="38974F71">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Ⅰ供应商不按规定随货附带字迹清晰盖有供应商红章的有效验收单，一次扣2分</w:t>
            </w:r>
          </w:p>
        </w:tc>
        <w:tc>
          <w:tcPr>
            <w:tcW w:w="1245" w:type="dxa"/>
            <w:vMerge w:val="restart"/>
            <w:tcBorders>
              <w:top w:val="single" w:color="000000" w:sz="4" w:space="0"/>
              <w:left w:val="single" w:color="000000" w:sz="4" w:space="0"/>
              <w:bottom w:val="single" w:color="000000" w:sz="4" w:space="0"/>
              <w:right w:val="single" w:color="000000" w:sz="4" w:space="0"/>
            </w:tcBorders>
            <w:noWrap w:val="0"/>
            <w:vAlign w:val="center"/>
          </w:tcPr>
          <w:p w14:paraId="7CBFCFEF">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w:t>
            </w:r>
          </w:p>
        </w:tc>
      </w:tr>
      <w:tr w14:paraId="4560BBAD">
        <w:tblPrEx>
          <w:tblCellMar>
            <w:top w:w="0" w:type="dxa"/>
            <w:left w:w="108" w:type="dxa"/>
            <w:bottom w:w="0" w:type="dxa"/>
            <w:right w:w="108" w:type="dxa"/>
          </w:tblCellMar>
        </w:tblPrEx>
        <w:trPr>
          <w:cantSplit/>
          <w:trHeight w:val="1320" w:hRule="atLeast"/>
          <w:jc w:val="center"/>
        </w:trPr>
        <w:tc>
          <w:tcPr>
            <w:tcW w:w="5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2DD108">
            <w:pPr>
              <w:spacing w:line="0" w:lineRule="atLeast"/>
              <w:jc w:val="left"/>
              <w:rPr>
                <w:rFonts w:ascii="宋体" w:hAnsi="宋体"/>
                <w:sz w:val="21"/>
                <w:szCs w:val="21"/>
              </w:rPr>
            </w:pPr>
          </w:p>
        </w:tc>
        <w:tc>
          <w:tcPr>
            <w:tcW w:w="7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AABE6E">
            <w:pPr>
              <w:spacing w:line="0" w:lineRule="atLeast"/>
              <w:jc w:val="left"/>
              <w:rPr>
                <w:rFonts w:ascii="宋体" w:hAnsi="宋体"/>
                <w:sz w:val="21"/>
                <w:szCs w:val="21"/>
              </w:rPr>
            </w:pPr>
          </w:p>
        </w:tc>
        <w:tc>
          <w:tcPr>
            <w:tcW w:w="992"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516699">
            <w:pPr>
              <w:spacing w:line="0" w:lineRule="atLeast"/>
              <w:jc w:val="left"/>
              <w:rPr>
                <w:rFonts w:ascii="宋体" w:hAnsi="宋体"/>
                <w:sz w:val="21"/>
                <w:szCs w:val="21"/>
              </w:rPr>
            </w:pPr>
          </w:p>
        </w:tc>
        <w:tc>
          <w:tcPr>
            <w:tcW w:w="1276" w:type="dxa"/>
            <w:tcBorders>
              <w:top w:val="nil"/>
              <w:left w:val="nil"/>
              <w:bottom w:val="single" w:color="000000" w:sz="4" w:space="0"/>
              <w:right w:val="single" w:color="000000" w:sz="4" w:space="0"/>
            </w:tcBorders>
            <w:noWrap w:val="0"/>
            <w:vAlign w:val="center"/>
          </w:tcPr>
          <w:p w14:paraId="1364837F">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问题处理及时有效性（10分）</w:t>
            </w:r>
          </w:p>
        </w:tc>
        <w:tc>
          <w:tcPr>
            <w:tcW w:w="3827" w:type="dxa"/>
            <w:tcBorders>
              <w:top w:val="nil"/>
              <w:left w:val="nil"/>
              <w:bottom w:val="single" w:color="000000" w:sz="4" w:space="0"/>
              <w:right w:val="single" w:color="000000" w:sz="4" w:space="0"/>
            </w:tcBorders>
            <w:noWrap w:val="0"/>
            <w:vAlign w:val="center"/>
          </w:tcPr>
          <w:p w14:paraId="597FB22F">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对原料供应商考核小组发出的整改通知、意见反馈、询价调研能够快速反应，对出现的问题能够及时整改到位</w:t>
            </w:r>
          </w:p>
        </w:tc>
        <w:tc>
          <w:tcPr>
            <w:tcW w:w="4425" w:type="dxa"/>
            <w:tcBorders>
              <w:top w:val="nil"/>
              <w:left w:val="nil"/>
              <w:bottom w:val="single" w:color="000000" w:sz="4" w:space="0"/>
              <w:right w:val="single" w:color="000000" w:sz="4" w:space="0"/>
            </w:tcBorders>
            <w:noWrap w:val="0"/>
            <w:vAlign w:val="center"/>
          </w:tcPr>
          <w:p w14:paraId="01624702">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供应商在接到我方发出的整改通知、意见反馈、询价调研信息后，当日无反馈，扣2分，对于整改通知相关要求三日内无明显改进扣5分</w:t>
            </w:r>
          </w:p>
        </w:tc>
        <w:tc>
          <w:tcPr>
            <w:tcW w:w="12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81AA0E">
            <w:pPr>
              <w:spacing w:line="0" w:lineRule="atLeast"/>
              <w:jc w:val="left"/>
              <w:rPr>
                <w:rFonts w:ascii="宋体" w:hAnsi="宋体"/>
                <w:sz w:val="21"/>
                <w:szCs w:val="21"/>
              </w:rPr>
            </w:pPr>
          </w:p>
        </w:tc>
      </w:tr>
      <w:tr w14:paraId="47FF4EB6">
        <w:tblPrEx>
          <w:tblCellMar>
            <w:top w:w="0" w:type="dxa"/>
            <w:left w:w="108" w:type="dxa"/>
            <w:bottom w:w="0" w:type="dxa"/>
            <w:right w:w="108" w:type="dxa"/>
          </w:tblCellMar>
        </w:tblPrEx>
        <w:trPr>
          <w:trHeight w:val="3076" w:hRule="atLeast"/>
          <w:jc w:val="center"/>
        </w:trPr>
        <w:tc>
          <w:tcPr>
            <w:tcW w:w="583" w:type="dxa"/>
            <w:tcBorders>
              <w:top w:val="single" w:color="000000" w:sz="4" w:space="0"/>
              <w:left w:val="single" w:color="000000" w:sz="4" w:space="0"/>
              <w:bottom w:val="single" w:color="000000" w:sz="4" w:space="0"/>
              <w:right w:val="single" w:color="000000" w:sz="4" w:space="0"/>
            </w:tcBorders>
            <w:noWrap w:val="0"/>
            <w:vAlign w:val="center"/>
          </w:tcPr>
          <w:p w14:paraId="61B4C7A2">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3</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60FBAA9E">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服务能力评价</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3B720AB3">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诚信度</w:t>
            </w:r>
          </w:p>
        </w:tc>
        <w:tc>
          <w:tcPr>
            <w:tcW w:w="1276" w:type="dxa"/>
            <w:tcBorders>
              <w:top w:val="single" w:color="000000" w:sz="4" w:space="0"/>
              <w:left w:val="nil"/>
              <w:bottom w:val="single" w:color="000000" w:sz="4" w:space="0"/>
              <w:right w:val="single" w:color="000000" w:sz="4" w:space="0"/>
            </w:tcBorders>
            <w:noWrap w:val="0"/>
            <w:vAlign w:val="center"/>
          </w:tcPr>
          <w:p w14:paraId="3C19D004">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品牌配送准确性（15分）</w:t>
            </w:r>
          </w:p>
        </w:tc>
        <w:tc>
          <w:tcPr>
            <w:tcW w:w="3827" w:type="dxa"/>
            <w:tcBorders>
              <w:top w:val="single" w:color="000000" w:sz="4" w:space="0"/>
              <w:left w:val="nil"/>
              <w:bottom w:val="single" w:color="000000" w:sz="4" w:space="0"/>
              <w:right w:val="single" w:color="000000" w:sz="4" w:space="0"/>
            </w:tcBorders>
            <w:noWrap w:val="0"/>
            <w:vAlign w:val="center"/>
          </w:tcPr>
          <w:p w14:paraId="31953B6A">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供应商必须严格按照招标产品明细或者订单要求的品牌、品种供货，在某产品出现市场大面积断货的情况而确实无法供货的，必须在供货前一天（即收到订单当天）向招标人说明断货原因。招标人经市场调查确认该品项市场全面断货，则申请暂时更换品牌、品种；如果是由于供应商备货不足、调拨不及时等原因造成断货，招标人则将该品项改为其他中标供应商配送</w:t>
            </w:r>
          </w:p>
        </w:tc>
        <w:tc>
          <w:tcPr>
            <w:tcW w:w="4425" w:type="dxa"/>
            <w:tcBorders>
              <w:top w:val="single" w:color="000000" w:sz="4" w:space="0"/>
              <w:left w:val="nil"/>
              <w:bottom w:val="single" w:color="000000" w:sz="4" w:space="0"/>
              <w:right w:val="single" w:color="000000" w:sz="4" w:space="0"/>
            </w:tcBorders>
            <w:noWrap w:val="0"/>
            <w:vAlign w:val="center"/>
          </w:tcPr>
          <w:p w14:paraId="42DC1B4E">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供应商在未通知采购人的情况下，擅自更换品种，发现一次扣5分</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398EC1C8">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w:t>
            </w:r>
          </w:p>
        </w:tc>
      </w:tr>
      <w:tr w14:paraId="652ACC13">
        <w:tblPrEx>
          <w:tblCellMar>
            <w:top w:w="0" w:type="dxa"/>
            <w:left w:w="108" w:type="dxa"/>
            <w:bottom w:w="0" w:type="dxa"/>
            <w:right w:w="108" w:type="dxa"/>
          </w:tblCellMar>
        </w:tblPrEx>
        <w:trPr>
          <w:cantSplit/>
          <w:trHeight w:val="475" w:hRule="atLeast"/>
          <w:jc w:val="center"/>
        </w:trPr>
        <w:tc>
          <w:tcPr>
            <w:tcW w:w="583" w:type="dxa"/>
            <w:vMerge w:val="restart"/>
            <w:tcBorders>
              <w:top w:val="single" w:color="000000" w:sz="4" w:space="0"/>
              <w:left w:val="single" w:color="000000" w:sz="4" w:space="0"/>
              <w:bottom w:val="single" w:color="000000" w:sz="4" w:space="0"/>
              <w:right w:val="single" w:color="000000" w:sz="4" w:space="0"/>
            </w:tcBorders>
            <w:noWrap w:val="0"/>
            <w:vAlign w:val="center"/>
          </w:tcPr>
          <w:p w14:paraId="337273EE">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4</w:t>
            </w:r>
          </w:p>
        </w:tc>
        <w:tc>
          <w:tcPr>
            <w:tcW w:w="708" w:type="dxa"/>
            <w:vMerge w:val="restart"/>
            <w:tcBorders>
              <w:top w:val="single" w:color="000000" w:sz="4" w:space="0"/>
              <w:left w:val="single" w:color="000000" w:sz="4" w:space="0"/>
              <w:bottom w:val="single" w:color="000000" w:sz="4" w:space="0"/>
              <w:right w:val="single" w:color="000000" w:sz="4" w:space="0"/>
            </w:tcBorders>
            <w:noWrap w:val="0"/>
            <w:vAlign w:val="center"/>
          </w:tcPr>
          <w:p w14:paraId="2FF2AA89">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价格执行评价</w:t>
            </w:r>
          </w:p>
        </w:tc>
        <w:tc>
          <w:tcPr>
            <w:tcW w:w="992" w:type="dxa"/>
            <w:tcBorders>
              <w:top w:val="single" w:color="000000" w:sz="4" w:space="0"/>
              <w:left w:val="nil"/>
              <w:bottom w:val="single" w:color="000000" w:sz="4" w:space="0"/>
              <w:right w:val="single" w:color="000000" w:sz="4" w:space="0"/>
            </w:tcBorders>
            <w:noWrap w:val="0"/>
            <w:vAlign w:val="center"/>
          </w:tcPr>
          <w:p w14:paraId="192E3B75">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规范性</w:t>
            </w:r>
          </w:p>
        </w:tc>
        <w:tc>
          <w:tcPr>
            <w:tcW w:w="1276" w:type="dxa"/>
            <w:tcBorders>
              <w:top w:val="single" w:color="000000" w:sz="4" w:space="0"/>
              <w:left w:val="nil"/>
              <w:bottom w:val="single" w:color="000000" w:sz="4" w:space="0"/>
              <w:right w:val="single" w:color="000000" w:sz="4" w:space="0"/>
            </w:tcBorders>
            <w:noWrap w:val="0"/>
            <w:vAlign w:val="center"/>
          </w:tcPr>
          <w:p w14:paraId="4B7695AC">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供货价格规范性（10分）</w:t>
            </w:r>
          </w:p>
        </w:tc>
        <w:tc>
          <w:tcPr>
            <w:tcW w:w="3827" w:type="dxa"/>
            <w:tcBorders>
              <w:top w:val="single" w:color="000000" w:sz="4" w:space="0"/>
              <w:left w:val="nil"/>
              <w:bottom w:val="single" w:color="000000" w:sz="4" w:space="0"/>
              <w:right w:val="single" w:color="000000" w:sz="4" w:space="0"/>
            </w:tcBorders>
            <w:noWrap w:val="0"/>
            <w:vAlign w:val="center"/>
          </w:tcPr>
          <w:p w14:paraId="2C074610">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供应商务必严格按照中标价格或商定价格进行供货，如若市场价格出现波动超出合理范围，必须首先向招标人递交调价申请，经招标人审批同意后方可调整价格</w:t>
            </w:r>
          </w:p>
        </w:tc>
        <w:tc>
          <w:tcPr>
            <w:tcW w:w="4425" w:type="dxa"/>
            <w:tcBorders>
              <w:top w:val="single" w:color="000000" w:sz="4" w:space="0"/>
              <w:left w:val="nil"/>
              <w:bottom w:val="single" w:color="000000" w:sz="4" w:space="0"/>
              <w:right w:val="single" w:color="000000" w:sz="4" w:space="0"/>
            </w:tcBorders>
            <w:noWrap w:val="0"/>
            <w:vAlign w:val="center"/>
          </w:tcPr>
          <w:p w14:paraId="13DA7AF3">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供应商未按照中标价格或商定价格配送，随意变动价格，发现一次扣5分</w:t>
            </w:r>
          </w:p>
        </w:tc>
        <w:tc>
          <w:tcPr>
            <w:tcW w:w="1245" w:type="dxa"/>
            <w:vMerge w:val="restart"/>
            <w:tcBorders>
              <w:top w:val="single" w:color="000000" w:sz="4" w:space="0"/>
              <w:left w:val="single" w:color="000000" w:sz="4" w:space="0"/>
              <w:bottom w:val="single" w:color="000000" w:sz="4" w:space="0"/>
              <w:right w:val="single" w:color="000000" w:sz="4" w:space="0"/>
            </w:tcBorders>
            <w:noWrap w:val="0"/>
            <w:vAlign w:val="center"/>
          </w:tcPr>
          <w:p w14:paraId="24CCCFA1">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w:t>
            </w:r>
          </w:p>
        </w:tc>
      </w:tr>
      <w:tr w14:paraId="3E572754">
        <w:tblPrEx>
          <w:tblCellMar>
            <w:top w:w="0" w:type="dxa"/>
            <w:left w:w="108" w:type="dxa"/>
            <w:bottom w:w="0" w:type="dxa"/>
            <w:right w:w="108" w:type="dxa"/>
          </w:tblCellMar>
        </w:tblPrEx>
        <w:trPr>
          <w:cantSplit/>
          <w:trHeight w:val="1890" w:hRule="atLeast"/>
          <w:jc w:val="center"/>
        </w:trPr>
        <w:tc>
          <w:tcPr>
            <w:tcW w:w="5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359CD7">
            <w:pPr>
              <w:spacing w:line="0" w:lineRule="atLeast"/>
              <w:jc w:val="left"/>
              <w:rPr>
                <w:rFonts w:ascii="宋体" w:hAnsi="宋体"/>
                <w:sz w:val="21"/>
                <w:szCs w:val="21"/>
              </w:rPr>
            </w:pPr>
          </w:p>
        </w:tc>
        <w:tc>
          <w:tcPr>
            <w:tcW w:w="7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0B8CC9">
            <w:pPr>
              <w:spacing w:line="0" w:lineRule="atLeast"/>
              <w:jc w:val="left"/>
              <w:rPr>
                <w:rFonts w:ascii="宋体" w:hAnsi="宋体"/>
                <w:sz w:val="21"/>
                <w:szCs w:val="21"/>
              </w:rPr>
            </w:pPr>
          </w:p>
        </w:tc>
        <w:tc>
          <w:tcPr>
            <w:tcW w:w="992" w:type="dxa"/>
            <w:tcBorders>
              <w:top w:val="single" w:color="000000" w:sz="4" w:space="0"/>
              <w:left w:val="nil"/>
              <w:bottom w:val="single" w:color="000000" w:sz="4" w:space="0"/>
              <w:right w:val="single" w:color="000000" w:sz="4" w:space="0"/>
            </w:tcBorders>
            <w:noWrap w:val="0"/>
            <w:vAlign w:val="center"/>
          </w:tcPr>
          <w:p w14:paraId="07AFCA8B">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准确性</w:t>
            </w:r>
          </w:p>
        </w:tc>
        <w:tc>
          <w:tcPr>
            <w:tcW w:w="1276" w:type="dxa"/>
            <w:tcBorders>
              <w:top w:val="single" w:color="000000" w:sz="4" w:space="0"/>
              <w:left w:val="nil"/>
              <w:bottom w:val="single" w:color="000000" w:sz="4" w:space="0"/>
              <w:right w:val="single" w:color="000000" w:sz="4" w:space="0"/>
            </w:tcBorders>
            <w:noWrap w:val="0"/>
            <w:vAlign w:val="center"/>
          </w:tcPr>
          <w:p w14:paraId="59CB7165">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报价准确性（10分）</w:t>
            </w:r>
          </w:p>
        </w:tc>
        <w:tc>
          <w:tcPr>
            <w:tcW w:w="3827" w:type="dxa"/>
            <w:tcBorders>
              <w:top w:val="single" w:color="000000" w:sz="4" w:space="0"/>
              <w:left w:val="nil"/>
              <w:bottom w:val="single" w:color="000000" w:sz="4" w:space="0"/>
              <w:right w:val="single" w:color="000000" w:sz="4" w:space="0"/>
            </w:tcBorders>
            <w:noWrap w:val="0"/>
            <w:vAlign w:val="center"/>
          </w:tcPr>
          <w:p w14:paraId="4370658B">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对未在招标范围的产品或者需要申请调价的产品，供应商报价必须符合市场行情；对于蔬菜报价，务必填写完整并符合市场行情。</w:t>
            </w:r>
          </w:p>
        </w:tc>
        <w:tc>
          <w:tcPr>
            <w:tcW w:w="4425" w:type="dxa"/>
            <w:tcBorders>
              <w:top w:val="single" w:color="000000" w:sz="4" w:space="0"/>
              <w:left w:val="nil"/>
              <w:bottom w:val="single" w:color="000000" w:sz="4" w:space="0"/>
              <w:right w:val="single" w:color="000000" w:sz="4" w:space="0"/>
            </w:tcBorders>
            <w:noWrap w:val="0"/>
            <w:vAlign w:val="center"/>
          </w:tcPr>
          <w:p w14:paraId="458A1972">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如若发生报价与市场价格严重不符的情况，发现一次扣5分</w:t>
            </w:r>
          </w:p>
        </w:tc>
        <w:tc>
          <w:tcPr>
            <w:tcW w:w="12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1913AB">
            <w:pPr>
              <w:spacing w:line="0" w:lineRule="atLeast"/>
              <w:jc w:val="left"/>
              <w:rPr>
                <w:rFonts w:ascii="宋体" w:hAnsi="宋体"/>
                <w:sz w:val="21"/>
                <w:szCs w:val="21"/>
              </w:rPr>
            </w:pPr>
          </w:p>
        </w:tc>
      </w:tr>
      <w:tr w14:paraId="0CE866EB">
        <w:tblPrEx>
          <w:tblCellMar>
            <w:top w:w="0" w:type="dxa"/>
            <w:left w:w="108" w:type="dxa"/>
            <w:bottom w:w="0" w:type="dxa"/>
            <w:right w:w="108" w:type="dxa"/>
          </w:tblCellMar>
        </w:tblPrEx>
        <w:trPr>
          <w:cantSplit/>
          <w:trHeight w:val="540" w:hRule="atLeast"/>
          <w:jc w:val="center"/>
        </w:trPr>
        <w:tc>
          <w:tcPr>
            <w:tcW w:w="583" w:type="dxa"/>
            <w:vMerge w:val="restart"/>
            <w:tcBorders>
              <w:top w:val="nil"/>
              <w:left w:val="single" w:color="000000" w:sz="4" w:space="0"/>
              <w:bottom w:val="single" w:color="000000" w:sz="4" w:space="0"/>
              <w:right w:val="single" w:color="000000" w:sz="4" w:space="0"/>
            </w:tcBorders>
            <w:noWrap w:val="0"/>
            <w:vAlign w:val="center"/>
          </w:tcPr>
          <w:p w14:paraId="586642C2">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5</w:t>
            </w:r>
          </w:p>
        </w:tc>
        <w:tc>
          <w:tcPr>
            <w:tcW w:w="708" w:type="dxa"/>
            <w:vMerge w:val="restart"/>
            <w:tcBorders>
              <w:top w:val="nil"/>
              <w:left w:val="single" w:color="000000" w:sz="4" w:space="0"/>
              <w:bottom w:val="single" w:color="000000" w:sz="4" w:space="0"/>
              <w:right w:val="single" w:color="000000" w:sz="4" w:space="0"/>
            </w:tcBorders>
            <w:noWrap w:val="0"/>
            <w:vAlign w:val="center"/>
          </w:tcPr>
          <w:p w14:paraId="4E767B71">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加分项</w:t>
            </w:r>
          </w:p>
        </w:tc>
        <w:tc>
          <w:tcPr>
            <w:tcW w:w="2268" w:type="dxa"/>
            <w:gridSpan w:val="2"/>
            <w:tcBorders>
              <w:top w:val="single" w:color="000000" w:sz="4" w:space="0"/>
              <w:left w:val="nil"/>
              <w:bottom w:val="single" w:color="000000" w:sz="4" w:space="0"/>
              <w:right w:val="single" w:color="000000" w:sz="4" w:space="0"/>
            </w:tcBorders>
            <w:noWrap w:val="0"/>
            <w:vAlign w:val="center"/>
          </w:tcPr>
          <w:p w14:paraId="36E9D918">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应急响应</w:t>
            </w:r>
          </w:p>
        </w:tc>
        <w:tc>
          <w:tcPr>
            <w:tcW w:w="3827" w:type="dxa"/>
            <w:tcBorders>
              <w:top w:val="nil"/>
              <w:left w:val="nil"/>
              <w:bottom w:val="single" w:color="000000" w:sz="4" w:space="0"/>
              <w:right w:val="single" w:color="000000" w:sz="4" w:space="0"/>
            </w:tcBorders>
            <w:noWrap w:val="0"/>
            <w:vAlign w:val="center"/>
          </w:tcPr>
          <w:p w14:paraId="2A05D9F5">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供应商对临时紧急订货，能够积极无条件及时供应</w:t>
            </w:r>
          </w:p>
        </w:tc>
        <w:tc>
          <w:tcPr>
            <w:tcW w:w="4425" w:type="dxa"/>
            <w:tcBorders>
              <w:top w:val="nil"/>
              <w:left w:val="nil"/>
              <w:bottom w:val="single" w:color="000000" w:sz="4" w:space="0"/>
              <w:right w:val="single" w:color="000000" w:sz="4" w:space="0"/>
            </w:tcBorders>
            <w:noWrap w:val="0"/>
            <w:vAlign w:val="center"/>
          </w:tcPr>
          <w:p w14:paraId="02C267E2">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供应商应急响应迅速，完成临时紧急性供货，一次加2分</w:t>
            </w:r>
          </w:p>
        </w:tc>
        <w:tc>
          <w:tcPr>
            <w:tcW w:w="12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D8C04F">
            <w:pPr>
              <w:spacing w:line="0" w:lineRule="atLeast"/>
              <w:jc w:val="left"/>
              <w:rPr>
                <w:rFonts w:ascii="宋体" w:hAnsi="宋体"/>
                <w:sz w:val="21"/>
                <w:szCs w:val="21"/>
              </w:rPr>
            </w:pPr>
          </w:p>
        </w:tc>
      </w:tr>
      <w:tr w14:paraId="5EC2E3C1">
        <w:tblPrEx>
          <w:tblCellMar>
            <w:top w:w="0" w:type="dxa"/>
            <w:left w:w="108" w:type="dxa"/>
            <w:bottom w:w="0" w:type="dxa"/>
            <w:right w:w="108" w:type="dxa"/>
          </w:tblCellMar>
        </w:tblPrEx>
        <w:trPr>
          <w:cantSplit/>
          <w:trHeight w:val="963" w:hRule="atLeast"/>
          <w:jc w:val="center"/>
        </w:trPr>
        <w:tc>
          <w:tcPr>
            <w:tcW w:w="583" w:type="dxa"/>
            <w:vMerge w:val="continue"/>
            <w:tcBorders>
              <w:top w:val="nil"/>
              <w:left w:val="single" w:color="000000" w:sz="4" w:space="0"/>
              <w:bottom w:val="single" w:color="000000" w:sz="4" w:space="0"/>
              <w:right w:val="single" w:color="000000" w:sz="4" w:space="0"/>
            </w:tcBorders>
            <w:noWrap w:val="0"/>
            <w:vAlign w:val="center"/>
          </w:tcPr>
          <w:p w14:paraId="52755FB0">
            <w:pPr>
              <w:spacing w:line="0" w:lineRule="atLeast"/>
              <w:jc w:val="left"/>
              <w:rPr>
                <w:rFonts w:ascii="宋体" w:hAnsi="宋体"/>
                <w:sz w:val="21"/>
                <w:szCs w:val="21"/>
              </w:rPr>
            </w:pPr>
          </w:p>
        </w:tc>
        <w:tc>
          <w:tcPr>
            <w:tcW w:w="708" w:type="dxa"/>
            <w:vMerge w:val="continue"/>
            <w:tcBorders>
              <w:top w:val="nil"/>
              <w:left w:val="single" w:color="000000" w:sz="4" w:space="0"/>
              <w:bottom w:val="single" w:color="000000" w:sz="4" w:space="0"/>
              <w:right w:val="single" w:color="000000" w:sz="4" w:space="0"/>
            </w:tcBorders>
            <w:noWrap w:val="0"/>
            <w:vAlign w:val="center"/>
          </w:tcPr>
          <w:p w14:paraId="0D0B9B42">
            <w:pPr>
              <w:spacing w:line="0" w:lineRule="atLeast"/>
              <w:jc w:val="left"/>
              <w:rPr>
                <w:rFonts w:ascii="宋体" w:hAnsi="宋体"/>
                <w:sz w:val="21"/>
                <w:szCs w:val="21"/>
              </w:rPr>
            </w:pPr>
          </w:p>
        </w:tc>
        <w:tc>
          <w:tcPr>
            <w:tcW w:w="2268" w:type="dxa"/>
            <w:gridSpan w:val="2"/>
            <w:tcBorders>
              <w:top w:val="single" w:color="000000" w:sz="4" w:space="0"/>
              <w:left w:val="nil"/>
              <w:bottom w:val="single" w:color="000000" w:sz="4" w:space="0"/>
              <w:right w:val="single" w:color="000000" w:sz="4" w:space="0"/>
            </w:tcBorders>
            <w:noWrap w:val="0"/>
            <w:vAlign w:val="center"/>
          </w:tcPr>
          <w:p w14:paraId="409B2A9D">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价格下调</w:t>
            </w:r>
          </w:p>
        </w:tc>
        <w:tc>
          <w:tcPr>
            <w:tcW w:w="3827" w:type="dxa"/>
            <w:tcBorders>
              <w:top w:val="nil"/>
              <w:left w:val="nil"/>
              <w:bottom w:val="single" w:color="000000" w:sz="4" w:space="0"/>
              <w:right w:val="single" w:color="000000" w:sz="4" w:space="0"/>
            </w:tcBorders>
            <w:noWrap w:val="0"/>
            <w:vAlign w:val="center"/>
          </w:tcPr>
          <w:p w14:paraId="59FF9F70">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供应商根据市场行情，在价格下跌超过合理范围时，主动递交价格下调申请报告</w:t>
            </w:r>
          </w:p>
        </w:tc>
        <w:tc>
          <w:tcPr>
            <w:tcW w:w="4425" w:type="dxa"/>
            <w:tcBorders>
              <w:top w:val="nil"/>
              <w:left w:val="nil"/>
              <w:bottom w:val="single" w:color="000000" w:sz="4" w:space="0"/>
              <w:right w:val="single" w:color="000000" w:sz="4" w:space="0"/>
            </w:tcBorders>
            <w:noWrap w:val="0"/>
            <w:vAlign w:val="center"/>
          </w:tcPr>
          <w:p w14:paraId="6D7C4E8E">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供应商价格下调申请报告经审批同意执行后，一次加5分</w:t>
            </w:r>
          </w:p>
        </w:tc>
        <w:tc>
          <w:tcPr>
            <w:tcW w:w="12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8A09047">
            <w:pPr>
              <w:spacing w:line="0" w:lineRule="atLeast"/>
              <w:jc w:val="left"/>
              <w:rPr>
                <w:rFonts w:ascii="宋体" w:hAnsi="宋体"/>
                <w:sz w:val="21"/>
                <w:szCs w:val="21"/>
              </w:rPr>
            </w:pPr>
          </w:p>
        </w:tc>
      </w:tr>
      <w:tr w14:paraId="75892012">
        <w:tblPrEx>
          <w:tblCellMar>
            <w:top w:w="0" w:type="dxa"/>
            <w:left w:w="108" w:type="dxa"/>
            <w:bottom w:w="0" w:type="dxa"/>
            <w:right w:w="108" w:type="dxa"/>
          </w:tblCellMar>
        </w:tblPrEx>
        <w:trPr>
          <w:cantSplit/>
          <w:trHeight w:val="810" w:hRule="atLeast"/>
          <w:jc w:val="center"/>
        </w:trPr>
        <w:tc>
          <w:tcPr>
            <w:tcW w:w="583" w:type="dxa"/>
            <w:vMerge w:val="continue"/>
            <w:tcBorders>
              <w:top w:val="nil"/>
              <w:left w:val="single" w:color="000000" w:sz="4" w:space="0"/>
              <w:bottom w:val="single" w:color="000000" w:sz="4" w:space="0"/>
              <w:right w:val="single" w:color="000000" w:sz="4" w:space="0"/>
            </w:tcBorders>
            <w:noWrap w:val="0"/>
            <w:vAlign w:val="center"/>
          </w:tcPr>
          <w:p w14:paraId="4E3563C5">
            <w:pPr>
              <w:spacing w:line="0" w:lineRule="atLeast"/>
              <w:jc w:val="left"/>
              <w:rPr>
                <w:rFonts w:ascii="宋体" w:hAnsi="宋体"/>
                <w:sz w:val="21"/>
                <w:szCs w:val="21"/>
              </w:rPr>
            </w:pPr>
          </w:p>
        </w:tc>
        <w:tc>
          <w:tcPr>
            <w:tcW w:w="708" w:type="dxa"/>
            <w:vMerge w:val="continue"/>
            <w:tcBorders>
              <w:top w:val="nil"/>
              <w:left w:val="single" w:color="000000" w:sz="4" w:space="0"/>
              <w:bottom w:val="single" w:color="000000" w:sz="4" w:space="0"/>
              <w:right w:val="single" w:color="000000" w:sz="4" w:space="0"/>
            </w:tcBorders>
            <w:noWrap w:val="0"/>
            <w:vAlign w:val="center"/>
          </w:tcPr>
          <w:p w14:paraId="10FDA08A">
            <w:pPr>
              <w:spacing w:line="0" w:lineRule="atLeast"/>
              <w:jc w:val="left"/>
              <w:rPr>
                <w:rFonts w:ascii="宋体" w:hAnsi="宋体"/>
                <w:sz w:val="21"/>
                <w:szCs w:val="21"/>
              </w:rPr>
            </w:pPr>
          </w:p>
        </w:tc>
        <w:tc>
          <w:tcPr>
            <w:tcW w:w="2268" w:type="dxa"/>
            <w:gridSpan w:val="2"/>
            <w:tcBorders>
              <w:top w:val="single" w:color="000000" w:sz="4" w:space="0"/>
              <w:left w:val="nil"/>
              <w:bottom w:val="single" w:color="000000" w:sz="4" w:space="0"/>
              <w:right w:val="single" w:color="000000" w:sz="4" w:space="0"/>
            </w:tcBorders>
            <w:noWrap w:val="0"/>
            <w:vAlign w:val="center"/>
          </w:tcPr>
          <w:p w14:paraId="7048180A">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订单提醒</w:t>
            </w:r>
          </w:p>
        </w:tc>
        <w:tc>
          <w:tcPr>
            <w:tcW w:w="3827" w:type="dxa"/>
            <w:tcBorders>
              <w:top w:val="nil"/>
              <w:left w:val="nil"/>
              <w:bottom w:val="single" w:color="000000" w:sz="4" w:space="0"/>
              <w:right w:val="single" w:color="000000" w:sz="4" w:space="0"/>
            </w:tcBorders>
            <w:noWrap w:val="0"/>
            <w:vAlign w:val="center"/>
          </w:tcPr>
          <w:p w14:paraId="425D4B22">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供应商在发现当日订单存在异常情况，主动联系后采购人确认</w:t>
            </w:r>
          </w:p>
        </w:tc>
        <w:tc>
          <w:tcPr>
            <w:tcW w:w="4425" w:type="dxa"/>
            <w:tcBorders>
              <w:top w:val="nil"/>
              <w:left w:val="nil"/>
              <w:bottom w:val="single" w:color="000000" w:sz="4" w:space="0"/>
              <w:right w:val="single" w:color="000000" w:sz="4" w:space="0"/>
            </w:tcBorders>
            <w:noWrap w:val="0"/>
            <w:vAlign w:val="center"/>
          </w:tcPr>
          <w:p w14:paraId="6CB0FA70">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经采购人确认供应商反馈情况属实，及时补充订单，保证食堂供应正常，一次加2分</w:t>
            </w:r>
          </w:p>
        </w:tc>
        <w:tc>
          <w:tcPr>
            <w:tcW w:w="12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AA9FA3">
            <w:pPr>
              <w:spacing w:line="0" w:lineRule="atLeast"/>
              <w:jc w:val="left"/>
              <w:rPr>
                <w:rFonts w:ascii="宋体" w:hAnsi="宋体"/>
                <w:sz w:val="21"/>
                <w:szCs w:val="21"/>
              </w:rPr>
            </w:pPr>
          </w:p>
        </w:tc>
      </w:tr>
      <w:tr w14:paraId="39127796">
        <w:tblPrEx>
          <w:tblCellMar>
            <w:top w:w="0" w:type="dxa"/>
            <w:left w:w="108" w:type="dxa"/>
            <w:bottom w:w="0" w:type="dxa"/>
            <w:right w:w="108" w:type="dxa"/>
          </w:tblCellMar>
        </w:tblPrEx>
        <w:trPr>
          <w:cantSplit/>
          <w:trHeight w:val="328" w:hRule="atLeast"/>
          <w:jc w:val="center"/>
        </w:trPr>
        <w:tc>
          <w:tcPr>
            <w:tcW w:w="583" w:type="dxa"/>
            <w:vMerge w:val="continue"/>
            <w:tcBorders>
              <w:top w:val="nil"/>
              <w:left w:val="single" w:color="000000" w:sz="4" w:space="0"/>
              <w:bottom w:val="single" w:color="000000" w:sz="4" w:space="0"/>
              <w:right w:val="single" w:color="000000" w:sz="4" w:space="0"/>
            </w:tcBorders>
            <w:noWrap w:val="0"/>
            <w:vAlign w:val="center"/>
          </w:tcPr>
          <w:p w14:paraId="3842E72B">
            <w:pPr>
              <w:spacing w:line="0" w:lineRule="atLeast"/>
              <w:jc w:val="left"/>
              <w:rPr>
                <w:rFonts w:ascii="宋体" w:hAnsi="宋体"/>
                <w:sz w:val="21"/>
                <w:szCs w:val="21"/>
              </w:rPr>
            </w:pPr>
          </w:p>
        </w:tc>
        <w:tc>
          <w:tcPr>
            <w:tcW w:w="708" w:type="dxa"/>
            <w:vMerge w:val="continue"/>
            <w:tcBorders>
              <w:top w:val="nil"/>
              <w:left w:val="single" w:color="000000" w:sz="4" w:space="0"/>
              <w:bottom w:val="single" w:color="000000" w:sz="4" w:space="0"/>
              <w:right w:val="single" w:color="000000" w:sz="4" w:space="0"/>
            </w:tcBorders>
            <w:noWrap w:val="0"/>
            <w:vAlign w:val="center"/>
          </w:tcPr>
          <w:p w14:paraId="70E83782">
            <w:pPr>
              <w:spacing w:line="0" w:lineRule="atLeast"/>
              <w:jc w:val="left"/>
              <w:rPr>
                <w:rFonts w:ascii="宋体" w:hAnsi="宋体"/>
                <w:sz w:val="21"/>
                <w:szCs w:val="21"/>
              </w:rPr>
            </w:pPr>
          </w:p>
        </w:tc>
        <w:tc>
          <w:tcPr>
            <w:tcW w:w="2268" w:type="dxa"/>
            <w:gridSpan w:val="2"/>
            <w:tcBorders>
              <w:top w:val="single" w:color="000000" w:sz="4" w:space="0"/>
              <w:left w:val="nil"/>
              <w:bottom w:val="single" w:color="000000" w:sz="4" w:space="0"/>
              <w:right w:val="single" w:color="000000" w:sz="4" w:space="0"/>
            </w:tcBorders>
            <w:noWrap w:val="0"/>
            <w:vAlign w:val="center"/>
          </w:tcPr>
          <w:p w14:paraId="4057BC6E">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资质完整</w:t>
            </w:r>
          </w:p>
        </w:tc>
        <w:tc>
          <w:tcPr>
            <w:tcW w:w="3827" w:type="dxa"/>
            <w:tcBorders>
              <w:top w:val="nil"/>
              <w:left w:val="nil"/>
              <w:bottom w:val="single" w:color="000000" w:sz="4" w:space="0"/>
              <w:right w:val="single" w:color="000000" w:sz="4" w:space="0"/>
            </w:tcBorders>
            <w:noWrap w:val="0"/>
            <w:vAlign w:val="center"/>
          </w:tcPr>
          <w:p w14:paraId="3DF7E74F">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供应商对产品必须提供权威机构出具的三方检测报告，采购部每月对供应商提供的检测报告进行梳理，确定效检测报告完整有效</w:t>
            </w:r>
          </w:p>
        </w:tc>
        <w:tc>
          <w:tcPr>
            <w:tcW w:w="4425" w:type="dxa"/>
            <w:tcBorders>
              <w:top w:val="nil"/>
              <w:left w:val="nil"/>
              <w:bottom w:val="single" w:color="000000" w:sz="4" w:space="0"/>
              <w:right w:val="single" w:color="000000" w:sz="4" w:space="0"/>
            </w:tcBorders>
            <w:noWrap w:val="0"/>
            <w:vAlign w:val="center"/>
          </w:tcPr>
          <w:p w14:paraId="191BD7AF">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当月检测报告完整有效的供应商加2分</w:t>
            </w:r>
          </w:p>
        </w:tc>
        <w:tc>
          <w:tcPr>
            <w:tcW w:w="12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6DF690">
            <w:pPr>
              <w:spacing w:line="0" w:lineRule="atLeast"/>
              <w:jc w:val="left"/>
              <w:rPr>
                <w:rFonts w:ascii="宋体" w:hAnsi="宋体"/>
                <w:sz w:val="21"/>
                <w:szCs w:val="21"/>
              </w:rPr>
            </w:pPr>
          </w:p>
        </w:tc>
      </w:tr>
      <w:tr w14:paraId="1625D1C3">
        <w:tblPrEx>
          <w:tblCellMar>
            <w:top w:w="0" w:type="dxa"/>
            <w:left w:w="108" w:type="dxa"/>
            <w:bottom w:w="0" w:type="dxa"/>
            <w:right w:w="108" w:type="dxa"/>
          </w:tblCellMar>
        </w:tblPrEx>
        <w:trPr>
          <w:cantSplit/>
          <w:trHeight w:val="870" w:hRule="atLeast"/>
          <w:jc w:val="center"/>
        </w:trPr>
        <w:tc>
          <w:tcPr>
            <w:tcW w:w="583" w:type="dxa"/>
            <w:vMerge w:val="restart"/>
            <w:tcBorders>
              <w:top w:val="single" w:color="000000" w:sz="4" w:space="0"/>
              <w:left w:val="single" w:color="000000" w:sz="4" w:space="0"/>
              <w:bottom w:val="single" w:color="000000" w:sz="4" w:space="0"/>
              <w:right w:val="single" w:color="000000" w:sz="4" w:space="0"/>
            </w:tcBorders>
            <w:noWrap w:val="0"/>
            <w:vAlign w:val="center"/>
          </w:tcPr>
          <w:p w14:paraId="3A5021B4">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6</w:t>
            </w:r>
          </w:p>
        </w:tc>
        <w:tc>
          <w:tcPr>
            <w:tcW w:w="708" w:type="dxa"/>
            <w:vMerge w:val="restart"/>
            <w:tcBorders>
              <w:top w:val="single" w:color="000000" w:sz="4" w:space="0"/>
              <w:left w:val="single" w:color="000000" w:sz="4" w:space="0"/>
              <w:bottom w:val="single" w:color="000000" w:sz="4" w:space="0"/>
              <w:right w:val="single" w:color="000000" w:sz="4" w:space="0"/>
            </w:tcBorders>
            <w:noWrap w:val="0"/>
            <w:vAlign w:val="center"/>
          </w:tcPr>
          <w:p w14:paraId="27A17EC2">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零容忍项</w:t>
            </w:r>
          </w:p>
        </w:tc>
        <w:tc>
          <w:tcPr>
            <w:tcW w:w="2268" w:type="dxa"/>
            <w:gridSpan w:val="2"/>
            <w:tcBorders>
              <w:top w:val="single" w:color="000000" w:sz="4" w:space="0"/>
              <w:left w:val="nil"/>
              <w:bottom w:val="single" w:color="000000" w:sz="4" w:space="0"/>
              <w:right w:val="single" w:color="000000" w:sz="4" w:space="0"/>
            </w:tcBorders>
            <w:noWrap w:val="0"/>
            <w:vAlign w:val="center"/>
          </w:tcPr>
          <w:p w14:paraId="13EEBEAD">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服务态度恶劣</w:t>
            </w:r>
          </w:p>
        </w:tc>
        <w:tc>
          <w:tcPr>
            <w:tcW w:w="8252" w:type="dxa"/>
            <w:gridSpan w:val="2"/>
            <w:tcBorders>
              <w:top w:val="single" w:color="000000" w:sz="4" w:space="0"/>
              <w:left w:val="nil"/>
              <w:bottom w:val="single" w:color="000000" w:sz="4" w:space="0"/>
              <w:right w:val="single" w:color="000000" w:sz="4" w:space="0"/>
            </w:tcBorders>
            <w:noWrap w:val="0"/>
            <w:vAlign w:val="center"/>
          </w:tcPr>
          <w:p w14:paraId="455B88D2">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供应商服务态度恶劣，不服从招标人正常合理的管理要求而发生辱骂或肢体冲突的，发生一次即终止合同</w:t>
            </w:r>
          </w:p>
        </w:tc>
        <w:tc>
          <w:tcPr>
            <w:tcW w:w="1245" w:type="dxa"/>
            <w:vMerge w:val="restart"/>
            <w:tcBorders>
              <w:top w:val="single" w:color="000000" w:sz="4" w:space="0"/>
              <w:left w:val="single" w:color="000000" w:sz="4" w:space="0"/>
              <w:bottom w:val="single" w:color="000000" w:sz="4" w:space="0"/>
              <w:right w:val="single" w:color="000000" w:sz="4" w:space="0"/>
            </w:tcBorders>
            <w:noWrap w:val="0"/>
            <w:vAlign w:val="center"/>
          </w:tcPr>
          <w:p w14:paraId="72A534ED">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w:t>
            </w:r>
          </w:p>
        </w:tc>
      </w:tr>
      <w:tr w14:paraId="7AEE58D9">
        <w:tblPrEx>
          <w:tblCellMar>
            <w:top w:w="0" w:type="dxa"/>
            <w:left w:w="108" w:type="dxa"/>
            <w:bottom w:w="0" w:type="dxa"/>
            <w:right w:w="108" w:type="dxa"/>
          </w:tblCellMar>
        </w:tblPrEx>
        <w:trPr>
          <w:cantSplit/>
          <w:trHeight w:val="1080" w:hRule="atLeast"/>
          <w:jc w:val="center"/>
        </w:trPr>
        <w:tc>
          <w:tcPr>
            <w:tcW w:w="5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C3E6F2E">
            <w:pPr>
              <w:spacing w:line="0" w:lineRule="atLeast"/>
              <w:jc w:val="left"/>
              <w:rPr>
                <w:rFonts w:ascii="宋体" w:hAnsi="宋体"/>
                <w:sz w:val="21"/>
                <w:szCs w:val="21"/>
              </w:rPr>
            </w:pPr>
          </w:p>
        </w:tc>
        <w:tc>
          <w:tcPr>
            <w:tcW w:w="7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D06AA4">
            <w:pPr>
              <w:spacing w:line="0" w:lineRule="atLeast"/>
              <w:jc w:val="left"/>
              <w:rPr>
                <w:rFonts w:ascii="宋体" w:hAnsi="宋体"/>
                <w:sz w:val="21"/>
                <w:szCs w:val="21"/>
              </w:rPr>
            </w:pPr>
          </w:p>
        </w:tc>
        <w:tc>
          <w:tcPr>
            <w:tcW w:w="2268" w:type="dxa"/>
            <w:gridSpan w:val="2"/>
            <w:tcBorders>
              <w:top w:val="single" w:color="000000" w:sz="4" w:space="0"/>
              <w:left w:val="nil"/>
              <w:bottom w:val="single" w:color="000000" w:sz="4" w:space="0"/>
              <w:right w:val="single" w:color="000000" w:sz="4" w:space="0"/>
            </w:tcBorders>
            <w:noWrap w:val="0"/>
            <w:vAlign w:val="center"/>
          </w:tcPr>
          <w:p w14:paraId="38E4FC04">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发生违规供应事件 </w:t>
            </w:r>
          </w:p>
        </w:tc>
        <w:tc>
          <w:tcPr>
            <w:tcW w:w="8252" w:type="dxa"/>
            <w:gridSpan w:val="2"/>
            <w:tcBorders>
              <w:top w:val="single" w:color="000000" w:sz="4" w:space="0"/>
              <w:left w:val="nil"/>
              <w:bottom w:val="single" w:color="000000" w:sz="4" w:space="0"/>
              <w:right w:val="single" w:color="000000" w:sz="4" w:space="0"/>
            </w:tcBorders>
            <w:noWrap w:val="0"/>
            <w:vAlign w:val="center"/>
          </w:tcPr>
          <w:p w14:paraId="76B5E7AE">
            <w:pPr>
              <w:spacing w:line="0" w:lineRule="atLeast"/>
              <w:jc w:val="left"/>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如供应商在履约期间，在供应过程中发生食品安全等影响恶劣事件，立即终止合同</w:t>
            </w:r>
          </w:p>
          <w:p w14:paraId="491B6DE3">
            <w:pPr>
              <w:rPr>
                <w:rFonts w:hint="eastAsia"/>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乙方供应的食材在使用过程中引发爆炸、火灾、大面积肠道传染病、食物中毒、设备设施损毁、人员受伤等安全质量事故或具有较大影响的行为，给甲方造成不良影响或经济损失的；</w:t>
            </w:r>
          </w:p>
        </w:tc>
        <w:tc>
          <w:tcPr>
            <w:tcW w:w="12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261314">
            <w:pPr>
              <w:spacing w:line="0" w:lineRule="atLeast"/>
              <w:jc w:val="left"/>
              <w:rPr>
                <w:rFonts w:ascii="宋体" w:hAnsi="宋体"/>
                <w:sz w:val="21"/>
                <w:szCs w:val="21"/>
              </w:rPr>
            </w:pPr>
          </w:p>
        </w:tc>
      </w:tr>
      <w:tr w14:paraId="4F1D8B91">
        <w:tblPrEx>
          <w:tblCellMar>
            <w:top w:w="0" w:type="dxa"/>
            <w:left w:w="108" w:type="dxa"/>
            <w:bottom w:w="0" w:type="dxa"/>
            <w:right w:w="108" w:type="dxa"/>
          </w:tblCellMar>
        </w:tblPrEx>
        <w:trPr>
          <w:cantSplit/>
          <w:trHeight w:val="930" w:hRule="atLeast"/>
          <w:jc w:val="center"/>
        </w:trPr>
        <w:tc>
          <w:tcPr>
            <w:tcW w:w="5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46A078">
            <w:pPr>
              <w:spacing w:line="0" w:lineRule="atLeast"/>
              <w:jc w:val="left"/>
              <w:rPr>
                <w:rFonts w:ascii="宋体" w:hAnsi="宋体"/>
                <w:sz w:val="21"/>
                <w:szCs w:val="21"/>
              </w:rPr>
            </w:pPr>
          </w:p>
        </w:tc>
        <w:tc>
          <w:tcPr>
            <w:tcW w:w="7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10ACE5">
            <w:pPr>
              <w:spacing w:line="0" w:lineRule="atLeast"/>
              <w:jc w:val="left"/>
              <w:rPr>
                <w:rFonts w:ascii="宋体" w:hAnsi="宋体"/>
                <w:sz w:val="21"/>
                <w:szCs w:val="21"/>
              </w:rPr>
            </w:pPr>
          </w:p>
        </w:tc>
        <w:tc>
          <w:tcPr>
            <w:tcW w:w="2268" w:type="dxa"/>
            <w:gridSpan w:val="2"/>
            <w:tcBorders>
              <w:top w:val="single" w:color="000000" w:sz="4" w:space="0"/>
              <w:left w:val="nil"/>
              <w:bottom w:val="single" w:color="000000" w:sz="4" w:space="0"/>
              <w:right w:val="single" w:color="000000" w:sz="4" w:space="0"/>
            </w:tcBorders>
            <w:noWrap w:val="0"/>
            <w:vAlign w:val="center"/>
          </w:tcPr>
          <w:p w14:paraId="48DE79A0">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供应严重违规产品</w:t>
            </w:r>
          </w:p>
        </w:tc>
        <w:tc>
          <w:tcPr>
            <w:tcW w:w="8252" w:type="dxa"/>
            <w:gridSpan w:val="2"/>
            <w:tcBorders>
              <w:top w:val="single" w:color="000000" w:sz="4" w:space="0"/>
              <w:left w:val="nil"/>
              <w:bottom w:val="single" w:color="000000" w:sz="4" w:space="0"/>
              <w:right w:val="single" w:color="000000" w:sz="4" w:space="0"/>
            </w:tcBorders>
            <w:noWrap w:val="0"/>
            <w:vAlign w:val="center"/>
          </w:tcPr>
          <w:p w14:paraId="53F937C5">
            <w:pPr>
              <w:spacing w:line="0" w:lineRule="atLeast"/>
              <w:jc w:val="left"/>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供应商提供变质、三无产品或其他不符合国家法律法规相关规定的假冒伪劣商品，且无合理解释或可追溯的，一经发现立即终止合同，并追究相应赔偿责任，并向相关主管部门汇报并公示。</w:t>
            </w:r>
          </w:p>
          <w:p w14:paraId="655E4EF6">
            <w:pPr>
              <w:pStyle w:val="2"/>
              <w:ind w:firstLine="0"/>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乙方供应的产品是《中华人民共和国食品安全法》禁止生产经营的食品的；</w:t>
            </w:r>
          </w:p>
        </w:tc>
        <w:tc>
          <w:tcPr>
            <w:tcW w:w="12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8068DE">
            <w:pPr>
              <w:spacing w:line="0" w:lineRule="atLeast"/>
              <w:jc w:val="left"/>
              <w:rPr>
                <w:rFonts w:ascii="宋体" w:hAnsi="宋体"/>
                <w:sz w:val="21"/>
                <w:szCs w:val="21"/>
              </w:rPr>
            </w:pPr>
          </w:p>
        </w:tc>
      </w:tr>
      <w:tr w14:paraId="52A0131E">
        <w:tblPrEx>
          <w:tblCellMar>
            <w:top w:w="0" w:type="dxa"/>
            <w:left w:w="108" w:type="dxa"/>
            <w:bottom w:w="0" w:type="dxa"/>
            <w:right w:w="108" w:type="dxa"/>
          </w:tblCellMar>
        </w:tblPrEx>
        <w:trPr>
          <w:trHeight w:val="930" w:hRule="atLeast"/>
          <w:jc w:val="center"/>
        </w:trPr>
        <w:tc>
          <w:tcPr>
            <w:tcW w:w="583" w:type="dxa"/>
            <w:tcBorders>
              <w:top w:val="single" w:color="000000" w:sz="4" w:space="0"/>
              <w:left w:val="single" w:color="000000" w:sz="4" w:space="0"/>
              <w:bottom w:val="single" w:color="000000" w:sz="4" w:space="0"/>
              <w:right w:val="single" w:color="000000" w:sz="4" w:space="0"/>
            </w:tcBorders>
            <w:noWrap w:val="0"/>
            <w:vAlign w:val="center"/>
          </w:tcPr>
          <w:p w14:paraId="6B133BC5">
            <w:pPr>
              <w:spacing w:line="0" w:lineRule="atLeast"/>
              <w:jc w:val="left"/>
              <w:rPr>
                <w:rFonts w:ascii="宋体" w:hAnsi="宋体"/>
                <w:color w:val="000000" w:themeColor="text1"/>
                <w:sz w:val="21"/>
                <w:szCs w:val="21"/>
                <w14:textFill>
                  <w14:solidFill>
                    <w14:schemeClr w14:val="tx1"/>
                  </w14:solidFill>
                </w14:textFill>
              </w:rPr>
            </w:pP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55D9133A">
            <w:pPr>
              <w:spacing w:line="0" w:lineRule="atLeast"/>
              <w:jc w:val="left"/>
              <w:rPr>
                <w:rFonts w:ascii="宋体" w:hAnsi="宋体"/>
                <w:color w:val="000000" w:themeColor="text1"/>
                <w:sz w:val="21"/>
                <w:szCs w:val="21"/>
                <w14:textFill>
                  <w14:solidFill>
                    <w14:schemeClr w14:val="tx1"/>
                  </w14:solidFill>
                </w14:textFill>
              </w:rPr>
            </w:pPr>
          </w:p>
        </w:tc>
        <w:tc>
          <w:tcPr>
            <w:tcW w:w="2268" w:type="dxa"/>
            <w:gridSpan w:val="2"/>
            <w:tcBorders>
              <w:top w:val="single" w:color="000000" w:sz="4" w:space="0"/>
              <w:left w:val="nil"/>
              <w:bottom w:val="single" w:color="000000" w:sz="4" w:space="0"/>
              <w:right w:val="single" w:color="000000" w:sz="4" w:space="0"/>
            </w:tcBorders>
            <w:noWrap w:val="0"/>
            <w:vAlign w:val="center"/>
          </w:tcPr>
          <w:p w14:paraId="020322EF">
            <w:pPr>
              <w:spacing w:line="0" w:lineRule="atLeast"/>
              <w:jc w:val="lef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其他禁止行为</w:t>
            </w:r>
          </w:p>
        </w:tc>
        <w:tc>
          <w:tcPr>
            <w:tcW w:w="8252" w:type="dxa"/>
            <w:gridSpan w:val="2"/>
            <w:tcBorders>
              <w:top w:val="single" w:color="000000" w:sz="4" w:space="0"/>
              <w:left w:val="nil"/>
              <w:bottom w:val="single" w:color="000000" w:sz="4" w:space="0"/>
              <w:right w:val="single" w:color="000000" w:sz="4" w:space="0"/>
            </w:tcBorders>
            <w:noWrap w:val="0"/>
            <w:vAlign w:val="center"/>
          </w:tcPr>
          <w:p w14:paraId="02B14C12">
            <w:pPr>
              <w:spacing w:line="0" w:lineRule="atLeast"/>
              <w:jc w:val="left"/>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乙方擅自使用甲方名义进行营销和宣传等活动的；</w:t>
            </w:r>
          </w:p>
          <w:p w14:paraId="48A88A12">
            <w:pPr>
              <w:pStyle w:val="2"/>
              <w:ind w:firstLine="0"/>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乙方未经甲方同意，向第三人转包或分包供货业务的；</w:t>
            </w:r>
          </w:p>
          <w:p w14:paraId="237D25C4">
            <w:pPr>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发生其他较大过失，给甲方造成重大不良影响或经济损失。</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5B53061B">
            <w:pPr>
              <w:spacing w:line="0" w:lineRule="atLeast"/>
              <w:jc w:val="left"/>
              <w:rPr>
                <w:rFonts w:ascii="宋体" w:hAnsi="宋体"/>
                <w:color w:val="000000" w:themeColor="text1"/>
                <w:sz w:val="21"/>
                <w:szCs w:val="21"/>
                <w14:textFill>
                  <w14:solidFill>
                    <w14:schemeClr w14:val="tx1"/>
                  </w14:solidFill>
                </w14:textFill>
              </w:rPr>
            </w:pPr>
          </w:p>
        </w:tc>
      </w:tr>
    </w:tbl>
    <w:p w14:paraId="0B226A31">
      <w:pPr>
        <w:rPr>
          <w:rFonts w:hint="eastAsia"/>
        </w:rPr>
      </w:pPr>
    </w:p>
    <w:p w14:paraId="06F04C82">
      <w:pPr>
        <w:pStyle w:val="2"/>
        <w:rPr>
          <w:rFonts w:hint="eastAsia"/>
          <w:lang w:eastAsia="zh-CN"/>
        </w:rPr>
        <w:sectPr>
          <w:pgSz w:w="16838" w:h="11906" w:orient="landscape"/>
          <w:pgMar w:top="1080" w:right="1440" w:bottom="1080" w:left="1440" w:header="851" w:footer="992" w:gutter="0"/>
          <w:pgNumType w:fmt="decimal"/>
          <w:cols w:space="720" w:num="1"/>
          <w:docGrid w:linePitch="360" w:charSpace="0"/>
        </w:sectPr>
      </w:pPr>
    </w:p>
    <w:p w14:paraId="4E91188E">
      <w:pPr>
        <w:rPr>
          <w:rFonts w:hint="eastAsia"/>
          <w:lang w:eastAsia="zh-CN"/>
        </w:rPr>
      </w:pPr>
    </w:p>
    <w:p w14:paraId="543789A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2"/>
        <w:textAlignment w:val="auto"/>
        <w:rPr>
          <w:rFonts w:hint="eastAsia" w:asciiTheme="minorEastAsia" w:hAnsiTheme="minorEastAsia" w:eastAsiaTheme="minorEastAsia" w:cstheme="minorEastAsia"/>
          <w:b/>
          <w:color w:val="000000"/>
          <w:sz w:val="21"/>
          <w:szCs w:val="21"/>
          <w:highlight w:val="none"/>
          <w:lang w:val="en-US" w:eastAsia="zh-CN"/>
        </w:rPr>
      </w:pPr>
      <w:r>
        <w:rPr>
          <w:rFonts w:hint="eastAsia" w:asciiTheme="minorEastAsia" w:hAnsiTheme="minorEastAsia" w:eastAsiaTheme="minorEastAsia" w:cstheme="minorEastAsia"/>
          <w:b/>
          <w:color w:val="000000"/>
          <w:sz w:val="21"/>
          <w:szCs w:val="21"/>
          <w:highlight w:val="none"/>
          <w:lang w:val="en-US" w:eastAsia="zh-CN"/>
        </w:rPr>
        <w:t>九、特别说明</w:t>
      </w:r>
    </w:p>
    <w:p w14:paraId="6BE0DDC9">
      <w:pPr>
        <w:pBdr>
          <w:top w:val="none" w:color="000000" w:sz="0" w:space="0"/>
          <w:left w:val="none" w:color="000000" w:sz="0" w:space="0"/>
          <w:bottom w:val="none" w:color="000000" w:sz="0" w:space="0"/>
          <w:right w:val="none" w:color="000000" w:sz="0" w:space="0"/>
        </w:pBdr>
        <w:spacing w:after="0" w:line="320" w:lineRule="exact"/>
        <w:ind w:firstLine="480"/>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1.本章“采购需求”中所有要求均为实质性要求，不可负偏离，否则作为无效投标。</w:t>
      </w:r>
    </w:p>
    <w:p w14:paraId="775DBDD4">
      <w:pPr>
        <w:pBdr>
          <w:top w:val="none" w:color="000000" w:sz="0" w:space="0"/>
          <w:left w:val="none" w:color="000000" w:sz="0" w:space="0"/>
          <w:bottom w:val="none" w:color="000000" w:sz="0" w:space="0"/>
          <w:right w:val="none" w:color="000000" w:sz="0" w:space="0"/>
        </w:pBdr>
        <w:spacing w:after="0" w:line="320" w:lineRule="exact"/>
        <w:ind w:firstLine="480"/>
        <w:jc w:val="both"/>
        <w:rPr>
          <w:rFonts w:hint="eastAsia" w:eastAsia="宋体"/>
          <w:lang w:eastAsia="zh-CN"/>
        </w:rPr>
      </w:pPr>
      <w:r>
        <w:rPr>
          <w:rFonts w:hint="eastAsia" w:ascii="宋体" w:hAnsi="宋体" w:cs="宋体"/>
          <w:color w:val="000000"/>
          <w:sz w:val="21"/>
          <w:szCs w:val="21"/>
          <w:highlight w:val="none"/>
          <w:lang w:val="en-US" w:eastAsia="zh-CN"/>
        </w:rPr>
        <w:t>2.本章</w:t>
      </w:r>
      <w:r>
        <w:rPr>
          <w:rFonts w:hint="eastAsia" w:ascii="宋体" w:hAnsi="宋体" w:eastAsia="宋体" w:cs="宋体"/>
          <w:color w:val="000000"/>
          <w:sz w:val="21"/>
          <w:szCs w:val="21"/>
          <w:highlight w:val="none"/>
          <w:lang w:val="en-US" w:eastAsia="zh-CN"/>
        </w:rPr>
        <w:t>“采购需求”</w:t>
      </w:r>
      <w:r>
        <w:rPr>
          <w:rFonts w:hint="eastAsia" w:ascii="宋体" w:hAnsi="宋体" w:cs="宋体"/>
          <w:color w:val="000000"/>
          <w:sz w:val="21"/>
          <w:szCs w:val="21"/>
          <w:highlight w:val="none"/>
          <w:lang w:val="en-US" w:eastAsia="zh-CN"/>
        </w:rPr>
        <w:t>中凡要求提供“承诺书”的内容，均须针对各该要求单独出具符合规定的承诺书。若存在多项内容合并打包承诺的情形，将被认定为不符合要求，并按无效投标处理。</w:t>
      </w:r>
    </w:p>
    <w:p w14:paraId="2EC95149">
      <w:pPr>
        <w:pBdr>
          <w:top w:val="none" w:color="000000" w:sz="0" w:space="0"/>
          <w:left w:val="none" w:color="000000" w:sz="0" w:space="0"/>
          <w:bottom w:val="none" w:color="000000" w:sz="0" w:space="0"/>
          <w:right w:val="none" w:color="000000" w:sz="0" w:space="0"/>
        </w:pBdr>
        <w:spacing w:after="0" w:line="320" w:lineRule="exact"/>
        <w:ind w:firstLine="480"/>
        <w:jc w:val="both"/>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3</w:t>
      </w:r>
      <w:r>
        <w:rPr>
          <w:rFonts w:hint="eastAsia" w:ascii="宋体" w:hAnsi="宋体" w:eastAsia="宋体" w:cs="宋体"/>
          <w:color w:val="000000"/>
          <w:sz w:val="21"/>
          <w:szCs w:val="21"/>
          <w:highlight w:val="none"/>
          <w:lang w:eastAsia="zh-CN"/>
        </w:rPr>
        <w:t>.中标供应商在项目实施过程中应严格按照采购需求中的各项要求、合同中的各项条款、采购人要求以及投标文件中确定的事项和承诺履行本项目。</w:t>
      </w:r>
    </w:p>
    <w:p w14:paraId="4093C984">
      <w:pPr>
        <w:pBdr>
          <w:top w:val="none" w:color="000000" w:sz="0" w:space="0"/>
          <w:left w:val="none" w:color="000000" w:sz="0" w:space="0"/>
          <w:bottom w:val="none" w:color="000000" w:sz="0" w:space="0"/>
          <w:right w:val="none" w:color="000000" w:sz="0" w:space="0"/>
        </w:pBdr>
        <w:spacing w:after="0" w:line="320" w:lineRule="exact"/>
        <w:ind w:firstLine="480"/>
        <w:jc w:val="both"/>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4</w:t>
      </w:r>
      <w:r>
        <w:rPr>
          <w:rFonts w:hint="eastAsia" w:ascii="宋体" w:hAnsi="宋体" w:eastAsia="宋体" w:cs="宋体"/>
          <w:color w:val="000000"/>
          <w:sz w:val="21"/>
          <w:szCs w:val="21"/>
          <w:highlight w:val="none"/>
          <w:lang w:eastAsia="zh-CN"/>
        </w:rPr>
        <w:t>.采购人将根据实际采购供应需求对中标供应商下单订单，同时采购人不保证年采购金额一定达到或超过项目预算。</w:t>
      </w:r>
    </w:p>
    <w:p w14:paraId="3883ACF4">
      <w:pPr>
        <w:pBdr>
          <w:top w:val="none" w:color="000000" w:sz="0" w:space="0"/>
          <w:left w:val="none" w:color="000000" w:sz="0" w:space="0"/>
          <w:bottom w:val="none" w:color="000000" w:sz="0" w:space="0"/>
          <w:right w:val="none" w:color="000000" w:sz="0" w:space="0"/>
        </w:pBdr>
        <w:spacing w:after="0" w:line="320" w:lineRule="exact"/>
        <w:ind w:firstLine="480"/>
        <w:jc w:val="both"/>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5</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lang w:eastAsia="zh-CN"/>
        </w:rPr>
        <w:t>其他补充说明：服务期内因供应商原因放弃合同的，采购人将保留对其追责的权利，同时可以按照评审报告中推荐的供应商排序，确定下一候选人为中标供应商，也可以重新开展采购活动。</w:t>
      </w:r>
    </w:p>
    <w:p w14:paraId="499B4E40">
      <w:pPr>
        <w:pBdr>
          <w:top w:val="none" w:color="000000" w:sz="0" w:space="0"/>
          <w:left w:val="none" w:color="000000" w:sz="0" w:space="0"/>
          <w:bottom w:val="none" w:color="000000" w:sz="0" w:space="0"/>
          <w:right w:val="none" w:color="000000" w:sz="0" w:space="0"/>
        </w:pBdr>
        <w:spacing w:after="0" w:line="320" w:lineRule="exact"/>
        <w:ind w:firstLine="480"/>
        <w:jc w:val="both"/>
        <w:rPr>
          <w:rFonts w:hint="default" w:ascii="宋体" w:hAnsi="宋体" w:eastAsia="宋体" w:cs="宋体"/>
          <w:color w:val="000000"/>
          <w:sz w:val="21"/>
          <w:szCs w:val="21"/>
          <w:highlight w:val="none"/>
          <w:lang w:val="en-US" w:eastAsia="zh-CN"/>
        </w:rPr>
        <w:sectPr>
          <w:pgSz w:w="11906" w:h="16838"/>
          <w:pgMar w:top="720" w:right="720" w:bottom="720" w:left="720" w:header="851" w:footer="992" w:gutter="0"/>
          <w:pgNumType w:fmt="decimal"/>
          <w:cols w:space="720" w:num="1"/>
          <w:docGrid w:linePitch="360" w:charSpace="0"/>
        </w:sectPr>
      </w:pPr>
      <w:r>
        <w:rPr>
          <w:rFonts w:hint="eastAsia" w:ascii="宋体" w:hAnsi="宋体" w:cs="宋体"/>
          <w:color w:val="000000"/>
          <w:sz w:val="21"/>
          <w:szCs w:val="21"/>
          <w:highlight w:val="none"/>
          <w:lang w:val="en-US" w:eastAsia="zh-CN"/>
        </w:rPr>
        <w:t>6.</w:t>
      </w:r>
      <w:r>
        <w:rPr>
          <w:rFonts w:hint="eastAsia" w:ascii="宋体" w:hAnsi="宋体" w:eastAsia="宋体" w:cs="宋体"/>
          <w:color w:val="000000"/>
          <w:sz w:val="21"/>
          <w:szCs w:val="21"/>
          <w:highlight w:val="none"/>
          <w:lang w:val="en-US" w:eastAsia="zh-CN"/>
        </w:rPr>
        <w:t>其他未尽事宜由供需双方在采购合同中详细约定。</w:t>
      </w:r>
    </w:p>
    <w:p w14:paraId="4FDA0CF8">
      <w:pPr>
        <w:numPr>
          <w:ilvl w:val="0"/>
          <w:numId w:val="0"/>
        </w:numPr>
        <w:spacing w:line="360" w:lineRule="auto"/>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第五章  合同条款</w:t>
      </w:r>
    </w:p>
    <w:p w14:paraId="3B413C35">
      <w:pPr>
        <w:widowControl w:val="0"/>
        <w:spacing w:after="0" w:line="360" w:lineRule="auto"/>
        <w:ind w:left="0" w:firstLine="420"/>
        <w:jc w:val="both"/>
        <w:rPr>
          <w:rFonts w:hint="eastAsia" w:ascii="宋体" w:hAnsi="宋体" w:eastAsia="宋体" w:cs="宋体"/>
          <w:sz w:val="21"/>
          <w:szCs w:val="21"/>
          <w:lang w:val="en-US" w:eastAsia="zh-CN" w:bidi="ar-SA"/>
        </w:rPr>
      </w:pPr>
      <w:bookmarkStart w:id="199" w:name="_Toc513029243"/>
      <w:bookmarkEnd w:id="199"/>
      <w:bookmarkStart w:id="200" w:name="_Toc16938559"/>
      <w:bookmarkEnd w:id="200"/>
      <w:bookmarkStart w:id="201" w:name="_Toc20823315"/>
      <w:bookmarkEnd w:id="201"/>
      <w:r>
        <w:rPr>
          <w:rFonts w:hint="eastAsia" w:ascii="宋体" w:hAnsi="宋体" w:eastAsia="宋体" w:cs="宋体"/>
          <w:sz w:val="21"/>
          <w:szCs w:val="21"/>
          <w:lang w:val="en-US" w:eastAsia="zh-CN" w:bidi="ar-SA"/>
        </w:rPr>
        <w:t xml:space="preserve">合同编号： </w:t>
      </w:r>
    </w:p>
    <w:p w14:paraId="4A9B32C3">
      <w:pPr>
        <w:widowControl w:val="0"/>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采购人（以下称甲方）</w:t>
      </w:r>
      <w:r>
        <w:rPr>
          <w:rFonts w:hint="eastAsia" w:ascii="宋体" w:hAnsi="宋体" w:cs="宋体"/>
          <w:sz w:val="21"/>
          <w:szCs w:val="21"/>
          <w:lang w:val="en-US" w:eastAsia="zh-CN" w:bidi="ar-SA"/>
        </w:rPr>
        <w:t>：南京市公安局玄武分局</w:t>
      </w:r>
      <w:r>
        <w:rPr>
          <w:rFonts w:hint="eastAsia" w:ascii="宋体" w:hAnsi="宋体" w:eastAsia="宋体" w:cs="宋体"/>
          <w:sz w:val="21"/>
          <w:szCs w:val="21"/>
          <w:lang w:val="en-US" w:eastAsia="zh-CN" w:bidi="ar-SA"/>
        </w:rPr>
        <w:t xml:space="preserve">              </w:t>
      </w:r>
    </w:p>
    <w:p w14:paraId="28CD516B">
      <w:pPr>
        <w:widowControl w:val="0"/>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住所地：南京市玄武区红山路196号                           </w:t>
      </w:r>
    </w:p>
    <w:p w14:paraId="42DE2B59">
      <w:pPr>
        <w:widowControl w:val="0"/>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中标人（以下称乙方）：</w:t>
      </w:r>
    </w:p>
    <w:p w14:paraId="45B17070">
      <w:pPr>
        <w:widowControl w:val="0"/>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住所地：</w:t>
      </w:r>
    </w:p>
    <w:p w14:paraId="7EC044D8">
      <w:pPr>
        <w:widowControl w:val="0"/>
        <w:spacing w:after="0" w:line="360" w:lineRule="auto"/>
        <w:ind w:left="0" w:firstLine="420"/>
        <w:jc w:val="both"/>
        <w:rPr>
          <w:rFonts w:hint="eastAsia" w:ascii="宋体" w:hAnsi="宋体" w:eastAsia="宋体" w:cs="宋体"/>
          <w:sz w:val="21"/>
          <w:szCs w:val="21"/>
          <w:lang w:val="en-US" w:eastAsia="zh-CN" w:bidi="ar-SA"/>
        </w:rPr>
      </w:pPr>
      <w:bookmarkStart w:id="202" w:name="_Hlk128734185"/>
      <w:r>
        <w:rPr>
          <w:rFonts w:hint="eastAsia" w:ascii="宋体" w:hAnsi="宋体" w:eastAsia="宋体" w:cs="宋体"/>
          <w:sz w:val="21"/>
          <w:szCs w:val="21"/>
          <w:lang w:val="en-US" w:eastAsia="zh-CN" w:bidi="ar-SA"/>
        </w:rPr>
        <w:t>根据《中华人民共和国政府采购法》、《中华人民共和国民法典》等法律法规的规定，甲乙双方按照代理机构的招标结果签订本合同。</w:t>
      </w:r>
      <w:bookmarkEnd w:id="202"/>
      <w:r>
        <w:rPr>
          <w:rFonts w:hint="eastAsia" w:ascii="宋体" w:hAnsi="宋体" w:eastAsia="宋体" w:cs="宋体"/>
          <w:sz w:val="21"/>
          <w:szCs w:val="21"/>
          <w:lang w:val="en-US" w:eastAsia="zh-CN" w:bidi="ar-SA"/>
        </w:rPr>
        <w:t xml:space="preserve"> </w:t>
      </w:r>
    </w:p>
    <w:p w14:paraId="576795BD">
      <w:pPr>
        <w:widowControl w:val="0"/>
        <w:spacing w:after="0" w:line="360" w:lineRule="auto"/>
        <w:ind w:left="0" w:firstLine="422"/>
        <w:jc w:val="both"/>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第一条 合同标的 </w:t>
      </w:r>
    </w:p>
    <w:p w14:paraId="0EE880B1">
      <w:pPr>
        <w:widowControl w:val="0"/>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乙方根据甲方需求提供下列货物：</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，货物名称、规格及数量具体按每日的采购订单执行。</w:t>
      </w:r>
    </w:p>
    <w:p w14:paraId="0169DA4F">
      <w:pPr>
        <w:widowControl w:val="0"/>
        <w:spacing w:after="0" w:line="360" w:lineRule="auto"/>
        <w:ind w:left="0" w:firstLine="422"/>
        <w:jc w:val="both"/>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第二条 合同总价款</w:t>
      </w:r>
    </w:p>
    <w:p w14:paraId="4236B5DD">
      <w:pPr>
        <w:widowControl w:val="0"/>
        <w:tabs>
          <w:tab w:val="left" w:pos="589"/>
        </w:tabs>
        <w:spacing w:after="0" w:line="360" w:lineRule="auto"/>
        <w:ind w:left="0" w:firstLine="420"/>
        <w:jc w:val="both"/>
        <w:rPr>
          <w:rFonts w:hint="eastAsia" w:asciiTheme="minorEastAsia" w:hAnsiTheme="minorEastAsia" w:eastAsiaTheme="minorEastAsia" w:cstheme="minorEastAsia"/>
          <w:sz w:val="21"/>
          <w:szCs w:val="21"/>
          <w:lang w:val="en-US" w:eastAsia="zh-CN" w:bidi="zh-CN"/>
        </w:rPr>
      </w:pPr>
      <w:r>
        <w:rPr>
          <w:rFonts w:hint="eastAsia" w:ascii="宋体" w:hAnsi="宋体" w:eastAsia="宋体" w:cs="宋体"/>
          <w:sz w:val="21"/>
          <w:szCs w:val="21"/>
          <w:lang w:val="en-US" w:eastAsia="zh-CN" w:bidi="ar-SA"/>
        </w:rPr>
        <w:t>1.</w:t>
      </w:r>
      <w:r>
        <w:rPr>
          <w:rFonts w:hint="eastAsia" w:asciiTheme="minorEastAsia" w:hAnsiTheme="minorEastAsia" w:eastAsiaTheme="minorEastAsia" w:cstheme="minorEastAsia"/>
          <w:sz w:val="21"/>
          <w:szCs w:val="21"/>
          <w:lang w:val="en-US" w:eastAsia="zh-CN" w:bidi="zh-CN"/>
        </w:rPr>
        <w:t>本合同项下食材优惠率为</w:t>
      </w:r>
      <w:r>
        <w:rPr>
          <w:rFonts w:hint="eastAsia" w:asciiTheme="minorEastAsia" w:hAnsiTheme="minorEastAsia" w:eastAsiaTheme="minorEastAsia" w:cstheme="minorEastAsia"/>
          <w:sz w:val="21"/>
          <w:szCs w:val="21"/>
          <w:u w:val="single"/>
          <w:lang w:val="en-US" w:eastAsia="zh-CN" w:bidi="zh-CN"/>
        </w:rPr>
        <w:t xml:space="preserve">        </w:t>
      </w:r>
      <w:r>
        <w:rPr>
          <w:rFonts w:hint="eastAsia" w:asciiTheme="minorEastAsia" w:hAnsiTheme="minorEastAsia" w:eastAsiaTheme="minorEastAsia" w:cstheme="minorEastAsia"/>
          <w:sz w:val="21"/>
          <w:szCs w:val="21"/>
          <w:lang w:val="en-US" w:eastAsia="zh-CN" w:bidi="zh-CN"/>
        </w:rPr>
        <w:t xml:space="preserve"> ％（大写：百分之</w:t>
      </w:r>
      <w:r>
        <w:rPr>
          <w:rFonts w:hint="eastAsia" w:asciiTheme="minorEastAsia" w:hAnsiTheme="minorEastAsia" w:eastAsiaTheme="minorEastAsia" w:cstheme="minorEastAsia"/>
          <w:sz w:val="21"/>
          <w:szCs w:val="21"/>
          <w:u w:val="single"/>
          <w:lang w:val="en-US" w:eastAsia="zh-CN" w:bidi="zh-CN"/>
        </w:rPr>
        <w:t xml:space="preserve">          </w:t>
      </w:r>
      <w:r>
        <w:rPr>
          <w:rFonts w:hint="eastAsia" w:asciiTheme="minorEastAsia" w:hAnsiTheme="minorEastAsia" w:eastAsiaTheme="minorEastAsia" w:cstheme="minorEastAsia"/>
          <w:sz w:val="21"/>
          <w:szCs w:val="21"/>
          <w:lang w:val="en-US" w:eastAsia="zh-CN" w:bidi="zh-CN"/>
        </w:rPr>
        <w:t>）</w:t>
      </w:r>
      <w:r>
        <w:rPr>
          <w:rFonts w:hint="eastAsia" w:ascii="宋体" w:hAnsi="宋体" w:cs="宋体"/>
          <w:sz w:val="21"/>
          <w:szCs w:val="21"/>
          <w:lang w:val="en-US" w:eastAsia="zh-CN" w:bidi="ar-SA"/>
        </w:rPr>
        <w:t>。</w:t>
      </w:r>
    </w:p>
    <w:p w14:paraId="0BAD3A33">
      <w:pPr>
        <w:widowControl w:val="0"/>
        <w:tabs>
          <w:tab w:val="left" w:pos="589"/>
        </w:tabs>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2.本合同总价款是</w:t>
      </w:r>
      <w:r>
        <w:rPr>
          <w:rFonts w:hint="eastAsia" w:ascii="宋体" w:hAnsi="宋体" w:cs="宋体"/>
          <w:sz w:val="21"/>
          <w:szCs w:val="21"/>
          <w:lang w:val="en-US" w:eastAsia="zh-CN" w:bidi="ar-SA"/>
        </w:rPr>
        <w:t>是</w:t>
      </w:r>
      <w:r>
        <w:rPr>
          <w:rFonts w:hint="eastAsia" w:ascii="宋体" w:hAnsi="宋体" w:eastAsia="宋体" w:cs="宋体"/>
          <w:sz w:val="21"/>
          <w:szCs w:val="21"/>
          <w:lang w:val="en-US" w:eastAsia="zh-CN" w:bidi="ar-SA"/>
        </w:rPr>
        <w:t>包括</w:t>
      </w:r>
      <w:r>
        <w:rPr>
          <w:rFonts w:hint="eastAsia" w:ascii="宋体" w:hAnsi="宋体" w:cs="宋体"/>
          <w:sz w:val="21"/>
          <w:szCs w:val="21"/>
          <w:lang w:val="en-US" w:eastAsia="zh-CN" w:bidi="ar-SA"/>
        </w:rPr>
        <w:t>乙方</w:t>
      </w:r>
      <w:r>
        <w:rPr>
          <w:rFonts w:hint="eastAsia" w:ascii="宋体" w:hAnsi="宋体" w:eastAsia="宋体" w:cs="宋体"/>
          <w:sz w:val="21"/>
          <w:szCs w:val="21"/>
          <w:lang w:val="en-US" w:eastAsia="zh-CN" w:bidi="ar-SA"/>
        </w:rPr>
        <w:t>将货物运送至</w:t>
      </w:r>
      <w:r>
        <w:rPr>
          <w:rFonts w:hint="eastAsia" w:ascii="宋体" w:hAnsi="宋体" w:cs="宋体"/>
          <w:sz w:val="21"/>
          <w:szCs w:val="21"/>
          <w:lang w:val="en-US" w:eastAsia="zh-CN" w:bidi="ar-SA"/>
        </w:rPr>
        <w:t>甲方</w:t>
      </w:r>
      <w:r>
        <w:rPr>
          <w:rFonts w:hint="eastAsia" w:ascii="宋体" w:hAnsi="宋体" w:eastAsia="宋体" w:cs="宋体"/>
          <w:sz w:val="21"/>
          <w:szCs w:val="21"/>
          <w:lang w:val="en-US" w:eastAsia="zh-CN" w:bidi="ar-SA"/>
        </w:rPr>
        <w:t>指定交货地点的所有费用，包括但不限于货物成本、利润、税金、运输费、高速通行费、装卸费、保险费</w:t>
      </w:r>
      <w:r>
        <w:rPr>
          <w:rFonts w:hint="eastAsia" w:ascii="宋体" w:hAnsi="宋体" w:cs="宋体"/>
          <w:sz w:val="21"/>
          <w:szCs w:val="21"/>
          <w:lang w:val="en-US" w:eastAsia="zh-CN" w:bidi="ar-SA"/>
        </w:rPr>
        <w:t>、盒饭</w:t>
      </w:r>
      <w:r>
        <w:rPr>
          <w:rFonts w:hint="eastAsia" w:ascii="宋体" w:hAnsi="宋体" w:eastAsia="宋体" w:cs="宋体"/>
          <w:sz w:val="21"/>
          <w:szCs w:val="21"/>
          <w:lang w:val="en-US" w:eastAsia="zh-CN" w:bidi="ar-SA"/>
        </w:rPr>
        <w:t>等及相关服务费用</w:t>
      </w:r>
      <w:r>
        <w:rPr>
          <w:rFonts w:hint="eastAsia" w:ascii="宋体" w:hAnsi="宋体" w:cs="宋体"/>
          <w:sz w:val="21"/>
          <w:szCs w:val="21"/>
          <w:lang w:val="en-US" w:eastAsia="zh-CN" w:bidi="ar-SA"/>
        </w:rPr>
        <w:t>。</w:t>
      </w:r>
    </w:p>
    <w:p w14:paraId="5FEB6E97">
      <w:pPr>
        <w:widowControl w:val="0"/>
        <w:tabs>
          <w:tab w:val="left" w:pos="589"/>
        </w:tabs>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3.本合同总价款还包含乙方应当提供的伴随服务/售后服务费用。</w:t>
      </w:r>
    </w:p>
    <w:p w14:paraId="38BDF9B4">
      <w:pPr>
        <w:widowControl w:val="0"/>
        <w:tabs>
          <w:tab w:val="left" w:pos="589"/>
        </w:tabs>
        <w:spacing w:after="0" w:line="360" w:lineRule="auto"/>
        <w:ind w:left="0" w:firstLine="422"/>
        <w:jc w:val="both"/>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第三条 合同期限</w:t>
      </w:r>
    </w:p>
    <w:p w14:paraId="26E9456D">
      <w:pPr>
        <w:widowControl w:val="0"/>
        <w:tabs>
          <w:tab w:val="left" w:pos="589"/>
        </w:tabs>
        <w:spacing w:after="0" w:line="360" w:lineRule="auto"/>
        <w:ind w:left="0" w:firstLine="422"/>
        <w:jc w:val="both"/>
        <w:rPr>
          <w:rFonts w:hint="default" w:ascii="宋体" w:hAnsi="宋体" w:eastAsia="宋体" w:cs="宋体"/>
          <w:b/>
          <w:bCs/>
          <w:sz w:val="21"/>
          <w:szCs w:val="21"/>
          <w:lang w:val="en-US" w:eastAsia="zh-CN" w:bidi="ar-SA"/>
        </w:rPr>
      </w:pPr>
      <w:r>
        <w:rPr>
          <w:rFonts w:hint="eastAsia" w:ascii="宋体" w:hAnsi="宋体" w:cs="宋体"/>
          <w:b/>
          <w:bCs/>
          <w:sz w:val="21"/>
          <w:szCs w:val="21"/>
          <w:lang w:val="en-US" w:eastAsia="zh-CN" w:bidi="ar-SA"/>
        </w:rPr>
        <w:t>自甲方书面通知之日起供货，至所属分包预算资金使用完毕或供货满一年时自动终止，二者以先到者为准。</w:t>
      </w:r>
    </w:p>
    <w:p w14:paraId="370FA6A8">
      <w:pPr>
        <w:widowControl w:val="0"/>
        <w:tabs>
          <w:tab w:val="left" w:pos="589"/>
        </w:tabs>
        <w:spacing w:after="0" w:line="360" w:lineRule="auto"/>
        <w:ind w:left="0" w:firstLine="422"/>
        <w:jc w:val="both"/>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第四条 组成本合同的有关文件 </w:t>
      </w:r>
    </w:p>
    <w:p w14:paraId="7E8A7CD7">
      <w:pPr>
        <w:widowControl w:val="0"/>
        <w:tabs>
          <w:tab w:val="left" w:pos="589"/>
        </w:tabs>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1.下列关于本项目的采购文件或与本次采购活动方式相适应的文件及有关附件是本合同不可分割的组成部分，与本合同具有同等法律效力，这些文件包括但不限于：</w:t>
      </w:r>
    </w:p>
    <w:p w14:paraId="307A45B1">
      <w:pPr>
        <w:widowControl w:val="0"/>
        <w:tabs>
          <w:tab w:val="left" w:pos="589"/>
        </w:tabs>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（l）乙方提供的投标文件和</w:t>
      </w:r>
      <w:r>
        <w:rPr>
          <w:rFonts w:hint="eastAsia" w:ascii="宋体" w:hAnsi="宋体" w:cs="宋体"/>
          <w:sz w:val="21"/>
          <w:szCs w:val="21"/>
          <w:lang w:val="en-US" w:eastAsia="zh-CN" w:bidi="ar-SA"/>
        </w:rPr>
        <w:t>开标一览</w:t>
      </w:r>
      <w:r>
        <w:rPr>
          <w:rFonts w:hint="eastAsia" w:ascii="宋体" w:hAnsi="宋体" w:eastAsia="宋体" w:cs="宋体"/>
          <w:sz w:val="21"/>
          <w:szCs w:val="21"/>
          <w:lang w:val="en-US" w:eastAsia="zh-CN" w:bidi="ar-SA"/>
        </w:rPr>
        <w:t xml:space="preserve">表； </w:t>
      </w:r>
    </w:p>
    <w:p w14:paraId="7CC48F00">
      <w:pPr>
        <w:widowControl w:val="0"/>
        <w:tabs>
          <w:tab w:val="left" w:pos="589"/>
        </w:tabs>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（2）供货一览表；</w:t>
      </w:r>
    </w:p>
    <w:p w14:paraId="5D955B0D">
      <w:pPr>
        <w:widowControl w:val="0"/>
        <w:tabs>
          <w:tab w:val="left" w:pos="589"/>
        </w:tabs>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（3）合同条款； </w:t>
      </w:r>
    </w:p>
    <w:p w14:paraId="0B001533">
      <w:pPr>
        <w:widowControl w:val="0"/>
        <w:tabs>
          <w:tab w:val="left" w:pos="589"/>
        </w:tabs>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w:t>
      </w:r>
      <w:r>
        <w:rPr>
          <w:rFonts w:hint="eastAsia" w:ascii="宋体" w:hAnsi="宋体" w:cs="宋体"/>
          <w:sz w:val="21"/>
          <w:szCs w:val="21"/>
          <w:lang w:val="en-US" w:eastAsia="zh-CN" w:bidi="ar-SA"/>
        </w:rPr>
        <w:t>4</w:t>
      </w:r>
      <w:r>
        <w:rPr>
          <w:rFonts w:hint="eastAsia" w:ascii="宋体" w:hAnsi="宋体" w:eastAsia="宋体" w:cs="宋体"/>
          <w:sz w:val="21"/>
          <w:szCs w:val="21"/>
          <w:lang w:val="en-US" w:eastAsia="zh-CN" w:bidi="ar-SA"/>
        </w:rPr>
        <w:t>）技术要求响应及偏离表</w:t>
      </w:r>
      <w:r>
        <w:rPr>
          <w:rFonts w:hint="eastAsia" w:ascii="宋体" w:hAnsi="宋体" w:cs="宋体"/>
          <w:sz w:val="21"/>
          <w:szCs w:val="21"/>
          <w:lang w:val="en-US" w:eastAsia="zh-CN" w:bidi="ar-SA"/>
        </w:rPr>
        <w:t>、商务要求响应及偏离表</w:t>
      </w:r>
      <w:r>
        <w:rPr>
          <w:rFonts w:hint="eastAsia" w:ascii="宋体" w:hAnsi="宋体" w:eastAsia="宋体" w:cs="宋体"/>
          <w:sz w:val="21"/>
          <w:szCs w:val="21"/>
          <w:lang w:val="en-US" w:eastAsia="zh-CN" w:bidi="ar-SA"/>
        </w:rPr>
        <w:t xml:space="preserve">； </w:t>
      </w:r>
    </w:p>
    <w:p w14:paraId="61CB3FC0">
      <w:pPr>
        <w:widowControl w:val="0"/>
        <w:tabs>
          <w:tab w:val="left" w:pos="589"/>
        </w:tabs>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w:t>
      </w:r>
      <w:r>
        <w:rPr>
          <w:rFonts w:hint="eastAsia" w:ascii="宋体" w:hAnsi="宋体" w:cs="宋体"/>
          <w:sz w:val="21"/>
          <w:szCs w:val="21"/>
          <w:lang w:val="en-US" w:eastAsia="zh-CN" w:bidi="ar-SA"/>
        </w:rPr>
        <w:t>5</w:t>
      </w:r>
      <w:r>
        <w:rPr>
          <w:rFonts w:hint="eastAsia" w:ascii="宋体" w:hAnsi="宋体" w:eastAsia="宋体" w:cs="宋体"/>
          <w:sz w:val="21"/>
          <w:szCs w:val="21"/>
          <w:lang w:val="en-US" w:eastAsia="zh-CN" w:bidi="ar-SA"/>
        </w:rPr>
        <w:t xml:space="preserve">）服务承诺； </w:t>
      </w:r>
    </w:p>
    <w:p w14:paraId="21A9116B">
      <w:pPr>
        <w:widowControl w:val="0"/>
        <w:tabs>
          <w:tab w:val="left" w:pos="589"/>
        </w:tabs>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w:t>
      </w:r>
      <w:r>
        <w:rPr>
          <w:rFonts w:hint="eastAsia" w:ascii="宋体" w:hAnsi="宋体" w:cs="宋体"/>
          <w:sz w:val="21"/>
          <w:szCs w:val="21"/>
          <w:lang w:val="en-US" w:eastAsia="zh-CN" w:bidi="ar-SA"/>
        </w:rPr>
        <w:t>6</w:t>
      </w:r>
      <w:r>
        <w:rPr>
          <w:rFonts w:hint="eastAsia" w:ascii="宋体" w:hAnsi="宋体" w:eastAsia="宋体" w:cs="宋体"/>
          <w:sz w:val="21"/>
          <w:szCs w:val="21"/>
          <w:lang w:val="en-US" w:eastAsia="zh-CN" w:bidi="ar-SA"/>
        </w:rPr>
        <w:t xml:space="preserve">）甲乙双方商定的其他文件等； </w:t>
      </w:r>
    </w:p>
    <w:p w14:paraId="4FEA6D50">
      <w:pPr>
        <w:widowControl w:val="0"/>
        <w:tabs>
          <w:tab w:val="left" w:pos="589"/>
        </w:tabs>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w:t>
      </w:r>
      <w:r>
        <w:rPr>
          <w:rFonts w:hint="eastAsia" w:ascii="宋体" w:hAnsi="宋体" w:cs="宋体"/>
          <w:sz w:val="21"/>
          <w:szCs w:val="21"/>
          <w:lang w:val="en-US" w:eastAsia="zh-CN" w:bidi="ar-SA"/>
        </w:rPr>
        <w:t>7</w:t>
      </w:r>
      <w:r>
        <w:rPr>
          <w:rFonts w:hint="eastAsia" w:ascii="宋体" w:hAnsi="宋体" w:eastAsia="宋体" w:cs="宋体"/>
          <w:sz w:val="21"/>
          <w:szCs w:val="21"/>
          <w:lang w:val="en-US" w:eastAsia="zh-CN" w:bidi="ar-SA"/>
        </w:rPr>
        <w:t>）中标通知书；</w:t>
      </w:r>
    </w:p>
    <w:p w14:paraId="0ED4BDD0">
      <w:pPr>
        <w:widowControl w:val="0"/>
        <w:tabs>
          <w:tab w:val="left" w:pos="589"/>
        </w:tabs>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w:t>
      </w:r>
      <w:r>
        <w:rPr>
          <w:rFonts w:hint="eastAsia" w:ascii="宋体" w:hAnsi="宋体" w:cs="宋体"/>
          <w:sz w:val="21"/>
          <w:szCs w:val="21"/>
          <w:lang w:val="en-US" w:eastAsia="zh-CN" w:bidi="ar-SA"/>
        </w:rPr>
        <w:t>8</w:t>
      </w:r>
      <w:r>
        <w:rPr>
          <w:rFonts w:hint="eastAsia" w:ascii="宋体" w:hAnsi="宋体" w:eastAsia="宋体" w:cs="宋体"/>
          <w:sz w:val="21"/>
          <w:szCs w:val="21"/>
          <w:lang w:val="en-US" w:eastAsia="zh-CN" w:bidi="ar-SA"/>
        </w:rPr>
        <w:t>）双方有关项目的洽商、变更等书面协议或文件视为本合同的组成部分。</w:t>
      </w:r>
    </w:p>
    <w:p w14:paraId="51AFF76A">
      <w:pPr>
        <w:widowControl w:val="0"/>
        <w:tabs>
          <w:tab w:val="left" w:pos="589"/>
        </w:tabs>
        <w:spacing w:after="0" w:line="360" w:lineRule="auto"/>
        <w:ind w:left="0" w:firstLine="422"/>
        <w:jc w:val="both"/>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第五条 权利保证</w:t>
      </w:r>
    </w:p>
    <w:p w14:paraId="0E0EE50B">
      <w:pPr>
        <w:widowControl w:val="0"/>
        <w:tabs>
          <w:tab w:val="left" w:pos="589"/>
        </w:tabs>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乙方应保证甲方在使用该货物或其任何一部分时不受第三方提出侵犯其专利权、版权、商标权或其他权利的起诉。一旦出现侵权，乙方应承担全部责任。</w:t>
      </w:r>
    </w:p>
    <w:p w14:paraId="3181142A">
      <w:pPr>
        <w:widowControl w:val="0"/>
        <w:tabs>
          <w:tab w:val="left" w:pos="589"/>
        </w:tabs>
        <w:spacing w:after="0" w:line="360" w:lineRule="auto"/>
        <w:ind w:left="0" w:firstLine="422"/>
        <w:jc w:val="both"/>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第六条 质量保证 </w:t>
      </w:r>
    </w:p>
    <w:p w14:paraId="2460398F">
      <w:pPr>
        <w:widowControl w:val="0"/>
        <w:tabs>
          <w:tab w:val="left" w:pos="589"/>
        </w:tabs>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乙方应严格遵守《中华人民共和国食品安全法》、《中华人民共和国食品安全法实施条例》、《中华人民共和国农产品质量安全法》、《中华人民共和国动物防疫法》等相关规定，严格保证食品质量符合国家相关产品质标准，符合国家各级强制性规范要求。乙方所供食材应为同类产品中的综合质量优良产品，所有商品必须做到可以溯源。乙方应保证所提供的食品在保质期内经正确和合理食用，不会出现食品安全事故，并对食品安全事故负责。如因乙方产品质量引起食用者呕吐、腹泻等不良反应或食物中毒现象，经权威部门鉴定，确属产品质量引起的，乙方应负全部责任，赔偿甲方相关损失且甲方有权终止合同。</w:t>
      </w:r>
    </w:p>
    <w:p w14:paraId="663C6578">
      <w:pPr>
        <w:widowControl w:val="0"/>
        <w:tabs>
          <w:tab w:val="left" w:pos="589"/>
        </w:tabs>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w:t>
      </w:r>
      <w:r>
        <w:rPr>
          <w:rFonts w:hint="eastAsia" w:ascii="宋体" w:hAnsi="宋体" w:cs="宋体"/>
          <w:sz w:val="21"/>
          <w:szCs w:val="21"/>
          <w:lang w:val="en-US" w:eastAsia="zh-CN" w:bidi="ar-SA"/>
        </w:rPr>
        <w:t>乙方</w:t>
      </w:r>
      <w:r>
        <w:rPr>
          <w:rFonts w:hint="eastAsia" w:ascii="宋体" w:hAnsi="宋体" w:eastAsia="宋体" w:cs="宋体"/>
          <w:sz w:val="21"/>
          <w:szCs w:val="21"/>
          <w:lang w:val="en-US" w:eastAsia="zh-CN" w:bidi="ar-SA"/>
        </w:rPr>
        <w:t xml:space="preserve">应严格遵守《食品安全法》等相关规定，严格保证食品质量，符合国家相关产品质量标准，符合国家各级强制性规范要求。在乙方环节出现因食品质量导致食物中毒的事故，乙方承担一切法律责任和赔偿，并取消其供货资格。 </w:t>
      </w:r>
    </w:p>
    <w:p w14:paraId="0EFDB0C2">
      <w:pPr>
        <w:widowControl w:val="0"/>
        <w:tabs>
          <w:tab w:val="left" w:pos="589"/>
        </w:tabs>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3、严格禁止供应如下食品，一经发现，取消其供货资格： </w:t>
      </w:r>
    </w:p>
    <w:p w14:paraId="48AFF569">
      <w:pPr>
        <w:widowControl w:val="0"/>
        <w:tabs>
          <w:tab w:val="left" w:pos="589"/>
        </w:tabs>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（1）腐败变质、油脂酸败、霉变、生虫、污秽不洁、混有异物或其他感官性状异常，对人体有害的。 </w:t>
      </w:r>
    </w:p>
    <w:p w14:paraId="6E4A19A1">
      <w:pPr>
        <w:widowControl w:val="0"/>
        <w:tabs>
          <w:tab w:val="left" w:pos="589"/>
        </w:tabs>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（2）含有毒、有害物质或被有害物质污染，对人体健康有害的；含有严重超出标准限量的农药残留、兽药残留、重金属、污染物质以及其他危害人体健康的。 </w:t>
      </w:r>
    </w:p>
    <w:p w14:paraId="698FD1F2">
      <w:pPr>
        <w:widowControl w:val="0"/>
        <w:tabs>
          <w:tab w:val="left" w:pos="589"/>
        </w:tabs>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（3）未经动物部门检疫、检验或者检疫、检验不合格的肉类及其制品。 </w:t>
      </w:r>
    </w:p>
    <w:p w14:paraId="01D55913">
      <w:pPr>
        <w:widowControl w:val="0"/>
        <w:tabs>
          <w:tab w:val="left" w:pos="589"/>
        </w:tabs>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（4）病死、毒死或不明死因的禽、畜、兽、水产动物等及其制品。 </w:t>
      </w:r>
    </w:p>
    <w:p w14:paraId="0E3DA99F">
      <w:pPr>
        <w:widowControl w:val="0"/>
        <w:tabs>
          <w:tab w:val="left" w:pos="589"/>
        </w:tabs>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（5）用非食品原料加工的，加入非食品用化学物质或将非食品当作食品的。 </w:t>
      </w:r>
    </w:p>
    <w:p w14:paraId="149DF6A0">
      <w:pPr>
        <w:widowControl w:val="0"/>
        <w:tabs>
          <w:tab w:val="left" w:pos="589"/>
        </w:tabs>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（6）其它</w:t>
      </w:r>
      <w:r>
        <w:rPr>
          <w:rFonts w:hint="eastAsia" w:ascii="宋体" w:hAnsi="宋体" w:cs="宋体"/>
          <w:sz w:val="21"/>
          <w:szCs w:val="21"/>
          <w:lang w:val="en-US" w:eastAsia="zh-CN" w:bidi="ar-SA"/>
        </w:rPr>
        <w:t>甲方</w:t>
      </w:r>
      <w:r>
        <w:rPr>
          <w:rFonts w:hint="eastAsia" w:ascii="宋体" w:hAnsi="宋体" w:eastAsia="宋体" w:cs="宋体"/>
          <w:sz w:val="21"/>
          <w:szCs w:val="21"/>
          <w:lang w:val="en-US" w:eastAsia="zh-CN" w:bidi="ar-SA"/>
        </w:rPr>
        <w:t xml:space="preserve">认为不符合要求的果蔬以及各类食品。 </w:t>
      </w:r>
    </w:p>
    <w:p w14:paraId="275B522F">
      <w:pPr>
        <w:widowControl w:val="0"/>
        <w:tabs>
          <w:tab w:val="left" w:pos="589"/>
        </w:tabs>
        <w:spacing w:after="0" w:line="360" w:lineRule="auto"/>
        <w:ind w:left="0" w:firstLine="422"/>
        <w:jc w:val="both"/>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第七条、履约保证金</w:t>
      </w:r>
    </w:p>
    <w:p w14:paraId="2E0736AE">
      <w:pPr>
        <w:widowControl w:val="0"/>
        <w:spacing w:line="360" w:lineRule="auto"/>
        <w:ind w:firstLine="420"/>
        <w:jc w:val="both"/>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1.乙方按照“采购包1：壹万元整（￥10000元）；采购包2：壹万元整（￥10000元）；采购包3：柒仟元整（￥7000元）；采购包4：叁仟元整（￥3000元）”缴纳履约保证金。</w:t>
      </w:r>
    </w:p>
    <w:p w14:paraId="3D6017B3">
      <w:pPr>
        <w:widowControl w:val="0"/>
        <w:spacing w:line="360" w:lineRule="auto"/>
        <w:ind w:firstLine="420"/>
        <w:jc w:val="both"/>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2.签订合同前按照下列第（3）方式收取履约保证金收取：</w:t>
      </w:r>
    </w:p>
    <w:p w14:paraId="1099E742">
      <w:pPr>
        <w:widowControl w:val="0"/>
        <w:spacing w:line="360" w:lineRule="auto"/>
        <w:ind w:firstLine="420"/>
        <w:jc w:val="both"/>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（1）无需缴纳履约保证金；</w:t>
      </w:r>
    </w:p>
    <w:p w14:paraId="62D789CE">
      <w:pPr>
        <w:widowControl w:val="0"/>
        <w:spacing w:line="360" w:lineRule="auto"/>
        <w:ind w:firstLine="420"/>
        <w:jc w:val="both"/>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（2）投标保证金转为履约保证金；</w:t>
      </w:r>
    </w:p>
    <w:p w14:paraId="38D255FE">
      <w:pPr>
        <w:widowControl w:val="0"/>
        <w:spacing w:line="360" w:lineRule="auto"/>
        <w:ind w:firstLine="420"/>
        <w:jc w:val="both"/>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（3）以支票、汇票、本票或者金融机构、担保机构出具的保函等非现金形式缴纳履约保证金，金额为________。（精确到元</w:t>
      </w:r>
      <w:r>
        <w:rPr>
          <w:rFonts w:hint="eastAsia" w:ascii="宋体" w:hAnsi="宋体" w:cs="宋体"/>
          <w:b w:val="0"/>
          <w:bCs w:val="0"/>
          <w:sz w:val="21"/>
          <w:szCs w:val="21"/>
          <w:lang w:val="en-US" w:eastAsia="zh-CN" w:bidi="ar-SA"/>
        </w:rPr>
        <w:t>，保留小数点后两位小数</w:t>
      </w:r>
      <w:r>
        <w:rPr>
          <w:rFonts w:hint="eastAsia" w:ascii="宋体" w:hAnsi="宋体" w:eastAsia="宋体" w:cs="宋体"/>
          <w:b w:val="0"/>
          <w:bCs w:val="0"/>
          <w:sz w:val="21"/>
          <w:szCs w:val="21"/>
          <w:lang w:val="en-US" w:eastAsia="zh-CN" w:bidi="ar-SA"/>
        </w:rPr>
        <w:t>）</w:t>
      </w:r>
    </w:p>
    <w:p w14:paraId="4276C444">
      <w:pPr>
        <w:widowControl w:val="0"/>
        <w:spacing w:line="360" w:lineRule="auto"/>
        <w:ind w:firstLine="420"/>
        <w:jc w:val="both"/>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3.保函有效期至项目服务期满，该履约保函作为中标人严格履行本合同的担保。在规定时间内，中标人无法提交履约保函或履约保函内容不符合招标文件约定的，视为中标人拒绝与采购人签订合同。在合同履行期间，中标人没有出现招标文件及合同规定的违约情形，履约保函至有效期满后自动失效。</w:t>
      </w:r>
    </w:p>
    <w:p w14:paraId="1F2731E4">
      <w:pPr>
        <w:widowControl w:val="0"/>
        <w:tabs>
          <w:tab w:val="left" w:pos="589"/>
        </w:tabs>
        <w:spacing w:after="0" w:line="360" w:lineRule="auto"/>
        <w:ind w:left="0" w:firstLine="422"/>
        <w:jc w:val="both"/>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第八条 交货和验收</w:t>
      </w:r>
    </w:p>
    <w:p w14:paraId="500D6A8D">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（一）交付要求： </w:t>
      </w:r>
    </w:p>
    <w:p w14:paraId="175061EB">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1、食堂所需各类食材，根据</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甲方</w:t>
      </w:r>
      <w:r>
        <w:rPr>
          <w:rFonts w:hint="eastAsia" w:asciiTheme="minorEastAsia" w:hAnsiTheme="minorEastAsia" w:eastAsiaTheme="minorEastAsia" w:cstheme="minorEastAsia"/>
          <w:color w:val="000000" w:themeColor="text1"/>
          <w:sz w:val="21"/>
          <w:szCs w:val="21"/>
          <w14:textFill>
            <w14:solidFill>
              <w14:schemeClr w14:val="tx1"/>
            </w14:solidFill>
          </w14:textFill>
        </w:rPr>
        <w:t>前一天17：30之前出具</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的</w:t>
      </w:r>
      <w:r>
        <w:rPr>
          <w:rFonts w:hint="eastAsia" w:asciiTheme="minorEastAsia" w:hAnsiTheme="minorEastAsia" w:eastAsiaTheme="minorEastAsia" w:cstheme="minorEastAsia"/>
          <w:color w:val="000000" w:themeColor="text1"/>
          <w:sz w:val="21"/>
          <w:szCs w:val="21"/>
          <w14:textFill>
            <w14:solidFill>
              <w14:schemeClr w14:val="tx1"/>
            </w14:solidFill>
          </w14:textFill>
        </w:rPr>
        <w:t>需求货品清单，</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乙方</w:t>
      </w:r>
      <w:r>
        <w:rPr>
          <w:rFonts w:hint="eastAsia" w:asciiTheme="minorEastAsia" w:hAnsiTheme="minorEastAsia" w:eastAsiaTheme="minorEastAsia" w:cstheme="minorEastAsia"/>
          <w:color w:val="000000" w:themeColor="text1"/>
          <w:sz w:val="21"/>
          <w:szCs w:val="21"/>
          <w14:textFill>
            <w14:solidFill>
              <w14:schemeClr w14:val="tx1"/>
            </w14:solidFill>
          </w14:textFill>
        </w:rPr>
        <w:t>次日清晨5:30-6:10之间送达至</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甲方</w:t>
      </w:r>
      <w:r>
        <w:rPr>
          <w:rFonts w:hint="eastAsia" w:asciiTheme="minorEastAsia" w:hAnsiTheme="minorEastAsia" w:eastAsiaTheme="minorEastAsia" w:cstheme="minorEastAsia"/>
          <w:color w:val="000000" w:themeColor="text1"/>
          <w:sz w:val="21"/>
          <w:szCs w:val="21"/>
          <w14:textFill>
            <w14:solidFill>
              <w14:schemeClr w14:val="tx1"/>
            </w14:solidFill>
          </w14:textFill>
        </w:rPr>
        <w:t>指定地点（南京市公安局玄武分局食堂（玄武区红山路196号））。</w:t>
      </w:r>
    </w:p>
    <w:p w14:paraId="5440D212">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2、</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甲方</w:t>
      </w:r>
      <w:r>
        <w:rPr>
          <w:rFonts w:hint="eastAsia" w:asciiTheme="minorEastAsia" w:hAnsiTheme="minorEastAsia" w:eastAsiaTheme="minorEastAsia" w:cstheme="minorEastAsia"/>
          <w:color w:val="000000" w:themeColor="text1"/>
          <w:sz w:val="21"/>
          <w:szCs w:val="21"/>
          <w14:textFill>
            <w14:solidFill>
              <w14:schemeClr w14:val="tx1"/>
            </w14:solidFill>
          </w14:textFill>
        </w:rPr>
        <w:t>有权根据</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乙方</w:t>
      </w:r>
      <w:r>
        <w:rPr>
          <w:rFonts w:hint="eastAsia" w:asciiTheme="minorEastAsia" w:hAnsiTheme="minorEastAsia" w:eastAsiaTheme="minorEastAsia" w:cstheme="minorEastAsia"/>
          <w:color w:val="000000" w:themeColor="text1"/>
          <w:sz w:val="21"/>
          <w:szCs w:val="21"/>
          <w14:textFill>
            <w14:solidFill>
              <w14:schemeClr w14:val="tx1"/>
            </w14:solidFill>
          </w14:textFill>
        </w:rPr>
        <w:t>实际供货能力调整配送时间段，</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乙方</w:t>
      </w:r>
      <w:r>
        <w:rPr>
          <w:rFonts w:hint="eastAsia" w:asciiTheme="minorEastAsia" w:hAnsiTheme="minorEastAsia" w:eastAsiaTheme="minorEastAsia" w:cstheme="minorEastAsia"/>
          <w:color w:val="000000" w:themeColor="text1"/>
          <w:sz w:val="21"/>
          <w:szCs w:val="21"/>
          <w14:textFill>
            <w14:solidFill>
              <w14:schemeClr w14:val="tx1"/>
            </w14:solidFill>
          </w14:textFill>
        </w:rPr>
        <w:t>须无条件按</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甲方</w:t>
      </w:r>
      <w:r>
        <w:rPr>
          <w:rFonts w:hint="eastAsia" w:asciiTheme="minorEastAsia" w:hAnsiTheme="minorEastAsia" w:eastAsiaTheme="minorEastAsia" w:cstheme="minorEastAsia"/>
          <w:color w:val="000000" w:themeColor="text1"/>
          <w:sz w:val="21"/>
          <w:szCs w:val="21"/>
          <w14:textFill>
            <w14:solidFill>
              <w14:schemeClr w14:val="tx1"/>
            </w14:solidFill>
          </w14:textFill>
        </w:rPr>
        <w:t>要求执行。</w:t>
      </w:r>
    </w:p>
    <w:p w14:paraId="003BE02C">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3、</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甲方</w:t>
      </w:r>
      <w:r>
        <w:rPr>
          <w:rFonts w:hint="eastAsia" w:asciiTheme="minorEastAsia" w:hAnsiTheme="minorEastAsia" w:eastAsiaTheme="minorEastAsia" w:cstheme="minorEastAsia"/>
          <w:color w:val="000000" w:themeColor="text1"/>
          <w:sz w:val="21"/>
          <w:szCs w:val="21"/>
          <w14:textFill>
            <w14:solidFill>
              <w14:schemeClr w14:val="tx1"/>
            </w14:solidFill>
          </w14:textFill>
        </w:rPr>
        <w:t>可根据自身需求以及对货物的品质要求，随时有权终止某些商品的采购或变更，</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乙方</w:t>
      </w:r>
      <w:r>
        <w:rPr>
          <w:rFonts w:hint="eastAsia" w:asciiTheme="minorEastAsia" w:hAnsiTheme="minorEastAsia" w:eastAsiaTheme="minorEastAsia" w:cstheme="minorEastAsia"/>
          <w:color w:val="000000" w:themeColor="text1"/>
          <w:sz w:val="21"/>
          <w:szCs w:val="21"/>
          <w14:textFill>
            <w14:solidFill>
              <w14:schemeClr w14:val="tx1"/>
            </w14:solidFill>
          </w14:textFill>
        </w:rPr>
        <w:t>不得以任何理由拒绝。</w:t>
      </w:r>
    </w:p>
    <w:p w14:paraId="7651B626">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4、</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乙方</w:t>
      </w:r>
      <w:r>
        <w:rPr>
          <w:rFonts w:hint="eastAsia" w:asciiTheme="minorEastAsia" w:hAnsiTheme="minorEastAsia" w:eastAsiaTheme="minorEastAsia" w:cstheme="minorEastAsia"/>
          <w:color w:val="000000" w:themeColor="text1"/>
          <w:sz w:val="21"/>
          <w:szCs w:val="21"/>
          <w14:textFill>
            <w14:solidFill>
              <w14:schemeClr w14:val="tx1"/>
            </w14:solidFill>
          </w14:textFill>
        </w:rPr>
        <w:t>须具备应急服务能力，且有长期驻地人员，有一定的处理紧急情况的经验。如遇节假日、</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甲方</w:t>
      </w:r>
      <w:r>
        <w:rPr>
          <w:rFonts w:hint="eastAsia" w:asciiTheme="minorEastAsia" w:hAnsiTheme="minorEastAsia" w:eastAsiaTheme="minorEastAsia" w:cstheme="minorEastAsia"/>
          <w:color w:val="000000" w:themeColor="text1"/>
          <w:sz w:val="21"/>
          <w:szCs w:val="21"/>
          <w14:textFill>
            <w14:solidFill>
              <w14:schemeClr w14:val="tx1"/>
            </w14:solidFill>
          </w14:textFill>
        </w:rPr>
        <w:t>临时有大批量食材采购或紧急采购任务时，</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乙方</w:t>
      </w:r>
      <w:r>
        <w:rPr>
          <w:rFonts w:hint="eastAsia" w:asciiTheme="minorEastAsia" w:hAnsiTheme="minorEastAsia" w:eastAsiaTheme="minorEastAsia" w:cstheme="minorEastAsia"/>
          <w:color w:val="000000" w:themeColor="text1"/>
          <w:sz w:val="21"/>
          <w:szCs w:val="21"/>
          <w14:textFill>
            <w14:solidFill>
              <w14:schemeClr w14:val="tx1"/>
            </w14:solidFill>
          </w14:textFill>
        </w:rPr>
        <w:t>须承诺在接到</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甲方</w:t>
      </w:r>
      <w:r>
        <w:rPr>
          <w:rFonts w:hint="eastAsia" w:asciiTheme="minorEastAsia" w:hAnsiTheme="minorEastAsia" w:eastAsiaTheme="minorEastAsia" w:cstheme="minorEastAsia"/>
          <w:color w:val="000000" w:themeColor="text1"/>
          <w:sz w:val="21"/>
          <w:szCs w:val="21"/>
          <w14:textFill>
            <w14:solidFill>
              <w14:schemeClr w14:val="tx1"/>
            </w14:solidFill>
          </w14:textFill>
        </w:rPr>
        <w:t>通知后，2小时内将指定食材运送至</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甲方</w:t>
      </w:r>
      <w:r>
        <w:rPr>
          <w:rFonts w:hint="eastAsia" w:asciiTheme="minorEastAsia" w:hAnsiTheme="minorEastAsia" w:eastAsiaTheme="minorEastAsia" w:cstheme="minorEastAsia"/>
          <w:color w:val="000000" w:themeColor="text1"/>
          <w:sz w:val="21"/>
          <w:szCs w:val="21"/>
          <w14:textFill>
            <w14:solidFill>
              <w14:schemeClr w14:val="tx1"/>
            </w14:solidFill>
          </w14:textFill>
        </w:rPr>
        <w:t>指定地点（南京市公安局玄武分局食堂（玄武区红山路196号））并卸货，派专人负责跟踪服务，保证食材准时准点供应，如推迟送货的，</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甲方</w:t>
      </w:r>
      <w:r>
        <w:rPr>
          <w:rFonts w:hint="eastAsia" w:asciiTheme="minorEastAsia" w:hAnsiTheme="minorEastAsia" w:eastAsiaTheme="minorEastAsia" w:cstheme="minorEastAsia"/>
          <w:color w:val="000000" w:themeColor="text1"/>
          <w:sz w:val="21"/>
          <w:szCs w:val="21"/>
          <w14:textFill>
            <w14:solidFill>
              <w14:schemeClr w14:val="tx1"/>
            </w14:solidFill>
          </w14:textFill>
        </w:rPr>
        <w:t>有权拒绝验收签单。</w:t>
      </w:r>
    </w:p>
    <w:p w14:paraId="17DB19E4">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（二）验收要求： </w:t>
      </w:r>
    </w:p>
    <w:p w14:paraId="067DADF5">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甲方</w:t>
      </w:r>
      <w:r>
        <w:rPr>
          <w:rFonts w:hint="eastAsia" w:asciiTheme="minorEastAsia" w:hAnsiTheme="minorEastAsia" w:eastAsiaTheme="minorEastAsia" w:cstheme="minorEastAsia"/>
          <w:color w:val="000000" w:themeColor="text1"/>
          <w:sz w:val="21"/>
          <w:szCs w:val="21"/>
          <w14:textFill>
            <w14:solidFill>
              <w14:schemeClr w14:val="tx1"/>
            </w14:solidFill>
          </w14:textFill>
        </w:rPr>
        <w:t>每天上午收货、验收一次，送菜到达时间必须按约定时间到约定地点，提供配送服务的</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乙方</w:t>
      </w:r>
      <w:r>
        <w:rPr>
          <w:rFonts w:hint="eastAsia" w:asciiTheme="minorEastAsia" w:hAnsiTheme="minorEastAsia" w:eastAsiaTheme="minorEastAsia" w:cstheme="minorEastAsia"/>
          <w:color w:val="000000" w:themeColor="text1"/>
          <w:sz w:val="21"/>
          <w:szCs w:val="21"/>
          <w14:textFill>
            <w14:solidFill>
              <w14:schemeClr w14:val="tx1"/>
            </w14:solidFill>
          </w14:textFill>
        </w:rPr>
        <w:t>需将约定好的所有食材、商品一次性打包密闭送达，不得将项目分包给多家供应商及多次送货。货物到达现场后，</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乙方</w:t>
      </w:r>
      <w:r>
        <w:rPr>
          <w:rFonts w:hint="eastAsia" w:asciiTheme="minorEastAsia" w:hAnsiTheme="minorEastAsia" w:eastAsiaTheme="minorEastAsia" w:cstheme="minorEastAsia"/>
          <w:color w:val="000000" w:themeColor="text1"/>
          <w:sz w:val="21"/>
          <w:szCs w:val="21"/>
          <w14:textFill>
            <w14:solidFill>
              <w14:schemeClr w14:val="tx1"/>
            </w14:solidFill>
          </w14:textFill>
        </w:rPr>
        <w:t>应在使用单位人员和质量监督员在场情况下当面进行感官检验、外观检验或试用检验，若产品外观、包装、质量不能达到收货标准，</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甲方</w:t>
      </w:r>
      <w:r>
        <w:rPr>
          <w:rFonts w:hint="eastAsia" w:asciiTheme="minorEastAsia" w:hAnsiTheme="minorEastAsia" w:eastAsiaTheme="minorEastAsia" w:cstheme="minorEastAsia"/>
          <w:color w:val="000000" w:themeColor="text1"/>
          <w:sz w:val="21"/>
          <w:szCs w:val="21"/>
          <w14:textFill>
            <w14:solidFill>
              <w14:schemeClr w14:val="tx1"/>
            </w14:solidFill>
          </w14:textFill>
        </w:rPr>
        <w:t>拒收配送物资，</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乙方</w:t>
      </w:r>
      <w:r>
        <w:rPr>
          <w:rFonts w:hint="eastAsia" w:asciiTheme="minorEastAsia" w:hAnsiTheme="minorEastAsia" w:eastAsiaTheme="minorEastAsia" w:cstheme="minorEastAsia"/>
          <w:color w:val="000000" w:themeColor="text1"/>
          <w:sz w:val="21"/>
          <w:szCs w:val="21"/>
          <w14:textFill>
            <w14:solidFill>
              <w14:schemeClr w14:val="tx1"/>
            </w14:solidFill>
          </w14:textFill>
        </w:rPr>
        <w:t>应无条件迅速补充合格产品，不得影响正常开餐。对符合要求的产品当场作出记录，双方签字确认。</w:t>
      </w:r>
    </w:p>
    <w:p w14:paraId="750186F3">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提供货物未达到投标文件规定要求，且对</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甲方</w:t>
      </w:r>
      <w:r>
        <w:rPr>
          <w:rFonts w:hint="eastAsia" w:asciiTheme="minorEastAsia" w:hAnsiTheme="minorEastAsia" w:eastAsiaTheme="minorEastAsia" w:cstheme="minorEastAsia"/>
          <w:color w:val="000000" w:themeColor="text1"/>
          <w:sz w:val="21"/>
          <w:szCs w:val="21"/>
          <w14:textFill>
            <w14:solidFill>
              <w14:schemeClr w14:val="tx1"/>
            </w14:solidFill>
          </w14:textFill>
        </w:rPr>
        <w:t>造成损失的，由</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乙方</w:t>
      </w:r>
      <w:r>
        <w:rPr>
          <w:rFonts w:hint="eastAsia" w:asciiTheme="minorEastAsia" w:hAnsiTheme="minorEastAsia" w:eastAsiaTheme="minorEastAsia" w:cstheme="minorEastAsia"/>
          <w:color w:val="000000" w:themeColor="text1"/>
          <w:sz w:val="21"/>
          <w:szCs w:val="21"/>
          <w14:textFill>
            <w14:solidFill>
              <w14:schemeClr w14:val="tx1"/>
            </w14:solidFill>
          </w14:textFill>
        </w:rPr>
        <w:t>承担一切责任，并赔偿所造成</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的</w:t>
      </w:r>
      <w:r>
        <w:rPr>
          <w:rFonts w:hint="eastAsia" w:asciiTheme="minorEastAsia" w:hAnsiTheme="minorEastAsia" w:eastAsiaTheme="minorEastAsia" w:cstheme="minorEastAsia"/>
          <w:color w:val="000000" w:themeColor="text1"/>
          <w:sz w:val="21"/>
          <w:szCs w:val="21"/>
          <w14:textFill>
            <w14:solidFill>
              <w14:schemeClr w14:val="tx1"/>
            </w14:solidFill>
          </w14:textFill>
        </w:rPr>
        <w:t>损失。</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乙方</w:t>
      </w:r>
      <w:r>
        <w:rPr>
          <w:rFonts w:hint="eastAsia" w:asciiTheme="minorEastAsia" w:hAnsiTheme="minorEastAsia" w:eastAsiaTheme="minorEastAsia" w:cstheme="minorEastAsia"/>
          <w:color w:val="000000" w:themeColor="text1"/>
          <w:sz w:val="21"/>
          <w:szCs w:val="21"/>
          <w14:textFill>
            <w14:solidFill>
              <w14:schemeClr w14:val="tx1"/>
            </w14:solidFill>
          </w14:textFill>
        </w:rPr>
        <w:t>未按照约定时间到达的，</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甲方</w:t>
      </w:r>
      <w:r>
        <w:rPr>
          <w:rFonts w:hint="eastAsia" w:asciiTheme="minorEastAsia" w:hAnsiTheme="minorEastAsia" w:eastAsiaTheme="minorEastAsia" w:cstheme="minorEastAsia"/>
          <w:color w:val="000000" w:themeColor="text1"/>
          <w:sz w:val="21"/>
          <w:szCs w:val="21"/>
          <w14:textFill>
            <w14:solidFill>
              <w14:schemeClr w14:val="tx1"/>
            </w14:solidFill>
          </w14:textFill>
        </w:rPr>
        <w:t>有权拒绝收货，由</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乙方</w:t>
      </w:r>
      <w:r>
        <w:rPr>
          <w:rFonts w:hint="eastAsia" w:asciiTheme="minorEastAsia" w:hAnsiTheme="minorEastAsia" w:eastAsiaTheme="minorEastAsia" w:cstheme="minorEastAsia"/>
          <w:color w:val="000000" w:themeColor="text1"/>
          <w:sz w:val="21"/>
          <w:szCs w:val="21"/>
          <w14:textFill>
            <w14:solidFill>
              <w14:schemeClr w14:val="tx1"/>
            </w14:solidFill>
          </w14:textFill>
        </w:rPr>
        <w:t>承担一切责任，并赔偿所造成</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的</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损失。 </w:t>
      </w:r>
    </w:p>
    <w:p w14:paraId="0D1DE537">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甲方</w:t>
      </w:r>
      <w:r>
        <w:rPr>
          <w:rFonts w:hint="eastAsia" w:asciiTheme="minorEastAsia" w:hAnsiTheme="minorEastAsia" w:eastAsiaTheme="minorEastAsia" w:cstheme="minorEastAsia"/>
          <w:color w:val="000000" w:themeColor="text1"/>
          <w:sz w:val="21"/>
          <w:szCs w:val="21"/>
          <w14:textFill>
            <w14:solidFill>
              <w14:schemeClr w14:val="tx1"/>
            </w14:solidFill>
          </w14:textFill>
        </w:rPr>
        <w:t>组织定期或不定期货品抽检和送检。对检验不合格产品无条件退、换货。因验收货物时不能直接判断质量的，在使用过程中发现不合格商品，</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乙方</w:t>
      </w:r>
      <w:r>
        <w:rPr>
          <w:rFonts w:hint="eastAsia" w:asciiTheme="minorEastAsia" w:hAnsiTheme="minorEastAsia" w:eastAsiaTheme="minorEastAsia" w:cstheme="minorEastAsia"/>
          <w:color w:val="000000" w:themeColor="text1"/>
          <w:sz w:val="21"/>
          <w:szCs w:val="21"/>
          <w14:textFill>
            <w14:solidFill>
              <w14:schemeClr w14:val="tx1"/>
            </w14:solidFill>
          </w14:textFill>
        </w:rPr>
        <w:t>应作退换货处理。</w:t>
      </w:r>
    </w:p>
    <w:p w14:paraId="11A2C2E0">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凡按重量计量物资，均以物品净重方式计量结算。 </w:t>
      </w:r>
    </w:p>
    <w:p w14:paraId="4FD17D42">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所有货物送达</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甲方</w:t>
      </w:r>
      <w:r>
        <w:rPr>
          <w:rFonts w:hint="eastAsia" w:asciiTheme="minorEastAsia" w:hAnsiTheme="minorEastAsia" w:eastAsiaTheme="minorEastAsia" w:cstheme="minorEastAsia"/>
          <w:color w:val="000000" w:themeColor="text1"/>
          <w:sz w:val="21"/>
          <w:szCs w:val="21"/>
          <w14:textFill>
            <w14:solidFill>
              <w14:schemeClr w14:val="tx1"/>
            </w14:solidFill>
          </w14:textFill>
        </w:rPr>
        <w:t>指定地点前必须按包装要求进行封闭装运。</w:t>
      </w:r>
    </w:p>
    <w:p w14:paraId="3CD93F2C">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（三）验收标准</w:t>
      </w:r>
    </w:p>
    <w:tbl>
      <w:tblPr>
        <w:tblStyle w:val="40"/>
        <w:tblW w:w="5278" w:type="pct"/>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86"/>
        <w:gridCol w:w="4834"/>
        <w:gridCol w:w="4742"/>
      </w:tblGrid>
      <w:tr w14:paraId="5BAC6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51" w:type="pct"/>
            <w:tcBorders>
              <w:left w:val="single" w:color="000000" w:sz="4" w:space="0"/>
            </w:tcBorders>
            <w:shd w:val="clear" w:color="auto" w:fill="FFFFFF"/>
            <w:noWrap w:val="0"/>
            <w:vAlign w:val="center"/>
          </w:tcPr>
          <w:p w14:paraId="6313353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种类</w:t>
            </w:r>
          </w:p>
        </w:tc>
        <w:tc>
          <w:tcPr>
            <w:tcW w:w="2246" w:type="pct"/>
            <w:shd w:val="clear" w:color="auto" w:fill="FFFFFF"/>
            <w:noWrap w:val="0"/>
            <w:vAlign w:val="center"/>
          </w:tcPr>
          <w:p w14:paraId="12DCD46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验收标准</w:t>
            </w:r>
          </w:p>
        </w:tc>
        <w:tc>
          <w:tcPr>
            <w:tcW w:w="2203" w:type="pct"/>
            <w:shd w:val="clear" w:color="auto" w:fill="FFFFFF"/>
            <w:noWrap w:val="0"/>
            <w:vAlign w:val="center"/>
          </w:tcPr>
          <w:p w14:paraId="1DDE718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退货依据</w:t>
            </w:r>
          </w:p>
        </w:tc>
      </w:tr>
      <w:tr w14:paraId="4494C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51" w:type="pct"/>
            <w:tcBorders>
              <w:left w:val="single" w:color="000000" w:sz="4" w:space="0"/>
            </w:tcBorders>
            <w:shd w:val="clear" w:color="auto" w:fill="FFFFFF"/>
            <w:noWrap w:val="0"/>
            <w:vAlign w:val="center"/>
          </w:tcPr>
          <w:p w14:paraId="4917864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肉食类</w:t>
            </w:r>
          </w:p>
        </w:tc>
        <w:tc>
          <w:tcPr>
            <w:tcW w:w="4449" w:type="pct"/>
            <w:gridSpan w:val="2"/>
            <w:shd w:val="clear" w:color="auto" w:fill="FFFFFF"/>
            <w:noWrap w:val="0"/>
            <w:vAlign w:val="center"/>
          </w:tcPr>
          <w:p w14:paraId="0E00C91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符合鲜、冻片猪肉国家标准GB2707-2016，冷鲜肉屠宰检验日期48小时内交付，冷冻肉剩余保存期不少于原有保质期的三分之二。猪肉、牛肉等必须具有动物检验检疫合格证明，新鲜无异味，无注水现象，并按食堂要求需进行初步加工，如切块、片、段、丝等。</w:t>
            </w:r>
          </w:p>
        </w:tc>
      </w:tr>
      <w:tr w14:paraId="6BE411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51" w:type="pct"/>
            <w:tcBorders>
              <w:left w:val="single" w:color="000000" w:sz="4" w:space="0"/>
            </w:tcBorders>
            <w:shd w:val="clear" w:color="auto" w:fill="FFFFFF"/>
            <w:noWrap w:val="0"/>
            <w:vAlign w:val="center"/>
          </w:tcPr>
          <w:p w14:paraId="3F73443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水产品类</w:t>
            </w:r>
          </w:p>
        </w:tc>
        <w:tc>
          <w:tcPr>
            <w:tcW w:w="4449" w:type="pct"/>
            <w:gridSpan w:val="2"/>
            <w:shd w:val="clear" w:color="auto" w:fill="FFFFFF"/>
            <w:noWrap w:val="0"/>
            <w:vAlign w:val="center"/>
          </w:tcPr>
          <w:p w14:paraId="7FD2441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必须符合GB2733-2015标准；外表新鲜无异味，根据招标人要求大小适中及均匀，按照招标人要求进行加工，如活鱼类现场宰杀，刨肚去鳞等。</w:t>
            </w:r>
          </w:p>
        </w:tc>
      </w:tr>
      <w:tr w14:paraId="29CF01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51" w:type="pct"/>
            <w:tcBorders>
              <w:left w:val="single" w:color="000000" w:sz="4" w:space="0"/>
            </w:tcBorders>
            <w:shd w:val="clear" w:color="auto" w:fill="FFFFFF"/>
            <w:noWrap w:val="0"/>
            <w:vAlign w:val="center"/>
          </w:tcPr>
          <w:p w14:paraId="3F0A9C3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禽蛋类</w:t>
            </w:r>
          </w:p>
        </w:tc>
        <w:tc>
          <w:tcPr>
            <w:tcW w:w="4449" w:type="pct"/>
            <w:gridSpan w:val="2"/>
            <w:shd w:val="clear" w:color="auto" w:fill="FFFFFF"/>
            <w:noWrap w:val="0"/>
            <w:vAlign w:val="center"/>
          </w:tcPr>
          <w:p w14:paraId="1ED5EC8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鲜(冻)鸡鸭、鸡副产品等必须具有动物检验检疫合格证明，符号国家标准GB/T 37108-2018，新鲜无异味，无注水现象，并按食堂要求需进行初步加工，如切块、段等，鸡鸭类宰杀刨肚等。蛋壳清洁完整，灯光透视时整个蛋呈微红色，蛋黄不见或略有阴影，打开后蛋黄凸起完整并带有韧性，蛋白澄清透明，稀稠分明。</w:t>
            </w:r>
          </w:p>
        </w:tc>
      </w:tr>
      <w:tr w14:paraId="746710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51" w:type="pct"/>
            <w:tcBorders>
              <w:left w:val="single" w:color="000000" w:sz="4" w:space="0"/>
            </w:tcBorders>
            <w:shd w:val="clear" w:color="auto" w:fill="FFFFFF"/>
            <w:noWrap w:val="0"/>
            <w:vAlign w:val="center"/>
          </w:tcPr>
          <w:p w14:paraId="369F8DD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乳制品类</w:t>
            </w:r>
          </w:p>
        </w:tc>
        <w:tc>
          <w:tcPr>
            <w:tcW w:w="4449" w:type="pct"/>
            <w:gridSpan w:val="2"/>
            <w:shd w:val="clear" w:color="auto" w:fill="FFFFFF"/>
            <w:noWrap w:val="0"/>
            <w:vAlign w:val="center"/>
          </w:tcPr>
          <w:p w14:paraId="63EE8EB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酸奶（小塑杯）必须符合GB19302-2010标准，并拥有“QS“食品质量安全认证；鲜奶类（巴氏奶）：必须符合GB19301-2010标准，并拥有“QS”食品质量安全认证；当天生产，当天送货，冷链运输，安全储存。</w:t>
            </w:r>
          </w:p>
        </w:tc>
      </w:tr>
      <w:tr w14:paraId="204245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51" w:type="pct"/>
            <w:tcBorders>
              <w:left w:val="single" w:color="000000" w:sz="4" w:space="0"/>
            </w:tcBorders>
            <w:shd w:val="clear" w:color="auto" w:fill="FFFFFF"/>
            <w:noWrap w:val="0"/>
            <w:vAlign w:val="center"/>
          </w:tcPr>
          <w:p w14:paraId="2030E89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水果类</w:t>
            </w:r>
          </w:p>
        </w:tc>
        <w:tc>
          <w:tcPr>
            <w:tcW w:w="4449" w:type="pct"/>
            <w:gridSpan w:val="2"/>
            <w:shd w:val="clear" w:color="auto" w:fill="FFFFFF"/>
            <w:noWrap w:val="0"/>
            <w:vAlign w:val="center"/>
          </w:tcPr>
          <w:p w14:paraId="6394E2A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水果必须符合GB23200-2016标准、根据甲方要求大小适中及均匀,成熟度适中，品种好、口感好。</w:t>
            </w:r>
          </w:p>
        </w:tc>
      </w:tr>
      <w:tr w14:paraId="15C0D5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51" w:type="pct"/>
            <w:tcBorders>
              <w:left w:val="single" w:color="000000" w:sz="4" w:space="0"/>
            </w:tcBorders>
            <w:shd w:val="clear" w:color="auto" w:fill="FFFFFF"/>
            <w:noWrap w:val="0"/>
            <w:vAlign w:val="center"/>
          </w:tcPr>
          <w:p w14:paraId="4C1ACF1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叶菜</w:t>
            </w:r>
          </w:p>
        </w:tc>
        <w:tc>
          <w:tcPr>
            <w:tcW w:w="2246" w:type="pct"/>
            <w:shd w:val="clear" w:color="auto" w:fill="FFFFFF"/>
            <w:noWrap w:val="0"/>
            <w:vAlign w:val="center"/>
          </w:tcPr>
          <w:p w14:paraId="720BB81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叶菜必须符合GB23200-2016标准，外形正常，叶梗光滑幼嫩，不干瘪凋萎，无过多黄叶，色泽正常。去除根须，不含土，无虫害，大白菜、卷心菜切开心不变黑，无腐烂情形，无明显浸水现象；农药残留不超标。</w:t>
            </w:r>
          </w:p>
        </w:tc>
        <w:tc>
          <w:tcPr>
            <w:tcW w:w="2203" w:type="pct"/>
            <w:shd w:val="clear" w:color="auto" w:fill="FFFFFF"/>
            <w:noWrap w:val="0"/>
            <w:vAlign w:val="center"/>
          </w:tcPr>
          <w:p w14:paraId="761A06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味苦，鲜度嫩度明显不佳，含黄叶须根，泥土、虫害严重，萎捏严重，浸水后仍不可恢复；农药残留超标。</w:t>
            </w:r>
          </w:p>
        </w:tc>
      </w:tr>
      <w:tr w14:paraId="5B1354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51" w:type="pct"/>
            <w:tcBorders>
              <w:left w:val="single" w:color="000000" w:sz="4" w:space="0"/>
            </w:tcBorders>
            <w:shd w:val="clear" w:color="auto" w:fill="FFFFFF"/>
            <w:noWrap w:val="0"/>
            <w:vAlign w:val="center"/>
          </w:tcPr>
          <w:p w14:paraId="71C841B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豆制品类</w:t>
            </w:r>
          </w:p>
        </w:tc>
        <w:tc>
          <w:tcPr>
            <w:tcW w:w="4449" w:type="pct"/>
            <w:gridSpan w:val="2"/>
            <w:shd w:val="clear" w:color="auto" w:fill="FFFFFF"/>
            <w:noWrap w:val="0"/>
            <w:vAlign w:val="center"/>
          </w:tcPr>
          <w:p w14:paraId="2B9A606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包括但不限于干丝、豆腐、千张等，必须具有“QS“食品质量安全认证。</w:t>
            </w:r>
          </w:p>
        </w:tc>
      </w:tr>
      <w:tr w14:paraId="24828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51" w:type="pct"/>
            <w:tcBorders>
              <w:left w:val="single" w:color="000000" w:sz="4" w:space="0"/>
            </w:tcBorders>
            <w:shd w:val="clear" w:color="auto" w:fill="FFFFFF"/>
            <w:noWrap w:val="0"/>
            <w:vAlign w:val="center"/>
          </w:tcPr>
          <w:p w14:paraId="64A807B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根茎类（如香芋、土豆、莴笋等）</w:t>
            </w:r>
          </w:p>
        </w:tc>
        <w:tc>
          <w:tcPr>
            <w:tcW w:w="2246" w:type="pct"/>
            <w:shd w:val="clear" w:color="auto" w:fill="FFFFFF"/>
            <w:noWrap w:val="0"/>
            <w:vAlign w:val="center"/>
          </w:tcPr>
          <w:p w14:paraId="0BAC225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根茎类蔬菜必须符合GB23200-2016标准，无虫咬、发芽、发霉现象，新鲜，形态大小与招标人自购标准相当。农药残留不超标。</w:t>
            </w:r>
          </w:p>
        </w:tc>
        <w:tc>
          <w:tcPr>
            <w:tcW w:w="2203" w:type="pct"/>
            <w:shd w:val="clear" w:color="auto" w:fill="FFFFFF"/>
            <w:noWrap w:val="0"/>
            <w:vAlign w:val="center"/>
          </w:tcPr>
          <w:p w14:paraId="4CB7DCB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发芽严重、发霉，新鲜度不佳，形态大小与招标人自购标准存在较大负偏差。农药残留超标。</w:t>
            </w:r>
          </w:p>
        </w:tc>
      </w:tr>
      <w:tr w14:paraId="208F2B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51" w:type="pct"/>
            <w:tcBorders>
              <w:left w:val="single" w:color="000000" w:sz="4" w:space="0"/>
            </w:tcBorders>
            <w:shd w:val="clear" w:color="auto" w:fill="FFFFFF"/>
            <w:noWrap w:val="0"/>
            <w:vAlign w:val="center"/>
          </w:tcPr>
          <w:p w14:paraId="3F7FC89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花果类（如西兰花、白菜花）</w:t>
            </w:r>
          </w:p>
        </w:tc>
        <w:tc>
          <w:tcPr>
            <w:tcW w:w="2246" w:type="pct"/>
            <w:shd w:val="clear" w:color="auto" w:fill="FFFFFF"/>
            <w:noWrap w:val="0"/>
            <w:vAlign w:val="center"/>
          </w:tcPr>
          <w:p w14:paraId="46A5B2A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花果类蔬菜必须符合GB23200-2016标准，无虫害，成熟度良好，新鲜固有的色泽鲜明，无发霉发黄。农药残留不超标。</w:t>
            </w:r>
          </w:p>
        </w:tc>
        <w:tc>
          <w:tcPr>
            <w:tcW w:w="2203" w:type="pct"/>
            <w:shd w:val="clear" w:color="auto" w:fill="FFFFFF"/>
            <w:noWrap w:val="0"/>
            <w:vAlign w:val="center"/>
          </w:tcPr>
          <w:p w14:paraId="6D2683A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不新鲜，发霉，虫害过多。农药残留超标。</w:t>
            </w:r>
          </w:p>
        </w:tc>
      </w:tr>
      <w:tr w14:paraId="65E6FD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51" w:type="pct"/>
            <w:tcBorders>
              <w:left w:val="single" w:color="000000" w:sz="4" w:space="0"/>
            </w:tcBorders>
            <w:shd w:val="clear" w:color="auto" w:fill="FFFFFF"/>
            <w:noWrap w:val="0"/>
            <w:vAlign w:val="center"/>
          </w:tcPr>
          <w:p w14:paraId="40B406A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瓜果类</w:t>
            </w:r>
          </w:p>
        </w:tc>
        <w:tc>
          <w:tcPr>
            <w:tcW w:w="2246" w:type="pct"/>
            <w:shd w:val="clear" w:color="auto" w:fill="FFFFFF"/>
            <w:noWrap w:val="0"/>
            <w:vAlign w:val="center"/>
          </w:tcPr>
          <w:p w14:paraId="2C7B29C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瓜果必须符合GB23200-2016标准，外表光亮无斑点，有新鲜连接的秧，形状正常、大小均匀，无软塌，成熟度适度。无腐烂，无污染，清洁、新鲜，无异味、无病虫损害。农药残留不超标。</w:t>
            </w:r>
          </w:p>
        </w:tc>
        <w:tc>
          <w:tcPr>
            <w:tcW w:w="2203" w:type="pct"/>
            <w:shd w:val="clear" w:color="auto" w:fill="FFFFFF"/>
            <w:noWrap w:val="0"/>
            <w:vAlign w:val="center"/>
          </w:tcPr>
          <w:p w14:paraId="0EE59F1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不新鲜、软塌、腐烂，有异味。病虫损害严重，形状不太正常，大小不适中。农药残留超标。</w:t>
            </w:r>
          </w:p>
        </w:tc>
      </w:tr>
      <w:tr w14:paraId="7070D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51" w:type="pct"/>
            <w:tcBorders>
              <w:left w:val="single" w:color="000000" w:sz="4" w:space="0"/>
            </w:tcBorders>
            <w:shd w:val="clear" w:color="auto" w:fill="FFFFFF"/>
            <w:noWrap w:val="0"/>
            <w:vAlign w:val="center"/>
          </w:tcPr>
          <w:p w14:paraId="529443A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调味品类</w:t>
            </w:r>
          </w:p>
        </w:tc>
        <w:tc>
          <w:tcPr>
            <w:tcW w:w="4449" w:type="pct"/>
            <w:gridSpan w:val="2"/>
            <w:shd w:val="clear" w:color="auto" w:fill="FFFFFF"/>
            <w:noWrap w:val="0"/>
            <w:vAlign w:val="center"/>
          </w:tcPr>
          <w:p w14:paraId="7D54A30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包括但不限于符合白砂糖（白砂糖国家标准GB/T 317-2018）；食用盐（食用盐国家标准GB/T 5461-2016 、食用盐卫生标准GB 2721-2015）；酱油（酿造酱油国家标准GB18186-2000、酱油卫生标准GB 2717-2018）；味精（味精卫生标准GB 2720-2015）；生粉（淀粉制品卫生标准GB 2713-2015）；绵白糖（绵白糖国家标准GB1445-2018）；香醋（食醋国家标准GB18187-2000、食醋卫生标准GB2719-2018），剩余保存期不少于原有保质期的三分之二。</w:t>
            </w:r>
          </w:p>
        </w:tc>
      </w:tr>
      <w:tr w14:paraId="472D41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51" w:type="pct"/>
            <w:tcBorders>
              <w:left w:val="single" w:color="000000" w:sz="4" w:space="0"/>
            </w:tcBorders>
            <w:shd w:val="clear" w:color="auto" w:fill="FFFFFF"/>
            <w:noWrap w:val="0"/>
            <w:vAlign w:val="center"/>
          </w:tcPr>
          <w:p w14:paraId="3EBB14C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米、面、油类</w:t>
            </w:r>
          </w:p>
        </w:tc>
        <w:tc>
          <w:tcPr>
            <w:tcW w:w="4449" w:type="pct"/>
            <w:gridSpan w:val="2"/>
            <w:shd w:val="clear" w:color="auto" w:fill="FFFFFF"/>
            <w:noWrap w:val="0"/>
            <w:vAlign w:val="center"/>
          </w:tcPr>
          <w:p w14:paraId="55551C8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大米质量要求：粳米一级国家标准GB1354-2018；</w:t>
            </w:r>
          </w:p>
          <w:p w14:paraId="2AA1983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面粉质量要求：小麦粉特制一等国家标准GB1355-1986；</w:t>
            </w:r>
          </w:p>
          <w:p w14:paraId="10CAD82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食用油质量要求：非转基因，国家标准GB1535-2017。</w:t>
            </w:r>
          </w:p>
        </w:tc>
      </w:tr>
    </w:tbl>
    <w:p w14:paraId="692DA753">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以上涉及的国家食品安全、卫生生产标准均按照最新标准执行，如在合同履行过程中出台了更新的标准，则按照最新标准执行。</w:t>
      </w:r>
    </w:p>
    <w:p w14:paraId="6BF0570A">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（三）质保及售后服务要求： </w:t>
      </w:r>
    </w:p>
    <w:p w14:paraId="2032B3B1">
      <w:pPr>
        <w:widowControl w:val="0"/>
        <w:tabs>
          <w:tab w:val="left" w:pos="589"/>
        </w:tabs>
        <w:spacing w:after="0" w:line="360" w:lineRule="auto"/>
        <w:ind w:left="0" w:firstLine="422"/>
        <w:jc w:val="both"/>
        <w:rPr>
          <w:rFonts w:hint="eastAsia" w:ascii="宋体" w:hAnsi="宋体" w:eastAsia="宋体" w:cs="宋体"/>
          <w:b/>
          <w:bCs/>
          <w:sz w:val="21"/>
          <w:szCs w:val="21"/>
          <w:lang w:val="en-US" w:eastAsia="zh-CN" w:bidi="ar-SA"/>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1、质保期限：所有货物在配送到招标人单位时，预包装商品的保质期不得低于总保质期的三分之二。</w:t>
      </w:r>
    </w:p>
    <w:p w14:paraId="0801DCCB">
      <w:pPr>
        <w:widowControl w:val="0"/>
        <w:tabs>
          <w:tab w:val="left" w:pos="589"/>
        </w:tabs>
        <w:spacing w:after="0" w:line="360" w:lineRule="auto"/>
        <w:ind w:left="0" w:firstLine="422"/>
        <w:jc w:val="both"/>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第九条 交付时间和地点 </w:t>
      </w:r>
    </w:p>
    <w:p w14:paraId="6607A129">
      <w:pPr>
        <w:widowControl w:val="0"/>
        <w:tabs>
          <w:tab w:val="left" w:pos="589"/>
        </w:tabs>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1.交付时间：食堂所需各类食材，根据甲方前一天17：30之前出具的需求货品清单，乙方次日清晨5:30-6:10之间送达至甲方指定地点（南京市公安局玄武分局食堂（玄武区红山路196号））。</w:t>
      </w:r>
    </w:p>
    <w:p w14:paraId="45F0427D">
      <w:pPr>
        <w:widowControl w:val="0"/>
        <w:tabs>
          <w:tab w:val="left" w:pos="589"/>
        </w:tabs>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2、甲方有权根据乙方实际供货能力调整配送时间段，乙方须无条件按甲方要求执行。</w:t>
      </w:r>
    </w:p>
    <w:p w14:paraId="554EC951">
      <w:pPr>
        <w:widowControl w:val="0"/>
        <w:tabs>
          <w:tab w:val="left" w:pos="589"/>
        </w:tabs>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3</w:t>
      </w:r>
      <w:r>
        <w:rPr>
          <w:rFonts w:hint="eastAsia" w:ascii="宋体" w:hAnsi="宋体" w:eastAsia="宋体" w:cs="宋体"/>
          <w:sz w:val="21"/>
          <w:szCs w:val="21"/>
          <w:lang w:val="en-US" w:eastAsia="zh-CN" w:bidi="ar-SA"/>
        </w:rPr>
        <w:t>.交付地点：按甲方要求地点（南京市公安局玄武分局食堂（玄武区红山路196号））</w:t>
      </w:r>
      <w:r>
        <w:rPr>
          <w:rFonts w:hint="eastAsia" w:ascii="宋体" w:hAnsi="宋体" w:cs="宋体"/>
          <w:sz w:val="21"/>
          <w:szCs w:val="21"/>
          <w:lang w:val="en-US" w:eastAsia="zh-CN" w:bidi="ar-SA"/>
        </w:rPr>
        <w:t>，具体以甲方通知为准</w:t>
      </w:r>
      <w:r>
        <w:rPr>
          <w:rFonts w:hint="eastAsia" w:ascii="宋体" w:hAnsi="宋体" w:eastAsia="宋体" w:cs="宋体"/>
          <w:sz w:val="21"/>
          <w:szCs w:val="21"/>
          <w:lang w:val="en-US" w:eastAsia="zh-CN" w:bidi="ar-SA"/>
        </w:rPr>
        <w:t>。</w:t>
      </w:r>
    </w:p>
    <w:p w14:paraId="2371885F">
      <w:pPr>
        <w:widowControl w:val="0"/>
        <w:tabs>
          <w:tab w:val="left" w:pos="589"/>
        </w:tabs>
        <w:spacing w:after="0" w:line="360" w:lineRule="auto"/>
        <w:ind w:left="0" w:firstLine="422"/>
        <w:jc w:val="both"/>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第十条 售后服务 </w:t>
      </w:r>
    </w:p>
    <w:p w14:paraId="2D47DAD9">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（1）乙方在配送服务过程中应遵守甲方单位的各项规章制度，不得与甲方单位或人员发生各种不文明行为，如遇不可解决之矛盾应以沟通为主，相互谅解。</w:t>
      </w:r>
    </w:p>
    <w:p w14:paraId="598061D9">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（2）培训：乙方应对送货人员进行专业培训，以完成工作任务。</w:t>
      </w:r>
    </w:p>
    <w:p w14:paraId="36483FE0">
      <w:pPr>
        <w:widowControl w:val="0"/>
        <w:tabs>
          <w:tab w:val="left" w:pos="589"/>
        </w:tabs>
        <w:spacing w:after="0" w:line="360" w:lineRule="auto"/>
        <w:ind w:left="0" w:firstLine="422"/>
        <w:jc w:val="both"/>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第十一条 合同款支付</w:t>
      </w:r>
    </w:p>
    <w:p w14:paraId="4D2CD473">
      <w:pPr>
        <w:widowControl w:val="0"/>
        <w:tabs>
          <w:tab w:val="left" w:pos="589"/>
        </w:tabs>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1.本合同项下所有款项均以人民币支付。</w:t>
      </w:r>
    </w:p>
    <w:p w14:paraId="610FDFB4">
      <w:pPr>
        <w:widowControl w:val="0"/>
        <w:tabs>
          <w:tab w:val="left" w:pos="589"/>
        </w:tabs>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2.本合同项下的采购资金由甲方自行支付，乙方向甲方开具发票。</w:t>
      </w:r>
    </w:p>
    <w:p w14:paraId="78ACA01F">
      <w:pPr>
        <w:widowControl w:val="0"/>
        <w:tabs>
          <w:tab w:val="left" w:pos="589"/>
        </w:tabs>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3.付款条件：</w:t>
      </w:r>
    </w:p>
    <w:p w14:paraId="6C923FEF">
      <w:pPr>
        <w:widowControl w:val="0"/>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3.1乙方</w:t>
      </w:r>
      <w:r>
        <w:rPr>
          <w:rFonts w:hint="eastAsia" w:ascii="宋体" w:hAnsi="宋体" w:eastAsia="宋体" w:cs="宋体"/>
          <w:sz w:val="21"/>
          <w:szCs w:val="21"/>
          <w:lang w:val="en-US" w:eastAsia="zh-CN" w:bidi="ar-SA"/>
        </w:rPr>
        <w:t>每次的送货单必须标明种类、订单数量、实收数量、规格、单位、单价、合价。每个月汇总交由食堂食材采购负责人核实单价后结算，发票每月一开，按照</w:t>
      </w:r>
      <w:r>
        <w:rPr>
          <w:rFonts w:hint="eastAsia" w:ascii="宋体" w:hAnsi="宋体" w:cs="宋体"/>
          <w:sz w:val="21"/>
          <w:szCs w:val="21"/>
          <w:lang w:val="en-US" w:eastAsia="zh-CN" w:bidi="ar-SA"/>
        </w:rPr>
        <w:t>甲方</w:t>
      </w:r>
      <w:r>
        <w:rPr>
          <w:rFonts w:hint="eastAsia" w:ascii="宋体" w:hAnsi="宋体" w:eastAsia="宋体" w:cs="宋体"/>
          <w:sz w:val="21"/>
          <w:szCs w:val="21"/>
          <w:lang w:val="en-US" w:eastAsia="zh-CN" w:bidi="ar-SA"/>
        </w:rPr>
        <w:t>相关要求执行（每次付款时间最长不超过60天）。（</w:t>
      </w:r>
      <w:r>
        <w:rPr>
          <w:rFonts w:hint="eastAsia" w:ascii="宋体" w:hAnsi="宋体" w:cs="宋体"/>
          <w:sz w:val="21"/>
          <w:szCs w:val="21"/>
          <w:lang w:val="en-US" w:eastAsia="zh-CN" w:bidi="ar-SA"/>
        </w:rPr>
        <w:t>乙方</w:t>
      </w:r>
      <w:r>
        <w:rPr>
          <w:rFonts w:hint="eastAsia" w:ascii="宋体" w:hAnsi="宋体" w:eastAsia="宋体" w:cs="宋体"/>
          <w:sz w:val="21"/>
          <w:szCs w:val="21"/>
          <w:lang w:val="en-US" w:eastAsia="zh-CN" w:bidi="ar-SA"/>
        </w:rPr>
        <w:t>每月结算食材价款时须严格按照折扣后价格进行计算申报，其提供的所有结算资料均须真实有效、准确详实、有迹可循，如经</w:t>
      </w:r>
      <w:r>
        <w:rPr>
          <w:rFonts w:hint="eastAsia" w:ascii="宋体" w:hAnsi="宋体" w:cs="宋体"/>
          <w:sz w:val="21"/>
          <w:szCs w:val="21"/>
          <w:lang w:val="en-US" w:eastAsia="zh-CN" w:bidi="ar-SA"/>
        </w:rPr>
        <w:t>甲方</w:t>
      </w:r>
      <w:r>
        <w:rPr>
          <w:rFonts w:hint="eastAsia" w:ascii="宋体" w:hAnsi="宋体" w:eastAsia="宋体" w:cs="宋体"/>
          <w:sz w:val="21"/>
          <w:szCs w:val="21"/>
          <w:lang w:val="en-US" w:eastAsia="zh-CN" w:bidi="ar-SA"/>
        </w:rPr>
        <w:t>发现弄虚作假，一经查实，</w:t>
      </w:r>
      <w:r>
        <w:rPr>
          <w:rFonts w:hint="eastAsia" w:ascii="宋体" w:hAnsi="宋体" w:cs="宋体"/>
          <w:sz w:val="21"/>
          <w:szCs w:val="21"/>
          <w:lang w:val="en-US" w:eastAsia="zh-CN" w:bidi="ar-SA"/>
        </w:rPr>
        <w:t>甲方</w:t>
      </w:r>
      <w:r>
        <w:rPr>
          <w:rFonts w:hint="eastAsia" w:ascii="宋体" w:hAnsi="宋体" w:eastAsia="宋体" w:cs="宋体"/>
          <w:sz w:val="21"/>
          <w:szCs w:val="21"/>
          <w:lang w:val="en-US" w:eastAsia="zh-CN" w:bidi="ar-SA"/>
        </w:rPr>
        <w:t>将解除合同，并依法追究</w:t>
      </w:r>
      <w:r>
        <w:rPr>
          <w:rFonts w:hint="eastAsia" w:ascii="宋体" w:hAnsi="宋体" w:cs="宋体"/>
          <w:sz w:val="21"/>
          <w:szCs w:val="21"/>
          <w:lang w:val="en-US" w:eastAsia="zh-CN" w:bidi="ar-SA"/>
        </w:rPr>
        <w:t>乙方</w:t>
      </w:r>
      <w:r>
        <w:rPr>
          <w:rFonts w:hint="eastAsia" w:ascii="宋体" w:hAnsi="宋体" w:eastAsia="宋体" w:cs="宋体"/>
          <w:sz w:val="21"/>
          <w:szCs w:val="21"/>
          <w:lang w:val="en-US" w:eastAsia="zh-CN" w:bidi="ar-SA"/>
        </w:rPr>
        <w:t>的经济和法律责任。）</w:t>
      </w:r>
    </w:p>
    <w:p w14:paraId="7A4F573B">
      <w:pPr>
        <w:widowControl w:val="0"/>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3.2乙方</w:t>
      </w:r>
      <w:r>
        <w:rPr>
          <w:rFonts w:hint="eastAsia" w:ascii="宋体" w:hAnsi="宋体" w:eastAsia="宋体" w:cs="宋体"/>
          <w:sz w:val="21"/>
          <w:szCs w:val="21"/>
          <w:lang w:val="en-US" w:eastAsia="zh-CN" w:bidi="ar-SA"/>
        </w:rPr>
        <w:t>从项目开始时，每三个月汇总所有供货品类报价单，提供甲方审阅，基准价为南京市发展和改革委员会官网（http://fgw.nanjing.gov.cn/）公布的“南京市部分农贸市场主副食品周平均价格水平” 当月四周的平均价格执行优惠率；</w:t>
      </w:r>
      <w:r>
        <w:rPr>
          <w:rFonts w:hint="eastAsia" w:ascii="宋体" w:hAnsi="宋体" w:cs="宋体"/>
          <w:sz w:val="21"/>
          <w:szCs w:val="21"/>
          <w:lang w:val="en-US" w:eastAsia="zh-CN" w:bidi="ar-SA"/>
        </w:rPr>
        <w:t>乙方</w:t>
      </w:r>
      <w:r>
        <w:rPr>
          <w:rFonts w:hint="eastAsia" w:ascii="宋体" w:hAnsi="宋体" w:eastAsia="宋体" w:cs="宋体"/>
          <w:sz w:val="21"/>
          <w:szCs w:val="21"/>
          <w:lang w:val="en-US" w:eastAsia="zh-CN" w:bidi="ar-SA"/>
        </w:rPr>
        <w:t>提供的食材需为超市或农贸市场在售的常规品牌、型号，若提供食材品牌为市面较少、难于询价的，</w:t>
      </w:r>
      <w:r>
        <w:rPr>
          <w:rFonts w:hint="eastAsia" w:ascii="宋体" w:hAnsi="宋体" w:cs="宋体"/>
          <w:sz w:val="21"/>
          <w:szCs w:val="21"/>
          <w:lang w:val="en-US" w:eastAsia="zh-CN" w:bidi="ar-SA"/>
        </w:rPr>
        <w:t>甲方</w:t>
      </w:r>
      <w:r>
        <w:rPr>
          <w:rFonts w:hint="eastAsia" w:ascii="宋体" w:hAnsi="宋体" w:eastAsia="宋体" w:cs="宋体"/>
          <w:sz w:val="21"/>
          <w:szCs w:val="21"/>
          <w:lang w:val="en-US" w:eastAsia="zh-CN" w:bidi="ar-SA"/>
        </w:rPr>
        <w:t>有权拒收。</w:t>
      </w:r>
    </w:p>
    <w:p w14:paraId="5D415895">
      <w:pPr>
        <w:widowControl w:val="0"/>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3.3</w:t>
      </w:r>
      <w:r>
        <w:rPr>
          <w:rFonts w:hint="eastAsia" w:ascii="宋体" w:hAnsi="宋体" w:eastAsia="宋体" w:cs="宋体"/>
          <w:sz w:val="21"/>
          <w:szCs w:val="21"/>
          <w:lang w:val="en-US" w:eastAsia="zh-CN" w:bidi="ar-SA"/>
        </w:rPr>
        <w:t>若存在官网无法提供参考依据的食材品类，以双方共同协商在其他超市或周边大、中型农贸市场的询价结果作为价格基础再进行优惠。</w:t>
      </w:r>
    </w:p>
    <w:p w14:paraId="1EC4D217">
      <w:pPr>
        <w:widowControl w:val="0"/>
        <w:spacing w:after="0" w:line="360" w:lineRule="auto"/>
        <w:ind w:left="0" w:firstLine="420"/>
        <w:jc w:val="both"/>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4.甲方对全年的合同总额不作保底承诺。</w:t>
      </w:r>
    </w:p>
    <w:p w14:paraId="2CC98E91">
      <w:pPr>
        <w:widowControl w:val="0"/>
        <w:spacing w:after="0" w:line="360" w:lineRule="auto"/>
        <w:ind w:left="0" w:firstLine="422"/>
        <w:jc w:val="both"/>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第十二条 违约责任 </w:t>
      </w:r>
    </w:p>
    <w:p w14:paraId="029E1C21">
      <w:pPr>
        <w:widowControl w:val="0"/>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1.甲方</w:t>
      </w:r>
      <w:r>
        <w:rPr>
          <w:rFonts w:hint="eastAsia" w:ascii="宋体" w:hAnsi="宋体" w:eastAsia="宋体" w:cs="宋体"/>
          <w:sz w:val="21"/>
          <w:szCs w:val="21"/>
          <w:lang w:val="en-US" w:eastAsia="zh-CN" w:bidi="ar-SA"/>
        </w:rPr>
        <w:t>如临时增加用餐人员，需临时补充食材的，</w:t>
      </w:r>
      <w:r>
        <w:rPr>
          <w:rFonts w:hint="eastAsia" w:ascii="宋体" w:hAnsi="宋体" w:cs="宋体"/>
          <w:sz w:val="21"/>
          <w:szCs w:val="21"/>
          <w:lang w:val="en-US" w:eastAsia="zh-CN" w:bidi="ar-SA"/>
        </w:rPr>
        <w:t>乙方</w:t>
      </w:r>
      <w:r>
        <w:rPr>
          <w:rFonts w:hint="eastAsia" w:ascii="宋体" w:hAnsi="宋体" w:eastAsia="宋体" w:cs="宋体"/>
          <w:sz w:val="21"/>
          <w:szCs w:val="21"/>
          <w:lang w:val="en-US" w:eastAsia="zh-CN" w:bidi="ar-SA"/>
        </w:rPr>
        <w:t>应在约定时间内无条件把指定的食材送至指定的地点，否则给予警告通知，三次及以上的解除合作关系。</w:t>
      </w:r>
    </w:p>
    <w:p w14:paraId="6A7F074A">
      <w:pPr>
        <w:widowControl w:val="0"/>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2.</w:t>
      </w:r>
      <w:r>
        <w:rPr>
          <w:rFonts w:hint="eastAsia" w:ascii="宋体" w:hAnsi="宋体" w:eastAsia="宋体" w:cs="宋体"/>
          <w:sz w:val="21"/>
          <w:szCs w:val="21"/>
          <w:lang w:val="en-US" w:eastAsia="zh-CN" w:bidi="ar-SA"/>
        </w:rPr>
        <w:t>凡经相关部门认定，如因</w:t>
      </w:r>
      <w:r>
        <w:rPr>
          <w:rFonts w:hint="eastAsia" w:ascii="宋体" w:hAnsi="宋体" w:cs="宋体"/>
          <w:sz w:val="21"/>
          <w:szCs w:val="21"/>
          <w:lang w:val="en-US" w:eastAsia="zh-CN" w:bidi="ar-SA"/>
        </w:rPr>
        <w:t>乙方</w:t>
      </w:r>
      <w:r>
        <w:rPr>
          <w:rFonts w:hint="eastAsia" w:ascii="宋体" w:hAnsi="宋体" w:eastAsia="宋体" w:cs="宋体"/>
          <w:sz w:val="21"/>
          <w:szCs w:val="21"/>
          <w:lang w:val="en-US" w:eastAsia="zh-CN" w:bidi="ar-SA"/>
        </w:rPr>
        <w:t>所提供的原食材原因造成食物中毒等卫生事故的，</w:t>
      </w:r>
      <w:r>
        <w:rPr>
          <w:rFonts w:hint="eastAsia" w:ascii="宋体" w:hAnsi="宋体" w:cs="宋体"/>
          <w:sz w:val="21"/>
          <w:szCs w:val="21"/>
          <w:lang w:val="en-US" w:eastAsia="zh-CN" w:bidi="ar-SA"/>
        </w:rPr>
        <w:t>乙方</w:t>
      </w:r>
      <w:r>
        <w:rPr>
          <w:rFonts w:hint="eastAsia" w:ascii="宋体" w:hAnsi="宋体" w:eastAsia="宋体" w:cs="宋体"/>
          <w:sz w:val="21"/>
          <w:szCs w:val="21"/>
          <w:lang w:val="en-US" w:eastAsia="zh-CN" w:bidi="ar-SA"/>
        </w:rPr>
        <w:t>除必须承担全部的法律责任外，还要全额承担因食物中毒发生造成后果的一切费用，立即停止供货和取消供货资格，并暂停支付当月所有供应原食材的货款。</w:t>
      </w:r>
    </w:p>
    <w:p w14:paraId="468FA75D">
      <w:pPr>
        <w:widowControl w:val="0"/>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3.</w:t>
      </w:r>
      <w:r>
        <w:rPr>
          <w:rFonts w:hint="eastAsia" w:ascii="宋体" w:hAnsi="宋体" w:eastAsia="宋体" w:cs="宋体"/>
          <w:sz w:val="21"/>
          <w:szCs w:val="21"/>
          <w:lang w:val="en-US" w:eastAsia="zh-CN" w:bidi="ar-SA"/>
        </w:rPr>
        <w:t>凡</w:t>
      </w:r>
      <w:r>
        <w:rPr>
          <w:rFonts w:hint="eastAsia" w:ascii="宋体" w:hAnsi="宋体" w:cs="宋体"/>
          <w:sz w:val="21"/>
          <w:szCs w:val="21"/>
          <w:lang w:val="en-US" w:eastAsia="zh-CN" w:bidi="ar-SA"/>
        </w:rPr>
        <w:t>乙方</w:t>
      </w:r>
      <w:r>
        <w:rPr>
          <w:rFonts w:hint="eastAsia" w:ascii="宋体" w:hAnsi="宋体" w:eastAsia="宋体" w:cs="宋体"/>
          <w:sz w:val="21"/>
          <w:szCs w:val="21"/>
          <w:lang w:val="en-US" w:eastAsia="zh-CN" w:bidi="ar-SA"/>
        </w:rPr>
        <w:t>向</w:t>
      </w:r>
      <w:r>
        <w:rPr>
          <w:rFonts w:hint="eastAsia" w:ascii="宋体" w:hAnsi="宋体" w:cs="宋体"/>
          <w:sz w:val="21"/>
          <w:szCs w:val="21"/>
          <w:lang w:val="en-US" w:eastAsia="zh-CN" w:bidi="ar-SA"/>
        </w:rPr>
        <w:t>甲方</w:t>
      </w:r>
      <w:r>
        <w:rPr>
          <w:rFonts w:hint="eastAsia" w:ascii="宋体" w:hAnsi="宋体" w:eastAsia="宋体" w:cs="宋体"/>
          <w:sz w:val="21"/>
          <w:szCs w:val="21"/>
          <w:lang w:val="en-US" w:eastAsia="zh-CN" w:bidi="ar-SA"/>
        </w:rPr>
        <w:t>提供的食材发生质量问题，影响食用，经验收小组确认，</w:t>
      </w:r>
      <w:r>
        <w:rPr>
          <w:rFonts w:hint="eastAsia" w:ascii="宋体" w:hAnsi="宋体" w:cs="宋体"/>
          <w:sz w:val="21"/>
          <w:szCs w:val="21"/>
          <w:lang w:val="en-US" w:eastAsia="zh-CN" w:bidi="ar-SA"/>
        </w:rPr>
        <w:t>乙方</w:t>
      </w:r>
      <w:r>
        <w:rPr>
          <w:rFonts w:hint="eastAsia" w:ascii="宋体" w:hAnsi="宋体" w:eastAsia="宋体" w:cs="宋体"/>
          <w:sz w:val="21"/>
          <w:szCs w:val="21"/>
          <w:lang w:val="en-US" w:eastAsia="zh-CN" w:bidi="ar-SA"/>
        </w:rPr>
        <w:t>须重新配送合格食材；三次以上</w:t>
      </w:r>
      <w:r>
        <w:rPr>
          <w:rFonts w:hint="eastAsia" w:ascii="宋体" w:hAnsi="宋体" w:cs="宋体"/>
          <w:sz w:val="21"/>
          <w:szCs w:val="21"/>
          <w:lang w:val="en-US" w:eastAsia="zh-CN" w:bidi="ar-SA"/>
        </w:rPr>
        <w:t>甲方</w:t>
      </w:r>
      <w:r>
        <w:rPr>
          <w:rFonts w:hint="eastAsia" w:ascii="宋体" w:hAnsi="宋体" w:eastAsia="宋体" w:cs="宋体"/>
          <w:sz w:val="21"/>
          <w:szCs w:val="21"/>
          <w:lang w:val="en-US" w:eastAsia="zh-CN" w:bidi="ar-SA"/>
        </w:rPr>
        <w:t>有权解除合同。</w:t>
      </w:r>
    </w:p>
    <w:p w14:paraId="51726D11">
      <w:pPr>
        <w:widowControl w:val="0"/>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4.</w:t>
      </w:r>
      <w:r>
        <w:rPr>
          <w:rFonts w:hint="eastAsia" w:ascii="宋体" w:hAnsi="宋体" w:eastAsia="宋体" w:cs="宋体"/>
          <w:sz w:val="21"/>
          <w:szCs w:val="21"/>
          <w:lang w:val="en-US" w:eastAsia="zh-CN" w:bidi="ar-SA"/>
        </w:rPr>
        <w:t>凡</w:t>
      </w:r>
      <w:r>
        <w:rPr>
          <w:rFonts w:hint="eastAsia" w:ascii="宋体" w:hAnsi="宋体" w:cs="宋体"/>
          <w:sz w:val="21"/>
          <w:szCs w:val="21"/>
          <w:lang w:val="en-US" w:eastAsia="zh-CN" w:bidi="ar-SA"/>
        </w:rPr>
        <w:t>乙方</w:t>
      </w:r>
      <w:r>
        <w:rPr>
          <w:rFonts w:hint="eastAsia" w:ascii="宋体" w:hAnsi="宋体" w:eastAsia="宋体" w:cs="宋体"/>
          <w:sz w:val="21"/>
          <w:szCs w:val="21"/>
          <w:lang w:val="en-US" w:eastAsia="zh-CN" w:bidi="ar-SA"/>
        </w:rPr>
        <w:t>的食材故意串规、定量包装批量误差超过相关规定、延迟交货或配送货物不符合订单要求，中标人须按</w:t>
      </w:r>
      <w:r>
        <w:rPr>
          <w:rFonts w:hint="eastAsia" w:ascii="宋体" w:hAnsi="宋体" w:cs="宋体"/>
          <w:sz w:val="21"/>
          <w:szCs w:val="21"/>
          <w:lang w:val="en-US" w:eastAsia="zh-CN" w:bidi="ar-SA"/>
        </w:rPr>
        <w:t>甲方</w:t>
      </w:r>
      <w:r>
        <w:rPr>
          <w:rFonts w:hint="eastAsia" w:ascii="宋体" w:hAnsi="宋体" w:eastAsia="宋体" w:cs="宋体"/>
          <w:sz w:val="21"/>
          <w:szCs w:val="21"/>
          <w:lang w:val="en-US" w:eastAsia="zh-CN" w:bidi="ar-SA"/>
        </w:rPr>
        <w:t>要求及时补货、换货或退货。对于上述情况的发生，前两次</w:t>
      </w:r>
      <w:r>
        <w:rPr>
          <w:rFonts w:hint="eastAsia" w:ascii="宋体" w:hAnsi="宋体" w:cs="宋体"/>
          <w:sz w:val="21"/>
          <w:szCs w:val="21"/>
          <w:lang w:val="en-US" w:eastAsia="zh-CN" w:bidi="ar-SA"/>
        </w:rPr>
        <w:t>甲方</w:t>
      </w:r>
      <w:r>
        <w:rPr>
          <w:rFonts w:hint="eastAsia" w:ascii="宋体" w:hAnsi="宋体" w:eastAsia="宋体" w:cs="宋体"/>
          <w:sz w:val="21"/>
          <w:szCs w:val="21"/>
          <w:lang w:val="en-US" w:eastAsia="zh-CN" w:bidi="ar-SA"/>
        </w:rPr>
        <w:t>将予以警告，第三次</w:t>
      </w:r>
      <w:r>
        <w:rPr>
          <w:rFonts w:hint="eastAsia" w:ascii="宋体" w:hAnsi="宋体" w:cs="宋体"/>
          <w:sz w:val="21"/>
          <w:szCs w:val="21"/>
          <w:lang w:val="en-US" w:eastAsia="zh-CN" w:bidi="ar-SA"/>
        </w:rPr>
        <w:t>甲方</w:t>
      </w:r>
      <w:r>
        <w:rPr>
          <w:rFonts w:hint="eastAsia" w:ascii="宋体" w:hAnsi="宋体" w:eastAsia="宋体" w:cs="宋体"/>
          <w:sz w:val="21"/>
          <w:szCs w:val="21"/>
          <w:lang w:val="en-US" w:eastAsia="zh-CN" w:bidi="ar-SA"/>
        </w:rPr>
        <w:t>有权直接解除合同。</w:t>
      </w:r>
    </w:p>
    <w:p w14:paraId="52797275">
      <w:pPr>
        <w:widowControl w:val="0"/>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5.</w:t>
      </w:r>
      <w:r>
        <w:rPr>
          <w:rFonts w:hint="eastAsia" w:ascii="宋体" w:hAnsi="宋体" w:eastAsia="宋体" w:cs="宋体"/>
          <w:sz w:val="21"/>
          <w:szCs w:val="21"/>
          <w:lang w:val="en-US" w:eastAsia="zh-CN" w:bidi="ar-SA"/>
        </w:rPr>
        <w:t>如</w:t>
      </w:r>
      <w:r>
        <w:rPr>
          <w:rFonts w:hint="eastAsia" w:ascii="宋体" w:hAnsi="宋体" w:cs="宋体"/>
          <w:sz w:val="21"/>
          <w:szCs w:val="21"/>
          <w:lang w:val="en-US" w:eastAsia="zh-CN" w:bidi="ar-SA"/>
        </w:rPr>
        <w:t>乙方</w:t>
      </w:r>
      <w:r>
        <w:rPr>
          <w:rFonts w:hint="eastAsia" w:ascii="宋体" w:hAnsi="宋体" w:eastAsia="宋体" w:cs="宋体"/>
          <w:sz w:val="21"/>
          <w:szCs w:val="21"/>
          <w:lang w:val="en-US" w:eastAsia="zh-CN" w:bidi="ar-SA"/>
        </w:rPr>
        <w:t>在项目实施期间出现违背投标时的承诺，或经营异常，或丧失商业信誉，或产品被曝光不合格或被政府部门取缔相关生产经营资格的情况，</w:t>
      </w:r>
      <w:r>
        <w:rPr>
          <w:rFonts w:hint="eastAsia" w:ascii="宋体" w:hAnsi="宋体" w:cs="宋体"/>
          <w:sz w:val="21"/>
          <w:szCs w:val="21"/>
          <w:lang w:val="en-US" w:eastAsia="zh-CN" w:bidi="ar-SA"/>
        </w:rPr>
        <w:t>甲方</w:t>
      </w:r>
      <w:r>
        <w:rPr>
          <w:rFonts w:hint="eastAsia" w:ascii="宋体" w:hAnsi="宋体" w:eastAsia="宋体" w:cs="宋体"/>
          <w:sz w:val="21"/>
          <w:szCs w:val="21"/>
          <w:lang w:val="en-US" w:eastAsia="zh-CN" w:bidi="ar-SA"/>
        </w:rPr>
        <w:t>有权直接解除合同。</w:t>
      </w:r>
    </w:p>
    <w:p w14:paraId="661539B6">
      <w:pPr>
        <w:widowControl w:val="0"/>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6.甲方</w:t>
      </w:r>
      <w:r>
        <w:rPr>
          <w:rFonts w:hint="eastAsia" w:ascii="宋体" w:hAnsi="宋体" w:eastAsia="宋体" w:cs="宋体"/>
          <w:sz w:val="21"/>
          <w:szCs w:val="21"/>
          <w:lang w:val="en-US" w:eastAsia="zh-CN" w:bidi="ar-SA"/>
        </w:rPr>
        <w:t>根据食材供应质量情况，有权决定抽查供应食材的价格、质量（包括报送质检部门抽检，检测合格检测费用由</w:t>
      </w:r>
      <w:r>
        <w:rPr>
          <w:rFonts w:hint="eastAsia" w:ascii="宋体" w:hAnsi="宋体" w:cs="宋体"/>
          <w:sz w:val="21"/>
          <w:szCs w:val="21"/>
          <w:lang w:val="en-US" w:eastAsia="zh-CN" w:bidi="ar-SA"/>
        </w:rPr>
        <w:t>甲方</w:t>
      </w:r>
      <w:r>
        <w:rPr>
          <w:rFonts w:hint="eastAsia" w:ascii="宋体" w:hAnsi="宋体" w:eastAsia="宋体" w:cs="宋体"/>
          <w:sz w:val="21"/>
          <w:szCs w:val="21"/>
          <w:lang w:val="en-US" w:eastAsia="zh-CN" w:bidi="ar-SA"/>
        </w:rPr>
        <w:t>承担，检测不合格的检测费用由</w:t>
      </w:r>
      <w:r>
        <w:rPr>
          <w:rFonts w:hint="eastAsia" w:ascii="宋体" w:hAnsi="宋体" w:cs="宋体"/>
          <w:sz w:val="21"/>
          <w:szCs w:val="21"/>
          <w:lang w:val="en-US" w:eastAsia="zh-CN" w:bidi="ar-SA"/>
        </w:rPr>
        <w:t>乙方</w:t>
      </w:r>
      <w:r>
        <w:rPr>
          <w:rFonts w:hint="eastAsia" w:ascii="宋体" w:hAnsi="宋体" w:eastAsia="宋体" w:cs="宋体"/>
          <w:sz w:val="21"/>
          <w:szCs w:val="21"/>
          <w:lang w:val="en-US" w:eastAsia="zh-CN" w:bidi="ar-SA"/>
        </w:rPr>
        <w:t>承担）和重量，如果与合同约定及实际要求不符，第一次书面警告，并及时调整到位；第二次书面警告，扣除当天供应商供应食材价格的10%；第三次书面警告，扣除当天供应商供应食材价格的50%；第四次书面警告，</w:t>
      </w:r>
      <w:r>
        <w:rPr>
          <w:rFonts w:hint="eastAsia" w:ascii="宋体" w:hAnsi="宋体" w:cs="宋体"/>
          <w:sz w:val="21"/>
          <w:szCs w:val="21"/>
          <w:lang w:val="en-US" w:eastAsia="zh-CN" w:bidi="ar-SA"/>
        </w:rPr>
        <w:t>甲方</w:t>
      </w:r>
      <w:r>
        <w:rPr>
          <w:rFonts w:hint="eastAsia" w:ascii="宋体" w:hAnsi="宋体" w:eastAsia="宋体" w:cs="宋体"/>
          <w:sz w:val="21"/>
          <w:szCs w:val="21"/>
          <w:lang w:val="en-US" w:eastAsia="zh-CN" w:bidi="ar-SA"/>
        </w:rPr>
        <w:t>有权解除合同，更换其他供应商。</w:t>
      </w:r>
    </w:p>
    <w:p w14:paraId="2A44778D">
      <w:pPr>
        <w:widowControl w:val="0"/>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7</w:t>
      </w:r>
      <w:r>
        <w:rPr>
          <w:rFonts w:hint="eastAsia" w:ascii="宋体" w:hAnsi="宋体" w:eastAsia="宋体" w:cs="宋体"/>
          <w:sz w:val="21"/>
          <w:szCs w:val="21"/>
          <w:lang w:val="en-US" w:eastAsia="zh-CN" w:bidi="ar-SA"/>
        </w:rPr>
        <w:t>.招标文件约定的其他情况。</w:t>
      </w:r>
    </w:p>
    <w:p w14:paraId="087162FF">
      <w:pPr>
        <w:widowControl w:val="0"/>
        <w:spacing w:after="0" w:line="360" w:lineRule="auto"/>
        <w:ind w:left="0" w:firstLine="422"/>
        <w:jc w:val="both"/>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第十三条 合同的变更和终止 </w:t>
      </w:r>
    </w:p>
    <w:p w14:paraId="354FB9E1">
      <w:pPr>
        <w:widowControl w:val="0"/>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w:t>
      </w:r>
      <w:r>
        <w:rPr>
          <w:rFonts w:hint="eastAsia" w:ascii="宋体" w:hAnsi="宋体" w:cs="宋体"/>
          <w:sz w:val="21"/>
          <w:szCs w:val="21"/>
          <w:lang w:val="en-US" w:eastAsia="zh-CN" w:bidi="ar-SA"/>
        </w:rPr>
        <w:t>.</w:t>
      </w:r>
      <w:r>
        <w:rPr>
          <w:rFonts w:hint="eastAsia" w:ascii="宋体" w:hAnsi="宋体" w:eastAsia="宋体" w:cs="宋体"/>
          <w:sz w:val="21"/>
          <w:szCs w:val="21"/>
          <w:lang w:val="en-US" w:eastAsia="zh-CN" w:bidi="ar-SA"/>
        </w:rPr>
        <w:t>因不可抗力原因或因政策调整，致使服务期内本项目中个别片区不再需要餐饮服务或者需要其他方式进行调整的，</w:t>
      </w:r>
      <w:r>
        <w:rPr>
          <w:rFonts w:hint="eastAsia" w:ascii="宋体" w:hAnsi="宋体" w:cs="宋体"/>
          <w:sz w:val="21"/>
          <w:szCs w:val="21"/>
          <w:lang w:val="en-US" w:eastAsia="zh-CN" w:bidi="ar-SA"/>
        </w:rPr>
        <w:t>乙方</w:t>
      </w:r>
      <w:r>
        <w:rPr>
          <w:rFonts w:hint="eastAsia" w:ascii="宋体" w:hAnsi="宋体" w:eastAsia="宋体" w:cs="宋体"/>
          <w:sz w:val="21"/>
          <w:szCs w:val="21"/>
          <w:lang w:val="en-US" w:eastAsia="zh-CN" w:bidi="ar-SA"/>
        </w:rPr>
        <w:t>应无条件服从</w:t>
      </w:r>
      <w:r>
        <w:rPr>
          <w:rFonts w:hint="eastAsia" w:ascii="宋体" w:hAnsi="宋体" w:cs="宋体"/>
          <w:sz w:val="21"/>
          <w:szCs w:val="21"/>
          <w:lang w:val="en-US" w:eastAsia="zh-CN" w:bidi="ar-SA"/>
        </w:rPr>
        <w:t>甲方</w:t>
      </w:r>
      <w:r>
        <w:rPr>
          <w:rFonts w:hint="eastAsia" w:ascii="宋体" w:hAnsi="宋体" w:eastAsia="宋体" w:cs="宋体"/>
          <w:sz w:val="21"/>
          <w:szCs w:val="21"/>
          <w:lang w:val="en-US" w:eastAsia="zh-CN" w:bidi="ar-SA"/>
        </w:rPr>
        <w:t>安排，双方均不承担违约责任。</w:t>
      </w:r>
    </w:p>
    <w:p w14:paraId="224B365D">
      <w:pPr>
        <w:widowControl w:val="0"/>
        <w:spacing w:after="0" w:line="360" w:lineRule="auto"/>
        <w:ind w:left="0"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2</w:t>
      </w:r>
      <w:r>
        <w:rPr>
          <w:rFonts w:hint="eastAsia" w:ascii="宋体" w:hAnsi="宋体" w:cs="宋体"/>
          <w:sz w:val="21"/>
          <w:szCs w:val="21"/>
          <w:highlight w:val="none"/>
          <w:lang w:val="en-US" w:eastAsia="zh-CN" w:bidi="ar-SA"/>
        </w:rPr>
        <w:t>.</w:t>
      </w:r>
      <w:r>
        <w:rPr>
          <w:rFonts w:hint="eastAsia" w:ascii="宋体" w:hAnsi="宋体" w:eastAsia="宋体" w:cs="宋体"/>
          <w:sz w:val="21"/>
          <w:szCs w:val="21"/>
          <w:highlight w:val="none"/>
          <w:lang w:val="en-US" w:eastAsia="zh-CN" w:bidi="ar-SA"/>
        </w:rPr>
        <w:t xml:space="preserve">如发生下列情况之一，甲方有权终止本合同： </w:t>
      </w:r>
    </w:p>
    <w:p w14:paraId="215E5939">
      <w:pPr>
        <w:widowControl w:val="0"/>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（1）乙方擅自终止本合同或无故停止供货的； </w:t>
      </w:r>
    </w:p>
    <w:p w14:paraId="3B6361F7">
      <w:pPr>
        <w:widowControl w:val="0"/>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（2）乙方供应的产品</w:t>
      </w:r>
      <w:r>
        <w:rPr>
          <w:rFonts w:hint="eastAsia" w:ascii="宋体" w:hAnsi="宋体" w:cs="宋体"/>
          <w:sz w:val="21"/>
          <w:szCs w:val="21"/>
          <w:lang w:val="en-US" w:eastAsia="zh-CN" w:bidi="ar-SA"/>
        </w:rPr>
        <w:t>出现本合同第六条中相关情形的</w:t>
      </w:r>
      <w:r>
        <w:rPr>
          <w:rFonts w:hint="eastAsia" w:ascii="宋体" w:hAnsi="宋体" w:eastAsia="宋体" w:cs="宋体"/>
          <w:sz w:val="21"/>
          <w:szCs w:val="21"/>
          <w:lang w:val="en-US" w:eastAsia="zh-CN" w:bidi="ar-SA"/>
        </w:rPr>
        <w:t xml:space="preserve">； </w:t>
      </w:r>
    </w:p>
    <w:p w14:paraId="7A428749">
      <w:pPr>
        <w:widowControl w:val="0"/>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（3）乙方不得将本项目转包、分包给他人； </w:t>
      </w:r>
    </w:p>
    <w:p w14:paraId="61ECA389">
      <w:pPr>
        <w:widowControl w:val="0"/>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（4）乙方</w:t>
      </w:r>
      <w:r>
        <w:rPr>
          <w:rFonts w:hint="eastAsia" w:ascii="宋体" w:hAnsi="宋体" w:cs="宋体"/>
          <w:sz w:val="21"/>
          <w:szCs w:val="21"/>
          <w:lang w:val="en-US" w:eastAsia="zh-CN" w:bidi="ar-SA"/>
        </w:rPr>
        <w:t>多次</w:t>
      </w:r>
      <w:r>
        <w:rPr>
          <w:rFonts w:hint="eastAsia" w:ascii="宋体" w:hAnsi="宋体" w:eastAsia="宋体" w:cs="宋体"/>
          <w:sz w:val="21"/>
          <w:szCs w:val="21"/>
          <w:lang w:val="en-US" w:eastAsia="zh-CN" w:bidi="ar-SA"/>
        </w:rPr>
        <w:t>未及时响应或响应但未及时</w:t>
      </w:r>
      <w:r>
        <w:rPr>
          <w:rFonts w:hint="eastAsia" w:ascii="宋体" w:hAnsi="宋体" w:cs="宋体"/>
          <w:sz w:val="21"/>
          <w:szCs w:val="21"/>
          <w:lang w:val="en-US" w:eastAsia="zh-CN" w:bidi="ar-SA"/>
        </w:rPr>
        <w:t>将食材送</w:t>
      </w:r>
      <w:r>
        <w:rPr>
          <w:rFonts w:hint="eastAsia" w:ascii="宋体" w:hAnsi="宋体" w:eastAsia="宋体" w:cs="宋体"/>
          <w:sz w:val="21"/>
          <w:szCs w:val="21"/>
          <w:lang w:val="en-US" w:eastAsia="zh-CN" w:bidi="ar-SA"/>
        </w:rPr>
        <w:t xml:space="preserve">到场； </w:t>
      </w:r>
    </w:p>
    <w:p w14:paraId="2BCB46B5">
      <w:pPr>
        <w:widowControl w:val="0"/>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（5）因乙方产品质量引起食用者呕吐、腹泻等不良反应或食物中毒现象，经权威部门鉴定，确属产品质量引起的； </w:t>
      </w:r>
    </w:p>
    <w:p w14:paraId="54D68329">
      <w:pPr>
        <w:widowControl w:val="0"/>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（6）乙方</w:t>
      </w:r>
      <w:r>
        <w:rPr>
          <w:rFonts w:hint="eastAsia" w:ascii="宋体" w:hAnsi="宋体" w:cs="宋体"/>
          <w:sz w:val="21"/>
          <w:szCs w:val="21"/>
          <w:lang w:val="en-US" w:eastAsia="zh-CN" w:bidi="ar-SA"/>
        </w:rPr>
        <w:t>提供的结算资料弄虚作假</w:t>
      </w:r>
      <w:r>
        <w:rPr>
          <w:rFonts w:hint="eastAsia" w:ascii="宋体" w:hAnsi="宋体" w:eastAsia="宋体" w:cs="宋体"/>
          <w:sz w:val="21"/>
          <w:szCs w:val="21"/>
          <w:lang w:val="en-US" w:eastAsia="zh-CN" w:bidi="ar-SA"/>
        </w:rPr>
        <w:t xml:space="preserve">； </w:t>
      </w:r>
    </w:p>
    <w:p w14:paraId="61538A23">
      <w:pPr>
        <w:widowControl w:val="0"/>
        <w:spacing w:after="0" w:line="360" w:lineRule="auto"/>
        <w:ind w:left="0" w:firstLine="420"/>
        <w:jc w:val="both"/>
        <w:rPr>
          <w:rFonts w:hint="eastAsia" w:ascii="宋体" w:hAnsi="宋体" w:cs="宋体"/>
          <w:sz w:val="21"/>
          <w:szCs w:val="21"/>
          <w:lang w:val="en-US" w:eastAsia="zh-CN" w:bidi="ar-SA"/>
        </w:rPr>
      </w:pPr>
      <w:r>
        <w:rPr>
          <w:rFonts w:hint="eastAsia" w:ascii="宋体" w:hAnsi="宋体" w:eastAsia="宋体" w:cs="宋体"/>
          <w:sz w:val="21"/>
          <w:szCs w:val="21"/>
          <w:lang w:val="en-US" w:eastAsia="zh-CN" w:bidi="ar-SA"/>
        </w:rPr>
        <w:t>（7）乙方向</w:t>
      </w:r>
      <w:r>
        <w:rPr>
          <w:rFonts w:hint="eastAsia" w:ascii="宋体" w:hAnsi="宋体" w:cs="宋体"/>
          <w:sz w:val="21"/>
          <w:szCs w:val="21"/>
          <w:lang w:val="en-US" w:eastAsia="zh-CN" w:bidi="ar-SA"/>
        </w:rPr>
        <w:t>甲方</w:t>
      </w:r>
      <w:r>
        <w:rPr>
          <w:rFonts w:hint="eastAsia" w:ascii="宋体" w:hAnsi="宋体" w:eastAsia="宋体" w:cs="宋体"/>
          <w:sz w:val="21"/>
          <w:szCs w:val="21"/>
          <w:lang w:val="en-US" w:eastAsia="zh-CN" w:bidi="ar-SA"/>
        </w:rPr>
        <w:t>提供的食材</w:t>
      </w:r>
      <w:r>
        <w:rPr>
          <w:rFonts w:hint="eastAsia" w:ascii="宋体" w:hAnsi="宋体" w:cs="宋体"/>
          <w:sz w:val="21"/>
          <w:szCs w:val="21"/>
          <w:lang w:val="en-US" w:eastAsia="zh-CN" w:bidi="ar-SA"/>
        </w:rPr>
        <w:t>出现三次及以上</w:t>
      </w:r>
      <w:r>
        <w:rPr>
          <w:rFonts w:hint="eastAsia" w:ascii="宋体" w:hAnsi="宋体" w:eastAsia="宋体" w:cs="宋体"/>
          <w:sz w:val="21"/>
          <w:szCs w:val="21"/>
          <w:lang w:val="en-US" w:eastAsia="zh-CN" w:bidi="ar-SA"/>
        </w:rPr>
        <w:t>发生质量问题，影响食用，经验收小组确认</w:t>
      </w:r>
      <w:r>
        <w:rPr>
          <w:rFonts w:hint="eastAsia" w:ascii="宋体" w:hAnsi="宋体" w:cs="宋体"/>
          <w:sz w:val="21"/>
          <w:szCs w:val="21"/>
          <w:lang w:val="en-US" w:eastAsia="zh-CN" w:bidi="ar-SA"/>
        </w:rPr>
        <w:t>的；</w:t>
      </w:r>
    </w:p>
    <w:p w14:paraId="7408F223">
      <w:pPr>
        <w:widowControl w:val="0"/>
        <w:spacing w:after="0" w:line="360" w:lineRule="auto"/>
        <w:ind w:left="0" w:firstLine="420"/>
        <w:jc w:val="both"/>
        <w:rPr>
          <w:rFonts w:hint="eastAsia" w:ascii="宋体" w:hAnsi="宋体" w:cs="宋体"/>
          <w:sz w:val="21"/>
          <w:szCs w:val="21"/>
          <w:lang w:val="en-US" w:eastAsia="zh-CN" w:bidi="ar-SA"/>
        </w:rPr>
      </w:pPr>
      <w:r>
        <w:rPr>
          <w:rFonts w:hint="eastAsia" w:ascii="宋体" w:hAnsi="宋体" w:cs="宋体"/>
          <w:sz w:val="21"/>
          <w:szCs w:val="21"/>
          <w:lang w:val="en-US" w:eastAsia="zh-CN" w:bidi="ar-SA"/>
        </w:rPr>
        <w:t>（8）乙方第三次出现延迟交货或配送货物不符合订单要求的；</w:t>
      </w:r>
    </w:p>
    <w:p w14:paraId="7D119586">
      <w:pPr>
        <w:widowControl w:val="0"/>
        <w:spacing w:after="0" w:line="360" w:lineRule="auto"/>
        <w:ind w:left="0" w:firstLine="420"/>
        <w:jc w:val="both"/>
        <w:rPr>
          <w:rFonts w:hint="eastAsia" w:ascii="宋体" w:hAnsi="宋体" w:cs="宋体"/>
          <w:sz w:val="21"/>
          <w:szCs w:val="21"/>
          <w:lang w:val="en-US" w:eastAsia="zh-CN" w:bidi="ar-SA"/>
        </w:rPr>
      </w:pPr>
      <w:r>
        <w:rPr>
          <w:rFonts w:hint="eastAsia" w:ascii="宋体" w:hAnsi="宋体" w:cs="宋体"/>
          <w:sz w:val="21"/>
          <w:szCs w:val="21"/>
          <w:lang w:val="en-US" w:eastAsia="zh-CN" w:bidi="ar-SA"/>
        </w:rPr>
        <w:t>（9）乙方在项目实施期间出现违背投标时的承诺，或经营异常，或丧失商业信誉，或产品被曝光不合格或被政府部门取缔相关生产经营资格的情况；</w:t>
      </w:r>
    </w:p>
    <w:p w14:paraId="705782F4">
      <w:pPr>
        <w:widowControl w:val="0"/>
        <w:spacing w:after="0" w:line="360" w:lineRule="auto"/>
        <w:ind w:left="0" w:firstLine="422"/>
        <w:jc w:val="both"/>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第十四条 合同的转让 </w:t>
      </w:r>
    </w:p>
    <w:p w14:paraId="0C437905">
      <w:pPr>
        <w:widowControl w:val="0"/>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乙方不得擅自部分或全部转让其应履行的合同义务。</w:t>
      </w:r>
    </w:p>
    <w:p w14:paraId="562CD74F">
      <w:pPr>
        <w:widowControl w:val="0"/>
        <w:spacing w:after="0" w:line="360" w:lineRule="auto"/>
        <w:ind w:left="0" w:firstLine="422"/>
        <w:jc w:val="both"/>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第十五条 争议的解决 </w:t>
      </w:r>
    </w:p>
    <w:p w14:paraId="74B1684A">
      <w:pPr>
        <w:widowControl w:val="0"/>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w:t>
      </w:r>
      <w:r>
        <w:rPr>
          <w:rFonts w:hint="eastAsia" w:ascii="宋体" w:hAnsi="宋体" w:cs="宋体"/>
          <w:sz w:val="21"/>
          <w:szCs w:val="21"/>
          <w:lang w:val="en-US" w:eastAsia="zh-CN" w:bidi="ar-SA"/>
        </w:rPr>
        <w:t>.</w:t>
      </w:r>
      <w:r>
        <w:rPr>
          <w:rFonts w:hint="eastAsia" w:ascii="宋体" w:hAnsi="宋体" w:eastAsia="宋体" w:cs="宋体"/>
          <w:sz w:val="21"/>
          <w:szCs w:val="21"/>
          <w:lang w:val="en-US" w:eastAsia="zh-CN" w:bidi="ar-SA"/>
        </w:rPr>
        <w:t>因履行本合同引起的或与本合同有关的争议，甲、乙双方应首先通过友好协商解决，如果协商不决争议，则采取以下第（2）种方式解决争议：</w:t>
      </w:r>
    </w:p>
    <w:p w14:paraId="56BA536C">
      <w:pPr>
        <w:widowControl w:val="0"/>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（1）向甲方所在地有管辖权的人民法院提起诉讼；</w:t>
      </w:r>
    </w:p>
    <w:p w14:paraId="3EB3FEA0">
      <w:pPr>
        <w:widowControl w:val="0"/>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（2）向南京仲裁委员会按其仲裁规则申请仲裁。</w:t>
      </w:r>
    </w:p>
    <w:p w14:paraId="58DE59BA">
      <w:pPr>
        <w:widowControl w:val="0"/>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w:t>
      </w:r>
      <w:r>
        <w:rPr>
          <w:rFonts w:hint="eastAsia" w:ascii="宋体" w:hAnsi="宋体" w:cs="宋体"/>
          <w:sz w:val="21"/>
          <w:szCs w:val="21"/>
          <w:lang w:val="en-US" w:eastAsia="zh-CN" w:bidi="ar-SA"/>
        </w:rPr>
        <w:t>.</w:t>
      </w:r>
      <w:r>
        <w:rPr>
          <w:rFonts w:hint="eastAsia" w:ascii="宋体" w:hAnsi="宋体" w:eastAsia="宋体" w:cs="宋体"/>
          <w:sz w:val="21"/>
          <w:szCs w:val="21"/>
          <w:lang w:val="en-US" w:eastAsia="zh-CN" w:bidi="ar-SA"/>
        </w:rPr>
        <w:t>在仲裁期间，本合同应继续履行。</w:t>
      </w:r>
    </w:p>
    <w:p w14:paraId="3C797DB5">
      <w:pPr>
        <w:widowControl w:val="0"/>
        <w:spacing w:after="0" w:line="360" w:lineRule="auto"/>
        <w:ind w:left="0" w:firstLine="422"/>
        <w:jc w:val="both"/>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第十六条 诚实信用 </w:t>
      </w:r>
    </w:p>
    <w:p w14:paraId="4C83CDB9">
      <w:pPr>
        <w:widowControl w:val="0"/>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乙方应诚实信用，严格按照招标文件要求和投标承诺履行合同，不向甲方进行商业贿赂或者提供不正当利益。</w:t>
      </w:r>
    </w:p>
    <w:p w14:paraId="01CDA8DC">
      <w:pPr>
        <w:widowControl w:val="0"/>
        <w:spacing w:after="0" w:line="360" w:lineRule="auto"/>
        <w:ind w:left="0" w:firstLine="422"/>
        <w:jc w:val="both"/>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第十七条 合同生效</w:t>
      </w:r>
      <w:r>
        <w:rPr>
          <w:rFonts w:hint="eastAsia" w:ascii="宋体" w:hAnsi="宋体" w:cs="宋体"/>
          <w:b/>
          <w:bCs/>
          <w:sz w:val="21"/>
          <w:szCs w:val="21"/>
          <w:lang w:val="en-US" w:eastAsia="zh-CN" w:bidi="ar-SA"/>
        </w:rPr>
        <w:t>及其他</w:t>
      </w:r>
      <w:r>
        <w:rPr>
          <w:rFonts w:hint="eastAsia" w:ascii="宋体" w:hAnsi="宋体" w:eastAsia="宋体" w:cs="宋体"/>
          <w:b/>
          <w:bCs/>
          <w:sz w:val="21"/>
          <w:szCs w:val="21"/>
          <w:lang w:val="en-US" w:eastAsia="zh-CN" w:bidi="ar-SA"/>
        </w:rPr>
        <w:t xml:space="preserve"> </w:t>
      </w:r>
    </w:p>
    <w:p w14:paraId="16D45CE3">
      <w:pPr>
        <w:widowControl w:val="0"/>
        <w:tabs>
          <w:tab w:val="left" w:pos="589"/>
        </w:tabs>
        <w:spacing w:after="0" w:line="360" w:lineRule="auto"/>
        <w:ind w:left="0" w:firstLine="420"/>
        <w:jc w:val="both"/>
        <w:rPr>
          <w:rFonts w:hint="default" w:ascii="宋体" w:hAnsi="宋体" w:eastAsia="宋体" w:cs="宋体"/>
          <w:b/>
          <w:bCs/>
          <w:sz w:val="21"/>
          <w:szCs w:val="21"/>
          <w:lang w:val="en-US" w:eastAsia="zh-CN" w:bidi="ar-SA"/>
        </w:rPr>
      </w:pPr>
      <w:r>
        <w:rPr>
          <w:rFonts w:hint="eastAsia" w:ascii="宋体" w:hAnsi="宋体" w:eastAsia="宋体" w:cs="宋体"/>
          <w:sz w:val="21"/>
          <w:szCs w:val="21"/>
          <w:lang w:val="en-US" w:eastAsia="zh-CN" w:bidi="ar-SA"/>
        </w:rPr>
        <w:t>1</w:t>
      </w:r>
      <w:r>
        <w:rPr>
          <w:rFonts w:hint="eastAsia" w:ascii="宋体" w:hAnsi="宋体" w:cs="宋体"/>
          <w:sz w:val="21"/>
          <w:szCs w:val="21"/>
          <w:lang w:val="en-US" w:eastAsia="zh-CN" w:bidi="ar-SA"/>
        </w:rPr>
        <w:t>.</w:t>
      </w:r>
      <w:r>
        <w:rPr>
          <w:rFonts w:hint="eastAsia" w:asciiTheme="minorEastAsia" w:hAnsiTheme="minorEastAsia" w:eastAsiaTheme="minorEastAsia" w:cstheme="minorEastAsia"/>
          <w:color w:val="000000"/>
          <w:sz w:val="21"/>
          <w:szCs w:val="21"/>
          <w:highlight w:val="none"/>
          <w:lang w:eastAsia="zh-CN"/>
        </w:rPr>
        <w:t>合同履行期限：自甲方书面通知之日起供货，至所属分包预算资金使用完毕或供货满一年时自动终止，二者以先到者为准。</w:t>
      </w:r>
    </w:p>
    <w:p w14:paraId="3011B28F">
      <w:pPr>
        <w:widowControl w:val="0"/>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w:t>
      </w:r>
      <w:r>
        <w:rPr>
          <w:rFonts w:hint="eastAsia" w:ascii="宋体" w:hAnsi="宋体" w:cs="宋体"/>
          <w:sz w:val="21"/>
          <w:szCs w:val="21"/>
          <w:lang w:val="en-US" w:eastAsia="zh-CN" w:bidi="ar-SA"/>
        </w:rPr>
        <w:t>.</w:t>
      </w:r>
      <w:r>
        <w:rPr>
          <w:rFonts w:hint="eastAsia" w:ascii="宋体" w:hAnsi="宋体" w:eastAsia="宋体" w:cs="宋体"/>
          <w:sz w:val="21"/>
          <w:szCs w:val="21"/>
          <w:lang w:val="en-US" w:eastAsia="zh-CN" w:bidi="ar-SA"/>
        </w:rPr>
        <w:t>本合同一式肆份，甲乙双方各执贰份，具有同等法律效力。</w:t>
      </w:r>
    </w:p>
    <w:p w14:paraId="5DAC5C20">
      <w:pPr>
        <w:widowControl w:val="0"/>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3</w:t>
      </w:r>
      <w:r>
        <w:rPr>
          <w:rFonts w:hint="eastAsia" w:ascii="宋体" w:hAnsi="宋体" w:cs="宋体"/>
          <w:sz w:val="21"/>
          <w:szCs w:val="21"/>
          <w:lang w:val="en-US" w:eastAsia="zh-CN" w:bidi="ar-SA"/>
        </w:rPr>
        <w:t>.</w:t>
      </w:r>
      <w:r>
        <w:rPr>
          <w:rFonts w:hint="eastAsia" w:ascii="宋体" w:hAnsi="宋体" w:eastAsia="宋体" w:cs="宋体"/>
          <w:sz w:val="21"/>
          <w:szCs w:val="21"/>
          <w:lang w:val="en-US" w:eastAsia="zh-CN" w:bidi="ar-SA"/>
        </w:rPr>
        <w:t>本合同应按照中华人民共和国的现行法律进行解释。</w:t>
      </w:r>
    </w:p>
    <w:p w14:paraId="345BF8B2">
      <w:pPr>
        <w:widowControl w:val="0"/>
        <w:spacing w:after="0" w:line="360" w:lineRule="auto"/>
        <w:ind w:left="0" w:firstLine="420"/>
        <w:jc w:val="both"/>
        <w:rPr>
          <w:rFonts w:hint="eastAsia"/>
          <w:lang w:val="en-US" w:eastAsia="zh-CN"/>
        </w:rPr>
      </w:pPr>
      <w:r>
        <w:rPr>
          <w:rFonts w:hint="eastAsia" w:ascii="宋体" w:hAnsi="宋体" w:cs="宋体"/>
          <w:sz w:val="21"/>
          <w:szCs w:val="21"/>
          <w:lang w:val="en-US" w:eastAsia="zh-CN" w:bidi="ar-SA"/>
        </w:rPr>
        <w:t>第十八条</w:t>
      </w:r>
      <w:r>
        <w:rPr>
          <w:rFonts w:hint="eastAsia" w:ascii="宋体" w:hAnsi="宋体" w:eastAsia="宋体" w:cs="宋体"/>
          <w:b/>
          <w:bCs/>
          <w:sz w:val="21"/>
          <w:szCs w:val="21"/>
          <w:lang w:val="en-US" w:eastAsia="zh-CN" w:bidi="ar-SA"/>
        </w:rPr>
        <w:t xml:space="preserve"> </w:t>
      </w:r>
      <w:r>
        <w:rPr>
          <w:rFonts w:hint="eastAsia"/>
          <w:lang w:val="en-US" w:eastAsia="zh-CN"/>
        </w:rPr>
        <w:t>其他补充条款</w:t>
      </w:r>
    </w:p>
    <w:p w14:paraId="03005733">
      <w:pPr>
        <w:widowControl w:val="0"/>
        <w:tabs>
          <w:tab w:val="left" w:pos="589"/>
        </w:tabs>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其他补充条款，由甲方在签订本合同时列明。</w:t>
      </w:r>
    </w:p>
    <w:p w14:paraId="694127FE">
      <w:pPr>
        <w:pStyle w:val="2"/>
        <w:rPr>
          <w:rFonts w:hint="default"/>
          <w:lang w:val="en-US" w:eastAsia="zh-CN"/>
        </w:rPr>
      </w:pPr>
    </w:p>
    <w:p w14:paraId="325DCAFC">
      <w:pPr>
        <w:widowControl w:val="0"/>
        <w:spacing w:after="120" w:line="360" w:lineRule="auto"/>
        <w:ind w:left="420" w:firstLine="480"/>
        <w:jc w:val="both"/>
        <w:rPr>
          <w:rFonts w:hint="eastAsia" w:ascii="宋体" w:hAnsi="宋体" w:eastAsia="宋体" w:cs="宋体"/>
          <w:sz w:val="21"/>
          <w:szCs w:val="21"/>
          <w:lang w:val="en-US" w:eastAsia="zh-CN" w:bidi="ar-SA"/>
        </w:rPr>
      </w:pPr>
    </w:p>
    <w:p w14:paraId="4E4C8E8A">
      <w:pPr>
        <w:widowControl w:val="0"/>
        <w:spacing w:after="120" w:line="360" w:lineRule="auto"/>
        <w:ind w:left="420" w:firstLine="480"/>
        <w:jc w:val="both"/>
        <w:rPr>
          <w:rFonts w:hint="eastAsia" w:ascii="宋体" w:hAnsi="宋体" w:eastAsia="宋体" w:cs="宋体"/>
          <w:sz w:val="21"/>
          <w:szCs w:val="21"/>
          <w:lang w:val="en-US" w:eastAsia="zh-CN" w:bidi="ar-SA"/>
        </w:rPr>
      </w:pPr>
    </w:p>
    <w:p w14:paraId="018B28B7">
      <w:pPr>
        <w:widowControl w:val="0"/>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甲方（采购人）：（盖章）                  乙方（投标人）：（盖章）</w:t>
      </w:r>
    </w:p>
    <w:p w14:paraId="5DA41B5F">
      <w:pPr>
        <w:widowControl w:val="0"/>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委托</w:t>
      </w:r>
      <w:r>
        <w:rPr>
          <w:rFonts w:hint="eastAsia" w:ascii="宋体" w:hAnsi="宋体" w:eastAsia="宋体" w:cs="宋体"/>
          <w:sz w:val="21"/>
          <w:szCs w:val="21"/>
          <w:lang w:val="en-US" w:eastAsia="zh-CN" w:bidi="ar-SA"/>
        </w:rPr>
        <w:t xml:space="preserve">代表人：                              委托代表人： </w:t>
      </w:r>
    </w:p>
    <w:p w14:paraId="32C2FEBC">
      <w:pPr>
        <w:widowControl w:val="0"/>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电 话：                                   电 话：</w:t>
      </w:r>
    </w:p>
    <w:p w14:paraId="53A6835B">
      <w:pPr>
        <w:widowControl w:val="0"/>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开户银行：                                开户银行： </w:t>
      </w:r>
    </w:p>
    <w:p w14:paraId="67818B30">
      <w:pPr>
        <w:widowControl w:val="0"/>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帐 号：                                   帐 号：</w:t>
      </w:r>
    </w:p>
    <w:p w14:paraId="56B549C9">
      <w:pPr>
        <w:keepNext w:val="0"/>
        <w:keepLines w:val="0"/>
        <w:pageBreakBefore w:val="0"/>
        <w:widowControl w:val="0"/>
        <w:spacing w:before="145" w:after="145" w:line="264" w:lineRule="auto"/>
        <w:ind w:firstLine="420" w:firstLineChars="200"/>
        <w:jc w:val="both"/>
        <w:outlineLvl w:val="9"/>
        <w:rPr>
          <w:rFonts w:hint="eastAsia" w:ascii="方正小标宋简体" w:hAnsi="方正小标宋简体" w:eastAsia="方正小标宋简体" w:cs="方正小标宋简体"/>
          <w:b w:val="0"/>
          <w:bCs/>
          <w:sz w:val="32"/>
          <w:szCs w:val="32"/>
          <w:highlight w:val="none"/>
        </w:rPr>
      </w:pPr>
      <w:r>
        <w:rPr>
          <w:rFonts w:hint="eastAsia" w:ascii="宋体" w:hAnsi="宋体" w:eastAsia="宋体" w:cs="宋体"/>
          <w:sz w:val="21"/>
          <w:szCs w:val="21"/>
          <w:lang w:val="en-US" w:eastAsia="zh-CN" w:bidi="ar-SA"/>
        </w:rPr>
        <w:t>日 期：   年   月   日                    日 期：   年   月   日</w:t>
      </w:r>
    </w:p>
    <w:p w14:paraId="5E638137">
      <w:pPr>
        <w:spacing w:line="480" w:lineRule="auto"/>
        <w:rPr>
          <w:rFonts w:hint="eastAsia" w:hAnsi="宋体"/>
          <w:color w:val="auto"/>
          <w:szCs w:val="21"/>
          <w:highlight w:val="none"/>
        </w:rPr>
      </w:pPr>
    </w:p>
    <w:p w14:paraId="4384B2EE">
      <w:pPr>
        <w:rPr>
          <w:rFonts w:ascii="Arial" w:hAnsi="Arial" w:eastAsia="黑体" w:cs="Arial"/>
          <w:b/>
          <w:color w:val="auto"/>
          <w:sz w:val="28"/>
          <w:szCs w:val="28"/>
          <w:highlight w:val="none"/>
        </w:rPr>
      </w:pPr>
    </w:p>
    <w:p w14:paraId="0B3D3AED">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r>
    </w:p>
    <w:p w14:paraId="12D36A2D">
      <w:pPr>
        <w:numPr>
          <w:ilvl w:val="0"/>
          <w:numId w:val="0"/>
        </w:numPr>
        <w:spacing w:line="360" w:lineRule="auto"/>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第六章  投标文件格式及附件</w:t>
      </w:r>
      <w:bookmarkEnd w:id="119"/>
      <w:bookmarkEnd w:id="120"/>
      <w:bookmarkEnd w:id="121"/>
    </w:p>
    <w:p w14:paraId="0BB8E19A">
      <w:pPr>
        <w:spacing w:line="440" w:lineRule="exact"/>
        <w:rPr>
          <w:rFonts w:ascii="Arial" w:hAnsi="Arial" w:cs="Arial"/>
          <w:b/>
          <w:bCs/>
          <w:color w:val="auto"/>
          <w:sz w:val="24"/>
          <w:highlight w:val="none"/>
        </w:rPr>
      </w:pPr>
      <w:r>
        <w:rPr>
          <w:rFonts w:hint="eastAsia" w:ascii="Arial" w:hAnsi="Arial" w:cs="Arial"/>
          <w:b/>
          <w:bCs/>
          <w:color w:val="auto"/>
          <w:sz w:val="24"/>
          <w:highlight w:val="none"/>
        </w:rPr>
        <w:t>注：</w:t>
      </w:r>
    </w:p>
    <w:p w14:paraId="528B7634">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 xml:space="preserve">1.本部分内容仅提供格式参考。 </w:t>
      </w:r>
    </w:p>
    <w:p w14:paraId="792C481C">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 xml:space="preserve">2.供应商应按照以下文件的要求格式、内容制作投标文件，并编制目录及页码，混乱的编排导致投标文件被误读或查找不到，后果由供应商承担。 </w:t>
      </w:r>
    </w:p>
    <w:p w14:paraId="4D4EA02B">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 xml:space="preserve">3.所附表格中要求回答的全部问题和信息都必须正面回答。 </w:t>
      </w:r>
    </w:p>
    <w:p w14:paraId="72A0EDFF">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 xml:space="preserve">4.供应商提交的材料不予退还。 </w:t>
      </w:r>
    </w:p>
    <w:p w14:paraId="54146A1E">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 xml:space="preserve">5.全部文件应按投标人须知以及前附表中规定的语言和份数提交。 </w:t>
      </w:r>
    </w:p>
    <w:p w14:paraId="584AA7CB">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 xml:space="preserve">6.投标文件应按照投标文件格式逐项填写，无相应内容可填的项应填写“无”“未测试”“没有相应指标”等明确的回答文字。 </w:t>
      </w:r>
    </w:p>
    <w:p w14:paraId="3089C8F9">
      <w:pPr>
        <w:spacing w:line="360" w:lineRule="auto"/>
        <w:rPr>
          <w:rFonts w:hint="eastAsia" w:ascii="宋体" w:hAnsi="宋体" w:cs="宋体"/>
          <w:color w:val="auto"/>
          <w:sz w:val="24"/>
          <w:highlight w:val="none"/>
        </w:rPr>
        <w:sectPr>
          <w:headerReference r:id="rId10" w:type="default"/>
          <w:footerReference r:id="rId11" w:type="default"/>
          <w:pgSz w:w="11906" w:h="16838"/>
          <w:pgMar w:top="1020" w:right="907" w:bottom="1020" w:left="1020" w:header="737" w:footer="992" w:gutter="0"/>
          <w:pgNumType w:fmt="decimal"/>
          <w:cols w:space="1701" w:num="1"/>
          <w:titlePg/>
          <w:docGrid w:linePitch="360" w:charSpace="0"/>
        </w:sectPr>
      </w:pPr>
      <w:r>
        <w:rPr>
          <w:rFonts w:hint="eastAsia" w:ascii="宋体" w:hAnsi="宋体" w:cs="宋体"/>
          <w:color w:val="auto"/>
          <w:szCs w:val="21"/>
          <w:highlight w:val="none"/>
        </w:rPr>
        <w:t xml:space="preserve"> </w:t>
      </w:r>
    </w:p>
    <w:p w14:paraId="567B738D">
      <w:pPr>
        <w:pStyle w:val="37"/>
        <w:widowControl/>
        <w:spacing w:beforeAutospacing="0" w:afterAutospacing="0"/>
        <w:jc w:val="center"/>
        <w:rPr>
          <w:rFonts w:hint="eastAsia" w:ascii="宋体" w:hAnsi="宋体" w:cs="宋体"/>
          <w:b/>
          <w:bCs/>
          <w:color w:val="auto"/>
          <w:sz w:val="72"/>
          <w:szCs w:val="72"/>
          <w:highlight w:val="none"/>
        </w:rPr>
      </w:pPr>
    </w:p>
    <w:p w14:paraId="74FD2375">
      <w:pPr>
        <w:pStyle w:val="37"/>
        <w:widowControl/>
        <w:spacing w:beforeAutospacing="0" w:afterAutospacing="0"/>
        <w:jc w:val="center"/>
        <w:rPr>
          <w:rFonts w:hint="eastAsia" w:ascii="宋体" w:hAnsi="宋体" w:cs="宋体"/>
          <w:b/>
          <w:bCs/>
          <w:color w:val="auto"/>
          <w:sz w:val="72"/>
          <w:szCs w:val="72"/>
          <w:highlight w:val="none"/>
        </w:rPr>
      </w:pPr>
    </w:p>
    <w:p w14:paraId="0D7B0DA4">
      <w:pPr>
        <w:pStyle w:val="37"/>
        <w:widowControl/>
        <w:spacing w:beforeAutospacing="0" w:afterAutospacing="0"/>
        <w:jc w:val="center"/>
        <w:rPr>
          <w:rFonts w:ascii="宋体" w:hAnsi="宋体" w:cs="宋体"/>
          <w:b/>
          <w:bCs/>
          <w:color w:val="auto"/>
          <w:sz w:val="72"/>
          <w:szCs w:val="72"/>
          <w:highlight w:val="none"/>
        </w:rPr>
      </w:pPr>
      <w:r>
        <w:rPr>
          <w:rFonts w:ascii="宋体" w:hAnsi="宋体" w:cs="宋体"/>
          <w:b/>
          <w:bCs/>
          <w:color w:val="auto"/>
          <w:sz w:val="72"/>
          <w:szCs w:val="72"/>
          <w:highlight w:val="none"/>
        </w:rPr>
        <w:t>投标文件</w:t>
      </w:r>
    </w:p>
    <w:p w14:paraId="5B402AA3">
      <w:pPr>
        <w:pStyle w:val="37"/>
        <w:widowControl/>
        <w:spacing w:beforeAutospacing="0" w:afterAutospacing="0"/>
        <w:jc w:val="center"/>
        <w:rPr>
          <w:rFonts w:hint="eastAsia" w:ascii="宋体" w:hAnsi="宋体" w:eastAsia="宋体" w:cs="宋体"/>
          <w:b/>
          <w:bCs/>
          <w:color w:val="auto"/>
          <w:sz w:val="72"/>
          <w:szCs w:val="72"/>
          <w:highlight w:val="none"/>
          <w:lang w:eastAsia="zh-CN"/>
        </w:rPr>
      </w:pPr>
      <w:r>
        <w:rPr>
          <w:rFonts w:hint="eastAsia" w:ascii="宋体" w:hAnsi="宋体" w:cs="宋体"/>
          <w:b/>
          <w:bCs/>
          <w:color w:val="auto"/>
          <w:sz w:val="72"/>
          <w:szCs w:val="72"/>
          <w:highlight w:val="none"/>
          <w:lang w:eastAsia="zh-CN"/>
        </w:rPr>
        <w:t>（</w:t>
      </w:r>
      <w:r>
        <w:rPr>
          <w:rFonts w:hint="eastAsia" w:ascii="宋体" w:hAnsi="宋体" w:cs="宋体"/>
          <w:b/>
          <w:bCs/>
          <w:color w:val="auto"/>
          <w:sz w:val="72"/>
          <w:szCs w:val="72"/>
          <w:highlight w:val="none"/>
          <w:lang w:val="en-US" w:eastAsia="zh-CN"/>
        </w:rPr>
        <w:t>仅供参考</w:t>
      </w:r>
      <w:r>
        <w:rPr>
          <w:rFonts w:hint="eastAsia" w:ascii="宋体" w:hAnsi="宋体" w:cs="宋体"/>
          <w:b/>
          <w:bCs/>
          <w:color w:val="auto"/>
          <w:sz w:val="72"/>
          <w:szCs w:val="72"/>
          <w:highlight w:val="none"/>
          <w:lang w:eastAsia="zh-CN"/>
        </w:rPr>
        <w:t>）</w:t>
      </w:r>
    </w:p>
    <w:p w14:paraId="7E6119FF">
      <w:pPr>
        <w:pStyle w:val="37"/>
        <w:widowControl/>
        <w:spacing w:beforeAutospacing="0" w:afterAutospacing="0"/>
        <w:jc w:val="center"/>
        <w:rPr>
          <w:color w:val="auto"/>
          <w:highlight w:val="none"/>
        </w:rPr>
      </w:pPr>
      <w:r>
        <w:rPr>
          <w:rFonts w:ascii="宋体" w:hAnsi="宋体" w:cs="宋体"/>
          <w:b/>
          <w:bCs/>
          <w:color w:val="auto"/>
          <w:sz w:val="72"/>
          <w:szCs w:val="72"/>
          <w:highlight w:val="none"/>
        </w:rPr>
        <w:t> </w:t>
      </w:r>
    </w:p>
    <w:p w14:paraId="2C9F5C8A">
      <w:pPr>
        <w:pStyle w:val="37"/>
        <w:widowControl/>
        <w:spacing w:beforeAutospacing="0" w:afterAutospacing="0"/>
        <w:jc w:val="center"/>
        <w:rPr>
          <w:color w:val="auto"/>
          <w:highlight w:val="none"/>
        </w:rPr>
      </w:pPr>
      <w:r>
        <w:rPr>
          <w:rFonts w:ascii="宋体" w:hAnsi="宋体" w:cs="宋体"/>
          <w:b/>
          <w:bCs/>
          <w:color w:val="auto"/>
          <w:sz w:val="72"/>
          <w:szCs w:val="72"/>
          <w:highlight w:val="none"/>
        </w:rPr>
        <w:t> </w:t>
      </w:r>
    </w:p>
    <w:p w14:paraId="1EC74CF2">
      <w:pPr>
        <w:pStyle w:val="37"/>
        <w:widowControl/>
        <w:spacing w:beforeAutospacing="0" w:afterAutospacing="0"/>
        <w:jc w:val="center"/>
        <w:rPr>
          <w:color w:val="auto"/>
          <w:highlight w:val="none"/>
        </w:rPr>
      </w:pPr>
      <w:r>
        <w:rPr>
          <w:rFonts w:ascii="宋体" w:hAnsi="宋体" w:cs="宋体"/>
          <w:b/>
          <w:bCs/>
          <w:color w:val="auto"/>
          <w:sz w:val="36"/>
          <w:szCs w:val="36"/>
          <w:highlight w:val="none"/>
        </w:rPr>
        <w:t> </w:t>
      </w:r>
    </w:p>
    <w:p w14:paraId="201A187A">
      <w:pPr>
        <w:pStyle w:val="37"/>
        <w:widowControl/>
        <w:spacing w:beforeAutospacing="0" w:afterAutospacing="0"/>
        <w:jc w:val="center"/>
        <w:rPr>
          <w:color w:val="auto"/>
          <w:highlight w:val="none"/>
        </w:rPr>
      </w:pPr>
      <w:r>
        <w:rPr>
          <w:rFonts w:ascii="宋体" w:hAnsi="宋体" w:cs="宋体"/>
          <w:b/>
          <w:bCs/>
          <w:color w:val="auto"/>
          <w:sz w:val="36"/>
          <w:szCs w:val="36"/>
          <w:highlight w:val="none"/>
        </w:rPr>
        <w:t> </w:t>
      </w:r>
    </w:p>
    <w:p w14:paraId="2696028C">
      <w:pPr>
        <w:pStyle w:val="37"/>
        <w:widowControl/>
        <w:spacing w:beforeAutospacing="0" w:afterAutospacing="0"/>
        <w:jc w:val="center"/>
        <w:rPr>
          <w:color w:val="auto"/>
          <w:highlight w:val="none"/>
        </w:rPr>
      </w:pPr>
      <w:r>
        <w:rPr>
          <w:rFonts w:ascii="宋体" w:hAnsi="宋体" w:cs="宋体"/>
          <w:b/>
          <w:bCs/>
          <w:color w:val="auto"/>
          <w:sz w:val="36"/>
          <w:szCs w:val="36"/>
          <w:highlight w:val="none"/>
        </w:rPr>
        <w:t> </w:t>
      </w:r>
    </w:p>
    <w:p w14:paraId="672775FF">
      <w:pPr>
        <w:pStyle w:val="37"/>
        <w:widowControl/>
        <w:spacing w:beforeAutospacing="0" w:afterAutospacing="0"/>
        <w:ind w:firstLine="1081"/>
        <w:jc w:val="both"/>
        <w:rPr>
          <w:color w:val="auto"/>
          <w:highlight w:val="none"/>
        </w:rPr>
      </w:pPr>
      <w:r>
        <w:rPr>
          <w:rFonts w:ascii="宋体" w:hAnsi="宋体" w:cs="宋体"/>
          <w:b/>
          <w:bCs/>
          <w:color w:val="auto"/>
          <w:sz w:val="36"/>
          <w:szCs w:val="36"/>
          <w:highlight w:val="none"/>
        </w:rPr>
        <w:t>项 目 名 称：</w:t>
      </w:r>
      <w:r>
        <w:rPr>
          <w:rFonts w:ascii="宋体" w:hAnsi="宋体" w:cs="宋体"/>
          <w:b/>
          <w:bCs/>
          <w:color w:val="auto"/>
          <w:sz w:val="36"/>
          <w:szCs w:val="36"/>
          <w:highlight w:val="none"/>
          <w:u w:val="single"/>
        </w:rPr>
        <w:t>          </w:t>
      </w:r>
    </w:p>
    <w:p w14:paraId="2B38F8D2">
      <w:pPr>
        <w:pStyle w:val="37"/>
        <w:widowControl/>
        <w:spacing w:beforeAutospacing="0" w:afterAutospacing="0"/>
        <w:ind w:firstLine="1081"/>
        <w:jc w:val="both"/>
        <w:rPr>
          <w:color w:val="auto"/>
          <w:highlight w:val="none"/>
        </w:rPr>
      </w:pPr>
      <w:r>
        <w:rPr>
          <w:rFonts w:ascii="宋体" w:hAnsi="宋体" w:cs="宋体"/>
          <w:b/>
          <w:bCs/>
          <w:color w:val="auto"/>
          <w:sz w:val="36"/>
          <w:szCs w:val="36"/>
          <w:highlight w:val="none"/>
        </w:rPr>
        <w:t>招 标 编 号：</w:t>
      </w:r>
      <w:r>
        <w:rPr>
          <w:rFonts w:ascii="宋体" w:hAnsi="宋体" w:cs="宋体"/>
          <w:b/>
          <w:bCs/>
          <w:color w:val="auto"/>
          <w:sz w:val="36"/>
          <w:szCs w:val="36"/>
          <w:highlight w:val="none"/>
          <w:u w:val="single"/>
        </w:rPr>
        <w:t>          </w:t>
      </w:r>
    </w:p>
    <w:p w14:paraId="4287EB75">
      <w:pPr>
        <w:pStyle w:val="37"/>
        <w:widowControl/>
        <w:spacing w:beforeAutospacing="0" w:afterAutospacing="0"/>
        <w:jc w:val="both"/>
        <w:rPr>
          <w:color w:val="auto"/>
          <w:highlight w:val="none"/>
        </w:rPr>
      </w:pPr>
      <w:r>
        <w:rPr>
          <w:rFonts w:ascii="宋体" w:hAnsi="宋体" w:cs="宋体"/>
          <w:b/>
          <w:bCs/>
          <w:color w:val="auto"/>
          <w:sz w:val="36"/>
          <w:szCs w:val="36"/>
          <w:highlight w:val="none"/>
        </w:rPr>
        <w:t>   投标人名称 ：</w:t>
      </w:r>
      <w:r>
        <w:rPr>
          <w:rFonts w:ascii="宋体" w:hAnsi="宋体" w:cs="宋体"/>
          <w:b/>
          <w:bCs/>
          <w:color w:val="auto"/>
          <w:sz w:val="36"/>
          <w:szCs w:val="36"/>
          <w:highlight w:val="none"/>
          <w:u w:val="single"/>
        </w:rPr>
        <w:t>（加盖CA电子公章）</w:t>
      </w:r>
    </w:p>
    <w:p w14:paraId="5F337BF7">
      <w:pPr>
        <w:pStyle w:val="37"/>
        <w:widowControl/>
        <w:spacing w:beforeAutospacing="0" w:afterAutospacing="0"/>
        <w:jc w:val="both"/>
        <w:rPr>
          <w:color w:val="auto"/>
          <w:highlight w:val="none"/>
        </w:rPr>
      </w:pPr>
      <w:r>
        <w:rPr>
          <w:rFonts w:ascii="宋体" w:hAnsi="宋体" w:cs="宋体"/>
          <w:b/>
          <w:bCs/>
          <w:color w:val="auto"/>
          <w:sz w:val="36"/>
          <w:szCs w:val="36"/>
          <w:highlight w:val="none"/>
        </w:rPr>
        <w:t>   日 </w:t>
      </w:r>
      <w:r>
        <w:rPr>
          <w:rFonts w:hint="eastAsia" w:cs="宋体"/>
          <w:b/>
          <w:bCs/>
          <w:color w:val="auto"/>
          <w:sz w:val="36"/>
          <w:szCs w:val="36"/>
          <w:highlight w:val="none"/>
        </w:rPr>
        <w:t xml:space="preserve">    </w:t>
      </w:r>
      <w:r>
        <w:rPr>
          <w:rFonts w:ascii="宋体" w:hAnsi="宋体" w:cs="宋体"/>
          <w:b/>
          <w:bCs/>
          <w:color w:val="auto"/>
          <w:sz w:val="36"/>
          <w:szCs w:val="36"/>
          <w:highlight w:val="none"/>
        </w:rPr>
        <w:t>期 ：</w:t>
      </w:r>
      <w:r>
        <w:rPr>
          <w:rFonts w:ascii="宋体" w:hAnsi="宋体" w:cs="宋体"/>
          <w:b/>
          <w:bCs/>
          <w:color w:val="auto"/>
          <w:sz w:val="36"/>
          <w:szCs w:val="36"/>
          <w:highlight w:val="none"/>
          <w:u w:val="single"/>
        </w:rPr>
        <w:t>          </w:t>
      </w:r>
    </w:p>
    <w:p w14:paraId="1F0E69C0">
      <w:pPr>
        <w:jc w:val="center"/>
        <w:rPr>
          <w:rFonts w:hint="eastAsia" w:ascii="宋体" w:hAnsi="宋体" w:cs="宋体"/>
          <w:b/>
          <w:color w:val="auto"/>
          <w:sz w:val="36"/>
          <w:szCs w:val="36"/>
          <w:highlight w:val="none"/>
        </w:rPr>
      </w:pPr>
    </w:p>
    <w:p w14:paraId="43F880B1">
      <w:pPr>
        <w:rPr>
          <w:rFonts w:hint="eastAsia" w:ascii="宋体" w:hAnsi="宋体" w:cs="宋体"/>
          <w:b/>
          <w:color w:val="auto"/>
          <w:sz w:val="36"/>
          <w:szCs w:val="36"/>
          <w:highlight w:val="none"/>
        </w:rPr>
      </w:pPr>
    </w:p>
    <w:p w14:paraId="6AE393A9">
      <w:pPr>
        <w:rPr>
          <w:rFonts w:hint="eastAsia" w:ascii="宋体" w:hAnsi="宋体" w:cs="宋体"/>
          <w:b/>
          <w:color w:val="auto"/>
          <w:sz w:val="36"/>
          <w:szCs w:val="36"/>
          <w:highlight w:val="none"/>
        </w:rPr>
      </w:pPr>
    </w:p>
    <w:p w14:paraId="60EFFF9B">
      <w:pPr>
        <w:rPr>
          <w:rFonts w:hint="eastAsia" w:ascii="宋体" w:hAnsi="宋体" w:cs="宋体"/>
          <w:b/>
          <w:color w:val="auto"/>
          <w:sz w:val="36"/>
          <w:szCs w:val="36"/>
          <w:highlight w:val="none"/>
        </w:rPr>
      </w:pPr>
    </w:p>
    <w:p w14:paraId="2C6C98AA">
      <w:pPr>
        <w:rPr>
          <w:rFonts w:hint="eastAsia" w:ascii="宋体" w:hAnsi="宋体" w:cs="宋体"/>
          <w:b/>
          <w:color w:val="auto"/>
          <w:sz w:val="36"/>
          <w:szCs w:val="36"/>
          <w:highlight w:val="none"/>
        </w:rPr>
      </w:pPr>
    </w:p>
    <w:p w14:paraId="74FC4678">
      <w:pPr>
        <w:rPr>
          <w:rFonts w:hint="eastAsia" w:ascii="宋体" w:hAnsi="宋体" w:cs="宋体"/>
          <w:b/>
          <w:color w:val="auto"/>
          <w:sz w:val="36"/>
          <w:szCs w:val="36"/>
          <w:highlight w:val="none"/>
        </w:rPr>
      </w:pPr>
    </w:p>
    <w:p w14:paraId="73C48F18">
      <w:pPr>
        <w:rPr>
          <w:rFonts w:hint="eastAsia" w:ascii="宋体" w:hAnsi="宋体" w:cs="宋体"/>
          <w:b/>
          <w:color w:val="auto"/>
          <w:sz w:val="36"/>
          <w:szCs w:val="36"/>
          <w:highlight w:val="none"/>
        </w:rPr>
      </w:pPr>
    </w:p>
    <w:p w14:paraId="7FAEE087">
      <w:pPr>
        <w:rPr>
          <w:rFonts w:hint="eastAsia" w:ascii="宋体" w:hAnsi="宋体" w:cs="宋体"/>
          <w:b/>
          <w:color w:val="auto"/>
          <w:sz w:val="36"/>
          <w:szCs w:val="36"/>
          <w:highlight w:val="none"/>
        </w:rPr>
      </w:pPr>
    </w:p>
    <w:p w14:paraId="4CF77F51">
      <w:pPr>
        <w:rPr>
          <w:rFonts w:hint="eastAsia" w:ascii="宋体" w:hAnsi="宋体" w:cs="宋体"/>
          <w:b/>
          <w:color w:val="auto"/>
          <w:sz w:val="36"/>
          <w:szCs w:val="36"/>
          <w:highlight w:val="none"/>
        </w:rPr>
      </w:pPr>
    </w:p>
    <w:p w14:paraId="2ED61A14">
      <w:pPr>
        <w:rPr>
          <w:rFonts w:hint="eastAsia" w:ascii="宋体" w:hAnsi="宋体" w:cs="宋体"/>
          <w:b/>
          <w:color w:val="auto"/>
          <w:sz w:val="36"/>
          <w:szCs w:val="36"/>
          <w:highlight w:val="none"/>
        </w:rPr>
      </w:pPr>
    </w:p>
    <w:p w14:paraId="2710F771">
      <w:pPr>
        <w:rPr>
          <w:rFonts w:hint="eastAsia" w:ascii="宋体" w:hAnsi="宋体" w:cs="宋体"/>
          <w:b/>
          <w:color w:val="auto"/>
          <w:sz w:val="36"/>
          <w:szCs w:val="36"/>
          <w:highlight w:val="none"/>
        </w:rPr>
      </w:pPr>
    </w:p>
    <w:p w14:paraId="64BAF869">
      <w:pPr>
        <w:rPr>
          <w:rFonts w:hint="eastAsia" w:ascii="宋体" w:hAnsi="宋体" w:cs="宋体"/>
          <w:b/>
          <w:color w:val="auto"/>
          <w:sz w:val="36"/>
          <w:szCs w:val="36"/>
          <w:highlight w:val="none"/>
        </w:rPr>
      </w:pPr>
    </w:p>
    <w:p w14:paraId="7EEDC510">
      <w:pPr>
        <w:rPr>
          <w:rFonts w:hint="eastAsia" w:ascii="宋体" w:hAnsi="宋体" w:cs="宋体"/>
          <w:b/>
          <w:color w:val="auto"/>
          <w:sz w:val="36"/>
          <w:szCs w:val="36"/>
          <w:highlight w:val="none"/>
        </w:rPr>
      </w:pPr>
    </w:p>
    <w:p w14:paraId="29CA593D">
      <w:pPr>
        <w:rPr>
          <w:rFonts w:hint="eastAsia" w:ascii="宋体" w:hAnsi="宋体" w:cs="宋体"/>
          <w:b/>
          <w:color w:val="auto"/>
          <w:sz w:val="36"/>
          <w:szCs w:val="36"/>
          <w:highlight w:val="none"/>
        </w:rPr>
      </w:pPr>
    </w:p>
    <w:p w14:paraId="070B012E">
      <w:pPr>
        <w:spacing w:line="360" w:lineRule="auto"/>
        <w:outlineLvl w:val="0"/>
        <w:rPr>
          <w:rFonts w:hint="eastAsia" w:ascii="宋体" w:hAnsi="宋体" w:cs="宋体"/>
          <w:b/>
          <w:color w:val="auto"/>
          <w:sz w:val="24"/>
          <w:szCs w:val="24"/>
          <w:highlight w:val="none"/>
        </w:rPr>
      </w:pPr>
      <w:r>
        <w:rPr>
          <w:rFonts w:hint="eastAsia" w:ascii="宋体" w:hAnsi="宋体" w:cs="宋体"/>
          <w:b/>
          <w:color w:val="auto"/>
          <w:sz w:val="24"/>
          <w:szCs w:val="24"/>
          <w:highlight w:val="none"/>
        </w:rPr>
        <w:t>（一）投标函(格式)：</w:t>
      </w:r>
    </w:p>
    <w:p w14:paraId="0A219B6D">
      <w:pPr>
        <w:spacing w:line="360" w:lineRule="auto"/>
        <w:jc w:val="center"/>
        <w:rPr>
          <w:rFonts w:hint="eastAsia" w:ascii="宋体" w:hAnsi="宋体" w:cs="宋体"/>
          <w:b/>
          <w:color w:val="auto"/>
          <w:sz w:val="36"/>
          <w:szCs w:val="28"/>
          <w:highlight w:val="none"/>
        </w:rPr>
      </w:pPr>
      <w:r>
        <w:rPr>
          <w:rFonts w:hint="eastAsia" w:ascii="宋体" w:hAnsi="宋体" w:cs="宋体"/>
          <w:b/>
          <w:color w:val="auto"/>
          <w:sz w:val="36"/>
          <w:szCs w:val="28"/>
          <w:highlight w:val="none"/>
        </w:rPr>
        <w:t>投  标  函</w:t>
      </w:r>
    </w:p>
    <w:p w14:paraId="617E4A48">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致</w:t>
      </w:r>
      <w:r>
        <w:rPr>
          <w:rFonts w:hint="eastAsia" w:ascii="宋体" w:hAnsi="宋体" w:cs="宋体"/>
          <w:bCs/>
          <w:color w:val="auto"/>
          <w:szCs w:val="21"/>
          <w:highlight w:val="none"/>
          <w:lang w:eastAsia="zh-CN"/>
        </w:rPr>
        <w:t>江苏盛德量行建设咨询有限公司</w:t>
      </w:r>
      <w:r>
        <w:rPr>
          <w:rFonts w:hint="eastAsia" w:ascii="宋体" w:hAnsi="宋体" w:cs="宋体"/>
          <w:bCs/>
          <w:color w:val="auto"/>
          <w:szCs w:val="21"/>
          <w:highlight w:val="none"/>
        </w:rPr>
        <w:t>：</w:t>
      </w:r>
    </w:p>
    <w:p w14:paraId="59FD5E22">
      <w:pPr>
        <w:widowControl/>
        <w:spacing w:line="360" w:lineRule="auto"/>
        <w:ind w:firstLine="420"/>
        <w:jc w:val="left"/>
        <w:rPr>
          <w:rFonts w:hint="eastAsia" w:ascii="宋体" w:hAnsi="宋体" w:cs="宋体"/>
          <w:bCs/>
          <w:color w:val="auto"/>
          <w:szCs w:val="21"/>
          <w:highlight w:val="none"/>
        </w:rPr>
      </w:pPr>
      <w:r>
        <w:rPr>
          <w:rFonts w:hint="eastAsia" w:ascii="宋体" w:hAnsi="宋体" w:cs="宋体"/>
          <w:bCs/>
          <w:color w:val="auto"/>
          <w:szCs w:val="21"/>
          <w:highlight w:val="none"/>
        </w:rPr>
        <w:t>我方收到贵方编号</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招标文件，经仔细阅读和研究，我们决定参加此次项目的投标。</w:t>
      </w:r>
    </w:p>
    <w:p w14:paraId="2ABDC217">
      <w:pPr>
        <w:tabs>
          <w:tab w:val="left" w:pos="420"/>
          <w:tab w:val="left" w:pos="945"/>
          <w:tab w:val="left" w:pos="1155"/>
        </w:tabs>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一、我方愿意按照招标文件的一切要求，提供本项目的投标，投标总价见《开标一览表》。</w:t>
      </w:r>
    </w:p>
    <w:p w14:paraId="69F9BA46">
      <w:pPr>
        <w:tabs>
          <w:tab w:val="left" w:pos="315"/>
          <w:tab w:val="left" w:pos="945"/>
          <w:tab w:val="left" w:pos="1155"/>
        </w:tabs>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二、我方愿意提供</w:t>
      </w:r>
      <w:r>
        <w:rPr>
          <w:rFonts w:hint="eastAsia" w:ascii="宋体" w:hAnsi="宋体" w:cs="宋体"/>
          <w:bCs/>
          <w:color w:val="auto"/>
          <w:szCs w:val="21"/>
          <w:highlight w:val="none"/>
          <w:lang w:eastAsia="zh-CN"/>
        </w:rPr>
        <w:t>江苏盛德量行建设咨询有限公司</w:t>
      </w:r>
      <w:r>
        <w:rPr>
          <w:rFonts w:hint="eastAsia" w:ascii="宋体" w:hAnsi="宋体" w:cs="宋体"/>
          <w:bCs/>
          <w:color w:val="auto"/>
          <w:szCs w:val="21"/>
          <w:highlight w:val="none"/>
        </w:rPr>
        <w:t>在招标文件中要求的文件、资料。</w:t>
      </w:r>
    </w:p>
    <w:p w14:paraId="1709DC0F">
      <w:pPr>
        <w:tabs>
          <w:tab w:val="left" w:pos="945"/>
        </w:tabs>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三、我方同意按招标文件中的规定，本投标文件投标的有效期限为开标之日起90天。</w:t>
      </w:r>
    </w:p>
    <w:p w14:paraId="30BB79F5">
      <w:pPr>
        <w:tabs>
          <w:tab w:val="left" w:pos="945"/>
        </w:tabs>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四、如果我方的投标文件被接受，我方将履行招标文件中规定的每一项要求，按期、按质、按量，完成服务任务。</w:t>
      </w:r>
    </w:p>
    <w:p w14:paraId="7C7D18C0">
      <w:pPr>
        <w:tabs>
          <w:tab w:val="left" w:pos="945"/>
        </w:tabs>
        <w:spacing w:line="360" w:lineRule="auto"/>
        <w:ind w:left="480"/>
        <w:rPr>
          <w:rFonts w:hint="eastAsia" w:ascii="宋体" w:hAnsi="宋体" w:cs="宋体"/>
          <w:bCs/>
          <w:color w:val="auto"/>
          <w:szCs w:val="21"/>
          <w:highlight w:val="none"/>
        </w:rPr>
      </w:pPr>
      <w:r>
        <w:rPr>
          <w:rFonts w:hint="eastAsia" w:ascii="宋体" w:hAnsi="宋体" w:cs="宋体"/>
          <w:bCs/>
          <w:color w:val="auto"/>
          <w:szCs w:val="21"/>
          <w:highlight w:val="none"/>
        </w:rPr>
        <w:t>五、我方认为你们有权决定中标者。</w:t>
      </w:r>
    </w:p>
    <w:p w14:paraId="0092DD2F">
      <w:pPr>
        <w:tabs>
          <w:tab w:val="left" w:pos="315"/>
          <w:tab w:val="left" w:pos="945"/>
          <w:tab w:val="left" w:pos="1155"/>
        </w:tabs>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六、我方愿意遵守《中华人民共和国政府采购法》，并按《中华人民共和国民法典》、财政部《政府采购货物和服务招标投标管理办法》和合同条款履行自己的全部责任。</w:t>
      </w:r>
    </w:p>
    <w:p w14:paraId="4CF9883B">
      <w:pPr>
        <w:tabs>
          <w:tab w:val="left" w:pos="315"/>
          <w:tab w:val="left" w:pos="945"/>
          <w:tab w:val="left" w:pos="1155"/>
        </w:tabs>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七、我方认可并遵守招标文件的所有规定，放弃对招标文件提出质疑的权利。</w:t>
      </w:r>
    </w:p>
    <w:p w14:paraId="205D6977">
      <w:pPr>
        <w:tabs>
          <w:tab w:val="left" w:pos="945"/>
        </w:tabs>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p>
    <w:p w14:paraId="5DFC817F">
      <w:pPr>
        <w:tabs>
          <w:tab w:val="left" w:pos="945"/>
        </w:tabs>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九、我方决不提供虚假材料谋取中标、决不采取不正当手段诋毁、排挤其他供应商、决不与采购人、其它供应商或者</w:t>
      </w:r>
      <w:r>
        <w:rPr>
          <w:rFonts w:hint="eastAsia" w:ascii="宋体" w:hAnsi="宋体" w:cs="宋体"/>
          <w:bCs/>
          <w:color w:val="auto"/>
          <w:szCs w:val="21"/>
          <w:highlight w:val="none"/>
          <w:lang w:eastAsia="zh-CN"/>
        </w:rPr>
        <w:t>江苏盛德量行建设咨询有限公司</w:t>
      </w:r>
      <w:r>
        <w:rPr>
          <w:rFonts w:hint="eastAsia" w:ascii="宋体" w:hAnsi="宋体" w:cs="宋体"/>
          <w:bCs/>
          <w:color w:val="auto"/>
          <w:szCs w:val="21"/>
          <w:highlight w:val="none"/>
        </w:rPr>
        <w:t>恶意串通、决不向采购人、</w:t>
      </w:r>
      <w:r>
        <w:rPr>
          <w:rFonts w:hint="eastAsia" w:ascii="宋体" w:hAnsi="宋体" w:cs="宋体"/>
          <w:bCs/>
          <w:color w:val="auto"/>
          <w:szCs w:val="21"/>
          <w:highlight w:val="none"/>
          <w:lang w:eastAsia="zh-CN"/>
        </w:rPr>
        <w:t>江苏盛德量行建设咨询有限公司</w:t>
      </w:r>
      <w:r>
        <w:rPr>
          <w:rFonts w:hint="eastAsia" w:ascii="宋体" w:hAnsi="宋体" w:cs="宋体"/>
          <w:bCs/>
          <w:color w:val="auto"/>
          <w:szCs w:val="21"/>
          <w:highlight w:val="none"/>
        </w:rPr>
        <w:t>工作人员和评委进行商业贿赂、决不在采购过程中与采购人进行协商谈判、决不拒绝有关部门监督检查或提供虚假情况，如有违反，无条件接受贵方及相关管理部门的处罚。</w:t>
      </w:r>
    </w:p>
    <w:p w14:paraId="76C7D9D0">
      <w:pPr>
        <w:spacing w:line="360" w:lineRule="auto"/>
        <w:ind w:firstLine="420"/>
        <w:rPr>
          <w:rFonts w:hint="eastAsia" w:ascii="宋体" w:hAnsi="宋体" w:cs="宋体"/>
          <w:bCs/>
          <w:color w:val="auto"/>
          <w:szCs w:val="21"/>
          <w:highlight w:val="none"/>
        </w:rPr>
      </w:pPr>
    </w:p>
    <w:p w14:paraId="5B9CC5CB">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投标人(盖章)：     </w:t>
      </w:r>
    </w:p>
    <w:p w14:paraId="37CA775E">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法定代表人或法定代表人授权代表签字或盖章：</w:t>
      </w:r>
    </w:p>
    <w:p w14:paraId="16867662">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电话：                              传真：</w:t>
      </w:r>
    </w:p>
    <w:p w14:paraId="02F421C8">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通讯地址：                          邮编：</w:t>
      </w:r>
    </w:p>
    <w:p w14:paraId="3834A9B9">
      <w:pPr>
        <w:spacing w:line="360" w:lineRule="auto"/>
        <w:outlineLvl w:val="0"/>
        <w:rPr>
          <w:rFonts w:eastAsia="黑体"/>
          <w:bCs/>
          <w:color w:val="auto"/>
          <w:sz w:val="24"/>
          <w:szCs w:val="24"/>
          <w:highlight w:val="none"/>
        </w:rPr>
        <w:sectPr>
          <w:pgSz w:w="11907" w:h="16840"/>
          <w:pgMar w:top="1134" w:right="1134" w:bottom="1134" w:left="1134" w:header="851" w:footer="992" w:gutter="0"/>
          <w:pgNumType w:fmt="decimal"/>
          <w:cols w:space="720" w:num="1"/>
          <w:docGrid w:linePitch="360" w:charSpace="0"/>
        </w:sectPr>
      </w:pPr>
    </w:p>
    <w:p w14:paraId="3FD84E00">
      <w:pPr>
        <w:spacing w:line="360" w:lineRule="auto"/>
        <w:outlineLvl w:val="0"/>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 （二）关于资格的声明函(格式)：</w:t>
      </w:r>
    </w:p>
    <w:p w14:paraId="2E18052A">
      <w:pPr>
        <w:spacing w:line="360" w:lineRule="auto"/>
        <w:jc w:val="center"/>
        <w:rPr>
          <w:rFonts w:hint="eastAsia" w:ascii="宋体" w:hAnsi="宋体" w:cs="宋体"/>
          <w:b/>
          <w:color w:val="auto"/>
          <w:sz w:val="36"/>
          <w:szCs w:val="28"/>
          <w:highlight w:val="none"/>
        </w:rPr>
      </w:pPr>
    </w:p>
    <w:p w14:paraId="3849F572">
      <w:pPr>
        <w:spacing w:line="360" w:lineRule="auto"/>
        <w:jc w:val="center"/>
        <w:rPr>
          <w:rFonts w:hint="eastAsia" w:ascii="宋体" w:hAnsi="宋体" w:cs="宋体"/>
          <w:b/>
          <w:color w:val="auto"/>
          <w:sz w:val="36"/>
          <w:szCs w:val="28"/>
          <w:highlight w:val="none"/>
        </w:rPr>
      </w:pPr>
      <w:r>
        <w:rPr>
          <w:rFonts w:hint="eastAsia" w:ascii="宋体" w:hAnsi="宋体" w:cs="宋体"/>
          <w:b/>
          <w:color w:val="auto"/>
          <w:sz w:val="36"/>
          <w:szCs w:val="28"/>
          <w:highlight w:val="none"/>
        </w:rPr>
        <w:t>关于资格的声明函</w:t>
      </w:r>
    </w:p>
    <w:p w14:paraId="7E51F367">
      <w:pPr>
        <w:jc w:val="center"/>
        <w:rPr>
          <w:rFonts w:ascii="黑体" w:eastAsia="黑体"/>
          <w:bCs/>
          <w:color w:val="auto"/>
          <w:sz w:val="32"/>
          <w:highlight w:val="none"/>
        </w:rPr>
      </w:pPr>
    </w:p>
    <w:p w14:paraId="66810CDC">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招标编号：</w:t>
      </w:r>
    </w:p>
    <w:p w14:paraId="394E494C">
      <w:pPr>
        <w:tabs>
          <w:tab w:val="left" w:pos="6300"/>
        </w:tabs>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        日期：</w:t>
      </w:r>
    </w:p>
    <w:p w14:paraId="6A16867C">
      <w:pPr>
        <w:spacing w:line="360" w:lineRule="auto"/>
        <w:jc w:val="center"/>
        <w:rPr>
          <w:rFonts w:hint="eastAsia" w:ascii="宋体" w:hAnsi="宋体" w:cs="宋体"/>
          <w:bCs/>
          <w:color w:val="auto"/>
          <w:szCs w:val="21"/>
          <w:highlight w:val="none"/>
        </w:rPr>
      </w:pPr>
    </w:p>
    <w:p w14:paraId="52DA981D">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eastAsia="zh-CN"/>
        </w:rPr>
        <w:t>江苏盛德量行建设咨询有限公司</w:t>
      </w:r>
      <w:r>
        <w:rPr>
          <w:rFonts w:hint="eastAsia" w:ascii="宋体" w:hAnsi="宋体" w:cs="宋体"/>
          <w:bCs/>
          <w:color w:val="auto"/>
          <w:szCs w:val="21"/>
          <w:highlight w:val="none"/>
        </w:rPr>
        <w:t>：</w:t>
      </w:r>
    </w:p>
    <w:p w14:paraId="6E762821">
      <w:pPr>
        <w:spacing w:line="360" w:lineRule="auto"/>
        <w:rPr>
          <w:rFonts w:hint="eastAsia" w:ascii="宋体" w:hAnsi="宋体" w:cs="宋体"/>
          <w:bCs/>
          <w:color w:val="auto"/>
          <w:szCs w:val="21"/>
          <w:highlight w:val="none"/>
        </w:rPr>
      </w:pPr>
    </w:p>
    <w:p w14:paraId="1817CF8C">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我公司（单位）参加本次项目（招标编号：）政府采购活动前三年内，在经营活动中没有重大违法记录，我公司（单位）愿针对本次项目进行投标，投标文件中所有关于投标资格的文件、证明、陈述均是真实的、准确的。若有违背，我公司（单位）愿意承担由此而产生的一切后果。</w:t>
      </w:r>
    </w:p>
    <w:p w14:paraId="19E87F4F">
      <w:pPr>
        <w:spacing w:line="360" w:lineRule="auto"/>
        <w:rPr>
          <w:rFonts w:hint="eastAsia" w:ascii="宋体" w:hAnsi="宋体" w:cs="宋体"/>
          <w:bCs/>
          <w:color w:val="auto"/>
          <w:szCs w:val="21"/>
          <w:highlight w:val="none"/>
        </w:rPr>
      </w:pPr>
    </w:p>
    <w:p w14:paraId="4E9714BB">
      <w:pPr>
        <w:spacing w:line="360" w:lineRule="auto"/>
        <w:rPr>
          <w:rFonts w:hint="eastAsia" w:ascii="宋体" w:hAnsi="宋体" w:cs="宋体"/>
          <w:bCs/>
          <w:color w:val="auto"/>
          <w:szCs w:val="21"/>
          <w:highlight w:val="none"/>
        </w:rPr>
      </w:pPr>
    </w:p>
    <w:p w14:paraId="57A29123">
      <w:pPr>
        <w:spacing w:line="360" w:lineRule="auto"/>
        <w:rPr>
          <w:rFonts w:hint="eastAsia" w:ascii="宋体" w:hAnsi="宋体" w:cs="宋体"/>
          <w:bCs/>
          <w:color w:val="auto"/>
          <w:szCs w:val="21"/>
          <w:highlight w:val="none"/>
        </w:rPr>
      </w:pPr>
    </w:p>
    <w:p w14:paraId="5A06BFDC">
      <w:pPr>
        <w:spacing w:line="360" w:lineRule="auto"/>
        <w:ind w:firstLine="4200"/>
        <w:rPr>
          <w:rFonts w:hint="eastAsia" w:ascii="宋体" w:hAnsi="宋体" w:cs="宋体"/>
          <w:bCs/>
          <w:color w:val="auto"/>
          <w:szCs w:val="21"/>
          <w:highlight w:val="none"/>
        </w:rPr>
      </w:pPr>
      <w:r>
        <w:rPr>
          <w:rFonts w:hint="eastAsia" w:ascii="宋体" w:hAnsi="宋体" w:cs="宋体"/>
          <w:bCs/>
          <w:color w:val="auto"/>
          <w:szCs w:val="21"/>
          <w:highlight w:val="none"/>
        </w:rPr>
        <w:t>投标人（盖章）：</w:t>
      </w:r>
    </w:p>
    <w:p w14:paraId="7C83321F">
      <w:pPr>
        <w:spacing w:line="360" w:lineRule="auto"/>
        <w:ind w:firstLine="1050"/>
        <w:rPr>
          <w:rFonts w:hint="eastAsia" w:ascii="宋体" w:hAnsi="宋体" w:cs="宋体"/>
          <w:bCs/>
          <w:color w:val="auto"/>
          <w:szCs w:val="21"/>
          <w:highlight w:val="none"/>
        </w:rPr>
      </w:pPr>
    </w:p>
    <w:p w14:paraId="08CCBEB7">
      <w:pPr>
        <w:spacing w:line="360" w:lineRule="auto"/>
        <w:ind w:firstLine="1050"/>
        <w:rPr>
          <w:rFonts w:hint="eastAsia" w:ascii="宋体" w:hAnsi="宋体" w:cs="宋体"/>
          <w:bCs/>
          <w:color w:val="auto"/>
          <w:szCs w:val="21"/>
          <w:highlight w:val="none"/>
        </w:rPr>
      </w:pPr>
      <w:r>
        <w:rPr>
          <w:rFonts w:hint="eastAsia" w:ascii="宋体" w:hAnsi="宋体" w:cs="宋体"/>
          <w:bCs/>
          <w:color w:val="auto"/>
          <w:szCs w:val="21"/>
          <w:highlight w:val="none"/>
        </w:rPr>
        <w:t>法定代表人或法定代表人授权代表（签字或盖章）：</w:t>
      </w:r>
    </w:p>
    <w:p w14:paraId="44C56019">
      <w:pPr>
        <w:spacing w:line="480" w:lineRule="auto"/>
        <w:rPr>
          <w:rFonts w:ascii="宋体"/>
          <w:bCs/>
          <w:color w:val="auto"/>
          <w:sz w:val="24"/>
          <w:szCs w:val="24"/>
          <w:highlight w:val="none"/>
        </w:rPr>
      </w:pPr>
    </w:p>
    <w:p w14:paraId="6748B781">
      <w:pPr>
        <w:ind w:firstLine="480"/>
        <w:outlineLvl w:val="0"/>
        <w:rPr>
          <w:rFonts w:hint="eastAsia" w:ascii="黑体" w:hAnsi="宋体" w:eastAsia="黑体"/>
          <w:bCs/>
          <w:color w:val="auto"/>
          <w:sz w:val="24"/>
          <w:szCs w:val="24"/>
          <w:highlight w:val="none"/>
        </w:rPr>
      </w:pPr>
    </w:p>
    <w:p w14:paraId="529006CE">
      <w:pPr>
        <w:ind w:firstLine="480"/>
        <w:outlineLvl w:val="0"/>
        <w:rPr>
          <w:rFonts w:hint="eastAsia" w:ascii="黑体" w:hAnsi="宋体" w:eastAsia="黑体"/>
          <w:bCs/>
          <w:color w:val="auto"/>
          <w:sz w:val="24"/>
          <w:szCs w:val="24"/>
          <w:highlight w:val="none"/>
        </w:rPr>
      </w:pPr>
    </w:p>
    <w:p w14:paraId="7D31E434">
      <w:pPr>
        <w:ind w:firstLine="480"/>
        <w:outlineLvl w:val="0"/>
        <w:rPr>
          <w:rFonts w:hint="eastAsia" w:ascii="黑体" w:hAnsi="宋体" w:eastAsia="黑体"/>
          <w:bCs/>
          <w:color w:val="auto"/>
          <w:sz w:val="24"/>
          <w:szCs w:val="24"/>
          <w:highlight w:val="none"/>
        </w:rPr>
      </w:pPr>
    </w:p>
    <w:p w14:paraId="26C013BD">
      <w:pPr>
        <w:ind w:firstLine="480"/>
        <w:outlineLvl w:val="0"/>
        <w:rPr>
          <w:rFonts w:hint="eastAsia" w:ascii="黑体" w:hAnsi="宋体" w:eastAsia="黑体"/>
          <w:bCs/>
          <w:color w:val="auto"/>
          <w:sz w:val="24"/>
          <w:szCs w:val="24"/>
          <w:highlight w:val="none"/>
        </w:rPr>
      </w:pPr>
    </w:p>
    <w:p w14:paraId="27496F0D">
      <w:pPr>
        <w:ind w:firstLine="480"/>
        <w:outlineLvl w:val="0"/>
        <w:rPr>
          <w:rFonts w:hint="eastAsia" w:ascii="黑体" w:hAnsi="宋体" w:eastAsia="黑体"/>
          <w:bCs/>
          <w:color w:val="auto"/>
          <w:sz w:val="24"/>
          <w:szCs w:val="24"/>
          <w:highlight w:val="none"/>
        </w:rPr>
      </w:pPr>
    </w:p>
    <w:p w14:paraId="5DA2E2BA">
      <w:pPr>
        <w:ind w:firstLine="480"/>
        <w:outlineLvl w:val="0"/>
        <w:rPr>
          <w:rFonts w:hint="eastAsia" w:ascii="黑体" w:hAnsi="宋体" w:eastAsia="黑体"/>
          <w:bCs/>
          <w:color w:val="auto"/>
          <w:sz w:val="24"/>
          <w:szCs w:val="24"/>
          <w:highlight w:val="none"/>
        </w:rPr>
      </w:pPr>
    </w:p>
    <w:p w14:paraId="76F1E744">
      <w:pPr>
        <w:ind w:firstLine="480"/>
        <w:outlineLvl w:val="0"/>
        <w:rPr>
          <w:rFonts w:hint="eastAsia" w:ascii="黑体" w:hAnsi="宋体" w:eastAsia="黑体"/>
          <w:bCs/>
          <w:color w:val="auto"/>
          <w:sz w:val="24"/>
          <w:szCs w:val="24"/>
          <w:highlight w:val="none"/>
        </w:rPr>
      </w:pPr>
    </w:p>
    <w:p w14:paraId="290A0F5B">
      <w:pPr>
        <w:ind w:firstLine="480"/>
        <w:outlineLvl w:val="0"/>
        <w:rPr>
          <w:rFonts w:hint="eastAsia" w:ascii="黑体" w:hAnsi="宋体" w:eastAsia="黑体"/>
          <w:bCs/>
          <w:color w:val="auto"/>
          <w:sz w:val="24"/>
          <w:szCs w:val="24"/>
          <w:highlight w:val="none"/>
        </w:rPr>
      </w:pPr>
    </w:p>
    <w:p w14:paraId="239D43C5">
      <w:pPr>
        <w:ind w:firstLine="420"/>
        <w:outlineLvl w:val="0"/>
        <w:rPr>
          <w:rFonts w:hint="eastAsia" w:ascii="黑体" w:hAnsi="宋体" w:eastAsia="黑体"/>
          <w:bCs/>
          <w:color w:val="auto"/>
          <w:sz w:val="24"/>
          <w:szCs w:val="24"/>
          <w:highlight w:val="none"/>
        </w:rPr>
      </w:pPr>
      <w:r>
        <w:rPr>
          <w:rFonts w:hint="eastAsia"/>
          <w:color w:val="auto"/>
          <w:highlight w:val="none"/>
        </w:rPr>
        <w:t>备注：上述所称“重大违法记录”,是指供应商因违法经营受到刑事处罚或者责令停产停业、吊销许可证或者执照、较大数额罚款等行政处罚。</w:t>
      </w:r>
    </w:p>
    <w:p w14:paraId="66864727">
      <w:pPr>
        <w:spacing w:line="360" w:lineRule="auto"/>
        <w:outlineLvl w:val="0"/>
        <w:rPr>
          <w:rFonts w:eastAsia="黑体"/>
          <w:bCs/>
          <w:color w:val="auto"/>
          <w:sz w:val="24"/>
          <w:highlight w:val="none"/>
        </w:rPr>
      </w:pPr>
    </w:p>
    <w:p w14:paraId="7D2E653F">
      <w:pPr>
        <w:rPr>
          <w:color w:val="auto"/>
          <w:highlight w:val="none"/>
        </w:rPr>
      </w:pPr>
    </w:p>
    <w:p w14:paraId="1C55D999">
      <w:pPr>
        <w:spacing w:line="360" w:lineRule="auto"/>
        <w:outlineLvl w:val="0"/>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clear="all"/>
      </w:r>
      <w:r>
        <w:rPr>
          <w:rFonts w:hint="eastAsia" w:ascii="宋体" w:hAnsi="宋体" w:cs="宋体"/>
          <w:b/>
          <w:color w:val="auto"/>
          <w:sz w:val="24"/>
          <w:szCs w:val="24"/>
          <w:highlight w:val="none"/>
        </w:rPr>
        <w:t>（三）法定代表人授权委托书(格式)：</w:t>
      </w:r>
    </w:p>
    <w:p w14:paraId="5A9993BF">
      <w:pPr>
        <w:spacing w:line="360" w:lineRule="auto"/>
        <w:rPr>
          <w:rFonts w:eastAsia="黑体"/>
          <w:bCs/>
          <w:color w:val="auto"/>
          <w:sz w:val="28"/>
          <w:szCs w:val="28"/>
          <w:highlight w:val="none"/>
        </w:rPr>
      </w:pPr>
    </w:p>
    <w:p w14:paraId="7A1F2600">
      <w:pPr>
        <w:spacing w:line="360" w:lineRule="auto"/>
        <w:jc w:val="center"/>
        <w:rPr>
          <w:rFonts w:hint="eastAsia" w:ascii="宋体" w:hAnsi="宋体" w:cs="宋体"/>
          <w:b/>
          <w:color w:val="auto"/>
          <w:sz w:val="36"/>
          <w:szCs w:val="28"/>
          <w:highlight w:val="none"/>
        </w:rPr>
      </w:pPr>
      <w:r>
        <w:rPr>
          <w:rFonts w:hint="eastAsia" w:ascii="宋体" w:hAnsi="宋体" w:cs="宋体"/>
          <w:b/>
          <w:color w:val="auto"/>
          <w:sz w:val="36"/>
          <w:szCs w:val="28"/>
          <w:highlight w:val="none"/>
        </w:rPr>
        <w:t>法定代表人授权委托书</w:t>
      </w:r>
    </w:p>
    <w:p w14:paraId="7371C3E2">
      <w:pPr>
        <w:spacing w:line="360" w:lineRule="auto"/>
        <w:jc w:val="center"/>
        <w:outlineLvl w:val="0"/>
        <w:rPr>
          <w:rFonts w:eastAsia="黑体"/>
          <w:bCs/>
          <w:color w:val="auto"/>
          <w:sz w:val="28"/>
          <w:szCs w:val="28"/>
          <w:highlight w:val="none"/>
        </w:rPr>
      </w:pPr>
    </w:p>
    <w:p w14:paraId="4BC1A385">
      <w:pPr>
        <w:spacing w:line="360" w:lineRule="auto"/>
        <w:rPr>
          <w:rFonts w:hint="eastAsia" w:ascii="宋体" w:hAnsi="宋体" w:cs="宋体"/>
          <w:bCs/>
          <w:color w:val="auto"/>
          <w:szCs w:val="21"/>
          <w:highlight w:val="none"/>
        </w:rPr>
      </w:pPr>
      <w:r>
        <w:rPr>
          <w:rFonts w:eastAsia="楷体_GB2312"/>
          <w:bCs/>
          <w:color w:val="auto"/>
          <w:sz w:val="30"/>
          <w:highlight w:val="none"/>
        </w:rPr>
        <w:t xml:space="preserve">  </w:t>
      </w:r>
      <w:r>
        <w:rPr>
          <w:rFonts w:eastAsia="楷体_GB2312"/>
          <w:bCs/>
          <w:color w:val="auto"/>
          <w:sz w:val="24"/>
          <w:szCs w:val="24"/>
          <w:highlight w:val="none"/>
        </w:rPr>
        <w:t xml:space="preserve">  </w:t>
      </w:r>
      <w:r>
        <w:rPr>
          <w:rFonts w:hint="eastAsia" w:ascii="宋体" w:hAnsi="宋体" w:cs="宋体"/>
          <w:bCs/>
          <w:color w:val="auto"/>
          <w:sz w:val="24"/>
          <w:szCs w:val="24"/>
          <w:highlight w:val="none"/>
        </w:rPr>
        <w:t xml:space="preserve">                    </w:t>
      </w:r>
      <w:r>
        <w:rPr>
          <w:rFonts w:hint="eastAsia" w:ascii="宋体" w:hAnsi="宋体" w:cs="宋体"/>
          <w:bCs/>
          <w:color w:val="auto"/>
          <w:szCs w:val="21"/>
          <w:highlight w:val="none"/>
        </w:rPr>
        <w:t xml:space="preserve">           招标编号：</w:t>
      </w:r>
    </w:p>
    <w:p w14:paraId="6BB3433B">
      <w:pPr>
        <w:spacing w:line="360" w:lineRule="auto"/>
        <w:ind w:firstLine="4620"/>
        <w:rPr>
          <w:rFonts w:hint="eastAsia" w:ascii="宋体" w:hAnsi="宋体" w:cs="宋体"/>
          <w:bCs/>
          <w:color w:val="auto"/>
          <w:szCs w:val="21"/>
          <w:highlight w:val="none"/>
        </w:rPr>
      </w:pPr>
      <w:r>
        <w:rPr>
          <w:rFonts w:hint="eastAsia" w:ascii="宋体" w:hAnsi="宋体" w:cs="宋体"/>
          <w:bCs/>
          <w:color w:val="auto"/>
          <w:szCs w:val="21"/>
          <w:highlight w:val="none"/>
        </w:rPr>
        <w:t>日期：</w:t>
      </w:r>
    </w:p>
    <w:p w14:paraId="4316E0B9">
      <w:pPr>
        <w:spacing w:line="360" w:lineRule="auto"/>
        <w:rPr>
          <w:rFonts w:hint="eastAsia" w:ascii="宋体" w:hAnsi="宋体" w:cs="宋体"/>
          <w:bCs/>
          <w:color w:val="auto"/>
          <w:szCs w:val="21"/>
          <w:highlight w:val="none"/>
        </w:rPr>
      </w:pPr>
    </w:p>
    <w:p w14:paraId="3F2976A4">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eastAsia="zh-CN"/>
        </w:rPr>
        <w:t>江苏盛德量行建设咨询有限公司</w:t>
      </w:r>
      <w:r>
        <w:rPr>
          <w:rFonts w:hint="eastAsia" w:ascii="宋体" w:hAnsi="宋体" w:cs="宋体"/>
          <w:bCs/>
          <w:color w:val="auto"/>
          <w:szCs w:val="21"/>
          <w:highlight w:val="none"/>
        </w:rPr>
        <w:t>：</w:t>
      </w:r>
    </w:p>
    <w:p w14:paraId="0A99B252">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系中华人民共和国合法企业，特授权</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代表我公司(单位)全权办理针对本项目</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的投标、参与开标、评标、签约等具体工作，并签署全部有关的文件、协议及合同。</w:t>
      </w:r>
    </w:p>
    <w:p w14:paraId="12A2970A">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我公司(单位)对被授权人的签名负全部责任。</w:t>
      </w:r>
    </w:p>
    <w:p w14:paraId="150A5C63">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在撤销授权的书面通知送达你处以前，本授权书一直有效，被授权人签署的所有文件(在授权书有效期内签署的)不因授权的撤销而失效。</w:t>
      </w:r>
    </w:p>
    <w:p w14:paraId="0DD0477E">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被授权人情况：</w:t>
      </w:r>
    </w:p>
    <w:p w14:paraId="45E1DABA">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姓名：         性别：             电话：</w:t>
      </w:r>
    </w:p>
    <w:p w14:paraId="16330576">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p>
    <w:p w14:paraId="7C3D29F5">
      <w:pPr>
        <w:spacing w:line="360" w:lineRule="auto"/>
        <w:ind w:firstLine="420"/>
        <w:rPr>
          <w:rFonts w:hint="eastAsia" w:ascii="宋体" w:hAnsi="宋体" w:cs="宋体"/>
          <w:bCs/>
          <w:color w:val="auto"/>
          <w:szCs w:val="21"/>
          <w:highlight w:val="none"/>
        </w:rPr>
      </w:pPr>
    </w:p>
    <w:p w14:paraId="08AA668A">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 xml:space="preserve">                              投标人(盖章)：</w:t>
      </w:r>
    </w:p>
    <w:p w14:paraId="125F1C8F">
      <w:pPr>
        <w:spacing w:line="360" w:lineRule="auto"/>
        <w:ind w:firstLine="3570"/>
        <w:rPr>
          <w:rFonts w:hint="eastAsia" w:ascii="宋体" w:hAnsi="宋体" w:cs="宋体"/>
          <w:bCs/>
          <w:color w:val="auto"/>
          <w:szCs w:val="21"/>
          <w:highlight w:val="none"/>
        </w:rPr>
      </w:pPr>
    </w:p>
    <w:p w14:paraId="275BDE12">
      <w:pPr>
        <w:spacing w:line="360" w:lineRule="auto"/>
        <w:ind w:firstLine="3570"/>
        <w:rPr>
          <w:rFonts w:hint="eastAsia" w:ascii="宋体" w:hAnsi="宋体" w:cs="宋体"/>
          <w:bCs/>
          <w:color w:val="auto"/>
          <w:szCs w:val="21"/>
          <w:highlight w:val="none"/>
        </w:rPr>
      </w:pPr>
      <w:r>
        <w:rPr>
          <w:rFonts w:hint="eastAsia" w:ascii="宋体" w:hAnsi="宋体" w:cs="宋体"/>
          <w:bCs/>
          <w:color w:val="auto"/>
          <w:szCs w:val="21"/>
          <w:highlight w:val="none"/>
        </w:rPr>
        <w:t>法定代表人(签字或盖章)：</w:t>
      </w:r>
    </w:p>
    <w:p w14:paraId="14387162">
      <w:pPr>
        <w:spacing w:line="360" w:lineRule="auto"/>
        <w:ind w:firstLine="4080"/>
        <w:rPr>
          <w:bCs/>
          <w:color w:val="auto"/>
          <w:sz w:val="24"/>
          <w:szCs w:val="24"/>
          <w:highlight w:val="none"/>
        </w:rPr>
      </w:pPr>
    </w:p>
    <w:p w14:paraId="38CD845C">
      <w:pPr>
        <w:spacing w:line="360" w:lineRule="auto"/>
        <w:ind w:firstLine="4080"/>
        <w:rPr>
          <w:bCs/>
          <w:color w:val="auto"/>
          <w:sz w:val="24"/>
          <w:szCs w:val="24"/>
          <w:highlight w:val="none"/>
        </w:rPr>
      </w:pPr>
    </w:p>
    <w:p w14:paraId="54C0E94C">
      <w:pPr>
        <w:spacing w:line="360" w:lineRule="auto"/>
        <w:ind w:firstLine="4080"/>
        <w:rPr>
          <w:bCs/>
          <w:color w:val="auto"/>
          <w:sz w:val="24"/>
          <w:szCs w:val="24"/>
          <w:highlight w:val="none"/>
        </w:rPr>
      </w:pPr>
    </w:p>
    <w:p w14:paraId="5296F0BE">
      <w:pPr>
        <w:spacing w:line="360" w:lineRule="auto"/>
        <w:ind w:firstLine="4080"/>
        <w:rPr>
          <w:bCs/>
          <w:color w:val="auto"/>
          <w:sz w:val="24"/>
          <w:szCs w:val="24"/>
          <w:highlight w:val="none"/>
        </w:rPr>
      </w:pPr>
    </w:p>
    <w:p w14:paraId="28127943">
      <w:pPr>
        <w:spacing w:line="360" w:lineRule="auto"/>
        <w:ind w:firstLine="4080"/>
        <w:rPr>
          <w:bCs/>
          <w:color w:val="auto"/>
          <w:sz w:val="24"/>
          <w:szCs w:val="24"/>
          <w:highlight w:val="none"/>
        </w:rPr>
      </w:pPr>
    </w:p>
    <w:p w14:paraId="0E20EDB0">
      <w:pPr>
        <w:spacing w:line="360" w:lineRule="auto"/>
        <w:rPr>
          <w:bCs/>
          <w:color w:val="auto"/>
          <w:sz w:val="24"/>
          <w:szCs w:val="24"/>
          <w:highlight w:val="none"/>
        </w:rPr>
      </w:pPr>
    </w:p>
    <w:p w14:paraId="6C8F52F9">
      <w:pPr>
        <w:rPr>
          <w:bCs/>
          <w:color w:val="auto"/>
          <w:sz w:val="24"/>
          <w:szCs w:val="24"/>
          <w:highlight w:val="none"/>
        </w:rPr>
      </w:pPr>
    </w:p>
    <w:p w14:paraId="48A8EB56">
      <w:pPr>
        <w:rPr>
          <w:bCs/>
          <w:color w:val="auto"/>
          <w:sz w:val="24"/>
          <w:szCs w:val="24"/>
          <w:highlight w:val="none"/>
        </w:rPr>
      </w:pPr>
    </w:p>
    <w:p w14:paraId="3520AA47">
      <w:pPr>
        <w:rPr>
          <w:bCs/>
          <w:color w:val="auto"/>
          <w:sz w:val="24"/>
          <w:szCs w:val="24"/>
          <w:highlight w:val="none"/>
        </w:rPr>
      </w:pPr>
    </w:p>
    <w:p w14:paraId="652A8B79">
      <w:pPr>
        <w:spacing w:line="360" w:lineRule="auto"/>
        <w:outlineLvl w:val="0"/>
        <w:rPr>
          <w:rFonts w:eastAsia="黑体"/>
          <w:bCs/>
          <w:color w:val="auto"/>
          <w:sz w:val="24"/>
          <w:szCs w:val="24"/>
          <w:highlight w:val="none"/>
        </w:rPr>
      </w:pPr>
    </w:p>
    <w:p w14:paraId="1C0A581C">
      <w:pPr>
        <w:pStyle w:val="18"/>
        <w:rPr>
          <w:rFonts w:eastAsia="黑体"/>
          <w:color w:val="auto"/>
          <w:sz w:val="24"/>
          <w:szCs w:val="24"/>
          <w:highlight w:val="none"/>
        </w:rPr>
      </w:pPr>
    </w:p>
    <w:p w14:paraId="1EA50F43">
      <w:pPr>
        <w:rPr>
          <w:color w:val="auto"/>
          <w:highlight w:val="none"/>
        </w:rPr>
      </w:pPr>
    </w:p>
    <w:p w14:paraId="522FF8AE">
      <w:pPr>
        <w:rPr>
          <w:rFonts w:eastAsia="黑体"/>
          <w:bCs/>
          <w:color w:val="auto"/>
          <w:sz w:val="24"/>
          <w:szCs w:val="24"/>
          <w:highlight w:val="none"/>
        </w:rPr>
      </w:pPr>
    </w:p>
    <w:p w14:paraId="2245D183">
      <w:pPr>
        <w:rPr>
          <w:bCs/>
          <w:color w:val="auto"/>
          <w:sz w:val="24"/>
          <w:szCs w:val="24"/>
          <w:highlight w:val="none"/>
        </w:rPr>
      </w:pPr>
      <w:r>
        <w:rPr>
          <w:bCs/>
          <w:color w:val="auto"/>
          <w:sz w:val="24"/>
          <w:szCs w:val="24"/>
          <w:highlight w:val="none"/>
        </w:rPr>
        <w:t>投标人法定代表人身份证</w:t>
      </w:r>
      <w:r>
        <w:rPr>
          <w:rFonts w:hint="eastAsia"/>
          <w:bCs/>
          <w:color w:val="auto"/>
          <w:sz w:val="24"/>
          <w:szCs w:val="24"/>
          <w:highlight w:val="none"/>
        </w:rPr>
        <w:t>：</w:t>
      </w:r>
    </w:p>
    <w:p w14:paraId="26CA0C0D">
      <w:pPr>
        <w:rPr>
          <w:bCs/>
          <w:color w:val="auto"/>
          <w:sz w:val="24"/>
          <w:szCs w:val="24"/>
          <w:highlight w:val="none"/>
        </w:rPr>
      </w:pPr>
    </w:p>
    <w:p w14:paraId="0850A270">
      <w:pPr>
        <w:rPr>
          <w:bCs/>
          <w:color w:val="auto"/>
          <w:sz w:val="24"/>
          <w:szCs w:val="24"/>
          <w:highlight w:val="none"/>
        </w:rPr>
      </w:pPr>
      <w:r>
        <w:rPr>
          <w:bCs/>
          <w:color w:val="auto"/>
          <w:sz w:val="24"/>
          <w:szCs w:val="24"/>
          <w:highlight w:val="none"/>
        </w:rPr>
        <mc:AlternateContent>
          <mc:Choice Requires="wps">
            <w:drawing>
              <wp:inline distT="0" distB="0" distL="0" distR="0">
                <wp:extent cx="2418080" cy="1584960"/>
                <wp:effectExtent l="4445" t="4445" r="15875" b="10795"/>
                <wp:docPr id="98" name="文本框 7"/>
                <wp:cNvGraphicFramePr/>
                <a:graphic xmlns:a="http://schemas.openxmlformats.org/drawingml/2006/main">
                  <a:graphicData uri="http://schemas.microsoft.com/office/word/2010/wordprocessingShape">
                    <wps:wsp>
                      <wps:cNvSpPr txBox="1">
                        <a:spLocks noRot="1"/>
                      </wps:cNvSpPr>
                      <wps:spPr bwMode="auto">
                        <a:xfrm>
                          <a:off x="0" y="0"/>
                          <a:ext cx="241808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75A043BF">
                            <w:pPr>
                              <w:jc w:val="center"/>
                              <w:rPr>
                                <w:rFonts w:ascii="黑体" w:eastAsia="黑体"/>
                                <w:sz w:val="32"/>
                                <w:szCs w:val="32"/>
                              </w:rPr>
                            </w:pPr>
                          </w:p>
                          <w:p w14:paraId="6E373490">
                            <w:pPr>
                              <w:jc w:val="center"/>
                              <w:rPr>
                                <w:rFonts w:ascii="黑体" w:eastAsia="黑体"/>
                                <w:color w:val="000000"/>
                                <w:sz w:val="32"/>
                                <w:szCs w:val="32"/>
                              </w:rPr>
                            </w:pPr>
                            <w:r>
                              <w:rPr>
                                <w:rFonts w:hint="eastAsia" w:ascii="黑体" w:eastAsia="黑体"/>
                                <w:color w:val="000000"/>
                                <w:sz w:val="32"/>
                                <w:szCs w:val="32"/>
                              </w:rPr>
                              <w:t>法定代表人身份证</w:t>
                            </w:r>
                          </w:p>
                          <w:p w14:paraId="36B2359B">
                            <w:pPr>
                              <w:jc w:val="center"/>
                              <w:rPr>
                                <w:rFonts w:ascii="黑体" w:eastAsia="黑体"/>
                                <w:color w:val="000000"/>
                                <w:sz w:val="32"/>
                                <w:szCs w:val="32"/>
                              </w:rPr>
                            </w:pPr>
                            <w:r>
                              <w:rPr>
                                <w:rFonts w:hint="eastAsia" w:ascii="黑体" w:eastAsia="黑体"/>
                                <w:color w:val="000000"/>
                                <w:sz w:val="32"/>
                                <w:szCs w:val="32"/>
                              </w:rPr>
                              <w:t>（正面）</w:t>
                            </w:r>
                          </w:p>
                        </w:txbxContent>
                      </wps:txbx>
                      <wps:bodyPr upright="1"/>
                    </wps:wsp>
                  </a:graphicData>
                </a:graphic>
              </wp:inline>
            </w:drawing>
          </mc:Choice>
          <mc:Fallback>
            <w:pict>
              <v:shape id="文本框 7" o:spid="_x0000_s1026" o:spt="202" type="#_x0000_t202" style="height:124.8pt;width:190.4pt;" fillcolor="#FFFFFF" filled="t" stroked="t" coordsize="21600,21600" o:gfxdata="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E0s4Z1gAAAAUBAAAPAAAAAAAAAAEAIAAAACIAAABkcnMvZG93bnJldi54bWxQSwECFAAU&#10;AAAACACHTuJASUUIgCwCAAB3BAAADgAAAAAAAAABACAAAAAlAQAAZHJzL2Uyb0RvYy54bWxQSwUG&#10;AAAAAAYABgBZAQAAwwUAAAAA&#10;">
                <v:fill on="t" focussize="0,0"/>
                <v:stroke color="#000000" joinstyle="miter"/>
                <v:imagedata o:title=""/>
                <o:lock v:ext="edit" rotation="t" aspectratio="f"/>
                <v:textbox>
                  <w:txbxContent>
                    <w:p w14:paraId="75A043BF">
                      <w:pPr>
                        <w:jc w:val="center"/>
                        <w:rPr>
                          <w:rFonts w:ascii="黑体" w:eastAsia="黑体"/>
                          <w:sz w:val="32"/>
                          <w:szCs w:val="32"/>
                        </w:rPr>
                      </w:pPr>
                    </w:p>
                    <w:p w14:paraId="6E373490">
                      <w:pPr>
                        <w:jc w:val="center"/>
                        <w:rPr>
                          <w:rFonts w:ascii="黑体" w:eastAsia="黑体"/>
                          <w:color w:val="000000"/>
                          <w:sz w:val="32"/>
                          <w:szCs w:val="32"/>
                        </w:rPr>
                      </w:pPr>
                      <w:r>
                        <w:rPr>
                          <w:rFonts w:hint="eastAsia" w:ascii="黑体" w:eastAsia="黑体"/>
                          <w:color w:val="000000"/>
                          <w:sz w:val="32"/>
                          <w:szCs w:val="32"/>
                        </w:rPr>
                        <w:t>法定代表人身份证</w:t>
                      </w:r>
                    </w:p>
                    <w:p w14:paraId="36B2359B">
                      <w:pPr>
                        <w:jc w:val="center"/>
                        <w:rPr>
                          <w:rFonts w:ascii="黑体" w:eastAsia="黑体"/>
                          <w:color w:val="000000"/>
                          <w:sz w:val="32"/>
                          <w:szCs w:val="32"/>
                        </w:rPr>
                      </w:pPr>
                      <w:r>
                        <w:rPr>
                          <w:rFonts w:hint="eastAsia" w:ascii="黑体" w:eastAsia="黑体"/>
                          <w:color w:val="000000"/>
                          <w:sz w:val="32"/>
                          <w:szCs w:val="32"/>
                        </w:rPr>
                        <w:t>（正面）</w:t>
                      </w:r>
                    </w:p>
                  </w:txbxContent>
                </v:textbox>
                <w10:wrap type="none"/>
                <w10:anchorlock/>
              </v:shape>
            </w:pict>
          </mc:Fallback>
        </mc:AlternateContent>
      </w:r>
      <w:r>
        <w:rPr>
          <w:rFonts w:hint="eastAsia" w:ascii="黑体" w:eastAsia="黑体"/>
          <w:color w:val="auto"/>
          <w:sz w:val="32"/>
          <w:szCs w:val="32"/>
          <w:highlight w:val="none"/>
        </w:rPr>
        <w:t xml:space="preserve"> </w:t>
      </w:r>
      <w:r>
        <w:rPr>
          <w:bCs/>
          <w:color w:val="auto"/>
          <w:sz w:val="24"/>
          <w:szCs w:val="24"/>
          <w:highlight w:val="none"/>
        </w:rPr>
        <mc:AlternateContent>
          <mc:Choice Requires="wps">
            <w:drawing>
              <wp:inline distT="0" distB="0" distL="0" distR="0">
                <wp:extent cx="2395855" cy="1584960"/>
                <wp:effectExtent l="4445" t="4445" r="19050" b="10795"/>
                <wp:docPr id="99" name="文本框 8"/>
                <wp:cNvGraphicFramePr/>
                <a:graphic xmlns:a="http://schemas.openxmlformats.org/drawingml/2006/main">
                  <a:graphicData uri="http://schemas.microsoft.com/office/word/2010/wordprocessingShape">
                    <wps:wsp>
                      <wps:cNvSpPr txBox="1">
                        <a:spLocks noRot="1"/>
                      </wps:cNvSpPr>
                      <wps:spPr bwMode="auto">
                        <a:xfrm>
                          <a:off x="0" y="0"/>
                          <a:ext cx="239585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796589AB">
                            <w:pPr>
                              <w:jc w:val="center"/>
                              <w:rPr>
                                <w:rFonts w:ascii="黑体" w:eastAsia="黑体"/>
                                <w:sz w:val="32"/>
                                <w:szCs w:val="32"/>
                              </w:rPr>
                            </w:pPr>
                          </w:p>
                          <w:p w14:paraId="7C30532D">
                            <w:pPr>
                              <w:jc w:val="center"/>
                              <w:rPr>
                                <w:rFonts w:ascii="黑体" w:eastAsia="黑体"/>
                                <w:color w:val="000000"/>
                                <w:sz w:val="32"/>
                                <w:szCs w:val="32"/>
                              </w:rPr>
                            </w:pPr>
                            <w:r>
                              <w:rPr>
                                <w:rFonts w:hint="eastAsia" w:ascii="黑体" w:eastAsia="黑体"/>
                                <w:color w:val="000000"/>
                                <w:sz w:val="32"/>
                                <w:szCs w:val="32"/>
                              </w:rPr>
                              <w:t>法定代表人身份证</w:t>
                            </w:r>
                          </w:p>
                          <w:p w14:paraId="7AD9ED6E">
                            <w:pPr>
                              <w:jc w:val="center"/>
                              <w:rPr>
                                <w:rFonts w:ascii="黑体" w:eastAsia="黑体"/>
                                <w:color w:val="000000"/>
                                <w:sz w:val="32"/>
                                <w:szCs w:val="32"/>
                              </w:rPr>
                            </w:pPr>
                            <w:r>
                              <w:rPr>
                                <w:rFonts w:hint="eastAsia" w:ascii="黑体" w:eastAsia="黑体"/>
                                <w:color w:val="000000"/>
                                <w:sz w:val="32"/>
                                <w:szCs w:val="32"/>
                              </w:rPr>
                              <w:t>（反面）</w:t>
                            </w:r>
                          </w:p>
                        </w:txbxContent>
                      </wps:txbx>
                      <wps:bodyPr upright="1"/>
                    </wps:wsp>
                  </a:graphicData>
                </a:graphic>
              </wp:inline>
            </w:drawing>
          </mc:Choice>
          <mc:Fallback>
            <w:pict>
              <v:shape id="文本框 8" o:spid="_x0000_s1026" o:spt="202" type="#_x0000_t202" style="height:124.8pt;width:188.65pt;" fillcolor="#FFFFFF" filled="t" stroked="t" coordsize="21600,21600" o:gfxdata="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M+DjWnWAAAABQEAAA8AAAAAAAAAAQAgAAAAIgAAAGRycy9kb3ducmV2LnhtbFBLAQIUABQA&#10;AAAIAIdO4kB80xQWKwIAAHcEAAAOAAAAAAAAAAEAIAAAACUBAABkcnMvZTJvRG9jLnhtbFBLBQYA&#10;AAAABgAGAFkBAADCBQAAAAA=&#10;">
                <v:fill on="t" focussize="0,0"/>
                <v:stroke color="#000000" joinstyle="miter"/>
                <v:imagedata o:title=""/>
                <o:lock v:ext="edit" rotation="t" aspectratio="f"/>
                <v:textbox>
                  <w:txbxContent>
                    <w:p w14:paraId="796589AB">
                      <w:pPr>
                        <w:jc w:val="center"/>
                        <w:rPr>
                          <w:rFonts w:ascii="黑体" w:eastAsia="黑体"/>
                          <w:sz w:val="32"/>
                          <w:szCs w:val="32"/>
                        </w:rPr>
                      </w:pPr>
                    </w:p>
                    <w:p w14:paraId="7C30532D">
                      <w:pPr>
                        <w:jc w:val="center"/>
                        <w:rPr>
                          <w:rFonts w:ascii="黑体" w:eastAsia="黑体"/>
                          <w:color w:val="000000"/>
                          <w:sz w:val="32"/>
                          <w:szCs w:val="32"/>
                        </w:rPr>
                      </w:pPr>
                      <w:r>
                        <w:rPr>
                          <w:rFonts w:hint="eastAsia" w:ascii="黑体" w:eastAsia="黑体"/>
                          <w:color w:val="000000"/>
                          <w:sz w:val="32"/>
                          <w:szCs w:val="32"/>
                        </w:rPr>
                        <w:t>法定代表人身份证</w:t>
                      </w:r>
                    </w:p>
                    <w:p w14:paraId="7AD9ED6E">
                      <w:pPr>
                        <w:jc w:val="center"/>
                        <w:rPr>
                          <w:rFonts w:ascii="黑体" w:eastAsia="黑体"/>
                          <w:color w:val="000000"/>
                          <w:sz w:val="32"/>
                          <w:szCs w:val="32"/>
                        </w:rPr>
                      </w:pPr>
                      <w:r>
                        <w:rPr>
                          <w:rFonts w:hint="eastAsia" w:ascii="黑体" w:eastAsia="黑体"/>
                          <w:color w:val="000000"/>
                          <w:sz w:val="32"/>
                          <w:szCs w:val="32"/>
                        </w:rPr>
                        <w:t>（反面）</w:t>
                      </w:r>
                    </w:p>
                  </w:txbxContent>
                </v:textbox>
                <w10:wrap type="none"/>
                <w10:anchorlock/>
              </v:shape>
            </w:pict>
          </mc:Fallback>
        </mc:AlternateContent>
      </w:r>
      <w:r>
        <w:rPr>
          <w:rFonts w:hint="eastAsia"/>
          <w:bCs/>
          <w:color w:val="auto"/>
          <w:sz w:val="24"/>
          <w:szCs w:val="24"/>
          <w:highlight w:val="none"/>
        </w:rPr>
        <w:t xml:space="preserve">       </w:t>
      </w:r>
    </w:p>
    <w:p w14:paraId="6F70DCE3">
      <w:pPr>
        <w:rPr>
          <w:bCs/>
          <w:color w:val="auto"/>
          <w:sz w:val="24"/>
          <w:szCs w:val="24"/>
          <w:highlight w:val="none"/>
        </w:rPr>
      </w:pPr>
    </w:p>
    <w:p w14:paraId="6CBFA481">
      <w:pPr>
        <w:rPr>
          <w:bCs/>
          <w:color w:val="auto"/>
          <w:sz w:val="24"/>
          <w:szCs w:val="24"/>
          <w:highlight w:val="none"/>
        </w:rPr>
      </w:pPr>
    </w:p>
    <w:p w14:paraId="59966A78">
      <w:pPr>
        <w:rPr>
          <w:bCs/>
          <w:color w:val="auto"/>
          <w:sz w:val="24"/>
          <w:szCs w:val="24"/>
          <w:highlight w:val="none"/>
        </w:rPr>
      </w:pPr>
    </w:p>
    <w:p w14:paraId="17B767DF">
      <w:pPr>
        <w:rPr>
          <w:bCs/>
          <w:color w:val="auto"/>
          <w:sz w:val="24"/>
          <w:szCs w:val="24"/>
          <w:highlight w:val="none"/>
        </w:rPr>
      </w:pPr>
      <w:r>
        <w:rPr>
          <w:bCs/>
          <w:color w:val="auto"/>
          <w:sz w:val="24"/>
          <w:szCs w:val="24"/>
          <w:highlight w:val="none"/>
        </w:rPr>
        <w:t>法定代表人授权代表身份证</w:t>
      </w:r>
      <w:r>
        <w:rPr>
          <w:rFonts w:hint="eastAsia"/>
          <w:bCs/>
          <w:color w:val="auto"/>
          <w:sz w:val="24"/>
          <w:szCs w:val="24"/>
          <w:highlight w:val="none"/>
        </w:rPr>
        <w:t>：（</w:t>
      </w:r>
      <w:r>
        <w:rPr>
          <w:rFonts w:hAnsi="宋体"/>
          <w:b/>
          <w:bCs/>
          <w:color w:val="auto"/>
          <w:sz w:val="24"/>
          <w:szCs w:val="24"/>
          <w:highlight w:val="none"/>
        </w:rPr>
        <w:t>法定代表人亲自参与投标的除外</w:t>
      </w:r>
      <w:r>
        <w:rPr>
          <w:rFonts w:hint="eastAsia" w:hAnsi="宋体"/>
          <w:b/>
          <w:bCs/>
          <w:color w:val="auto"/>
          <w:sz w:val="24"/>
          <w:szCs w:val="24"/>
          <w:highlight w:val="none"/>
        </w:rPr>
        <w:t>）</w:t>
      </w:r>
    </w:p>
    <w:p w14:paraId="2676A25B">
      <w:pPr>
        <w:pStyle w:val="18"/>
        <w:rPr>
          <w:color w:val="auto"/>
          <w:highlight w:val="none"/>
        </w:rPr>
      </w:pPr>
      <w:r>
        <w:rPr>
          <w:color w:val="auto"/>
          <w:sz w:val="24"/>
          <w:szCs w:val="24"/>
          <w:highlight w:val="none"/>
        </w:rPr>
        <mc:AlternateContent>
          <mc:Choice Requires="wps">
            <w:drawing>
              <wp:inline distT="0" distB="0" distL="0" distR="0">
                <wp:extent cx="2414270" cy="1584960"/>
                <wp:effectExtent l="4445" t="4445" r="19685" b="10795"/>
                <wp:docPr id="100" name="文本框 9"/>
                <wp:cNvGraphicFramePr/>
                <a:graphic xmlns:a="http://schemas.openxmlformats.org/drawingml/2006/main">
                  <a:graphicData uri="http://schemas.microsoft.com/office/word/2010/wordprocessingShape">
                    <wps:wsp>
                      <wps:cNvSpPr txBox="1">
                        <a:spLocks noRot="1"/>
                      </wps:cNvSpPr>
                      <wps:spPr bwMode="auto">
                        <a:xfrm>
                          <a:off x="0" y="0"/>
                          <a:ext cx="241427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1083A4F5">
                            <w:pPr>
                              <w:jc w:val="center"/>
                              <w:rPr>
                                <w:rFonts w:ascii="黑体" w:eastAsia="黑体"/>
                                <w:sz w:val="32"/>
                                <w:szCs w:val="32"/>
                              </w:rPr>
                            </w:pPr>
                          </w:p>
                          <w:p w14:paraId="20AFBC23">
                            <w:pPr>
                              <w:jc w:val="center"/>
                              <w:rPr>
                                <w:rFonts w:ascii="黑体" w:eastAsia="黑体"/>
                                <w:color w:val="000000"/>
                                <w:sz w:val="32"/>
                                <w:szCs w:val="32"/>
                              </w:rPr>
                            </w:pPr>
                            <w:r>
                              <w:rPr>
                                <w:rFonts w:hint="eastAsia" w:ascii="黑体" w:eastAsia="黑体"/>
                                <w:color w:val="000000"/>
                                <w:sz w:val="32"/>
                                <w:szCs w:val="32"/>
                              </w:rPr>
                              <w:t>被授权人身份证</w:t>
                            </w:r>
                          </w:p>
                          <w:p w14:paraId="04364286">
                            <w:pPr>
                              <w:jc w:val="center"/>
                              <w:rPr>
                                <w:rFonts w:ascii="黑体" w:eastAsia="黑体"/>
                                <w:color w:val="000000"/>
                                <w:sz w:val="32"/>
                                <w:szCs w:val="32"/>
                              </w:rPr>
                            </w:pPr>
                            <w:r>
                              <w:rPr>
                                <w:rFonts w:hint="eastAsia" w:ascii="黑体" w:eastAsia="黑体"/>
                                <w:color w:val="000000"/>
                                <w:sz w:val="32"/>
                                <w:szCs w:val="32"/>
                              </w:rPr>
                              <w:t>（正面）</w:t>
                            </w:r>
                          </w:p>
                        </w:txbxContent>
                      </wps:txbx>
                      <wps:bodyPr upright="1"/>
                    </wps:wsp>
                  </a:graphicData>
                </a:graphic>
              </wp:inline>
            </w:drawing>
          </mc:Choice>
          <mc:Fallback>
            <w:pict>
              <v:shape id="文本框 9" o:spid="_x0000_s1026" o:spt="202" type="#_x0000_t202" style="height:124.8pt;width:190.1pt;" fillcolor="#FFFFFF" filled="t" stroked="t" coordsize="21600,21600" o:gfxdata="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BWwAoX1gAAAAUBAAAPAAAAAAAAAAEAIAAAACIAAABkcnMvZG93bnJldi54bWxQSwECFAAU&#10;AAAACACHTuJAFBrJySwCAAB4BAAADgAAAAAAAAABACAAAAAlAQAAZHJzL2Uyb0RvYy54bWxQSwUG&#10;AAAAAAYABgBZAQAAwwUAAAAA&#10;">
                <v:fill on="t" focussize="0,0"/>
                <v:stroke color="#000000" joinstyle="miter"/>
                <v:imagedata o:title=""/>
                <o:lock v:ext="edit" rotation="t" aspectratio="f"/>
                <v:textbox>
                  <w:txbxContent>
                    <w:p w14:paraId="1083A4F5">
                      <w:pPr>
                        <w:jc w:val="center"/>
                        <w:rPr>
                          <w:rFonts w:ascii="黑体" w:eastAsia="黑体"/>
                          <w:sz w:val="32"/>
                          <w:szCs w:val="32"/>
                        </w:rPr>
                      </w:pPr>
                    </w:p>
                    <w:p w14:paraId="20AFBC23">
                      <w:pPr>
                        <w:jc w:val="center"/>
                        <w:rPr>
                          <w:rFonts w:ascii="黑体" w:eastAsia="黑体"/>
                          <w:color w:val="000000"/>
                          <w:sz w:val="32"/>
                          <w:szCs w:val="32"/>
                        </w:rPr>
                      </w:pPr>
                      <w:r>
                        <w:rPr>
                          <w:rFonts w:hint="eastAsia" w:ascii="黑体" w:eastAsia="黑体"/>
                          <w:color w:val="000000"/>
                          <w:sz w:val="32"/>
                          <w:szCs w:val="32"/>
                        </w:rPr>
                        <w:t>被授权人身份证</w:t>
                      </w:r>
                    </w:p>
                    <w:p w14:paraId="04364286">
                      <w:pPr>
                        <w:jc w:val="center"/>
                        <w:rPr>
                          <w:rFonts w:ascii="黑体" w:eastAsia="黑体"/>
                          <w:color w:val="000000"/>
                          <w:sz w:val="32"/>
                          <w:szCs w:val="32"/>
                        </w:rPr>
                      </w:pPr>
                      <w:r>
                        <w:rPr>
                          <w:rFonts w:hint="eastAsia" w:ascii="黑体" w:eastAsia="黑体"/>
                          <w:color w:val="000000"/>
                          <w:sz w:val="32"/>
                          <w:szCs w:val="32"/>
                        </w:rPr>
                        <w:t>（正面）</w:t>
                      </w:r>
                    </w:p>
                  </w:txbxContent>
                </v:textbox>
                <w10:wrap type="none"/>
                <w10:anchorlock/>
              </v:shape>
            </w:pict>
          </mc:Fallback>
        </mc:AlternateContent>
      </w:r>
      <w:r>
        <w:rPr>
          <w:rFonts w:hint="eastAsia"/>
          <w:color w:val="auto"/>
          <w:sz w:val="24"/>
          <w:szCs w:val="24"/>
          <w:highlight w:val="none"/>
        </w:rPr>
        <w:t xml:space="preserve"> </w:t>
      </w:r>
      <w:r>
        <w:rPr>
          <w:color w:val="auto"/>
          <w:sz w:val="24"/>
          <w:szCs w:val="24"/>
          <w:highlight w:val="none"/>
        </w:rPr>
        <mc:AlternateContent>
          <mc:Choice Requires="wps">
            <w:drawing>
              <wp:inline distT="0" distB="0" distL="0" distR="0">
                <wp:extent cx="2397125" cy="1584960"/>
                <wp:effectExtent l="5080" t="4445" r="17145" b="10795"/>
                <wp:docPr id="101" name="文本框 10"/>
                <wp:cNvGraphicFramePr/>
                <a:graphic xmlns:a="http://schemas.openxmlformats.org/drawingml/2006/main">
                  <a:graphicData uri="http://schemas.microsoft.com/office/word/2010/wordprocessingShape">
                    <wps:wsp>
                      <wps:cNvSpPr txBox="1">
                        <a:spLocks noRot="1"/>
                      </wps:cNvSpPr>
                      <wps:spPr bwMode="auto">
                        <a:xfrm>
                          <a:off x="0" y="0"/>
                          <a:ext cx="23971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58EEC516">
                            <w:pPr>
                              <w:jc w:val="center"/>
                              <w:rPr>
                                <w:rFonts w:ascii="黑体" w:eastAsia="黑体"/>
                                <w:sz w:val="32"/>
                                <w:szCs w:val="32"/>
                              </w:rPr>
                            </w:pPr>
                          </w:p>
                          <w:p w14:paraId="341F22A5">
                            <w:pPr>
                              <w:jc w:val="center"/>
                              <w:rPr>
                                <w:rFonts w:ascii="黑体" w:eastAsia="黑体"/>
                                <w:color w:val="000000"/>
                                <w:sz w:val="32"/>
                                <w:szCs w:val="32"/>
                              </w:rPr>
                            </w:pPr>
                            <w:r>
                              <w:rPr>
                                <w:rFonts w:hint="eastAsia" w:ascii="黑体" w:eastAsia="黑体"/>
                                <w:color w:val="000000"/>
                                <w:sz w:val="32"/>
                                <w:szCs w:val="32"/>
                              </w:rPr>
                              <w:t>被授权人身份证</w:t>
                            </w:r>
                          </w:p>
                          <w:p w14:paraId="7B616964">
                            <w:pPr>
                              <w:jc w:val="center"/>
                              <w:rPr>
                                <w:rFonts w:ascii="黑体" w:eastAsia="黑体"/>
                                <w:color w:val="000000"/>
                                <w:sz w:val="32"/>
                                <w:szCs w:val="32"/>
                              </w:rPr>
                            </w:pPr>
                            <w:r>
                              <w:rPr>
                                <w:rFonts w:hint="eastAsia" w:ascii="黑体" w:eastAsia="黑体"/>
                                <w:color w:val="000000"/>
                                <w:sz w:val="32"/>
                                <w:szCs w:val="32"/>
                              </w:rPr>
                              <w:t>（反面）</w:t>
                            </w:r>
                          </w:p>
                        </w:txbxContent>
                      </wps:txbx>
                      <wps:bodyPr upright="1"/>
                    </wps:wsp>
                  </a:graphicData>
                </a:graphic>
              </wp:inline>
            </w:drawing>
          </mc:Choice>
          <mc:Fallback>
            <w:pict>
              <v:shape id="文本框 10" o:spid="_x0000_s1026" o:spt="202" type="#_x0000_t202" style="height:124.8pt;width:188.75pt;" fillcolor="#FFFFFF" filled="t" stroked="t" coordsize="21600,21600" o:gfxdata="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IGNMWzWAAAABQEAAA8AAAAAAAAAAQAgAAAAIgAAAGRycy9kb3ducmV2LnhtbFBLAQIUABQA&#10;AAAIAIdO4kDs9ejsKwIAAHkEAAAOAAAAAAAAAAEAIAAAACUBAABkcnMvZTJvRG9jLnhtbFBLBQYA&#10;AAAABgAGAFkBAADCBQAAAAA=&#10;">
                <v:fill on="t" focussize="0,0"/>
                <v:stroke color="#000000" joinstyle="miter"/>
                <v:imagedata o:title=""/>
                <o:lock v:ext="edit" rotation="t" aspectratio="f"/>
                <v:textbox>
                  <w:txbxContent>
                    <w:p w14:paraId="58EEC516">
                      <w:pPr>
                        <w:jc w:val="center"/>
                        <w:rPr>
                          <w:rFonts w:ascii="黑体" w:eastAsia="黑体"/>
                          <w:sz w:val="32"/>
                          <w:szCs w:val="32"/>
                        </w:rPr>
                      </w:pPr>
                    </w:p>
                    <w:p w14:paraId="341F22A5">
                      <w:pPr>
                        <w:jc w:val="center"/>
                        <w:rPr>
                          <w:rFonts w:ascii="黑体" w:eastAsia="黑体"/>
                          <w:color w:val="000000"/>
                          <w:sz w:val="32"/>
                          <w:szCs w:val="32"/>
                        </w:rPr>
                      </w:pPr>
                      <w:r>
                        <w:rPr>
                          <w:rFonts w:hint="eastAsia" w:ascii="黑体" w:eastAsia="黑体"/>
                          <w:color w:val="000000"/>
                          <w:sz w:val="32"/>
                          <w:szCs w:val="32"/>
                        </w:rPr>
                        <w:t>被授权人身份证</w:t>
                      </w:r>
                    </w:p>
                    <w:p w14:paraId="7B616964">
                      <w:pPr>
                        <w:jc w:val="center"/>
                        <w:rPr>
                          <w:rFonts w:ascii="黑体" w:eastAsia="黑体"/>
                          <w:color w:val="000000"/>
                          <w:sz w:val="32"/>
                          <w:szCs w:val="32"/>
                        </w:rPr>
                      </w:pPr>
                      <w:r>
                        <w:rPr>
                          <w:rFonts w:hint="eastAsia" w:ascii="黑体" w:eastAsia="黑体"/>
                          <w:color w:val="000000"/>
                          <w:sz w:val="32"/>
                          <w:szCs w:val="32"/>
                        </w:rPr>
                        <w:t>（反面）</w:t>
                      </w:r>
                    </w:p>
                  </w:txbxContent>
                </v:textbox>
                <w10:wrap type="none"/>
                <w10:anchorlock/>
              </v:shape>
            </w:pict>
          </mc:Fallback>
        </mc:AlternateContent>
      </w:r>
    </w:p>
    <w:p w14:paraId="33714FF1">
      <w:pPr>
        <w:spacing w:line="360" w:lineRule="auto"/>
        <w:outlineLvl w:val="0"/>
        <w:rPr>
          <w:rFonts w:eastAsia="黑体"/>
          <w:bCs/>
          <w:color w:val="auto"/>
          <w:sz w:val="24"/>
          <w:szCs w:val="24"/>
          <w:highlight w:val="none"/>
        </w:rPr>
      </w:pPr>
      <w:r>
        <w:rPr>
          <w:rFonts w:eastAsia="黑体"/>
          <w:bCs/>
          <w:color w:val="auto"/>
          <w:sz w:val="24"/>
          <w:szCs w:val="24"/>
          <w:highlight w:val="none"/>
        </w:rPr>
        <w:br w:type="page" w:clear="all"/>
      </w:r>
      <w:r>
        <w:rPr>
          <w:rFonts w:hint="eastAsia" w:ascii="宋体" w:hAnsi="宋体" w:cs="宋体"/>
          <w:b/>
          <w:color w:val="auto"/>
          <w:sz w:val="24"/>
          <w:szCs w:val="24"/>
          <w:highlight w:val="none"/>
        </w:rPr>
        <w:t>(四) 承诺书(格式)：</w:t>
      </w:r>
    </w:p>
    <w:p w14:paraId="76CC8B8F">
      <w:pPr>
        <w:spacing w:line="360" w:lineRule="auto"/>
        <w:outlineLvl w:val="0"/>
        <w:rPr>
          <w:rFonts w:eastAsia="黑体"/>
          <w:bCs/>
          <w:color w:val="auto"/>
          <w:sz w:val="28"/>
          <w:szCs w:val="28"/>
          <w:highlight w:val="none"/>
        </w:rPr>
      </w:pPr>
    </w:p>
    <w:p w14:paraId="186A16D4">
      <w:pPr>
        <w:spacing w:line="360" w:lineRule="auto"/>
        <w:jc w:val="center"/>
        <w:rPr>
          <w:rFonts w:hint="eastAsia" w:ascii="宋体" w:hAnsi="宋体" w:cs="宋体"/>
          <w:b/>
          <w:color w:val="auto"/>
          <w:sz w:val="36"/>
          <w:szCs w:val="28"/>
          <w:highlight w:val="none"/>
        </w:rPr>
      </w:pPr>
      <w:r>
        <w:rPr>
          <w:rFonts w:hint="eastAsia" w:ascii="宋体" w:hAnsi="宋体" w:cs="宋体"/>
          <w:b/>
          <w:color w:val="auto"/>
          <w:sz w:val="36"/>
          <w:szCs w:val="28"/>
          <w:highlight w:val="none"/>
        </w:rPr>
        <w:t>承诺书</w:t>
      </w:r>
    </w:p>
    <w:p w14:paraId="6EA255DC">
      <w:pPr>
        <w:jc w:val="center"/>
        <w:rPr>
          <w:rFonts w:ascii="黑体" w:eastAsia="黑体"/>
          <w:bCs/>
          <w:color w:val="auto"/>
          <w:sz w:val="28"/>
          <w:szCs w:val="28"/>
          <w:highlight w:val="none"/>
        </w:rPr>
      </w:pPr>
    </w:p>
    <w:p w14:paraId="7861700C">
      <w:pPr>
        <w:spacing w:line="360" w:lineRule="auto"/>
        <w:rPr>
          <w:rFonts w:ascii="宋体"/>
          <w:color w:val="auto"/>
          <w:szCs w:val="21"/>
          <w:highlight w:val="none"/>
        </w:rPr>
      </w:pPr>
      <w:r>
        <w:rPr>
          <w:rFonts w:ascii="宋体" w:hAnsi="宋体"/>
          <w:color w:val="auto"/>
          <w:szCs w:val="21"/>
          <w:highlight w:val="none"/>
          <w:u w:val="single"/>
        </w:rPr>
        <w:t xml:space="preserve">                             </w:t>
      </w:r>
      <w:r>
        <w:rPr>
          <w:rFonts w:hint="eastAsia" w:ascii="宋体" w:hAnsi="宋体"/>
          <w:color w:val="auto"/>
          <w:szCs w:val="21"/>
          <w:highlight w:val="none"/>
        </w:rPr>
        <w:t>（投标人名称）在此承诺：</w:t>
      </w:r>
    </w:p>
    <w:p w14:paraId="31AF1000">
      <w:pPr>
        <w:spacing w:line="360" w:lineRule="auto"/>
        <w:ind w:firstLine="420"/>
        <w:rPr>
          <w:rFonts w:ascii="宋体"/>
          <w:color w:val="auto"/>
          <w:szCs w:val="21"/>
          <w:highlight w:val="none"/>
        </w:rPr>
      </w:pPr>
    </w:p>
    <w:p w14:paraId="40163842">
      <w:pPr>
        <w:spacing w:line="360" w:lineRule="auto"/>
        <w:ind w:firstLine="420"/>
        <w:rPr>
          <w:rFonts w:ascii="宋体"/>
          <w:bCs/>
          <w:color w:val="auto"/>
          <w:szCs w:val="21"/>
          <w:highlight w:val="none"/>
        </w:rPr>
      </w:pPr>
      <w:r>
        <w:rPr>
          <w:rFonts w:ascii="宋体" w:hAnsi="宋体"/>
          <w:color w:val="auto"/>
          <w:szCs w:val="21"/>
          <w:highlight w:val="none"/>
        </w:rPr>
        <w:t>1</w:t>
      </w:r>
      <w:r>
        <w:rPr>
          <w:rFonts w:hint="eastAsia" w:ascii="宋体" w:hAnsi="宋体"/>
          <w:color w:val="auto"/>
          <w:szCs w:val="21"/>
          <w:highlight w:val="none"/>
        </w:rPr>
        <w:t>.本公司（单位）</w:t>
      </w:r>
      <w:r>
        <w:rPr>
          <w:rFonts w:hint="eastAsia" w:ascii="宋体" w:hAnsi="宋体"/>
          <w:bCs/>
          <w:color w:val="auto"/>
          <w:szCs w:val="21"/>
          <w:highlight w:val="none"/>
        </w:rPr>
        <w:t>对本项目（招标编号：              ）所提供的货物均为原厂全新合格品，提供的服务符合招标文件要求；</w:t>
      </w:r>
    </w:p>
    <w:p w14:paraId="36A246EC">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2.本公司（单位）具备履行合同所必需的设备和专业技术能力；</w:t>
      </w:r>
    </w:p>
    <w:p w14:paraId="719183F5">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3.本公司（单位）未被“信用中国”网站（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Cs w:val="21"/>
          <w:highlight w:val="none"/>
        </w:rPr>
        <w:t>www.creditchina.gov.cn</w:t>
      </w:r>
      <w:r>
        <w:rPr>
          <w:rFonts w:hint="eastAsia" w:ascii="宋体" w:hAnsi="宋体"/>
          <w:color w:val="auto"/>
          <w:szCs w:val="21"/>
          <w:highlight w:val="none"/>
        </w:rPr>
        <w:fldChar w:fldCharType="end"/>
      </w:r>
      <w:r>
        <w:rPr>
          <w:rFonts w:hint="eastAsia" w:ascii="宋体" w:hAnsi="宋体"/>
          <w:color w:val="auto"/>
          <w:szCs w:val="21"/>
          <w:highlight w:val="none"/>
        </w:rPr>
        <w:t>）、中国政府采购网(www.ccgp.gov.cn)列入失信被执行人、重大税收违法案件当事人名单、政府采购严重违法失信行为记录名单。</w:t>
      </w:r>
    </w:p>
    <w:p w14:paraId="55BAD1C0">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4.本公司（单位）参加政府采购活动前3年内在经营活动中没有重大违法记录。</w:t>
      </w:r>
    </w:p>
    <w:p w14:paraId="2762AFE2">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（说明：政府采购法第二十二条第一款第五项所称重大违法记录，是指供应商因违法经营受到刑事处罚或者责令停产停业、吊销许可证或者执照、较大数额罚款等行政处罚。）</w:t>
      </w:r>
    </w:p>
    <w:p w14:paraId="0E86D57A">
      <w:pPr>
        <w:pStyle w:val="21"/>
        <w:ind w:left="0"/>
        <w:rPr>
          <w:color w:val="auto"/>
          <w:szCs w:val="21"/>
          <w:highlight w:val="none"/>
        </w:rPr>
      </w:pPr>
    </w:p>
    <w:p w14:paraId="35936B58">
      <w:pPr>
        <w:spacing w:line="360" w:lineRule="auto"/>
        <w:ind w:firstLine="420"/>
        <w:rPr>
          <w:rFonts w:ascii="宋体"/>
          <w:bCs/>
          <w:color w:val="auto"/>
          <w:szCs w:val="21"/>
          <w:highlight w:val="none"/>
        </w:rPr>
      </w:pPr>
      <w:r>
        <w:rPr>
          <w:rFonts w:hint="eastAsia" w:ascii="宋体" w:hAnsi="宋体"/>
          <w:bCs/>
          <w:color w:val="auto"/>
          <w:szCs w:val="21"/>
          <w:highlight w:val="none"/>
        </w:rPr>
        <w:t>如违背上述承诺，本公司</w:t>
      </w:r>
      <w:r>
        <w:rPr>
          <w:rFonts w:hint="eastAsia" w:ascii="宋体" w:hAnsi="宋体"/>
          <w:color w:val="auto"/>
          <w:szCs w:val="21"/>
          <w:highlight w:val="none"/>
        </w:rPr>
        <w:t>（单位）</w:t>
      </w:r>
      <w:r>
        <w:rPr>
          <w:rFonts w:hint="eastAsia" w:ascii="宋体" w:hAnsi="宋体"/>
          <w:bCs/>
          <w:color w:val="auto"/>
          <w:szCs w:val="21"/>
          <w:highlight w:val="none"/>
        </w:rPr>
        <w:t>将承担一切法律责任。</w:t>
      </w:r>
    </w:p>
    <w:p w14:paraId="58B71489">
      <w:pPr>
        <w:spacing w:line="360" w:lineRule="auto"/>
        <w:rPr>
          <w:rFonts w:ascii="宋体"/>
          <w:color w:val="auto"/>
          <w:szCs w:val="21"/>
          <w:highlight w:val="none"/>
        </w:rPr>
      </w:pPr>
    </w:p>
    <w:p w14:paraId="7E663A07">
      <w:pPr>
        <w:spacing w:line="360" w:lineRule="auto"/>
        <w:ind w:firstLine="4725"/>
        <w:rPr>
          <w:rFonts w:ascii="宋体"/>
          <w:bCs/>
          <w:color w:val="auto"/>
          <w:szCs w:val="21"/>
          <w:highlight w:val="none"/>
        </w:rPr>
      </w:pPr>
    </w:p>
    <w:p w14:paraId="788FB3D8">
      <w:pPr>
        <w:spacing w:line="360" w:lineRule="auto"/>
        <w:ind w:firstLine="4515"/>
        <w:rPr>
          <w:rFonts w:hint="eastAsia" w:ascii="宋体" w:hAnsi="宋体"/>
          <w:bCs/>
          <w:color w:val="auto"/>
          <w:szCs w:val="21"/>
          <w:highlight w:val="none"/>
        </w:rPr>
      </w:pPr>
      <w:r>
        <w:rPr>
          <w:rFonts w:hint="eastAsia" w:ascii="宋体" w:hAnsi="宋体" w:cs="宋体"/>
          <w:bCs/>
          <w:color w:val="auto"/>
          <w:szCs w:val="21"/>
          <w:highlight w:val="none"/>
        </w:rPr>
        <w:t>投标人(盖章)：</w:t>
      </w:r>
    </w:p>
    <w:p w14:paraId="33B9A25B">
      <w:pPr>
        <w:spacing w:line="360" w:lineRule="auto"/>
        <w:ind w:firstLine="840"/>
        <w:rPr>
          <w:rFonts w:hint="eastAsia" w:ascii="宋体" w:hAnsi="宋体"/>
          <w:bCs/>
          <w:color w:val="auto"/>
          <w:szCs w:val="21"/>
          <w:highlight w:val="none"/>
        </w:rPr>
      </w:pPr>
    </w:p>
    <w:p w14:paraId="319C5772">
      <w:pPr>
        <w:spacing w:line="360" w:lineRule="auto"/>
        <w:ind w:firstLine="1680"/>
        <w:rPr>
          <w:rFonts w:hint="eastAsia" w:ascii="宋体" w:hAnsi="宋体"/>
          <w:bCs/>
          <w:color w:val="auto"/>
          <w:szCs w:val="21"/>
          <w:highlight w:val="none"/>
        </w:rPr>
      </w:pPr>
      <w:r>
        <w:rPr>
          <w:rFonts w:hint="eastAsia" w:ascii="宋体" w:hAnsi="宋体"/>
          <w:bCs/>
          <w:color w:val="auto"/>
          <w:szCs w:val="21"/>
          <w:highlight w:val="none"/>
        </w:rPr>
        <w:t>法定代表人或法定代表人授权代表签字或盖章：</w:t>
      </w:r>
    </w:p>
    <w:p w14:paraId="0F7D8937">
      <w:pPr>
        <w:pStyle w:val="334"/>
        <w:rPr>
          <w:color w:val="auto"/>
          <w:highlight w:val="none"/>
        </w:rPr>
      </w:pPr>
    </w:p>
    <w:p w14:paraId="25B5ED3F">
      <w:pPr>
        <w:spacing w:line="360" w:lineRule="auto"/>
        <w:outlineLvl w:val="0"/>
        <w:rPr>
          <w:rFonts w:eastAsia="黑体"/>
          <w:bCs/>
          <w:color w:val="auto"/>
          <w:sz w:val="24"/>
          <w:szCs w:val="24"/>
          <w:highlight w:val="none"/>
        </w:rPr>
      </w:pPr>
    </w:p>
    <w:p w14:paraId="40F02E54">
      <w:pPr>
        <w:spacing w:line="360" w:lineRule="auto"/>
        <w:outlineLvl w:val="0"/>
        <w:rPr>
          <w:rFonts w:eastAsia="黑体"/>
          <w:bCs/>
          <w:color w:val="auto"/>
          <w:sz w:val="24"/>
          <w:szCs w:val="24"/>
          <w:highlight w:val="none"/>
        </w:rPr>
      </w:pPr>
    </w:p>
    <w:p w14:paraId="3FA68F1F">
      <w:pPr>
        <w:spacing w:line="360" w:lineRule="auto"/>
        <w:rPr>
          <w:rFonts w:ascii="宋体"/>
          <w:color w:val="auto"/>
          <w:sz w:val="24"/>
          <w:highlight w:val="none"/>
        </w:rPr>
      </w:pPr>
    </w:p>
    <w:p w14:paraId="471E068B">
      <w:pPr>
        <w:spacing w:line="360" w:lineRule="auto"/>
        <w:outlineLvl w:val="0"/>
        <w:rPr>
          <w:rFonts w:eastAsia="黑体"/>
          <w:bCs/>
          <w:color w:val="auto"/>
          <w:sz w:val="24"/>
          <w:szCs w:val="24"/>
          <w:highlight w:val="none"/>
        </w:rPr>
      </w:pPr>
    </w:p>
    <w:p w14:paraId="7773B6BC">
      <w:pPr>
        <w:spacing w:line="360" w:lineRule="auto"/>
        <w:outlineLvl w:val="0"/>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clear="all"/>
      </w:r>
      <w:r>
        <w:rPr>
          <w:rFonts w:hint="eastAsia" w:ascii="宋体" w:hAnsi="宋体" w:cs="宋体"/>
          <w:b/>
          <w:color w:val="auto"/>
          <w:sz w:val="24"/>
          <w:szCs w:val="24"/>
          <w:highlight w:val="none"/>
        </w:rPr>
        <w:t>（五）开标一览表(格式系统生成)：</w:t>
      </w:r>
    </w:p>
    <w:p w14:paraId="10144F12">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投标人名称（盖章）                              招标编号：</w:t>
      </w:r>
    </w:p>
    <w:p w14:paraId="059FCA51">
      <w:pPr>
        <w:spacing w:line="40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采购包：</w:t>
      </w:r>
    </w:p>
    <w:tbl>
      <w:tblPr>
        <w:tblStyle w:val="40"/>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50"/>
      </w:tblGrid>
      <w:tr w14:paraId="24C228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88" w:hRule="atLeast"/>
        </w:trPr>
        <w:tc>
          <w:tcPr>
            <w:tcW w:w="9450" w:type="dxa"/>
            <w:noWrap w:val="0"/>
            <w:vAlign w:val="center"/>
          </w:tcPr>
          <w:p w14:paraId="668DF095">
            <w:pPr>
              <w:jc w:val="center"/>
              <w:rPr>
                <w:rFonts w:hint="eastAsia" w:ascii="宋体" w:hAnsi="宋体"/>
                <w:sz w:val="24"/>
                <w:szCs w:val="24"/>
              </w:rPr>
            </w:pPr>
            <w:r>
              <w:rPr>
                <w:rFonts w:hint="eastAsia" w:ascii="宋体" w:hAnsi="宋体"/>
                <w:color w:val="000000"/>
                <w:sz w:val="24"/>
                <w:szCs w:val="24"/>
              </w:rPr>
              <w:t>投标时报投标</w:t>
            </w:r>
            <w:r>
              <w:rPr>
                <w:rFonts w:hint="eastAsia" w:ascii="宋体" w:hAnsi="宋体"/>
                <w:color w:val="000000"/>
                <w:sz w:val="24"/>
                <w:szCs w:val="24"/>
                <w:lang w:val="en-US" w:eastAsia="zh-CN"/>
              </w:rPr>
              <w:t>浮动</w:t>
            </w:r>
            <w:r>
              <w:rPr>
                <w:rFonts w:hint="eastAsia" w:ascii="宋体" w:hAnsi="宋体"/>
                <w:color w:val="000000"/>
                <w:sz w:val="24"/>
                <w:szCs w:val="24"/>
              </w:rPr>
              <w:t>比例</w:t>
            </w:r>
            <w:r>
              <w:rPr>
                <w:rFonts w:hint="eastAsia" w:ascii="宋体" w:hAnsi="宋体"/>
                <w:color w:val="000000"/>
                <w:sz w:val="24"/>
                <w:szCs w:val="24"/>
                <w:lang w:eastAsia="zh-CN"/>
              </w:rPr>
              <w:t>（</w:t>
            </w:r>
            <w:r>
              <w:rPr>
                <w:rFonts w:hint="eastAsia" w:ascii="宋体" w:hAnsi="宋体"/>
                <w:color w:val="000000"/>
                <w:sz w:val="24"/>
                <w:szCs w:val="24"/>
                <w:lang w:val="en-US" w:eastAsia="zh-CN"/>
              </w:rPr>
              <w:t>即优惠率</w:t>
            </w:r>
            <w:r>
              <w:rPr>
                <w:rFonts w:hint="eastAsia" w:ascii="宋体" w:hAnsi="宋体"/>
                <w:color w:val="000000"/>
                <w:sz w:val="24"/>
                <w:szCs w:val="24"/>
                <w:lang w:eastAsia="zh-CN"/>
              </w:rPr>
              <w:t>）</w:t>
            </w:r>
          </w:p>
        </w:tc>
      </w:tr>
      <w:tr w14:paraId="12E9C6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11" w:hRule="atLeast"/>
        </w:trPr>
        <w:tc>
          <w:tcPr>
            <w:tcW w:w="9450" w:type="dxa"/>
            <w:noWrap w:val="0"/>
            <w:vAlign w:val="center"/>
          </w:tcPr>
          <w:p w14:paraId="458822C0">
            <w:pPr>
              <w:pStyle w:val="352"/>
              <w:spacing w:before="0" w:after="0" w:line="500" w:lineRule="exact"/>
              <w:ind w:firstLine="0"/>
              <w:rPr>
                <w:rFonts w:hint="eastAsia" w:ascii="宋体" w:hAnsi="宋体" w:eastAsia="宋体"/>
                <w:szCs w:val="21"/>
                <w:lang w:eastAsia="zh-CN"/>
              </w:rPr>
            </w:pPr>
            <w:r>
              <w:rPr>
                <w:rFonts w:hint="eastAsia" w:ascii="宋体" w:hAnsi="宋体" w:cs="宋体"/>
              </w:rPr>
              <w:t xml:space="preserve">小写：                             </w:t>
            </w:r>
            <w:r>
              <w:rPr>
                <w:rFonts w:hint="eastAsia" w:ascii="宋体" w:hAnsi="宋体" w:cs="宋体"/>
                <w:lang w:eastAsia="zh-CN"/>
              </w:rPr>
              <w:t>（</w:t>
            </w:r>
            <w:r>
              <w:rPr>
                <w:rFonts w:hint="eastAsia" w:ascii="宋体" w:hAnsi="宋体" w:cs="宋体"/>
                <w:lang w:val="en-US" w:eastAsia="zh-CN"/>
              </w:rPr>
              <w:t>%</w:t>
            </w:r>
            <w:r>
              <w:rPr>
                <w:rFonts w:hint="eastAsia" w:ascii="宋体" w:hAnsi="宋体" w:cs="宋体"/>
                <w:lang w:eastAsia="zh-CN"/>
              </w:rPr>
              <w:t>）</w:t>
            </w:r>
          </w:p>
        </w:tc>
      </w:tr>
    </w:tbl>
    <w:p w14:paraId="4AD2AE4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备注：投标人报价过低，有可能影响产品或服务质量或不能诚信履约的，评委会将启动异常低价投标审查机制，投标人应在评委会规定的合理时间内通过苏采云系统提供项目具体成本测算等与报价合理性相关的书面说明及相关证明材料。投标人不提供书面说明及证明材料，或者书面说明、证明材料不能证明其报价合理性的，将作为无效投标处理。</w:t>
      </w:r>
    </w:p>
    <w:p w14:paraId="5025FA12">
      <w:pPr>
        <w:pStyle w:val="21"/>
        <w:ind w:left="1260"/>
        <w:rPr>
          <w:color w:val="auto"/>
          <w:highlight w:val="none"/>
        </w:rPr>
      </w:pPr>
    </w:p>
    <w:p w14:paraId="6D042BC5">
      <w:pPr>
        <w:rPr>
          <w:color w:val="auto"/>
          <w:highlight w:val="none"/>
        </w:rPr>
      </w:pPr>
    </w:p>
    <w:p w14:paraId="6274EC64">
      <w:pPr>
        <w:pStyle w:val="21"/>
        <w:ind w:left="1260"/>
        <w:rPr>
          <w:color w:val="auto"/>
          <w:highlight w:val="none"/>
        </w:rPr>
      </w:pPr>
    </w:p>
    <w:p w14:paraId="26444A8B">
      <w:pPr>
        <w:rPr>
          <w:color w:val="auto"/>
          <w:highlight w:val="none"/>
        </w:rPr>
      </w:pPr>
    </w:p>
    <w:p w14:paraId="42C44B88">
      <w:pPr>
        <w:pStyle w:val="21"/>
        <w:ind w:left="1260"/>
        <w:rPr>
          <w:color w:val="auto"/>
          <w:highlight w:val="none"/>
        </w:rPr>
      </w:pPr>
    </w:p>
    <w:p w14:paraId="47161E05">
      <w:pPr>
        <w:spacing w:line="360" w:lineRule="auto"/>
        <w:rPr>
          <w:bCs/>
          <w:color w:val="auto"/>
          <w:sz w:val="24"/>
          <w:szCs w:val="24"/>
          <w:highlight w:val="none"/>
        </w:rPr>
      </w:pPr>
      <w:r>
        <w:rPr>
          <w:rFonts w:eastAsia="黑体"/>
          <w:bCs/>
          <w:color w:val="auto"/>
          <w:sz w:val="24"/>
          <w:szCs w:val="24"/>
          <w:highlight w:val="none"/>
        </w:rPr>
        <w:br w:type="page" w:clear="all"/>
      </w:r>
      <w:r>
        <w:rPr>
          <w:rFonts w:hint="eastAsia" w:ascii="宋体" w:hAnsi="宋体" w:cs="宋体"/>
          <w:b/>
          <w:color w:val="auto"/>
          <w:sz w:val="24"/>
          <w:szCs w:val="24"/>
          <w:highlight w:val="none"/>
        </w:rPr>
        <w:t>（六）细目报价表 (格式)：</w:t>
      </w:r>
    </w:p>
    <w:p w14:paraId="5782C816">
      <w:pPr>
        <w:spacing w:line="360" w:lineRule="auto"/>
        <w:jc w:val="center"/>
        <w:rPr>
          <w:rFonts w:hint="eastAsia" w:ascii="宋体" w:hAnsi="宋体" w:eastAsia="宋体" w:cs="宋体"/>
          <w:b/>
          <w:color w:val="auto"/>
          <w:sz w:val="36"/>
          <w:szCs w:val="28"/>
          <w:highlight w:val="none"/>
          <w:lang w:eastAsia="zh-CN"/>
        </w:rPr>
      </w:pPr>
      <w:r>
        <w:rPr>
          <w:rFonts w:hint="eastAsia" w:ascii="宋体" w:hAnsi="宋体" w:cs="宋体"/>
          <w:b/>
          <w:color w:val="auto"/>
          <w:sz w:val="36"/>
          <w:szCs w:val="28"/>
          <w:highlight w:val="none"/>
        </w:rPr>
        <w:t>细目报价表</w:t>
      </w:r>
      <w:r>
        <w:rPr>
          <w:rFonts w:hint="eastAsia" w:ascii="宋体" w:hAnsi="宋体" w:cs="宋体"/>
          <w:b/>
          <w:color w:val="auto"/>
          <w:sz w:val="36"/>
          <w:szCs w:val="28"/>
          <w:highlight w:val="none"/>
          <w:lang w:eastAsia="zh-CN"/>
        </w:rPr>
        <w:t>（格式自拟）</w:t>
      </w:r>
    </w:p>
    <w:p w14:paraId="0864B8B5">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投标人名称（盖章）                              招标编号：</w:t>
      </w:r>
    </w:p>
    <w:p w14:paraId="4252957C">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采购包：</w:t>
      </w:r>
    </w:p>
    <w:tbl>
      <w:tblPr>
        <w:tblStyle w:val="40"/>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1"/>
        <w:gridCol w:w="1240"/>
        <w:gridCol w:w="970"/>
        <w:gridCol w:w="1790"/>
        <w:gridCol w:w="1470"/>
        <w:gridCol w:w="830"/>
        <w:gridCol w:w="820"/>
        <w:gridCol w:w="960"/>
        <w:gridCol w:w="1210"/>
      </w:tblGrid>
      <w:tr w14:paraId="033663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81" w:type="dxa"/>
            <w:vMerge w:val="restart"/>
            <w:noWrap w:val="0"/>
            <w:vAlign w:val="center"/>
          </w:tcPr>
          <w:p w14:paraId="171CB1C1">
            <w:pPr>
              <w:spacing w:line="0" w:lineRule="atLeast"/>
              <w:jc w:val="center"/>
              <w:rPr>
                <w:rFonts w:hint="eastAsia" w:ascii="宋体" w:hAnsi="宋体"/>
                <w:sz w:val="24"/>
                <w:szCs w:val="24"/>
              </w:rPr>
            </w:pPr>
            <w:r>
              <w:rPr>
                <w:rFonts w:hint="eastAsia" w:ascii="宋体" w:hAnsi="宋体"/>
                <w:sz w:val="24"/>
                <w:szCs w:val="24"/>
              </w:rPr>
              <w:t>序号</w:t>
            </w:r>
          </w:p>
        </w:tc>
        <w:tc>
          <w:tcPr>
            <w:tcW w:w="1240" w:type="dxa"/>
            <w:noWrap w:val="0"/>
            <w:vAlign w:val="center"/>
          </w:tcPr>
          <w:p w14:paraId="73D82482">
            <w:pPr>
              <w:spacing w:line="0" w:lineRule="atLeast"/>
              <w:jc w:val="center"/>
              <w:rPr>
                <w:rFonts w:hint="eastAsia" w:ascii="宋体" w:hAnsi="宋体"/>
                <w:sz w:val="24"/>
                <w:szCs w:val="24"/>
              </w:rPr>
            </w:pPr>
            <w:r>
              <w:rPr>
                <w:rFonts w:hint="eastAsia" w:ascii="宋体" w:hAnsi="宋体"/>
                <w:sz w:val="24"/>
                <w:szCs w:val="24"/>
              </w:rPr>
              <w:t>1</w:t>
            </w:r>
          </w:p>
        </w:tc>
        <w:tc>
          <w:tcPr>
            <w:tcW w:w="970" w:type="dxa"/>
            <w:noWrap w:val="0"/>
            <w:vAlign w:val="center"/>
          </w:tcPr>
          <w:p w14:paraId="2B861BF5">
            <w:pPr>
              <w:spacing w:line="0" w:lineRule="atLeast"/>
              <w:jc w:val="center"/>
              <w:rPr>
                <w:rFonts w:hint="eastAsia" w:ascii="宋体" w:hAnsi="宋体"/>
                <w:sz w:val="24"/>
                <w:szCs w:val="24"/>
                <w:lang w:val="en-US" w:eastAsia="zh-CN" w:bidi="ar-SA"/>
              </w:rPr>
            </w:pPr>
            <w:r>
              <w:rPr>
                <w:rFonts w:hint="eastAsia" w:ascii="宋体" w:hAnsi="宋体"/>
                <w:sz w:val="24"/>
                <w:szCs w:val="24"/>
              </w:rPr>
              <w:t>2</w:t>
            </w:r>
          </w:p>
        </w:tc>
        <w:tc>
          <w:tcPr>
            <w:tcW w:w="1790" w:type="dxa"/>
            <w:noWrap w:val="0"/>
            <w:vAlign w:val="center"/>
          </w:tcPr>
          <w:p w14:paraId="2CBBC7CC">
            <w:pPr>
              <w:spacing w:line="0" w:lineRule="atLeast"/>
              <w:jc w:val="center"/>
              <w:rPr>
                <w:rFonts w:hint="eastAsia" w:ascii="宋体" w:hAnsi="宋体" w:eastAsia="宋体"/>
                <w:sz w:val="24"/>
                <w:szCs w:val="24"/>
                <w:lang w:val="en-US" w:eastAsia="zh-CN" w:bidi="ar-SA"/>
              </w:rPr>
            </w:pPr>
            <w:r>
              <w:rPr>
                <w:rFonts w:hint="eastAsia" w:ascii="宋体" w:hAnsi="宋体"/>
                <w:sz w:val="24"/>
                <w:szCs w:val="24"/>
                <w:lang w:val="en-US" w:eastAsia="zh-CN"/>
              </w:rPr>
              <w:t>3</w:t>
            </w:r>
          </w:p>
        </w:tc>
        <w:tc>
          <w:tcPr>
            <w:tcW w:w="1470" w:type="dxa"/>
            <w:noWrap w:val="0"/>
            <w:vAlign w:val="center"/>
          </w:tcPr>
          <w:p w14:paraId="047DE604">
            <w:pPr>
              <w:spacing w:line="0" w:lineRule="atLeast"/>
              <w:jc w:val="center"/>
              <w:rPr>
                <w:rFonts w:hint="eastAsia" w:ascii="宋体" w:hAnsi="宋体" w:eastAsia="宋体"/>
                <w:sz w:val="24"/>
                <w:szCs w:val="24"/>
                <w:lang w:val="en-US" w:eastAsia="zh-CN" w:bidi="ar-SA"/>
              </w:rPr>
            </w:pPr>
            <w:r>
              <w:rPr>
                <w:rFonts w:hint="eastAsia" w:ascii="宋体" w:hAnsi="宋体"/>
                <w:sz w:val="24"/>
                <w:szCs w:val="24"/>
                <w:lang w:val="en-US" w:eastAsia="zh-CN"/>
              </w:rPr>
              <w:t>4</w:t>
            </w:r>
          </w:p>
        </w:tc>
        <w:tc>
          <w:tcPr>
            <w:tcW w:w="830" w:type="dxa"/>
            <w:noWrap w:val="0"/>
            <w:vAlign w:val="center"/>
          </w:tcPr>
          <w:p w14:paraId="7804725E">
            <w:pPr>
              <w:spacing w:line="0" w:lineRule="atLeast"/>
              <w:jc w:val="center"/>
              <w:rPr>
                <w:rFonts w:hint="eastAsia" w:ascii="宋体" w:hAnsi="宋体" w:eastAsia="宋体"/>
                <w:sz w:val="24"/>
                <w:szCs w:val="24"/>
                <w:lang w:val="en-US" w:eastAsia="zh-CN" w:bidi="ar-SA"/>
              </w:rPr>
            </w:pPr>
            <w:r>
              <w:rPr>
                <w:rFonts w:hint="eastAsia" w:ascii="宋体" w:hAnsi="宋体"/>
                <w:sz w:val="24"/>
                <w:szCs w:val="24"/>
                <w:lang w:val="en-US" w:eastAsia="zh-CN"/>
              </w:rPr>
              <w:t>5</w:t>
            </w:r>
          </w:p>
        </w:tc>
        <w:tc>
          <w:tcPr>
            <w:tcW w:w="820" w:type="dxa"/>
            <w:noWrap w:val="0"/>
            <w:vAlign w:val="center"/>
          </w:tcPr>
          <w:p w14:paraId="5C0DB088">
            <w:pPr>
              <w:spacing w:line="0" w:lineRule="atLeast"/>
              <w:jc w:val="center"/>
              <w:rPr>
                <w:rFonts w:hint="eastAsia" w:ascii="宋体" w:hAnsi="宋体" w:eastAsia="宋体"/>
                <w:sz w:val="24"/>
                <w:szCs w:val="24"/>
                <w:lang w:val="en-US" w:eastAsia="zh-CN" w:bidi="ar-SA"/>
              </w:rPr>
            </w:pPr>
            <w:r>
              <w:rPr>
                <w:rFonts w:hint="eastAsia" w:ascii="宋体" w:hAnsi="宋体"/>
                <w:sz w:val="24"/>
                <w:szCs w:val="24"/>
                <w:lang w:val="en-US" w:eastAsia="zh-CN"/>
              </w:rPr>
              <w:t>6</w:t>
            </w:r>
          </w:p>
        </w:tc>
        <w:tc>
          <w:tcPr>
            <w:tcW w:w="960" w:type="dxa"/>
            <w:noWrap w:val="0"/>
            <w:vAlign w:val="center"/>
          </w:tcPr>
          <w:p w14:paraId="6D2B254B">
            <w:pPr>
              <w:spacing w:line="0" w:lineRule="atLeast"/>
              <w:jc w:val="center"/>
              <w:rPr>
                <w:rFonts w:hint="eastAsia" w:ascii="宋体" w:hAnsi="宋体" w:eastAsia="宋体"/>
                <w:sz w:val="24"/>
                <w:szCs w:val="24"/>
                <w:lang w:val="en-US" w:eastAsia="zh-CN" w:bidi="ar-SA"/>
              </w:rPr>
            </w:pPr>
            <w:r>
              <w:rPr>
                <w:rFonts w:hint="eastAsia" w:ascii="宋体" w:hAnsi="宋体"/>
                <w:sz w:val="24"/>
                <w:szCs w:val="24"/>
                <w:lang w:val="en-US" w:eastAsia="zh-CN"/>
              </w:rPr>
              <w:t>7</w:t>
            </w:r>
          </w:p>
        </w:tc>
        <w:tc>
          <w:tcPr>
            <w:tcW w:w="1210" w:type="dxa"/>
            <w:noWrap w:val="0"/>
            <w:vAlign w:val="center"/>
          </w:tcPr>
          <w:p w14:paraId="4944CF51">
            <w:pPr>
              <w:spacing w:line="0" w:lineRule="atLeast"/>
              <w:jc w:val="center"/>
              <w:rPr>
                <w:rFonts w:ascii="宋体" w:hAnsi="宋体" w:eastAsia="宋体"/>
                <w:sz w:val="24"/>
                <w:szCs w:val="24"/>
                <w:lang w:val="en-US" w:eastAsia="zh-CN"/>
              </w:rPr>
            </w:pPr>
            <w:r>
              <w:rPr>
                <w:rFonts w:hint="eastAsia" w:ascii="宋体" w:hAnsi="宋体" w:eastAsia="宋体"/>
                <w:sz w:val="24"/>
                <w:szCs w:val="24"/>
                <w:lang w:val="en-US" w:eastAsia="zh-CN"/>
              </w:rPr>
              <w:t>8</w:t>
            </w:r>
          </w:p>
        </w:tc>
      </w:tr>
      <w:tr w14:paraId="537C14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3" w:hRule="atLeast"/>
        </w:trPr>
        <w:tc>
          <w:tcPr>
            <w:tcW w:w="581" w:type="dxa"/>
            <w:vMerge w:val="continue"/>
            <w:noWrap w:val="0"/>
            <w:vAlign w:val="center"/>
          </w:tcPr>
          <w:p w14:paraId="65B87EFB">
            <w:pPr>
              <w:spacing w:line="0" w:lineRule="atLeast"/>
              <w:jc w:val="center"/>
              <w:rPr>
                <w:rFonts w:hint="eastAsia" w:ascii="宋体" w:hAnsi="宋体"/>
                <w:sz w:val="24"/>
                <w:szCs w:val="24"/>
              </w:rPr>
            </w:pPr>
          </w:p>
        </w:tc>
        <w:tc>
          <w:tcPr>
            <w:tcW w:w="1240" w:type="dxa"/>
            <w:noWrap w:val="0"/>
            <w:vAlign w:val="center"/>
          </w:tcPr>
          <w:p w14:paraId="5992ADC5">
            <w:pPr>
              <w:spacing w:line="0" w:lineRule="atLeast"/>
              <w:jc w:val="center"/>
              <w:rPr>
                <w:rFonts w:hint="eastAsia" w:ascii="宋体" w:hAnsi="宋体"/>
                <w:sz w:val="24"/>
                <w:szCs w:val="24"/>
              </w:rPr>
            </w:pPr>
            <w:r>
              <w:rPr>
                <w:rFonts w:hint="eastAsia" w:ascii="宋体" w:hAnsi="宋体"/>
                <w:sz w:val="24"/>
                <w:szCs w:val="24"/>
                <w:lang w:eastAsia="zh-CN"/>
              </w:rPr>
              <w:t>产品</w:t>
            </w:r>
            <w:r>
              <w:rPr>
                <w:rFonts w:hint="eastAsia" w:ascii="宋体" w:hAnsi="宋体"/>
                <w:sz w:val="24"/>
                <w:szCs w:val="24"/>
              </w:rPr>
              <w:t>名称</w:t>
            </w:r>
          </w:p>
        </w:tc>
        <w:tc>
          <w:tcPr>
            <w:tcW w:w="970" w:type="dxa"/>
            <w:noWrap w:val="0"/>
            <w:vAlign w:val="center"/>
          </w:tcPr>
          <w:p w14:paraId="4189BB8E">
            <w:pPr>
              <w:spacing w:line="0" w:lineRule="atLeast"/>
              <w:jc w:val="center"/>
              <w:rPr>
                <w:rFonts w:hint="eastAsia" w:ascii="宋体" w:hAnsi="宋体"/>
                <w:sz w:val="24"/>
                <w:szCs w:val="24"/>
                <w:lang w:eastAsia="zh-CN"/>
              </w:rPr>
            </w:pPr>
            <w:r>
              <w:rPr>
                <w:rFonts w:hint="eastAsia" w:ascii="宋体" w:hAnsi="宋体"/>
                <w:sz w:val="24"/>
                <w:szCs w:val="24"/>
              </w:rPr>
              <w:t>品牌</w:t>
            </w:r>
          </w:p>
        </w:tc>
        <w:tc>
          <w:tcPr>
            <w:tcW w:w="1790" w:type="dxa"/>
            <w:noWrap w:val="0"/>
            <w:vAlign w:val="center"/>
          </w:tcPr>
          <w:p w14:paraId="4D704734">
            <w:pPr>
              <w:spacing w:line="0" w:lineRule="atLeast"/>
              <w:jc w:val="center"/>
              <w:rPr>
                <w:rFonts w:hint="eastAsia" w:ascii="宋体" w:hAnsi="宋体" w:eastAsia="宋体"/>
                <w:sz w:val="24"/>
                <w:szCs w:val="24"/>
                <w:lang w:val="en-US" w:eastAsia="zh-CN"/>
              </w:rPr>
            </w:pPr>
            <w:r>
              <w:rPr>
                <w:rFonts w:hint="eastAsia" w:ascii="宋体" w:hAnsi="宋体"/>
                <w:sz w:val="24"/>
                <w:szCs w:val="24"/>
              </w:rPr>
              <w:t>规格</w:t>
            </w:r>
            <w:r>
              <w:rPr>
                <w:rFonts w:hint="eastAsia" w:ascii="宋体" w:hAnsi="宋体"/>
                <w:sz w:val="24"/>
                <w:szCs w:val="24"/>
                <w:lang w:eastAsia="zh-CN"/>
              </w:rPr>
              <w:t>或型号</w:t>
            </w:r>
          </w:p>
        </w:tc>
        <w:tc>
          <w:tcPr>
            <w:tcW w:w="1470" w:type="dxa"/>
            <w:noWrap w:val="0"/>
            <w:vAlign w:val="center"/>
          </w:tcPr>
          <w:p w14:paraId="64B5F86F">
            <w:pPr>
              <w:spacing w:line="0" w:lineRule="atLeast"/>
              <w:jc w:val="center"/>
              <w:rPr>
                <w:rFonts w:hint="eastAsia" w:ascii="宋体" w:hAnsi="宋体" w:eastAsia="宋体"/>
                <w:sz w:val="24"/>
                <w:szCs w:val="24"/>
                <w:lang w:eastAsia="zh-CN"/>
              </w:rPr>
            </w:pPr>
            <w:r>
              <w:rPr>
                <w:rFonts w:hint="eastAsia" w:ascii="宋体" w:hAnsi="宋体"/>
                <w:sz w:val="24"/>
                <w:szCs w:val="24"/>
              </w:rPr>
              <w:t>交付期</w:t>
            </w:r>
            <w:r>
              <w:rPr>
                <w:rFonts w:hint="eastAsia" w:ascii="宋体" w:hAnsi="宋体"/>
                <w:sz w:val="24"/>
                <w:szCs w:val="24"/>
                <w:lang w:eastAsia="zh-CN"/>
              </w:rPr>
              <w:t>（</w:t>
            </w:r>
            <w:r>
              <w:rPr>
                <w:rFonts w:hint="eastAsia" w:ascii="宋体" w:hAnsi="宋体"/>
                <w:sz w:val="24"/>
                <w:szCs w:val="24"/>
                <w:lang w:val="en-US" w:eastAsia="zh-CN"/>
              </w:rPr>
              <w:t>天</w:t>
            </w:r>
            <w:r>
              <w:rPr>
                <w:rFonts w:hint="eastAsia" w:ascii="宋体" w:hAnsi="宋体"/>
                <w:sz w:val="24"/>
                <w:szCs w:val="24"/>
                <w:lang w:eastAsia="zh-CN"/>
              </w:rPr>
              <w:t>）</w:t>
            </w:r>
          </w:p>
        </w:tc>
        <w:tc>
          <w:tcPr>
            <w:tcW w:w="830" w:type="dxa"/>
            <w:noWrap w:val="0"/>
            <w:vAlign w:val="center"/>
          </w:tcPr>
          <w:p w14:paraId="6EBAB497">
            <w:pPr>
              <w:spacing w:line="0" w:lineRule="atLeast"/>
              <w:jc w:val="center"/>
              <w:rPr>
                <w:rFonts w:hint="eastAsia" w:ascii="宋体" w:hAnsi="宋体"/>
                <w:sz w:val="24"/>
                <w:szCs w:val="24"/>
              </w:rPr>
            </w:pPr>
            <w:r>
              <w:rPr>
                <w:rFonts w:hint="eastAsia" w:ascii="宋体" w:hAnsi="宋体"/>
                <w:sz w:val="24"/>
                <w:szCs w:val="24"/>
              </w:rPr>
              <w:t>数量</w:t>
            </w:r>
          </w:p>
        </w:tc>
        <w:tc>
          <w:tcPr>
            <w:tcW w:w="820" w:type="dxa"/>
            <w:noWrap w:val="0"/>
            <w:vAlign w:val="center"/>
          </w:tcPr>
          <w:p w14:paraId="261EAFA8">
            <w:pPr>
              <w:spacing w:line="0" w:lineRule="atLeast"/>
              <w:jc w:val="center"/>
              <w:rPr>
                <w:rFonts w:hint="eastAsia" w:ascii="宋体" w:hAnsi="宋体"/>
                <w:sz w:val="24"/>
                <w:szCs w:val="24"/>
              </w:rPr>
            </w:pPr>
            <w:r>
              <w:rPr>
                <w:rFonts w:hint="eastAsia" w:ascii="宋体" w:hAnsi="宋体"/>
                <w:sz w:val="24"/>
                <w:szCs w:val="24"/>
              </w:rPr>
              <w:t>单位</w:t>
            </w:r>
          </w:p>
        </w:tc>
        <w:tc>
          <w:tcPr>
            <w:tcW w:w="960" w:type="dxa"/>
            <w:noWrap w:val="0"/>
            <w:vAlign w:val="center"/>
          </w:tcPr>
          <w:p w14:paraId="3F2B0A4F">
            <w:pPr>
              <w:spacing w:line="0" w:lineRule="atLeast"/>
              <w:jc w:val="center"/>
              <w:rPr>
                <w:rFonts w:ascii="宋体" w:hAnsi="宋体" w:eastAsia="宋体"/>
                <w:sz w:val="24"/>
                <w:szCs w:val="24"/>
                <w:lang w:val="en-US" w:eastAsia="zh-CN"/>
              </w:rPr>
            </w:pPr>
            <w:r>
              <w:rPr>
                <w:rFonts w:hint="eastAsia" w:ascii="宋体" w:hAnsi="宋体"/>
                <w:sz w:val="24"/>
                <w:szCs w:val="24"/>
              </w:rPr>
              <w:t>单价</w:t>
            </w:r>
            <w:r>
              <w:rPr>
                <w:rFonts w:hint="eastAsia" w:ascii="宋体" w:hAnsi="宋体"/>
                <w:sz w:val="24"/>
                <w:szCs w:val="24"/>
                <w:lang w:eastAsia="zh-CN"/>
              </w:rPr>
              <w:t>（</w:t>
            </w:r>
            <w:r>
              <w:rPr>
                <w:rFonts w:hint="eastAsia" w:ascii="宋体" w:hAnsi="宋体"/>
                <w:sz w:val="24"/>
                <w:szCs w:val="24"/>
                <w:lang w:val="en-US" w:eastAsia="zh-CN"/>
              </w:rPr>
              <w:t>元）</w:t>
            </w:r>
          </w:p>
        </w:tc>
        <w:tc>
          <w:tcPr>
            <w:tcW w:w="1210" w:type="dxa"/>
            <w:noWrap w:val="0"/>
            <w:vAlign w:val="center"/>
          </w:tcPr>
          <w:p w14:paraId="5BEEA08C">
            <w:pPr>
              <w:spacing w:line="0" w:lineRule="atLeast"/>
              <w:jc w:val="center"/>
              <w:rPr>
                <w:rFonts w:hint="eastAsia" w:ascii="宋体" w:hAnsi="宋体" w:eastAsia="宋体"/>
                <w:sz w:val="24"/>
                <w:szCs w:val="24"/>
                <w:lang w:eastAsia="zh-CN"/>
              </w:rPr>
            </w:pPr>
            <w:r>
              <w:rPr>
                <w:rFonts w:hint="eastAsia" w:ascii="宋体" w:hAnsi="宋体"/>
                <w:sz w:val="24"/>
                <w:szCs w:val="24"/>
              </w:rPr>
              <w:t>总价</w:t>
            </w:r>
            <w:r>
              <w:rPr>
                <w:rFonts w:hint="eastAsia" w:ascii="宋体" w:hAnsi="宋体"/>
                <w:sz w:val="24"/>
                <w:szCs w:val="24"/>
                <w:lang w:eastAsia="zh-CN"/>
              </w:rPr>
              <w:t>（</w:t>
            </w:r>
            <w:r>
              <w:rPr>
                <w:rFonts w:hint="eastAsia" w:ascii="宋体" w:hAnsi="宋体"/>
                <w:sz w:val="24"/>
                <w:szCs w:val="24"/>
                <w:lang w:val="en-US" w:eastAsia="zh-CN"/>
              </w:rPr>
              <w:t>元</w:t>
            </w:r>
            <w:r>
              <w:rPr>
                <w:rFonts w:hint="eastAsia" w:ascii="宋体" w:hAnsi="宋体"/>
                <w:sz w:val="24"/>
                <w:szCs w:val="24"/>
                <w:lang w:eastAsia="zh-CN"/>
              </w:rPr>
              <w:t>）</w:t>
            </w:r>
          </w:p>
        </w:tc>
      </w:tr>
      <w:tr w14:paraId="50B800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noWrap w:val="0"/>
            <w:vAlign w:val="center"/>
          </w:tcPr>
          <w:p w14:paraId="721E5995">
            <w:pPr>
              <w:spacing w:line="0" w:lineRule="atLeast"/>
              <w:jc w:val="center"/>
              <w:rPr>
                <w:rFonts w:hint="eastAsia" w:ascii="宋体" w:hAnsi="宋体"/>
                <w:sz w:val="24"/>
                <w:szCs w:val="24"/>
              </w:rPr>
            </w:pPr>
            <w:r>
              <w:rPr>
                <w:rFonts w:hint="eastAsia" w:ascii="宋体" w:hAnsi="宋体"/>
                <w:sz w:val="24"/>
                <w:szCs w:val="24"/>
              </w:rPr>
              <w:t>1</w:t>
            </w:r>
          </w:p>
        </w:tc>
        <w:tc>
          <w:tcPr>
            <w:tcW w:w="1240" w:type="dxa"/>
            <w:noWrap w:val="0"/>
            <w:vAlign w:val="center"/>
          </w:tcPr>
          <w:p w14:paraId="4B453ECD">
            <w:pPr>
              <w:spacing w:line="0" w:lineRule="atLeast"/>
              <w:jc w:val="center"/>
              <w:rPr>
                <w:rFonts w:hint="eastAsia" w:ascii="宋体" w:hAnsi="宋体"/>
                <w:sz w:val="24"/>
                <w:szCs w:val="24"/>
              </w:rPr>
            </w:pPr>
          </w:p>
        </w:tc>
        <w:tc>
          <w:tcPr>
            <w:tcW w:w="970" w:type="dxa"/>
            <w:noWrap w:val="0"/>
            <w:vAlign w:val="center"/>
          </w:tcPr>
          <w:p w14:paraId="20DB9D0E">
            <w:pPr>
              <w:spacing w:line="0" w:lineRule="atLeast"/>
              <w:jc w:val="center"/>
              <w:rPr>
                <w:rFonts w:hint="eastAsia" w:ascii="宋体" w:hAnsi="宋体"/>
                <w:sz w:val="24"/>
                <w:szCs w:val="24"/>
              </w:rPr>
            </w:pPr>
          </w:p>
        </w:tc>
        <w:tc>
          <w:tcPr>
            <w:tcW w:w="1790" w:type="dxa"/>
            <w:noWrap w:val="0"/>
            <w:vAlign w:val="center"/>
          </w:tcPr>
          <w:p w14:paraId="7FE6AE0E">
            <w:pPr>
              <w:spacing w:line="0" w:lineRule="atLeast"/>
              <w:jc w:val="center"/>
              <w:rPr>
                <w:rFonts w:hint="eastAsia" w:ascii="宋体" w:hAnsi="宋体"/>
                <w:sz w:val="24"/>
                <w:szCs w:val="24"/>
              </w:rPr>
            </w:pPr>
          </w:p>
        </w:tc>
        <w:tc>
          <w:tcPr>
            <w:tcW w:w="1470" w:type="dxa"/>
            <w:noWrap w:val="0"/>
            <w:vAlign w:val="center"/>
          </w:tcPr>
          <w:p w14:paraId="5A27918C">
            <w:pPr>
              <w:spacing w:line="0" w:lineRule="atLeast"/>
              <w:jc w:val="center"/>
              <w:rPr>
                <w:rFonts w:hint="eastAsia" w:ascii="宋体" w:hAnsi="宋体"/>
                <w:sz w:val="24"/>
                <w:szCs w:val="24"/>
              </w:rPr>
            </w:pPr>
          </w:p>
        </w:tc>
        <w:tc>
          <w:tcPr>
            <w:tcW w:w="830" w:type="dxa"/>
            <w:noWrap w:val="0"/>
            <w:vAlign w:val="center"/>
          </w:tcPr>
          <w:p w14:paraId="0B9947C1">
            <w:pPr>
              <w:spacing w:line="0" w:lineRule="atLeast"/>
              <w:jc w:val="center"/>
              <w:rPr>
                <w:rFonts w:hint="eastAsia" w:ascii="宋体" w:hAnsi="宋体"/>
                <w:sz w:val="24"/>
                <w:szCs w:val="24"/>
              </w:rPr>
            </w:pPr>
          </w:p>
        </w:tc>
        <w:tc>
          <w:tcPr>
            <w:tcW w:w="820" w:type="dxa"/>
            <w:noWrap w:val="0"/>
            <w:vAlign w:val="center"/>
          </w:tcPr>
          <w:p w14:paraId="2BE33A5B">
            <w:pPr>
              <w:spacing w:line="0" w:lineRule="atLeast"/>
              <w:jc w:val="center"/>
              <w:rPr>
                <w:rFonts w:hint="eastAsia" w:ascii="宋体" w:hAnsi="宋体"/>
                <w:sz w:val="24"/>
                <w:szCs w:val="24"/>
              </w:rPr>
            </w:pPr>
          </w:p>
        </w:tc>
        <w:tc>
          <w:tcPr>
            <w:tcW w:w="960" w:type="dxa"/>
            <w:noWrap w:val="0"/>
            <w:vAlign w:val="center"/>
          </w:tcPr>
          <w:p w14:paraId="041373B6">
            <w:pPr>
              <w:spacing w:line="0" w:lineRule="atLeast"/>
              <w:jc w:val="center"/>
              <w:rPr>
                <w:rFonts w:hint="eastAsia" w:ascii="宋体" w:hAnsi="宋体"/>
                <w:sz w:val="24"/>
                <w:szCs w:val="24"/>
              </w:rPr>
            </w:pPr>
          </w:p>
        </w:tc>
        <w:tc>
          <w:tcPr>
            <w:tcW w:w="1210" w:type="dxa"/>
            <w:noWrap w:val="0"/>
            <w:vAlign w:val="center"/>
          </w:tcPr>
          <w:p w14:paraId="26284241">
            <w:pPr>
              <w:spacing w:line="0" w:lineRule="atLeast"/>
              <w:jc w:val="center"/>
              <w:rPr>
                <w:rFonts w:hint="eastAsia" w:ascii="宋体" w:hAnsi="宋体"/>
                <w:sz w:val="24"/>
                <w:szCs w:val="24"/>
              </w:rPr>
            </w:pPr>
          </w:p>
        </w:tc>
      </w:tr>
      <w:tr w14:paraId="19570A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noWrap w:val="0"/>
            <w:vAlign w:val="center"/>
          </w:tcPr>
          <w:p w14:paraId="2C422039">
            <w:pPr>
              <w:spacing w:line="0" w:lineRule="atLeast"/>
              <w:jc w:val="center"/>
              <w:rPr>
                <w:rFonts w:hint="eastAsia" w:ascii="宋体" w:hAnsi="宋体"/>
                <w:sz w:val="24"/>
                <w:szCs w:val="24"/>
              </w:rPr>
            </w:pPr>
            <w:r>
              <w:rPr>
                <w:rFonts w:hint="eastAsia" w:ascii="宋体" w:hAnsi="宋体"/>
                <w:sz w:val="24"/>
                <w:szCs w:val="24"/>
              </w:rPr>
              <w:t>2</w:t>
            </w:r>
          </w:p>
        </w:tc>
        <w:tc>
          <w:tcPr>
            <w:tcW w:w="1240" w:type="dxa"/>
            <w:noWrap w:val="0"/>
            <w:vAlign w:val="center"/>
          </w:tcPr>
          <w:p w14:paraId="3789964B">
            <w:pPr>
              <w:spacing w:line="0" w:lineRule="atLeast"/>
              <w:jc w:val="center"/>
              <w:rPr>
                <w:rFonts w:hint="eastAsia" w:ascii="宋体" w:hAnsi="宋体"/>
                <w:sz w:val="24"/>
                <w:szCs w:val="24"/>
              </w:rPr>
            </w:pPr>
          </w:p>
        </w:tc>
        <w:tc>
          <w:tcPr>
            <w:tcW w:w="970" w:type="dxa"/>
            <w:noWrap w:val="0"/>
            <w:vAlign w:val="center"/>
          </w:tcPr>
          <w:p w14:paraId="11E2C26B">
            <w:pPr>
              <w:spacing w:line="0" w:lineRule="atLeast"/>
              <w:jc w:val="center"/>
              <w:rPr>
                <w:rFonts w:hint="eastAsia" w:ascii="宋体" w:hAnsi="宋体"/>
                <w:sz w:val="24"/>
                <w:szCs w:val="24"/>
              </w:rPr>
            </w:pPr>
          </w:p>
        </w:tc>
        <w:tc>
          <w:tcPr>
            <w:tcW w:w="1790" w:type="dxa"/>
            <w:noWrap w:val="0"/>
            <w:vAlign w:val="center"/>
          </w:tcPr>
          <w:p w14:paraId="2E441E70">
            <w:pPr>
              <w:spacing w:line="0" w:lineRule="atLeast"/>
              <w:jc w:val="center"/>
              <w:rPr>
                <w:rFonts w:hint="eastAsia" w:ascii="宋体" w:hAnsi="宋体"/>
                <w:sz w:val="24"/>
                <w:szCs w:val="24"/>
              </w:rPr>
            </w:pPr>
          </w:p>
        </w:tc>
        <w:tc>
          <w:tcPr>
            <w:tcW w:w="1470" w:type="dxa"/>
            <w:noWrap w:val="0"/>
            <w:vAlign w:val="center"/>
          </w:tcPr>
          <w:p w14:paraId="4FD18D7A">
            <w:pPr>
              <w:spacing w:line="0" w:lineRule="atLeast"/>
              <w:jc w:val="center"/>
              <w:rPr>
                <w:rFonts w:hint="eastAsia" w:ascii="宋体" w:hAnsi="宋体"/>
                <w:sz w:val="24"/>
                <w:szCs w:val="24"/>
              </w:rPr>
            </w:pPr>
          </w:p>
        </w:tc>
        <w:tc>
          <w:tcPr>
            <w:tcW w:w="830" w:type="dxa"/>
            <w:noWrap w:val="0"/>
            <w:vAlign w:val="center"/>
          </w:tcPr>
          <w:p w14:paraId="60C62979">
            <w:pPr>
              <w:spacing w:line="0" w:lineRule="atLeast"/>
              <w:jc w:val="center"/>
              <w:rPr>
                <w:rFonts w:hint="eastAsia" w:ascii="宋体" w:hAnsi="宋体"/>
                <w:sz w:val="24"/>
                <w:szCs w:val="24"/>
              </w:rPr>
            </w:pPr>
          </w:p>
        </w:tc>
        <w:tc>
          <w:tcPr>
            <w:tcW w:w="820" w:type="dxa"/>
            <w:noWrap w:val="0"/>
            <w:vAlign w:val="center"/>
          </w:tcPr>
          <w:p w14:paraId="32C8458F">
            <w:pPr>
              <w:spacing w:line="0" w:lineRule="atLeast"/>
              <w:jc w:val="center"/>
              <w:rPr>
                <w:rFonts w:hint="eastAsia" w:ascii="宋体" w:hAnsi="宋体"/>
                <w:sz w:val="24"/>
                <w:szCs w:val="24"/>
              </w:rPr>
            </w:pPr>
          </w:p>
        </w:tc>
        <w:tc>
          <w:tcPr>
            <w:tcW w:w="960" w:type="dxa"/>
            <w:noWrap w:val="0"/>
            <w:vAlign w:val="center"/>
          </w:tcPr>
          <w:p w14:paraId="43EE951A">
            <w:pPr>
              <w:spacing w:line="0" w:lineRule="atLeast"/>
              <w:jc w:val="center"/>
              <w:rPr>
                <w:rFonts w:hint="eastAsia" w:ascii="宋体" w:hAnsi="宋体"/>
                <w:sz w:val="24"/>
                <w:szCs w:val="24"/>
              </w:rPr>
            </w:pPr>
          </w:p>
        </w:tc>
        <w:tc>
          <w:tcPr>
            <w:tcW w:w="1210" w:type="dxa"/>
            <w:noWrap w:val="0"/>
            <w:vAlign w:val="center"/>
          </w:tcPr>
          <w:p w14:paraId="1AB42BA6">
            <w:pPr>
              <w:spacing w:line="0" w:lineRule="atLeast"/>
              <w:jc w:val="center"/>
              <w:rPr>
                <w:rFonts w:hint="eastAsia" w:ascii="宋体" w:hAnsi="宋体"/>
                <w:sz w:val="24"/>
                <w:szCs w:val="24"/>
              </w:rPr>
            </w:pPr>
          </w:p>
        </w:tc>
      </w:tr>
      <w:tr w14:paraId="2D4A1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noWrap w:val="0"/>
            <w:vAlign w:val="center"/>
          </w:tcPr>
          <w:p w14:paraId="77CE0C28">
            <w:pPr>
              <w:spacing w:line="0" w:lineRule="atLeast"/>
              <w:jc w:val="center"/>
              <w:rPr>
                <w:rFonts w:hint="eastAsia" w:ascii="宋体" w:hAnsi="宋体"/>
                <w:sz w:val="24"/>
                <w:szCs w:val="24"/>
              </w:rPr>
            </w:pPr>
            <w:r>
              <w:rPr>
                <w:rFonts w:hint="eastAsia" w:ascii="宋体" w:hAnsi="宋体"/>
                <w:sz w:val="24"/>
                <w:szCs w:val="24"/>
              </w:rPr>
              <w:t>3</w:t>
            </w:r>
          </w:p>
        </w:tc>
        <w:tc>
          <w:tcPr>
            <w:tcW w:w="1240" w:type="dxa"/>
            <w:noWrap w:val="0"/>
            <w:vAlign w:val="center"/>
          </w:tcPr>
          <w:p w14:paraId="49BBFB1C">
            <w:pPr>
              <w:spacing w:line="0" w:lineRule="atLeast"/>
              <w:jc w:val="center"/>
              <w:rPr>
                <w:rFonts w:hint="eastAsia" w:ascii="宋体" w:hAnsi="宋体"/>
                <w:sz w:val="24"/>
                <w:szCs w:val="24"/>
              </w:rPr>
            </w:pPr>
          </w:p>
        </w:tc>
        <w:tc>
          <w:tcPr>
            <w:tcW w:w="970" w:type="dxa"/>
            <w:noWrap w:val="0"/>
            <w:vAlign w:val="center"/>
          </w:tcPr>
          <w:p w14:paraId="7B5863BC">
            <w:pPr>
              <w:spacing w:line="0" w:lineRule="atLeast"/>
              <w:jc w:val="center"/>
              <w:rPr>
                <w:rFonts w:hint="eastAsia" w:ascii="宋体" w:hAnsi="宋体"/>
                <w:sz w:val="24"/>
                <w:szCs w:val="24"/>
              </w:rPr>
            </w:pPr>
          </w:p>
        </w:tc>
        <w:tc>
          <w:tcPr>
            <w:tcW w:w="1790" w:type="dxa"/>
            <w:noWrap w:val="0"/>
            <w:vAlign w:val="center"/>
          </w:tcPr>
          <w:p w14:paraId="39975363">
            <w:pPr>
              <w:spacing w:line="0" w:lineRule="atLeast"/>
              <w:jc w:val="center"/>
              <w:rPr>
                <w:rFonts w:hint="eastAsia" w:ascii="宋体" w:hAnsi="宋体"/>
                <w:sz w:val="24"/>
                <w:szCs w:val="24"/>
              </w:rPr>
            </w:pPr>
          </w:p>
        </w:tc>
        <w:tc>
          <w:tcPr>
            <w:tcW w:w="1470" w:type="dxa"/>
            <w:noWrap w:val="0"/>
            <w:vAlign w:val="center"/>
          </w:tcPr>
          <w:p w14:paraId="0E191BC7">
            <w:pPr>
              <w:spacing w:line="0" w:lineRule="atLeast"/>
              <w:jc w:val="center"/>
              <w:rPr>
                <w:rFonts w:hint="eastAsia" w:ascii="宋体" w:hAnsi="宋体"/>
                <w:sz w:val="24"/>
                <w:szCs w:val="24"/>
              </w:rPr>
            </w:pPr>
          </w:p>
        </w:tc>
        <w:tc>
          <w:tcPr>
            <w:tcW w:w="830" w:type="dxa"/>
            <w:noWrap w:val="0"/>
            <w:vAlign w:val="center"/>
          </w:tcPr>
          <w:p w14:paraId="204E6A6E">
            <w:pPr>
              <w:spacing w:line="0" w:lineRule="atLeast"/>
              <w:jc w:val="center"/>
              <w:rPr>
                <w:rFonts w:hint="eastAsia" w:ascii="宋体" w:hAnsi="宋体"/>
                <w:sz w:val="24"/>
                <w:szCs w:val="24"/>
              </w:rPr>
            </w:pPr>
          </w:p>
        </w:tc>
        <w:tc>
          <w:tcPr>
            <w:tcW w:w="820" w:type="dxa"/>
            <w:noWrap w:val="0"/>
            <w:vAlign w:val="center"/>
          </w:tcPr>
          <w:p w14:paraId="3767EEE9">
            <w:pPr>
              <w:spacing w:line="0" w:lineRule="atLeast"/>
              <w:jc w:val="center"/>
              <w:rPr>
                <w:rFonts w:hint="eastAsia" w:ascii="宋体" w:hAnsi="宋体"/>
                <w:sz w:val="24"/>
                <w:szCs w:val="24"/>
              </w:rPr>
            </w:pPr>
          </w:p>
        </w:tc>
        <w:tc>
          <w:tcPr>
            <w:tcW w:w="960" w:type="dxa"/>
            <w:noWrap w:val="0"/>
            <w:vAlign w:val="center"/>
          </w:tcPr>
          <w:p w14:paraId="7482D20D">
            <w:pPr>
              <w:spacing w:line="0" w:lineRule="atLeast"/>
              <w:jc w:val="center"/>
              <w:rPr>
                <w:rFonts w:hint="eastAsia" w:ascii="宋体" w:hAnsi="宋体"/>
                <w:sz w:val="24"/>
                <w:szCs w:val="24"/>
              </w:rPr>
            </w:pPr>
          </w:p>
        </w:tc>
        <w:tc>
          <w:tcPr>
            <w:tcW w:w="1210" w:type="dxa"/>
            <w:noWrap w:val="0"/>
            <w:vAlign w:val="center"/>
          </w:tcPr>
          <w:p w14:paraId="218C76DE">
            <w:pPr>
              <w:spacing w:line="0" w:lineRule="atLeast"/>
              <w:jc w:val="center"/>
              <w:rPr>
                <w:rFonts w:hint="eastAsia" w:ascii="宋体" w:hAnsi="宋体"/>
                <w:sz w:val="24"/>
                <w:szCs w:val="24"/>
              </w:rPr>
            </w:pPr>
          </w:p>
        </w:tc>
      </w:tr>
      <w:tr w14:paraId="27A418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noWrap w:val="0"/>
            <w:vAlign w:val="center"/>
          </w:tcPr>
          <w:p w14:paraId="7AAB1FCE">
            <w:pPr>
              <w:spacing w:line="0" w:lineRule="atLeast"/>
              <w:jc w:val="center"/>
              <w:rPr>
                <w:rFonts w:hint="eastAsia" w:ascii="宋体" w:hAnsi="宋体"/>
                <w:sz w:val="24"/>
                <w:szCs w:val="24"/>
              </w:rPr>
            </w:pPr>
            <w:r>
              <w:rPr>
                <w:rFonts w:ascii="宋体" w:hAnsi="宋体"/>
                <w:sz w:val="24"/>
                <w:szCs w:val="24"/>
              </w:rPr>
              <w:t>…</w:t>
            </w:r>
          </w:p>
        </w:tc>
        <w:tc>
          <w:tcPr>
            <w:tcW w:w="9290" w:type="dxa"/>
            <w:gridSpan w:val="8"/>
            <w:noWrap w:val="0"/>
            <w:vAlign w:val="center"/>
          </w:tcPr>
          <w:p w14:paraId="1D5ADF6F">
            <w:pPr>
              <w:spacing w:line="0" w:lineRule="atLeast"/>
              <w:jc w:val="both"/>
              <w:rPr>
                <w:rFonts w:hint="eastAsia" w:ascii="宋体" w:hAnsi="宋体"/>
                <w:sz w:val="24"/>
                <w:szCs w:val="24"/>
              </w:rPr>
            </w:pPr>
            <w:r>
              <w:rPr>
                <w:rFonts w:hint="eastAsia" w:ascii="宋体" w:hAnsi="宋体"/>
                <w:sz w:val="24"/>
                <w:szCs w:val="24"/>
              </w:rPr>
              <w:t>投标总价（元）</w:t>
            </w:r>
            <w:r>
              <w:rPr>
                <w:rFonts w:hint="eastAsia" w:ascii="宋体" w:hAnsi="宋体"/>
                <w:sz w:val="24"/>
                <w:szCs w:val="24"/>
                <w:lang w:eastAsia="zh-CN"/>
              </w:rPr>
              <w:t>：</w:t>
            </w:r>
          </w:p>
        </w:tc>
      </w:tr>
    </w:tbl>
    <w:p w14:paraId="53D13ED1">
      <w:pPr>
        <w:pStyle w:val="21"/>
        <w:keepNext w:val="0"/>
        <w:keepLines w:val="0"/>
        <w:pageBreakBefore w:val="0"/>
        <w:widowControl w:val="0"/>
        <w:spacing w:line="360" w:lineRule="auto"/>
        <w:ind w:left="0" w:firstLine="0"/>
        <w:rPr>
          <w:rFonts w:hint="eastAsia" w:ascii="宋体" w:hAnsi="宋体" w:cs="宋体"/>
          <w:b w:val="0"/>
          <w:bCs w:val="0"/>
          <w:sz w:val="21"/>
          <w:szCs w:val="21"/>
          <w:highlight w:val="none"/>
          <w:lang w:val="en-US" w:eastAsia="zh-CN"/>
        </w:rPr>
      </w:pPr>
    </w:p>
    <w:p w14:paraId="005A1B1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投标人</w:t>
      </w:r>
      <w:r>
        <w:rPr>
          <w:rFonts w:hint="eastAsia" w:ascii="Times New Roman" w:hAnsi="Times New Roman" w:eastAsia="宋体" w:cs="Times New Roman"/>
          <w:color w:val="auto"/>
          <w:highlight w:val="none"/>
          <w:lang w:eastAsia="zh-CN"/>
        </w:rPr>
        <w:t>名</w:t>
      </w:r>
      <w:r>
        <w:rPr>
          <w:rFonts w:hint="eastAsia" w:ascii="Times New Roman" w:hAnsi="Times New Roman" w:eastAsia="宋体" w:cs="Times New Roman"/>
          <w:color w:val="auto"/>
          <w:highlight w:val="none"/>
        </w:rPr>
        <w:t>称：（加盖电子</w:t>
      </w:r>
      <w:r>
        <w:rPr>
          <w:rFonts w:hint="eastAsia" w:ascii="Times New Roman" w:hAnsi="Times New Roman" w:eastAsia="宋体" w:cs="Times New Roman"/>
          <w:color w:val="auto"/>
          <w:highlight w:val="none"/>
          <w:lang w:val="en-US" w:eastAsia="zh-CN"/>
        </w:rPr>
        <w:t>公</w:t>
      </w:r>
      <w:r>
        <w:rPr>
          <w:rFonts w:hint="eastAsia" w:ascii="Times New Roman" w:hAnsi="Times New Roman" w:eastAsia="宋体" w:cs="Times New Roman"/>
          <w:color w:val="auto"/>
          <w:highlight w:val="none"/>
        </w:rPr>
        <w:t>章）</w:t>
      </w:r>
    </w:p>
    <w:p w14:paraId="7F1A9F9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color w:val="auto"/>
          <w:highlight w:val="none"/>
        </w:rPr>
      </w:pPr>
    </w:p>
    <w:p w14:paraId="6041CAC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备注： </w:t>
      </w:r>
    </w:p>
    <w:p w14:paraId="64D2DAA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1.“投标总报价”应包括为完成整个项目所产生的所有费用，招标文件另有规定的除外。</w:t>
      </w:r>
    </w:p>
    <w:p w14:paraId="0257E90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2.《投标分项报价表》中“投标总价”应当与《开标一览表》中“投标总报价”一致。</w:t>
      </w:r>
    </w:p>
    <w:p w14:paraId="0305DB6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3.行数不够，可自行添加。</w:t>
      </w:r>
    </w:p>
    <w:p w14:paraId="1DCA7B00">
      <w:pPr>
        <w:pStyle w:val="334"/>
        <w:ind w:firstLine="0"/>
        <w:rPr>
          <w:rFonts w:hint="eastAsia" w:eastAsia="黑体"/>
          <w:bCs/>
          <w:color w:val="auto"/>
          <w:sz w:val="24"/>
          <w:szCs w:val="24"/>
          <w:highlight w:val="none"/>
        </w:rPr>
      </w:pPr>
      <w:r>
        <w:rPr>
          <w:rFonts w:hint="eastAsia" w:eastAsia="黑体"/>
          <w:bCs/>
          <w:color w:val="auto"/>
          <w:sz w:val="24"/>
          <w:szCs w:val="24"/>
          <w:highlight w:val="none"/>
        </w:rPr>
        <w:br w:type="page" w:clear="all"/>
      </w:r>
    </w:p>
    <w:p w14:paraId="38CF5619">
      <w:pPr>
        <w:pStyle w:val="334"/>
        <w:ind w:firstLine="0"/>
        <w:rPr>
          <w:rFonts w:eastAsia="黑体"/>
          <w:bCs/>
          <w:color w:val="auto"/>
          <w:sz w:val="24"/>
          <w:szCs w:val="24"/>
          <w:highlight w:val="none"/>
        </w:rPr>
      </w:pPr>
      <w:r>
        <w:rPr>
          <w:rFonts w:hint="eastAsia" w:ascii="宋体" w:hAnsi="宋体" w:eastAsia="宋体" w:cs="宋体"/>
          <w:b/>
          <w:color w:val="auto"/>
          <w:sz w:val="24"/>
          <w:szCs w:val="24"/>
          <w:highlight w:val="none"/>
        </w:rPr>
        <w:t>（七）采购需求响应偏离表（格式）：</w:t>
      </w:r>
    </w:p>
    <w:p w14:paraId="7FAF9627">
      <w:pPr>
        <w:spacing w:line="360" w:lineRule="auto"/>
        <w:jc w:val="center"/>
        <w:rPr>
          <w:rFonts w:hint="eastAsia" w:ascii="宋体" w:hAnsi="宋体" w:cs="宋体"/>
          <w:b/>
          <w:color w:val="auto"/>
          <w:sz w:val="36"/>
          <w:szCs w:val="28"/>
          <w:highlight w:val="none"/>
        </w:rPr>
      </w:pPr>
    </w:p>
    <w:p w14:paraId="3F2E11F7">
      <w:pPr>
        <w:spacing w:line="360" w:lineRule="auto"/>
        <w:jc w:val="center"/>
        <w:rPr>
          <w:rFonts w:hint="eastAsia" w:ascii="宋体" w:hAnsi="宋体" w:cs="宋体"/>
          <w:b/>
          <w:color w:val="auto"/>
          <w:sz w:val="36"/>
          <w:szCs w:val="28"/>
          <w:highlight w:val="none"/>
        </w:rPr>
      </w:pPr>
      <w:r>
        <w:rPr>
          <w:rFonts w:hint="eastAsia" w:ascii="宋体" w:hAnsi="宋体" w:cs="宋体"/>
          <w:b/>
          <w:color w:val="auto"/>
          <w:sz w:val="36"/>
          <w:szCs w:val="28"/>
          <w:highlight w:val="none"/>
        </w:rPr>
        <w:t>采购需求响应偏离表</w:t>
      </w:r>
    </w:p>
    <w:p w14:paraId="79F06676">
      <w:pPr>
        <w:spacing w:line="400" w:lineRule="exact"/>
        <w:outlineLvl w:val="0"/>
        <w:rPr>
          <w:rFonts w:hint="eastAsia" w:ascii="宋体" w:hAnsi="宋体"/>
          <w:bCs/>
          <w:color w:val="auto"/>
          <w:sz w:val="24"/>
          <w:highlight w:val="none"/>
        </w:rPr>
      </w:pPr>
    </w:p>
    <w:p w14:paraId="1CC7AA79">
      <w:pPr>
        <w:spacing w:line="360" w:lineRule="auto"/>
        <w:rPr>
          <w:rFonts w:hint="eastAsia" w:ascii="宋体" w:hAnsi="宋体"/>
          <w:bCs/>
          <w:color w:val="auto"/>
          <w:szCs w:val="21"/>
          <w:highlight w:val="none"/>
        </w:rPr>
      </w:pPr>
      <w:r>
        <w:rPr>
          <w:rFonts w:hint="eastAsia" w:ascii="宋体" w:hAnsi="宋体"/>
          <w:bCs/>
          <w:color w:val="auto"/>
          <w:szCs w:val="21"/>
          <w:highlight w:val="none"/>
        </w:rPr>
        <w:t>招标编号：</w:t>
      </w:r>
    </w:p>
    <w:tbl>
      <w:tblPr>
        <w:tblStyle w:val="40"/>
        <w:tblpPr w:leftFromText="180" w:rightFromText="180" w:vertAnchor="text" w:tblpXSpec="center" w:tblpY="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34"/>
        <w:gridCol w:w="2051"/>
        <w:gridCol w:w="2970"/>
        <w:gridCol w:w="2149"/>
        <w:gridCol w:w="1335"/>
      </w:tblGrid>
      <w:tr w14:paraId="7F714D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934" w:type="dxa"/>
            <w:noWrap w:val="0"/>
            <w:vAlign w:val="center"/>
          </w:tcPr>
          <w:p w14:paraId="438E588D">
            <w:pPr>
              <w:spacing w:line="360" w:lineRule="auto"/>
              <w:jc w:val="left"/>
              <w:outlineLvl w:val="0"/>
              <w:rPr>
                <w:rFonts w:hint="eastAsia" w:ascii="宋体" w:hAnsi="宋体" w:eastAsia="宋体" w:cs="Times New Roman"/>
                <w:bCs/>
                <w:szCs w:val="21"/>
                <w:highlight w:val="none"/>
              </w:rPr>
            </w:pPr>
            <w:r>
              <w:rPr>
                <w:rFonts w:hint="eastAsia" w:ascii="宋体" w:hAnsi="宋体" w:eastAsia="宋体" w:cs="Times New Roman"/>
                <w:bCs/>
                <w:szCs w:val="21"/>
                <w:highlight w:val="none"/>
              </w:rPr>
              <w:t>序号</w:t>
            </w:r>
          </w:p>
        </w:tc>
        <w:tc>
          <w:tcPr>
            <w:tcW w:w="2051" w:type="dxa"/>
            <w:noWrap w:val="0"/>
            <w:vAlign w:val="center"/>
          </w:tcPr>
          <w:p w14:paraId="7B762877">
            <w:pPr>
              <w:spacing w:line="360" w:lineRule="auto"/>
              <w:jc w:val="center"/>
              <w:outlineLvl w:val="0"/>
              <w:rPr>
                <w:rFonts w:hint="eastAsia" w:ascii="宋体" w:hAnsi="宋体" w:eastAsia="宋体" w:cs="Times New Roman"/>
                <w:bCs/>
                <w:szCs w:val="21"/>
                <w:highlight w:val="none"/>
              </w:rPr>
            </w:pPr>
            <w:r>
              <w:rPr>
                <w:rFonts w:hint="eastAsia" w:ascii="宋体" w:hAnsi="宋体" w:eastAsia="宋体" w:cs="Times New Roman"/>
                <w:bCs/>
                <w:szCs w:val="21"/>
                <w:highlight w:val="none"/>
              </w:rPr>
              <w:t>招标文件条目号</w:t>
            </w:r>
          </w:p>
        </w:tc>
        <w:tc>
          <w:tcPr>
            <w:tcW w:w="2970" w:type="dxa"/>
            <w:noWrap w:val="0"/>
            <w:vAlign w:val="center"/>
          </w:tcPr>
          <w:p w14:paraId="21F1BC1F">
            <w:pPr>
              <w:spacing w:line="360" w:lineRule="auto"/>
              <w:jc w:val="center"/>
              <w:outlineLvl w:val="0"/>
              <w:rPr>
                <w:rFonts w:hint="eastAsia" w:ascii="宋体" w:hAnsi="宋体" w:eastAsia="宋体" w:cs="Times New Roman"/>
                <w:bCs/>
                <w:szCs w:val="21"/>
                <w:highlight w:val="none"/>
              </w:rPr>
            </w:pPr>
            <w:r>
              <w:rPr>
                <w:rFonts w:hint="eastAsia" w:ascii="宋体" w:hAnsi="宋体"/>
                <w:bCs/>
                <w:szCs w:val="21"/>
                <w:highlight w:val="none"/>
              </w:rPr>
              <w:t>招标文件要求</w:t>
            </w:r>
          </w:p>
        </w:tc>
        <w:tc>
          <w:tcPr>
            <w:tcW w:w="2149" w:type="dxa"/>
            <w:noWrap w:val="0"/>
            <w:vAlign w:val="center"/>
          </w:tcPr>
          <w:p w14:paraId="568FDED1">
            <w:pPr>
              <w:spacing w:line="360" w:lineRule="auto"/>
              <w:jc w:val="center"/>
              <w:outlineLvl w:val="0"/>
              <w:rPr>
                <w:rFonts w:hint="eastAsia" w:ascii="宋体" w:hAnsi="宋体" w:eastAsia="宋体" w:cs="Times New Roman"/>
                <w:bCs/>
                <w:szCs w:val="21"/>
                <w:highlight w:val="none"/>
              </w:rPr>
            </w:pPr>
            <w:r>
              <w:rPr>
                <w:rFonts w:hint="eastAsia" w:ascii="宋体" w:hAnsi="宋体" w:eastAsia="宋体" w:cs="Times New Roman"/>
                <w:bCs/>
                <w:szCs w:val="21"/>
                <w:highlight w:val="none"/>
              </w:rPr>
              <w:t>投标文件响应情况</w:t>
            </w:r>
          </w:p>
        </w:tc>
        <w:tc>
          <w:tcPr>
            <w:tcW w:w="1335" w:type="dxa"/>
            <w:noWrap w:val="0"/>
            <w:vAlign w:val="center"/>
          </w:tcPr>
          <w:p w14:paraId="0D0B8AF3">
            <w:pPr>
              <w:spacing w:line="360" w:lineRule="auto"/>
              <w:jc w:val="center"/>
              <w:outlineLvl w:val="0"/>
              <w:rPr>
                <w:rFonts w:hint="eastAsia" w:ascii="宋体" w:hAnsi="宋体" w:eastAsia="宋体" w:cs="Times New Roman"/>
                <w:bCs/>
                <w:szCs w:val="21"/>
                <w:highlight w:val="none"/>
              </w:rPr>
            </w:pPr>
            <w:r>
              <w:rPr>
                <w:rFonts w:hint="eastAsia" w:ascii="宋体" w:hAnsi="宋体" w:eastAsia="宋体" w:cs="Times New Roman"/>
                <w:bCs/>
                <w:szCs w:val="21"/>
                <w:highlight w:val="none"/>
              </w:rPr>
              <w:t>偏离/响应</w:t>
            </w:r>
          </w:p>
        </w:tc>
      </w:tr>
      <w:tr w14:paraId="0E2821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noWrap w:val="0"/>
            <w:vAlign w:val="center"/>
          </w:tcPr>
          <w:p w14:paraId="204D9160">
            <w:pPr>
              <w:spacing w:line="360" w:lineRule="auto"/>
              <w:jc w:val="left"/>
              <w:outlineLvl w:val="0"/>
              <w:rPr>
                <w:rFonts w:hint="eastAsia" w:ascii="宋体" w:hAnsi="宋体" w:eastAsia="宋体" w:cs="Times New Roman"/>
                <w:bCs/>
                <w:szCs w:val="21"/>
                <w:highlight w:val="none"/>
              </w:rPr>
            </w:pPr>
          </w:p>
        </w:tc>
        <w:tc>
          <w:tcPr>
            <w:tcW w:w="2051" w:type="dxa"/>
            <w:noWrap w:val="0"/>
            <w:vAlign w:val="center"/>
          </w:tcPr>
          <w:p w14:paraId="4140FCC5">
            <w:pPr>
              <w:spacing w:line="360" w:lineRule="auto"/>
              <w:jc w:val="center"/>
              <w:outlineLvl w:val="0"/>
              <w:rPr>
                <w:rFonts w:hint="eastAsia" w:ascii="宋体" w:hAnsi="宋体" w:eastAsia="宋体" w:cs="Times New Roman"/>
                <w:bCs/>
                <w:szCs w:val="21"/>
                <w:highlight w:val="none"/>
              </w:rPr>
            </w:pPr>
          </w:p>
        </w:tc>
        <w:tc>
          <w:tcPr>
            <w:tcW w:w="2970" w:type="dxa"/>
            <w:noWrap w:val="0"/>
            <w:vAlign w:val="center"/>
          </w:tcPr>
          <w:p w14:paraId="04FE8D07">
            <w:pPr>
              <w:spacing w:line="360" w:lineRule="auto"/>
              <w:jc w:val="center"/>
              <w:outlineLvl w:val="0"/>
              <w:rPr>
                <w:rFonts w:hint="eastAsia" w:ascii="宋体" w:hAnsi="宋体" w:eastAsia="宋体" w:cs="Times New Roman"/>
                <w:bCs/>
                <w:szCs w:val="21"/>
                <w:highlight w:val="none"/>
              </w:rPr>
            </w:pPr>
          </w:p>
        </w:tc>
        <w:tc>
          <w:tcPr>
            <w:tcW w:w="2149" w:type="dxa"/>
            <w:noWrap w:val="0"/>
            <w:vAlign w:val="center"/>
          </w:tcPr>
          <w:p w14:paraId="76E6FF21">
            <w:pPr>
              <w:spacing w:line="360" w:lineRule="auto"/>
              <w:jc w:val="center"/>
              <w:outlineLvl w:val="0"/>
              <w:rPr>
                <w:rFonts w:hint="eastAsia" w:ascii="宋体" w:hAnsi="宋体" w:eastAsia="宋体" w:cs="Times New Roman"/>
                <w:bCs/>
                <w:szCs w:val="21"/>
                <w:highlight w:val="none"/>
              </w:rPr>
            </w:pPr>
          </w:p>
        </w:tc>
        <w:tc>
          <w:tcPr>
            <w:tcW w:w="1335" w:type="dxa"/>
            <w:noWrap w:val="0"/>
            <w:vAlign w:val="center"/>
          </w:tcPr>
          <w:p w14:paraId="7F47C346">
            <w:pPr>
              <w:spacing w:line="360" w:lineRule="auto"/>
              <w:jc w:val="center"/>
              <w:outlineLvl w:val="0"/>
              <w:rPr>
                <w:rFonts w:hint="eastAsia" w:ascii="宋体" w:hAnsi="宋体" w:eastAsia="宋体" w:cs="Times New Roman"/>
                <w:bCs/>
                <w:szCs w:val="21"/>
                <w:highlight w:val="none"/>
              </w:rPr>
            </w:pPr>
          </w:p>
        </w:tc>
      </w:tr>
      <w:tr w14:paraId="78CD6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noWrap w:val="0"/>
            <w:vAlign w:val="center"/>
          </w:tcPr>
          <w:p w14:paraId="16B94519">
            <w:pPr>
              <w:spacing w:line="360" w:lineRule="auto"/>
              <w:jc w:val="center"/>
              <w:outlineLvl w:val="0"/>
              <w:rPr>
                <w:rFonts w:hint="eastAsia" w:ascii="宋体" w:hAnsi="宋体" w:eastAsia="宋体" w:cs="Times New Roman"/>
                <w:bCs/>
                <w:szCs w:val="21"/>
                <w:highlight w:val="none"/>
              </w:rPr>
            </w:pPr>
          </w:p>
        </w:tc>
        <w:tc>
          <w:tcPr>
            <w:tcW w:w="2051" w:type="dxa"/>
            <w:noWrap w:val="0"/>
            <w:vAlign w:val="center"/>
          </w:tcPr>
          <w:p w14:paraId="58760D74">
            <w:pPr>
              <w:spacing w:line="360" w:lineRule="auto"/>
              <w:jc w:val="center"/>
              <w:outlineLvl w:val="0"/>
              <w:rPr>
                <w:rFonts w:hint="eastAsia" w:ascii="宋体" w:hAnsi="宋体" w:eastAsia="宋体" w:cs="Times New Roman"/>
                <w:bCs/>
                <w:szCs w:val="21"/>
                <w:highlight w:val="none"/>
              </w:rPr>
            </w:pPr>
          </w:p>
        </w:tc>
        <w:tc>
          <w:tcPr>
            <w:tcW w:w="2970" w:type="dxa"/>
            <w:noWrap w:val="0"/>
            <w:vAlign w:val="center"/>
          </w:tcPr>
          <w:p w14:paraId="0997C6C9">
            <w:pPr>
              <w:spacing w:line="360" w:lineRule="auto"/>
              <w:jc w:val="center"/>
              <w:outlineLvl w:val="0"/>
              <w:rPr>
                <w:rFonts w:hint="eastAsia" w:ascii="宋体" w:hAnsi="宋体" w:eastAsia="宋体" w:cs="Times New Roman"/>
                <w:bCs/>
                <w:szCs w:val="21"/>
                <w:highlight w:val="none"/>
              </w:rPr>
            </w:pPr>
          </w:p>
        </w:tc>
        <w:tc>
          <w:tcPr>
            <w:tcW w:w="2149" w:type="dxa"/>
            <w:noWrap w:val="0"/>
            <w:vAlign w:val="center"/>
          </w:tcPr>
          <w:p w14:paraId="511E99F9">
            <w:pPr>
              <w:spacing w:line="360" w:lineRule="auto"/>
              <w:jc w:val="center"/>
              <w:outlineLvl w:val="0"/>
              <w:rPr>
                <w:rFonts w:hint="eastAsia" w:ascii="宋体" w:hAnsi="宋体" w:eastAsia="宋体" w:cs="Times New Roman"/>
                <w:bCs/>
                <w:szCs w:val="21"/>
                <w:highlight w:val="none"/>
              </w:rPr>
            </w:pPr>
          </w:p>
        </w:tc>
        <w:tc>
          <w:tcPr>
            <w:tcW w:w="1335" w:type="dxa"/>
            <w:noWrap w:val="0"/>
            <w:vAlign w:val="center"/>
          </w:tcPr>
          <w:p w14:paraId="7B0C8B44">
            <w:pPr>
              <w:spacing w:line="360" w:lineRule="auto"/>
              <w:jc w:val="center"/>
              <w:outlineLvl w:val="0"/>
              <w:rPr>
                <w:rFonts w:hint="eastAsia" w:ascii="宋体" w:hAnsi="宋体" w:eastAsia="宋体" w:cs="Times New Roman"/>
                <w:bCs/>
                <w:szCs w:val="21"/>
                <w:highlight w:val="none"/>
              </w:rPr>
            </w:pPr>
          </w:p>
        </w:tc>
      </w:tr>
      <w:tr w14:paraId="1881B7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noWrap w:val="0"/>
            <w:vAlign w:val="center"/>
          </w:tcPr>
          <w:p w14:paraId="10B71884">
            <w:pPr>
              <w:spacing w:line="360" w:lineRule="auto"/>
              <w:jc w:val="center"/>
              <w:outlineLvl w:val="0"/>
              <w:rPr>
                <w:rFonts w:hint="eastAsia" w:ascii="宋体" w:hAnsi="宋体" w:eastAsia="宋体" w:cs="Times New Roman"/>
                <w:bCs/>
                <w:szCs w:val="21"/>
                <w:highlight w:val="none"/>
              </w:rPr>
            </w:pPr>
          </w:p>
        </w:tc>
        <w:tc>
          <w:tcPr>
            <w:tcW w:w="2051" w:type="dxa"/>
            <w:noWrap w:val="0"/>
            <w:vAlign w:val="center"/>
          </w:tcPr>
          <w:p w14:paraId="3D62CAD4">
            <w:pPr>
              <w:spacing w:line="360" w:lineRule="auto"/>
              <w:jc w:val="center"/>
              <w:outlineLvl w:val="0"/>
              <w:rPr>
                <w:rFonts w:hint="eastAsia" w:ascii="宋体" w:hAnsi="宋体" w:eastAsia="宋体" w:cs="Times New Roman"/>
                <w:bCs/>
                <w:szCs w:val="21"/>
                <w:highlight w:val="none"/>
              </w:rPr>
            </w:pPr>
          </w:p>
        </w:tc>
        <w:tc>
          <w:tcPr>
            <w:tcW w:w="2970" w:type="dxa"/>
            <w:noWrap w:val="0"/>
            <w:vAlign w:val="center"/>
          </w:tcPr>
          <w:p w14:paraId="12053AC4">
            <w:pPr>
              <w:spacing w:line="360" w:lineRule="auto"/>
              <w:jc w:val="center"/>
              <w:outlineLvl w:val="0"/>
              <w:rPr>
                <w:rFonts w:hint="eastAsia" w:ascii="宋体" w:hAnsi="宋体" w:eastAsia="宋体" w:cs="Times New Roman"/>
                <w:bCs/>
                <w:szCs w:val="21"/>
                <w:highlight w:val="none"/>
              </w:rPr>
            </w:pPr>
          </w:p>
        </w:tc>
        <w:tc>
          <w:tcPr>
            <w:tcW w:w="2149" w:type="dxa"/>
            <w:noWrap w:val="0"/>
            <w:vAlign w:val="center"/>
          </w:tcPr>
          <w:p w14:paraId="59A7586F">
            <w:pPr>
              <w:spacing w:line="360" w:lineRule="auto"/>
              <w:jc w:val="center"/>
              <w:outlineLvl w:val="0"/>
              <w:rPr>
                <w:rFonts w:hint="eastAsia" w:ascii="宋体" w:hAnsi="宋体" w:eastAsia="宋体" w:cs="Times New Roman"/>
                <w:bCs/>
                <w:szCs w:val="21"/>
                <w:highlight w:val="none"/>
              </w:rPr>
            </w:pPr>
          </w:p>
        </w:tc>
        <w:tc>
          <w:tcPr>
            <w:tcW w:w="1335" w:type="dxa"/>
            <w:noWrap w:val="0"/>
            <w:vAlign w:val="center"/>
          </w:tcPr>
          <w:p w14:paraId="06EBC728">
            <w:pPr>
              <w:spacing w:line="360" w:lineRule="auto"/>
              <w:jc w:val="center"/>
              <w:outlineLvl w:val="0"/>
              <w:rPr>
                <w:rFonts w:hint="eastAsia" w:ascii="宋体" w:hAnsi="宋体" w:eastAsia="宋体" w:cs="Times New Roman"/>
                <w:bCs/>
                <w:szCs w:val="21"/>
                <w:highlight w:val="none"/>
              </w:rPr>
            </w:pPr>
          </w:p>
        </w:tc>
      </w:tr>
      <w:tr w14:paraId="724967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noWrap w:val="0"/>
            <w:vAlign w:val="center"/>
          </w:tcPr>
          <w:p w14:paraId="3AD099DC">
            <w:pPr>
              <w:spacing w:line="360" w:lineRule="auto"/>
              <w:jc w:val="center"/>
              <w:outlineLvl w:val="0"/>
              <w:rPr>
                <w:rFonts w:hint="eastAsia" w:ascii="宋体" w:hAnsi="宋体" w:eastAsia="宋体" w:cs="Times New Roman"/>
                <w:bCs/>
                <w:szCs w:val="21"/>
                <w:highlight w:val="none"/>
              </w:rPr>
            </w:pPr>
          </w:p>
        </w:tc>
        <w:tc>
          <w:tcPr>
            <w:tcW w:w="2051" w:type="dxa"/>
            <w:noWrap w:val="0"/>
            <w:vAlign w:val="center"/>
          </w:tcPr>
          <w:p w14:paraId="6E5A0D8E">
            <w:pPr>
              <w:spacing w:line="360" w:lineRule="auto"/>
              <w:jc w:val="center"/>
              <w:outlineLvl w:val="0"/>
              <w:rPr>
                <w:rFonts w:hint="eastAsia" w:ascii="宋体" w:hAnsi="宋体" w:eastAsia="宋体" w:cs="Times New Roman"/>
                <w:bCs/>
                <w:szCs w:val="21"/>
                <w:highlight w:val="none"/>
              </w:rPr>
            </w:pPr>
          </w:p>
        </w:tc>
        <w:tc>
          <w:tcPr>
            <w:tcW w:w="2970" w:type="dxa"/>
            <w:noWrap w:val="0"/>
            <w:vAlign w:val="center"/>
          </w:tcPr>
          <w:p w14:paraId="7756746E">
            <w:pPr>
              <w:spacing w:line="360" w:lineRule="auto"/>
              <w:jc w:val="center"/>
              <w:outlineLvl w:val="0"/>
              <w:rPr>
                <w:rFonts w:hint="eastAsia" w:ascii="宋体" w:hAnsi="宋体" w:eastAsia="宋体" w:cs="Times New Roman"/>
                <w:bCs/>
                <w:szCs w:val="21"/>
                <w:highlight w:val="none"/>
              </w:rPr>
            </w:pPr>
          </w:p>
        </w:tc>
        <w:tc>
          <w:tcPr>
            <w:tcW w:w="2149" w:type="dxa"/>
            <w:noWrap w:val="0"/>
            <w:vAlign w:val="center"/>
          </w:tcPr>
          <w:p w14:paraId="7C3ED28F">
            <w:pPr>
              <w:spacing w:line="360" w:lineRule="auto"/>
              <w:jc w:val="center"/>
              <w:outlineLvl w:val="0"/>
              <w:rPr>
                <w:rFonts w:hint="eastAsia" w:ascii="宋体" w:hAnsi="宋体" w:eastAsia="宋体" w:cs="Times New Roman"/>
                <w:bCs/>
                <w:szCs w:val="21"/>
                <w:highlight w:val="none"/>
              </w:rPr>
            </w:pPr>
          </w:p>
        </w:tc>
        <w:tc>
          <w:tcPr>
            <w:tcW w:w="1335" w:type="dxa"/>
            <w:noWrap w:val="0"/>
            <w:vAlign w:val="center"/>
          </w:tcPr>
          <w:p w14:paraId="22FE4FF2">
            <w:pPr>
              <w:spacing w:line="360" w:lineRule="auto"/>
              <w:jc w:val="center"/>
              <w:outlineLvl w:val="0"/>
              <w:rPr>
                <w:rFonts w:hint="eastAsia" w:ascii="宋体" w:hAnsi="宋体" w:eastAsia="宋体" w:cs="Times New Roman"/>
                <w:bCs/>
                <w:szCs w:val="21"/>
                <w:highlight w:val="none"/>
              </w:rPr>
            </w:pPr>
          </w:p>
        </w:tc>
      </w:tr>
      <w:tr w14:paraId="5F6E3C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noWrap w:val="0"/>
            <w:vAlign w:val="center"/>
          </w:tcPr>
          <w:p w14:paraId="7DA5DC88">
            <w:pPr>
              <w:spacing w:line="360" w:lineRule="auto"/>
              <w:jc w:val="center"/>
              <w:outlineLvl w:val="0"/>
              <w:rPr>
                <w:rFonts w:hint="eastAsia" w:ascii="宋体" w:hAnsi="宋体" w:eastAsia="宋体" w:cs="Times New Roman"/>
                <w:bCs/>
                <w:szCs w:val="21"/>
                <w:highlight w:val="none"/>
              </w:rPr>
            </w:pPr>
          </w:p>
        </w:tc>
        <w:tc>
          <w:tcPr>
            <w:tcW w:w="2051" w:type="dxa"/>
            <w:noWrap w:val="0"/>
            <w:vAlign w:val="center"/>
          </w:tcPr>
          <w:p w14:paraId="71FA7B79">
            <w:pPr>
              <w:spacing w:line="360" w:lineRule="auto"/>
              <w:jc w:val="center"/>
              <w:outlineLvl w:val="0"/>
              <w:rPr>
                <w:rFonts w:hint="eastAsia" w:ascii="宋体" w:hAnsi="宋体" w:eastAsia="宋体" w:cs="Times New Roman"/>
                <w:bCs/>
                <w:szCs w:val="21"/>
                <w:highlight w:val="none"/>
              </w:rPr>
            </w:pPr>
          </w:p>
        </w:tc>
        <w:tc>
          <w:tcPr>
            <w:tcW w:w="2970" w:type="dxa"/>
            <w:noWrap w:val="0"/>
            <w:vAlign w:val="center"/>
          </w:tcPr>
          <w:p w14:paraId="66A48BF8">
            <w:pPr>
              <w:spacing w:line="360" w:lineRule="auto"/>
              <w:jc w:val="center"/>
              <w:outlineLvl w:val="0"/>
              <w:rPr>
                <w:rFonts w:hint="eastAsia" w:ascii="宋体" w:hAnsi="宋体" w:eastAsia="宋体" w:cs="Times New Roman"/>
                <w:bCs/>
                <w:szCs w:val="21"/>
                <w:highlight w:val="none"/>
              </w:rPr>
            </w:pPr>
          </w:p>
        </w:tc>
        <w:tc>
          <w:tcPr>
            <w:tcW w:w="2149" w:type="dxa"/>
            <w:noWrap w:val="0"/>
            <w:vAlign w:val="center"/>
          </w:tcPr>
          <w:p w14:paraId="718144E5">
            <w:pPr>
              <w:spacing w:line="360" w:lineRule="auto"/>
              <w:jc w:val="center"/>
              <w:outlineLvl w:val="0"/>
              <w:rPr>
                <w:rFonts w:hint="eastAsia" w:ascii="宋体" w:hAnsi="宋体" w:eastAsia="宋体" w:cs="Times New Roman"/>
                <w:bCs/>
                <w:szCs w:val="21"/>
                <w:highlight w:val="none"/>
              </w:rPr>
            </w:pPr>
          </w:p>
        </w:tc>
        <w:tc>
          <w:tcPr>
            <w:tcW w:w="1335" w:type="dxa"/>
            <w:noWrap w:val="0"/>
            <w:vAlign w:val="center"/>
          </w:tcPr>
          <w:p w14:paraId="1A68E3DE">
            <w:pPr>
              <w:spacing w:line="360" w:lineRule="auto"/>
              <w:jc w:val="center"/>
              <w:outlineLvl w:val="0"/>
              <w:rPr>
                <w:rFonts w:hint="eastAsia" w:ascii="宋体" w:hAnsi="宋体" w:eastAsia="宋体" w:cs="Times New Roman"/>
                <w:bCs/>
                <w:szCs w:val="21"/>
                <w:highlight w:val="none"/>
              </w:rPr>
            </w:pPr>
          </w:p>
        </w:tc>
      </w:tr>
      <w:tr w14:paraId="1A80F9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noWrap w:val="0"/>
            <w:vAlign w:val="center"/>
          </w:tcPr>
          <w:p w14:paraId="56C797EA">
            <w:pPr>
              <w:spacing w:line="360" w:lineRule="auto"/>
              <w:jc w:val="center"/>
              <w:outlineLvl w:val="0"/>
              <w:rPr>
                <w:rFonts w:hint="eastAsia" w:ascii="宋体" w:hAnsi="宋体" w:eastAsia="宋体" w:cs="Times New Roman"/>
                <w:bCs/>
                <w:szCs w:val="21"/>
                <w:highlight w:val="none"/>
              </w:rPr>
            </w:pPr>
          </w:p>
        </w:tc>
        <w:tc>
          <w:tcPr>
            <w:tcW w:w="2051" w:type="dxa"/>
            <w:noWrap w:val="0"/>
            <w:vAlign w:val="center"/>
          </w:tcPr>
          <w:p w14:paraId="54C19F6C">
            <w:pPr>
              <w:spacing w:line="360" w:lineRule="auto"/>
              <w:jc w:val="center"/>
              <w:outlineLvl w:val="0"/>
              <w:rPr>
                <w:rFonts w:hint="eastAsia" w:ascii="宋体" w:hAnsi="宋体" w:eastAsia="宋体" w:cs="Times New Roman"/>
                <w:bCs/>
                <w:szCs w:val="21"/>
                <w:highlight w:val="none"/>
              </w:rPr>
            </w:pPr>
          </w:p>
        </w:tc>
        <w:tc>
          <w:tcPr>
            <w:tcW w:w="2970" w:type="dxa"/>
            <w:noWrap w:val="0"/>
            <w:vAlign w:val="center"/>
          </w:tcPr>
          <w:p w14:paraId="59734B38">
            <w:pPr>
              <w:spacing w:line="360" w:lineRule="auto"/>
              <w:jc w:val="center"/>
              <w:outlineLvl w:val="0"/>
              <w:rPr>
                <w:rFonts w:hint="eastAsia" w:ascii="宋体" w:hAnsi="宋体" w:eastAsia="宋体" w:cs="Times New Roman"/>
                <w:bCs/>
                <w:szCs w:val="21"/>
                <w:highlight w:val="none"/>
              </w:rPr>
            </w:pPr>
          </w:p>
        </w:tc>
        <w:tc>
          <w:tcPr>
            <w:tcW w:w="2149" w:type="dxa"/>
            <w:noWrap w:val="0"/>
            <w:vAlign w:val="center"/>
          </w:tcPr>
          <w:p w14:paraId="7304419B">
            <w:pPr>
              <w:spacing w:line="360" w:lineRule="auto"/>
              <w:jc w:val="center"/>
              <w:outlineLvl w:val="0"/>
              <w:rPr>
                <w:rFonts w:hint="eastAsia" w:ascii="宋体" w:hAnsi="宋体" w:eastAsia="宋体" w:cs="Times New Roman"/>
                <w:bCs/>
                <w:szCs w:val="21"/>
                <w:highlight w:val="none"/>
              </w:rPr>
            </w:pPr>
          </w:p>
        </w:tc>
        <w:tc>
          <w:tcPr>
            <w:tcW w:w="1335" w:type="dxa"/>
            <w:noWrap w:val="0"/>
            <w:vAlign w:val="center"/>
          </w:tcPr>
          <w:p w14:paraId="68F71767">
            <w:pPr>
              <w:spacing w:line="360" w:lineRule="auto"/>
              <w:jc w:val="center"/>
              <w:outlineLvl w:val="0"/>
              <w:rPr>
                <w:rFonts w:hint="eastAsia" w:ascii="宋体" w:hAnsi="宋体" w:eastAsia="宋体" w:cs="Times New Roman"/>
                <w:bCs/>
                <w:szCs w:val="21"/>
                <w:highlight w:val="none"/>
              </w:rPr>
            </w:pPr>
          </w:p>
        </w:tc>
      </w:tr>
      <w:tr w14:paraId="75018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934" w:type="dxa"/>
            <w:noWrap w:val="0"/>
            <w:vAlign w:val="center"/>
          </w:tcPr>
          <w:p w14:paraId="414727FB">
            <w:pPr>
              <w:spacing w:line="360" w:lineRule="auto"/>
              <w:jc w:val="center"/>
              <w:outlineLvl w:val="0"/>
              <w:rPr>
                <w:rFonts w:hint="eastAsia" w:ascii="宋体" w:hAnsi="宋体" w:eastAsia="宋体" w:cs="Times New Roman"/>
                <w:bCs/>
                <w:szCs w:val="21"/>
                <w:highlight w:val="none"/>
              </w:rPr>
            </w:pPr>
          </w:p>
        </w:tc>
        <w:tc>
          <w:tcPr>
            <w:tcW w:w="2051" w:type="dxa"/>
            <w:noWrap w:val="0"/>
            <w:vAlign w:val="center"/>
          </w:tcPr>
          <w:p w14:paraId="5E137BE8">
            <w:pPr>
              <w:spacing w:line="360" w:lineRule="auto"/>
              <w:jc w:val="center"/>
              <w:outlineLvl w:val="0"/>
              <w:rPr>
                <w:rFonts w:hint="eastAsia" w:ascii="宋体" w:hAnsi="宋体" w:eastAsia="宋体" w:cs="Times New Roman"/>
                <w:bCs/>
                <w:szCs w:val="21"/>
                <w:highlight w:val="none"/>
              </w:rPr>
            </w:pPr>
          </w:p>
        </w:tc>
        <w:tc>
          <w:tcPr>
            <w:tcW w:w="2970" w:type="dxa"/>
            <w:noWrap w:val="0"/>
            <w:vAlign w:val="center"/>
          </w:tcPr>
          <w:p w14:paraId="201F2EE2">
            <w:pPr>
              <w:spacing w:line="360" w:lineRule="auto"/>
              <w:jc w:val="center"/>
              <w:outlineLvl w:val="0"/>
              <w:rPr>
                <w:rFonts w:hint="eastAsia" w:ascii="宋体" w:hAnsi="宋体" w:eastAsia="宋体" w:cs="Times New Roman"/>
                <w:bCs/>
                <w:szCs w:val="21"/>
                <w:highlight w:val="none"/>
              </w:rPr>
            </w:pPr>
          </w:p>
        </w:tc>
        <w:tc>
          <w:tcPr>
            <w:tcW w:w="2149" w:type="dxa"/>
            <w:noWrap w:val="0"/>
            <w:vAlign w:val="center"/>
          </w:tcPr>
          <w:p w14:paraId="5C21C721">
            <w:pPr>
              <w:spacing w:line="360" w:lineRule="auto"/>
              <w:jc w:val="center"/>
              <w:outlineLvl w:val="0"/>
              <w:rPr>
                <w:rFonts w:hint="eastAsia" w:ascii="宋体" w:hAnsi="宋体" w:eastAsia="宋体" w:cs="Times New Roman"/>
                <w:bCs/>
                <w:szCs w:val="21"/>
                <w:highlight w:val="none"/>
              </w:rPr>
            </w:pPr>
          </w:p>
        </w:tc>
        <w:tc>
          <w:tcPr>
            <w:tcW w:w="1335" w:type="dxa"/>
            <w:noWrap w:val="0"/>
            <w:vAlign w:val="center"/>
          </w:tcPr>
          <w:p w14:paraId="0EF373E6">
            <w:pPr>
              <w:spacing w:line="360" w:lineRule="auto"/>
              <w:jc w:val="center"/>
              <w:outlineLvl w:val="0"/>
              <w:rPr>
                <w:rFonts w:hint="eastAsia" w:ascii="宋体" w:hAnsi="宋体" w:eastAsia="宋体" w:cs="Times New Roman"/>
                <w:bCs/>
                <w:szCs w:val="21"/>
                <w:highlight w:val="none"/>
              </w:rPr>
            </w:pPr>
          </w:p>
        </w:tc>
      </w:tr>
    </w:tbl>
    <w:p w14:paraId="490976B7">
      <w:pPr>
        <w:spacing w:line="360" w:lineRule="auto"/>
        <w:rPr>
          <w:color w:val="auto"/>
          <w:szCs w:val="21"/>
          <w:highlight w:val="none"/>
        </w:rPr>
      </w:pPr>
    </w:p>
    <w:p w14:paraId="09344331">
      <w:pPr>
        <w:pStyle w:val="344"/>
        <w:spacing w:line="360" w:lineRule="auto"/>
        <w:ind w:firstLine="0"/>
        <w:rPr>
          <w:color w:val="auto"/>
          <w:szCs w:val="21"/>
          <w:highlight w:val="none"/>
        </w:rPr>
      </w:pPr>
    </w:p>
    <w:p w14:paraId="33D28865">
      <w:pPr>
        <w:spacing w:line="360" w:lineRule="auto"/>
        <w:rPr>
          <w:rFonts w:ascii="Arial" w:hAnsi="Arial" w:cs="Arial"/>
          <w:color w:val="auto"/>
          <w:szCs w:val="21"/>
          <w:highlight w:val="none"/>
        </w:rPr>
      </w:pPr>
    </w:p>
    <w:p w14:paraId="6DA8D3ED">
      <w:pPr>
        <w:spacing w:line="360" w:lineRule="auto"/>
        <w:rPr>
          <w:rFonts w:ascii="Arial" w:hAnsi="Arial" w:cs="Arial"/>
          <w:color w:val="auto"/>
          <w:szCs w:val="21"/>
          <w:highlight w:val="none"/>
        </w:rPr>
      </w:pPr>
      <w:r>
        <w:rPr>
          <w:rFonts w:hint="eastAsia" w:ascii="Arial" w:hAnsi="Arial" w:cs="Arial"/>
          <w:color w:val="auto"/>
          <w:szCs w:val="21"/>
          <w:highlight w:val="none"/>
        </w:rPr>
        <w:t>投标人名称（盖章）：</w:t>
      </w:r>
    </w:p>
    <w:p w14:paraId="0D3EE6AF">
      <w:pPr>
        <w:spacing w:line="360" w:lineRule="auto"/>
        <w:rPr>
          <w:rFonts w:ascii="Arial" w:hAnsi="Arial" w:cs="Arial"/>
          <w:color w:val="auto"/>
          <w:szCs w:val="21"/>
          <w:highlight w:val="none"/>
        </w:rPr>
      </w:pPr>
    </w:p>
    <w:p w14:paraId="0847EFEB">
      <w:pPr>
        <w:spacing w:line="360" w:lineRule="auto"/>
        <w:rPr>
          <w:rFonts w:ascii="Arial" w:hAnsi="Arial" w:cs="Arial"/>
          <w:color w:val="auto"/>
          <w:szCs w:val="21"/>
          <w:highlight w:val="none"/>
        </w:rPr>
      </w:pPr>
      <w:r>
        <w:rPr>
          <w:rFonts w:hint="eastAsia" w:ascii="Arial" w:hAnsi="Arial" w:cs="Arial"/>
          <w:color w:val="auto"/>
          <w:szCs w:val="21"/>
          <w:highlight w:val="none"/>
        </w:rPr>
        <w:t>法定代表人或法定代表人授权代表签字或盖章：</w:t>
      </w:r>
    </w:p>
    <w:p w14:paraId="17757969">
      <w:pPr>
        <w:spacing w:line="360" w:lineRule="auto"/>
        <w:rPr>
          <w:rFonts w:ascii="Arial" w:hAnsi="Arial" w:cs="Arial"/>
          <w:color w:val="auto"/>
          <w:szCs w:val="21"/>
          <w:highlight w:val="none"/>
        </w:rPr>
      </w:pPr>
    </w:p>
    <w:p w14:paraId="1DC3834A">
      <w:pPr>
        <w:spacing w:line="360" w:lineRule="auto"/>
        <w:rPr>
          <w:rFonts w:ascii="Arial" w:hAnsi="Arial" w:cs="Arial"/>
          <w:color w:val="auto"/>
          <w:szCs w:val="21"/>
          <w:highlight w:val="none"/>
        </w:rPr>
      </w:pPr>
      <w:r>
        <w:rPr>
          <w:rFonts w:hint="eastAsia" w:ascii="Arial" w:hAnsi="Arial" w:cs="Arial"/>
          <w:color w:val="auto"/>
          <w:szCs w:val="21"/>
          <w:highlight w:val="none"/>
        </w:rPr>
        <w:t>日期：</w:t>
      </w:r>
    </w:p>
    <w:p w14:paraId="083FA280">
      <w:pPr>
        <w:spacing w:line="440" w:lineRule="exact"/>
        <w:rPr>
          <w:rFonts w:ascii="Arial" w:hAnsi="Arial" w:cs="Arial"/>
          <w:color w:val="auto"/>
          <w:szCs w:val="21"/>
          <w:highlight w:val="none"/>
        </w:rPr>
      </w:pPr>
    </w:p>
    <w:p w14:paraId="2388210B">
      <w:pP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注：1、</w:t>
      </w:r>
      <w:r>
        <w:rPr>
          <w:rFonts w:hint="eastAsia" w:ascii="宋体" w:hAnsi="宋体" w:eastAsia="宋体" w:cs="宋体"/>
          <w:szCs w:val="21"/>
          <w:highlight w:val="none"/>
        </w:rPr>
        <w:t>投标人应对招标文件《采购需求》的内容给予逐条响应，若漏项或不逐条应答视为</w:t>
      </w:r>
      <w:r>
        <w:rPr>
          <w:rFonts w:hint="eastAsia" w:ascii="宋体" w:hAnsi="宋体" w:eastAsia="宋体" w:cs="宋体"/>
          <w:color w:val="000000"/>
          <w:szCs w:val="21"/>
          <w:highlight w:val="none"/>
        </w:rPr>
        <w:t>完全响应招标文件的商务条款要求。</w:t>
      </w:r>
    </w:p>
    <w:p w14:paraId="15DB3269">
      <w:pPr>
        <w:numPr>
          <w:ilvl w:val="0"/>
          <w:numId w:val="2"/>
        </w:numPr>
        <w:spacing w:line="440" w:lineRule="exact"/>
        <w:ind w:firstLine="420"/>
        <w:rPr>
          <w:rFonts w:hint="eastAsia" w:ascii="宋体" w:hAnsi="宋体" w:eastAsia="宋体" w:cs="宋体"/>
          <w:color w:val="000000"/>
          <w:szCs w:val="21"/>
          <w:highlight w:val="none"/>
        </w:rPr>
      </w:pPr>
      <w:r>
        <w:rPr>
          <w:rFonts w:hint="eastAsia" w:ascii="宋体" w:hAnsi="宋体" w:eastAsia="宋体" w:cs="宋体"/>
          <w:szCs w:val="21"/>
          <w:highlight w:val="none"/>
        </w:rPr>
        <w:t>“偏离/响应”</w:t>
      </w:r>
      <w:r>
        <w:rPr>
          <w:rFonts w:hint="eastAsia" w:ascii="宋体" w:hAnsi="宋体" w:eastAsia="宋体" w:cs="宋体"/>
          <w:color w:val="000000"/>
          <w:szCs w:val="21"/>
          <w:highlight w:val="none"/>
        </w:rPr>
        <w:t>栏请注明”响应或无偏离/正偏离/负偏离，正偏离指供应商的响应高于招标文件要求，负偏离指供应商的响应低于招标文件要求。</w:t>
      </w:r>
    </w:p>
    <w:p w14:paraId="734BE709">
      <w:pPr>
        <w:spacing w:line="440" w:lineRule="exact"/>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3、如果行数不够，请自行增加。</w:t>
      </w:r>
    </w:p>
    <w:p w14:paraId="31C85C0E">
      <w:pPr>
        <w:pStyle w:val="18"/>
        <w:rPr>
          <w:rFonts w:hint="eastAsia" w:ascii="宋体" w:hAnsi="宋体"/>
          <w:color w:val="auto"/>
          <w:sz w:val="24"/>
          <w:szCs w:val="24"/>
          <w:highlight w:val="none"/>
        </w:rPr>
      </w:pPr>
    </w:p>
    <w:p w14:paraId="56B5A37F">
      <w:pPr>
        <w:rPr>
          <w:rFonts w:hint="eastAsia" w:ascii="宋体" w:hAnsi="宋体"/>
          <w:color w:val="auto"/>
          <w:sz w:val="24"/>
          <w:szCs w:val="24"/>
          <w:highlight w:val="none"/>
        </w:rPr>
      </w:pPr>
    </w:p>
    <w:p w14:paraId="72F84ACC">
      <w:pPr>
        <w:pStyle w:val="18"/>
        <w:rPr>
          <w:rFonts w:hint="eastAsia" w:ascii="宋体" w:hAnsi="宋体"/>
          <w:color w:val="auto"/>
          <w:sz w:val="24"/>
          <w:szCs w:val="24"/>
          <w:highlight w:val="none"/>
        </w:rPr>
      </w:pPr>
    </w:p>
    <w:p w14:paraId="024F2489">
      <w:pPr>
        <w:rPr>
          <w:rFonts w:hint="eastAsia" w:ascii="宋体" w:hAnsi="宋体"/>
          <w:color w:val="auto"/>
          <w:sz w:val="24"/>
          <w:szCs w:val="24"/>
          <w:highlight w:val="none"/>
        </w:rPr>
      </w:pPr>
    </w:p>
    <w:p w14:paraId="0537F504">
      <w:pPr>
        <w:pStyle w:val="7"/>
        <w:tabs>
          <w:tab w:val="left" w:pos="480"/>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八</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业绩表（格式）</w:t>
      </w:r>
      <w:r>
        <w:rPr>
          <w:rFonts w:hint="eastAsia" w:ascii="宋体" w:hAnsi="宋体" w:eastAsia="宋体" w:cs="宋体"/>
          <w:b/>
          <w:color w:val="auto"/>
          <w:sz w:val="24"/>
          <w:szCs w:val="24"/>
          <w:highlight w:val="none"/>
        </w:rPr>
        <w:t>：</w:t>
      </w:r>
    </w:p>
    <w:p w14:paraId="23302D43">
      <w:pPr>
        <w:rPr>
          <w:color w:val="auto"/>
          <w:highlight w:val="none"/>
        </w:rPr>
      </w:pPr>
    </w:p>
    <w:tbl>
      <w:tblPr>
        <w:tblStyle w:val="40"/>
        <w:tblW w:w="8794" w:type="dxa"/>
        <w:tblInd w:w="0" w:type="dxa"/>
        <w:tblLayout w:type="fixed"/>
        <w:tblCellMar>
          <w:top w:w="0" w:type="dxa"/>
          <w:left w:w="0" w:type="dxa"/>
          <w:bottom w:w="0" w:type="dxa"/>
          <w:right w:w="0" w:type="dxa"/>
        </w:tblCellMar>
      </w:tblPr>
      <w:tblGrid>
        <w:gridCol w:w="724"/>
        <w:gridCol w:w="1431"/>
        <w:gridCol w:w="907"/>
        <w:gridCol w:w="1233"/>
        <w:gridCol w:w="1824"/>
        <w:gridCol w:w="1070"/>
        <w:gridCol w:w="1605"/>
      </w:tblGrid>
      <w:tr w14:paraId="650621DD">
        <w:trPr>
          <w:trHeight w:val="882" w:hRule="atLeast"/>
        </w:trPr>
        <w:tc>
          <w:tcPr>
            <w:tcW w:w="724" w:type="dxa"/>
            <w:tcBorders>
              <w:top w:val="single" w:color="auto" w:sz="4" w:space="0"/>
              <w:left w:val="single" w:color="auto" w:sz="4" w:space="0"/>
              <w:bottom w:val="single" w:color="auto" w:sz="4" w:space="0"/>
              <w:right w:val="single" w:color="auto" w:sz="4" w:space="0"/>
            </w:tcBorders>
            <w:noWrap/>
            <w:tcMar>
              <w:top w:w="20" w:type="dxa"/>
              <w:left w:w="20" w:type="dxa"/>
              <w:bottom w:w="0" w:type="dxa"/>
              <w:right w:w="20" w:type="dxa"/>
            </w:tcMar>
            <w:vAlign w:val="center"/>
          </w:tcPr>
          <w:p w14:paraId="7B20C55D">
            <w:pPr>
              <w:jc w:val="center"/>
              <w:rPr>
                <w:rFonts w:hAnsi="宋体" w:cs="Arial Unicode MS"/>
                <w:b w:val="0"/>
                <w:position w:val="0"/>
                <w:szCs w:val="24"/>
              </w:rPr>
            </w:pPr>
            <w:r>
              <w:rPr>
                <w:rFonts w:hint="eastAsia" w:hAnsi="宋体"/>
                <w:b w:val="0"/>
                <w:position w:val="0"/>
                <w:szCs w:val="24"/>
              </w:rPr>
              <w:t>序号</w:t>
            </w:r>
          </w:p>
        </w:tc>
        <w:tc>
          <w:tcPr>
            <w:tcW w:w="1431"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673916A0">
            <w:pPr>
              <w:jc w:val="center"/>
              <w:rPr>
                <w:rFonts w:hAnsi="宋体" w:cs="Arial Unicode MS"/>
                <w:b w:val="0"/>
                <w:position w:val="0"/>
                <w:szCs w:val="24"/>
              </w:rPr>
            </w:pPr>
            <w:r>
              <w:rPr>
                <w:rFonts w:hint="eastAsia" w:hAnsi="宋体"/>
                <w:b w:val="0"/>
                <w:position w:val="0"/>
                <w:szCs w:val="24"/>
              </w:rPr>
              <w:t>项目名称</w:t>
            </w:r>
          </w:p>
        </w:tc>
        <w:tc>
          <w:tcPr>
            <w:tcW w:w="907" w:type="dxa"/>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14:paraId="062F5C4A">
            <w:pPr>
              <w:jc w:val="center"/>
              <w:rPr>
                <w:rFonts w:hAnsi="宋体" w:cs="Arial Unicode MS"/>
                <w:b w:val="0"/>
                <w:position w:val="0"/>
                <w:szCs w:val="24"/>
              </w:rPr>
            </w:pPr>
            <w:r>
              <w:rPr>
                <w:rFonts w:hint="eastAsia" w:hAnsi="宋体"/>
                <w:b w:val="0"/>
                <w:position w:val="0"/>
                <w:szCs w:val="24"/>
              </w:rPr>
              <w:t>数量</w:t>
            </w:r>
          </w:p>
        </w:tc>
        <w:tc>
          <w:tcPr>
            <w:tcW w:w="1233"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41FCC344">
            <w:pPr>
              <w:jc w:val="center"/>
              <w:rPr>
                <w:rFonts w:hAnsi="宋体"/>
                <w:b w:val="0"/>
                <w:position w:val="0"/>
                <w:szCs w:val="24"/>
              </w:rPr>
            </w:pPr>
            <w:r>
              <w:rPr>
                <w:rFonts w:hint="eastAsia" w:hAnsi="宋体"/>
                <w:b w:val="0"/>
                <w:position w:val="0"/>
                <w:szCs w:val="24"/>
              </w:rPr>
              <w:t>签约</w:t>
            </w:r>
          </w:p>
          <w:p w14:paraId="15DE28BA">
            <w:pPr>
              <w:jc w:val="center"/>
              <w:rPr>
                <w:rFonts w:hAnsi="宋体" w:cs="Arial Unicode MS"/>
                <w:b w:val="0"/>
                <w:position w:val="0"/>
                <w:szCs w:val="24"/>
              </w:rPr>
            </w:pPr>
            <w:r>
              <w:rPr>
                <w:rFonts w:hint="eastAsia" w:hAnsi="宋体"/>
                <w:b w:val="0"/>
                <w:position w:val="0"/>
                <w:szCs w:val="24"/>
              </w:rPr>
              <w:t>日期</w:t>
            </w:r>
          </w:p>
        </w:tc>
        <w:tc>
          <w:tcPr>
            <w:tcW w:w="1824"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5438A5EB">
            <w:pPr>
              <w:jc w:val="center"/>
              <w:rPr>
                <w:rFonts w:hAnsi="宋体"/>
                <w:b w:val="0"/>
                <w:position w:val="0"/>
                <w:szCs w:val="24"/>
              </w:rPr>
            </w:pPr>
            <w:r>
              <w:rPr>
                <w:rFonts w:hint="eastAsia" w:hAnsi="宋体"/>
                <w:b w:val="0"/>
                <w:position w:val="0"/>
                <w:szCs w:val="24"/>
              </w:rPr>
              <w:t>同类或相似合同价</w:t>
            </w:r>
          </w:p>
        </w:tc>
        <w:tc>
          <w:tcPr>
            <w:tcW w:w="1070"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5F4F8495">
            <w:pPr>
              <w:jc w:val="center"/>
              <w:rPr>
                <w:rFonts w:hAnsi="宋体"/>
                <w:b w:val="0"/>
                <w:position w:val="0"/>
                <w:szCs w:val="24"/>
              </w:rPr>
            </w:pPr>
            <w:r>
              <w:rPr>
                <w:rFonts w:hint="eastAsia" w:hAnsi="宋体"/>
                <w:b w:val="0"/>
                <w:position w:val="0"/>
                <w:szCs w:val="24"/>
              </w:rPr>
              <w:t>业主 名称</w:t>
            </w:r>
          </w:p>
        </w:tc>
        <w:tc>
          <w:tcPr>
            <w:tcW w:w="1605"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32BA15C0">
            <w:pPr>
              <w:jc w:val="center"/>
              <w:rPr>
                <w:rFonts w:hAnsi="宋体" w:cs="Arial Unicode MS"/>
                <w:b w:val="0"/>
                <w:position w:val="0"/>
                <w:szCs w:val="24"/>
              </w:rPr>
            </w:pPr>
            <w:r>
              <w:rPr>
                <w:rFonts w:hint="eastAsia" w:hAnsi="宋体"/>
                <w:b w:val="0"/>
                <w:position w:val="0"/>
                <w:szCs w:val="24"/>
              </w:rPr>
              <w:t>地址</w:t>
            </w:r>
            <w:r>
              <w:rPr>
                <w:rFonts w:ascii="Times New Roman"/>
                <w:b w:val="0"/>
                <w:position w:val="0"/>
                <w:szCs w:val="24"/>
              </w:rPr>
              <w:t>/</w:t>
            </w:r>
            <w:r>
              <w:rPr>
                <w:rFonts w:hint="eastAsia" w:hAnsi="宋体"/>
                <w:b w:val="0"/>
                <w:position w:val="0"/>
                <w:szCs w:val="24"/>
              </w:rPr>
              <w:t>电话</w:t>
            </w:r>
            <w:r>
              <w:rPr>
                <w:rFonts w:ascii="Times New Roman"/>
                <w:b w:val="0"/>
                <w:position w:val="0"/>
                <w:szCs w:val="24"/>
              </w:rPr>
              <w:t>/</w:t>
            </w:r>
            <w:r>
              <w:rPr>
                <w:rFonts w:hint="eastAsia" w:hAnsi="宋体"/>
                <w:b w:val="0"/>
                <w:position w:val="0"/>
                <w:szCs w:val="24"/>
              </w:rPr>
              <w:t>传真</w:t>
            </w:r>
          </w:p>
        </w:tc>
      </w:tr>
      <w:tr w14:paraId="23E69BE9">
        <w:tblPrEx>
          <w:tblCellMar>
            <w:top w:w="0" w:type="dxa"/>
            <w:left w:w="0" w:type="dxa"/>
            <w:bottom w:w="0" w:type="dxa"/>
            <w:right w:w="0" w:type="dxa"/>
          </w:tblCellMar>
        </w:tblPrEx>
        <w:trPr>
          <w:trHeight w:val="524" w:hRule="atLeast"/>
        </w:trPr>
        <w:tc>
          <w:tcPr>
            <w:tcW w:w="724"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0DB390E8">
            <w:pPr>
              <w:jc w:val="center"/>
              <w:rPr>
                <w:rFonts w:hAnsi="宋体" w:cs="Arial Unicode MS"/>
                <w:b w:val="0"/>
                <w:position w:val="0"/>
                <w:szCs w:val="24"/>
              </w:rPr>
            </w:pPr>
            <w:r>
              <w:rPr>
                <w:rFonts w:hAnsi="宋体"/>
                <w:b w:val="0"/>
                <w:position w:val="0"/>
                <w:szCs w:val="24"/>
              </w:rPr>
              <w:t>1</w:t>
            </w:r>
          </w:p>
        </w:tc>
        <w:tc>
          <w:tcPr>
            <w:tcW w:w="143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037B934">
            <w:pPr>
              <w:rPr>
                <w:rFonts w:hAnsi="宋体" w:cs="Arial Unicode MS"/>
                <w:b w:val="0"/>
                <w:position w:val="0"/>
                <w:szCs w:val="24"/>
              </w:rPr>
            </w:pPr>
            <w:r>
              <w:rPr>
                <w:rFonts w:hint="eastAsia" w:hAnsi="宋体"/>
                <w:b w:val="0"/>
                <w:position w:val="0"/>
                <w:szCs w:val="24"/>
              </w:rPr>
              <w:t>　</w:t>
            </w:r>
          </w:p>
        </w:tc>
        <w:tc>
          <w:tcPr>
            <w:tcW w:w="907" w:type="dxa"/>
            <w:tcBorders>
              <w:top w:val="nil"/>
              <w:left w:val="nil"/>
              <w:bottom w:val="single" w:color="auto" w:sz="4" w:space="0"/>
              <w:right w:val="single" w:color="auto" w:sz="4" w:space="0"/>
            </w:tcBorders>
            <w:noWrap w:val="0"/>
            <w:tcMar>
              <w:top w:w="20" w:type="dxa"/>
              <w:left w:w="20" w:type="dxa"/>
              <w:bottom w:w="0" w:type="dxa"/>
              <w:right w:w="20" w:type="dxa"/>
            </w:tcMar>
            <w:vAlign w:val="bottom"/>
          </w:tcPr>
          <w:p w14:paraId="360FE765">
            <w:pPr>
              <w:rPr>
                <w:rFonts w:hAnsi="宋体" w:cs="Arial Unicode MS"/>
                <w:b w:val="0"/>
                <w:position w:val="0"/>
                <w:szCs w:val="24"/>
              </w:rPr>
            </w:pPr>
          </w:p>
        </w:tc>
        <w:tc>
          <w:tcPr>
            <w:tcW w:w="1233"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A6615EA">
            <w:pPr>
              <w:rPr>
                <w:rFonts w:hAnsi="宋体" w:cs="Arial Unicode MS"/>
                <w:b w:val="0"/>
                <w:position w:val="0"/>
                <w:szCs w:val="24"/>
              </w:rPr>
            </w:pPr>
            <w:r>
              <w:rPr>
                <w:rFonts w:hint="eastAsia" w:hAnsi="宋体"/>
                <w:b w:val="0"/>
                <w:position w:val="0"/>
                <w:szCs w:val="24"/>
              </w:rPr>
              <w:t>　</w:t>
            </w:r>
          </w:p>
        </w:tc>
        <w:tc>
          <w:tcPr>
            <w:tcW w:w="18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5B50BCD">
            <w:pPr>
              <w:rPr>
                <w:rFonts w:hAnsi="宋体" w:cs="Arial Unicode MS"/>
                <w:b w:val="0"/>
                <w:position w:val="0"/>
                <w:szCs w:val="24"/>
              </w:rPr>
            </w:pPr>
            <w:r>
              <w:rPr>
                <w:rFonts w:hint="eastAsia" w:hAnsi="宋体"/>
                <w:b w:val="0"/>
                <w:position w:val="0"/>
                <w:szCs w:val="24"/>
              </w:rPr>
              <w:t>　</w:t>
            </w:r>
          </w:p>
        </w:tc>
        <w:tc>
          <w:tcPr>
            <w:tcW w:w="107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8D9739F">
            <w:pPr>
              <w:rPr>
                <w:rFonts w:hAnsi="宋体" w:cs="Arial Unicode MS"/>
                <w:b w:val="0"/>
                <w:position w:val="0"/>
                <w:szCs w:val="24"/>
              </w:rPr>
            </w:pPr>
            <w:r>
              <w:rPr>
                <w:rFonts w:hint="eastAsia" w:hAnsi="宋体"/>
                <w:b w:val="0"/>
                <w:position w:val="0"/>
                <w:szCs w:val="24"/>
              </w:rPr>
              <w:t>　</w:t>
            </w:r>
          </w:p>
        </w:tc>
        <w:tc>
          <w:tcPr>
            <w:tcW w:w="160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8F41D6B">
            <w:pPr>
              <w:rPr>
                <w:rFonts w:hAnsi="宋体" w:cs="Arial Unicode MS"/>
                <w:b w:val="0"/>
                <w:position w:val="0"/>
                <w:szCs w:val="24"/>
              </w:rPr>
            </w:pPr>
            <w:r>
              <w:rPr>
                <w:rFonts w:hint="eastAsia" w:hAnsi="宋体"/>
                <w:b w:val="0"/>
                <w:position w:val="0"/>
                <w:szCs w:val="24"/>
              </w:rPr>
              <w:t>　</w:t>
            </w:r>
          </w:p>
        </w:tc>
      </w:tr>
      <w:tr w14:paraId="26346014">
        <w:tblPrEx>
          <w:tblCellMar>
            <w:top w:w="0" w:type="dxa"/>
            <w:left w:w="0" w:type="dxa"/>
            <w:bottom w:w="0" w:type="dxa"/>
            <w:right w:w="0" w:type="dxa"/>
          </w:tblCellMar>
        </w:tblPrEx>
        <w:trPr>
          <w:trHeight w:val="524" w:hRule="atLeast"/>
        </w:trPr>
        <w:tc>
          <w:tcPr>
            <w:tcW w:w="724"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09552F9C">
            <w:pPr>
              <w:jc w:val="center"/>
              <w:rPr>
                <w:rFonts w:hAnsi="宋体" w:cs="Arial Unicode MS"/>
                <w:b w:val="0"/>
                <w:position w:val="0"/>
                <w:szCs w:val="24"/>
              </w:rPr>
            </w:pPr>
            <w:r>
              <w:rPr>
                <w:rFonts w:hAnsi="宋体"/>
                <w:b w:val="0"/>
                <w:position w:val="0"/>
                <w:szCs w:val="24"/>
              </w:rPr>
              <w:t>2</w:t>
            </w:r>
          </w:p>
        </w:tc>
        <w:tc>
          <w:tcPr>
            <w:tcW w:w="143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BD36A39">
            <w:pPr>
              <w:rPr>
                <w:rFonts w:hAnsi="宋体" w:cs="Arial Unicode MS"/>
                <w:b w:val="0"/>
                <w:position w:val="0"/>
                <w:szCs w:val="24"/>
              </w:rPr>
            </w:pPr>
            <w:r>
              <w:rPr>
                <w:rFonts w:hint="eastAsia" w:hAnsi="宋体"/>
                <w:b w:val="0"/>
                <w:position w:val="0"/>
                <w:szCs w:val="24"/>
              </w:rPr>
              <w:t>　</w:t>
            </w:r>
          </w:p>
        </w:tc>
        <w:tc>
          <w:tcPr>
            <w:tcW w:w="907" w:type="dxa"/>
            <w:tcBorders>
              <w:top w:val="nil"/>
              <w:left w:val="nil"/>
              <w:bottom w:val="single" w:color="auto" w:sz="4" w:space="0"/>
              <w:right w:val="single" w:color="auto" w:sz="4" w:space="0"/>
            </w:tcBorders>
            <w:noWrap w:val="0"/>
            <w:tcMar>
              <w:top w:w="20" w:type="dxa"/>
              <w:left w:w="20" w:type="dxa"/>
              <w:bottom w:w="0" w:type="dxa"/>
              <w:right w:w="20" w:type="dxa"/>
            </w:tcMar>
            <w:vAlign w:val="bottom"/>
          </w:tcPr>
          <w:p w14:paraId="23571D34">
            <w:pPr>
              <w:rPr>
                <w:rFonts w:hAnsi="宋体" w:cs="Arial Unicode MS"/>
                <w:b w:val="0"/>
                <w:position w:val="0"/>
                <w:szCs w:val="24"/>
              </w:rPr>
            </w:pPr>
          </w:p>
        </w:tc>
        <w:tc>
          <w:tcPr>
            <w:tcW w:w="1233"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FC938AE">
            <w:pPr>
              <w:rPr>
                <w:rFonts w:hAnsi="宋体" w:cs="Arial Unicode MS"/>
                <w:b w:val="0"/>
                <w:position w:val="0"/>
                <w:szCs w:val="24"/>
              </w:rPr>
            </w:pPr>
            <w:r>
              <w:rPr>
                <w:rFonts w:hint="eastAsia" w:hAnsi="宋体"/>
                <w:b w:val="0"/>
                <w:position w:val="0"/>
                <w:szCs w:val="24"/>
              </w:rPr>
              <w:t>　</w:t>
            </w:r>
          </w:p>
        </w:tc>
        <w:tc>
          <w:tcPr>
            <w:tcW w:w="18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DD3C839">
            <w:pPr>
              <w:rPr>
                <w:rFonts w:hAnsi="宋体" w:cs="Arial Unicode MS"/>
                <w:b w:val="0"/>
                <w:position w:val="0"/>
                <w:szCs w:val="24"/>
              </w:rPr>
            </w:pPr>
            <w:r>
              <w:rPr>
                <w:rFonts w:hint="eastAsia" w:hAnsi="宋体"/>
                <w:b w:val="0"/>
                <w:position w:val="0"/>
                <w:szCs w:val="24"/>
              </w:rPr>
              <w:t>　</w:t>
            </w:r>
          </w:p>
        </w:tc>
        <w:tc>
          <w:tcPr>
            <w:tcW w:w="107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970B71A">
            <w:pPr>
              <w:rPr>
                <w:rFonts w:hAnsi="宋体" w:cs="Arial Unicode MS"/>
                <w:b w:val="0"/>
                <w:position w:val="0"/>
                <w:szCs w:val="24"/>
              </w:rPr>
            </w:pPr>
            <w:r>
              <w:rPr>
                <w:rFonts w:hint="eastAsia" w:hAnsi="宋体"/>
                <w:b w:val="0"/>
                <w:position w:val="0"/>
                <w:szCs w:val="24"/>
              </w:rPr>
              <w:t>　</w:t>
            </w:r>
          </w:p>
        </w:tc>
        <w:tc>
          <w:tcPr>
            <w:tcW w:w="160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AD9F6C0">
            <w:pPr>
              <w:rPr>
                <w:rFonts w:hAnsi="宋体" w:cs="Arial Unicode MS"/>
                <w:b w:val="0"/>
                <w:position w:val="0"/>
                <w:szCs w:val="24"/>
              </w:rPr>
            </w:pPr>
            <w:r>
              <w:rPr>
                <w:rFonts w:hint="eastAsia" w:hAnsi="宋体"/>
                <w:b w:val="0"/>
                <w:position w:val="0"/>
                <w:szCs w:val="24"/>
              </w:rPr>
              <w:t>　</w:t>
            </w:r>
          </w:p>
        </w:tc>
      </w:tr>
      <w:tr w14:paraId="0A305AC1">
        <w:tblPrEx>
          <w:tblCellMar>
            <w:top w:w="0" w:type="dxa"/>
            <w:left w:w="0" w:type="dxa"/>
            <w:bottom w:w="0" w:type="dxa"/>
            <w:right w:w="0" w:type="dxa"/>
          </w:tblCellMar>
        </w:tblPrEx>
        <w:trPr>
          <w:trHeight w:val="524" w:hRule="atLeast"/>
        </w:trPr>
        <w:tc>
          <w:tcPr>
            <w:tcW w:w="724"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573CA92A">
            <w:pPr>
              <w:jc w:val="center"/>
              <w:rPr>
                <w:rFonts w:hAnsi="宋体" w:cs="Arial Unicode MS"/>
                <w:b w:val="0"/>
                <w:position w:val="0"/>
                <w:szCs w:val="24"/>
              </w:rPr>
            </w:pPr>
            <w:r>
              <w:rPr>
                <w:rFonts w:hAnsi="宋体"/>
                <w:b w:val="0"/>
                <w:position w:val="0"/>
                <w:szCs w:val="24"/>
              </w:rPr>
              <w:t>3</w:t>
            </w:r>
          </w:p>
        </w:tc>
        <w:tc>
          <w:tcPr>
            <w:tcW w:w="143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F2601DF">
            <w:pPr>
              <w:rPr>
                <w:rFonts w:hAnsi="宋体" w:cs="Arial Unicode MS"/>
                <w:b w:val="0"/>
                <w:position w:val="0"/>
                <w:szCs w:val="24"/>
              </w:rPr>
            </w:pPr>
            <w:r>
              <w:rPr>
                <w:rFonts w:hint="eastAsia" w:hAnsi="宋体"/>
                <w:b w:val="0"/>
                <w:position w:val="0"/>
                <w:szCs w:val="24"/>
              </w:rPr>
              <w:t>　</w:t>
            </w:r>
          </w:p>
        </w:tc>
        <w:tc>
          <w:tcPr>
            <w:tcW w:w="907" w:type="dxa"/>
            <w:tcBorders>
              <w:top w:val="nil"/>
              <w:left w:val="nil"/>
              <w:bottom w:val="single" w:color="auto" w:sz="4" w:space="0"/>
              <w:right w:val="single" w:color="auto" w:sz="4" w:space="0"/>
            </w:tcBorders>
            <w:noWrap w:val="0"/>
            <w:tcMar>
              <w:top w:w="20" w:type="dxa"/>
              <w:left w:w="20" w:type="dxa"/>
              <w:bottom w:w="0" w:type="dxa"/>
              <w:right w:w="20" w:type="dxa"/>
            </w:tcMar>
            <w:vAlign w:val="bottom"/>
          </w:tcPr>
          <w:p w14:paraId="2C33F2C4">
            <w:pPr>
              <w:rPr>
                <w:rFonts w:hAnsi="宋体" w:cs="Arial Unicode MS"/>
                <w:b w:val="0"/>
                <w:position w:val="0"/>
                <w:szCs w:val="24"/>
              </w:rPr>
            </w:pPr>
          </w:p>
        </w:tc>
        <w:tc>
          <w:tcPr>
            <w:tcW w:w="1233"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B834CA4">
            <w:pPr>
              <w:rPr>
                <w:rFonts w:hAnsi="宋体" w:cs="Arial Unicode MS"/>
                <w:b w:val="0"/>
                <w:position w:val="0"/>
                <w:szCs w:val="24"/>
              </w:rPr>
            </w:pPr>
            <w:r>
              <w:rPr>
                <w:rFonts w:hint="eastAsia" w:hAnsi="宋体"/>
                <w:b w:val="0"/>
                <w:position w:val="0"/>
                <w:szCs w:val="24"/>
              </w:rPr>
              <w:t>　</w:t>
            </w:r>
          </w:p>
        </w:tc>
        <w:tc>
          <w:tcPr>
            <w:tcW w:w="18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4395849">
            <w:pPr>
              <w:rPr>
                <w:rFonts w:hAnsi="宋体" w:cs="Arial Unicode MS"/>
                <w:b w:val="0"/>
                <w:position w:val="0"/>
                <w:szCs w:val="24"/>
              </w:rPr>
            </w:pPr>
            <w:r>
              <w:rPr>
                <w:rFonts w:hint="eastAsia" w:hAnsi="宋体"/>
                <w:b w:val="0"/>
                <w:position w:val="0"/>
                <w:szCs w:val="24"/>
              </w:rPr>
              <w:t>　</w:t>
            </w:r>
          </w:p>
        </w:tc>
        <w:tc>
          <w:tcPr>
            <w:tcW w:w="107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141EBC5">
            <w:pPr>
              <w:rPr>
                <w:rFonts w:hAnsi="宋体" w:cs="Arial Unicode MS"/>
                <w:b w:val="0"/>
                <w:position w:val="0"/>
                <w:szCs w:val="24"/>
              </w:rPr>
            </w:pPr>
            <w:r>
              <w:rPr>
                <w:rFonts w:hint="eastAsia" w:hAnsi="宋体"/>
                <w:b w:val="0"/>
                <w:position w:val="0"/>
                <w:szCs w:val="24"/>
              </w:rPr>
              <w:t>　</w:t>
            </w:r>
          </w:p>
        </w:tc>
        <w:tc>
          <w:tcPr>
            <w:tcW w:w="160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C1191D9">
            <w:pPr>
              <w:rPr>
                <w:rFonts w:hAnsi="宋体" w:cs="Arial Unicode MS"/>
                <w:b w:val="0"/>
                <w:position w:val="0"/>
                <w:szCs w:val="24"/>
              </w:rPr>
            </w:pPr>
            <w:r>
              <w:rPr>
                <w:rFonts w:hint="eastAsia" w:hAnsi="宋体"/>
                <w:b w:val="0"/>
                <w:position w:val="0"/>
                <w:szCs w:val="24"/>
              </w:rPr>
              <w:t>　</w:t>
            </w:r>
          </w:p>
        </w:tc>
      </w:tr>
      <w:tr w14:paraId="3E96FEDE">
        <w:tblPrEx>
          <w:tblCellMar>
            <w:top w:w="0" w:type="dxa"/>
            <w:left w:w="0" w:type="dxa"/>
            <w:bottom w:w="0" w:type="dxa"/>
            <w:right w:w="0" w:type="dxa"/>
          </w:tblCellMar>
        </w:tblPrEx>
        <w:trPr>
          <w:trHeight w:val="524" w:hRule="atLeast"/>
        </w:trPr>
        <w:tc>
          <w:tcPr>
            <w:tcW w:w="724"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4635EF76">
            <w:pPr>
              <w:rPr>
                <w:rFonts w:hAnsi="宋体" w:cs="Arial Unicode MS"/>
                <w:b w:val="0"/>
                <w:position w:val="0"/>
                <w:szCs w:val="24"/>
              </w:rPr>
            </w:pPr>
            <w:r>
              <w:rPr>
                <w:rFonts w:hint="eastAsia" w:hAnsi="宋体"/>
                <w:b w:val="0"/>
                <w:position w:val="0"/>
                <w:szCs w:val="24"/>
              </w:rPr>
              <w:t>……</w:t>
            </w:r>
          </w:p>
        </w:tc>
        <w:tc>
          <w:tcPr>
            <w:tcW w:w="143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551BAC5">
            <w:pPr>
              <w:rPr>
                <w:rFonts w:hAnsi="宋体" w:cs="Arial Unicode MS"/>
                <w:b w:val="0"/>
                <w:position w:val="0"/>
                <w:szCs w:val="24"/>
              </w:rPr>
            </w:pPr>
            <w:r>
              <w:rPr>
                <w:rFonts w:hint="eastAsia" w:hAnsi="宋体"/>
                <w:b w:val="0"/>
                <w:position w:val="0"/>
                <w:szCs w:val="24"/>
              </w:rPr>
              <w:t>　</w:t>
            </w:r>
          </w:p>
        </w:tc>
        <w:tc>
          <w:tcPr>
            <w:tcW w:w="907" w:type="dxa"/>
            <w:tcBorders>
              <w:top w:val="nil"/>
              <w:left w:val="nil"/>
              <w:bottom w:val="single" w:color="auto" w:sz="4" w:space="0"/>
              <w:right w:val="single" w:color="auto" w:sz="4" w:space="0"/>
            </w:tcBorders>
            <w:noWrap w:val="0"/>
            <w:tcMar>
              <w:top w:w="20" w:type="dxa"/>
              <w:left w:w="20" w:type="dxa"/>
              <w:bottom w:w="0" w:type="dxa"/>
              <w:right w:w="20" w:type="dxa"/>
            </w:tcMar>
            <w:vAlign w:val="bottom"/>
          </w:tcPr>
          <w:p w14:paraId="45589B2E">
            <w:pPr>
              <w:rPr>
                <w:rFonts w:hAnsi="宋体" w:cs="Arial Unicode MS"/>
                <w:b w:val="0"/>
                <w:position w:val="0"/>
                <w:szCs w:val="24"/>
              </w:rPr>
            </w:pPr>
          </w:p>
        </w:tc>
        <w:tc>
          <w:tcPr>
            <w:tcW w:w="1233"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EBE30B6">
            <w:pPr>
              <w:rPr>
                <w:rFonts w:hAnsi="宋体" w:cs="Arial Unicode MS"/>
                <w:b w:val="0"/>
                <w:position w:val="0"/>
                <w:szCs w:val="24"/>
              </w:rPr>
            </w:pPr>
            <w:r>
              <w:rPr>
                <w:rFonts w:hint="eastAsia" w:hAnsi="宋体"/>
                <w:b w:val="0"/>
                <w:position w:val="0"/>
                <w:szCs w:val="24"/>
              </w:rPr>
              <w:t>　</w:t>
            </w:r>
          </w:p>
        </w:tc>
        <w:tc>
          <w:tcPr>
            <w:tcW w:w="18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97640FC">
            <w:pPr>
              <w:rPr>
                <w:rFonts w:hAnsi="宋体" w:cs="Arial Unicode MS"/>
                <w:b w:val="0"/>
                <w:position w:val="0"/>
                <w:szCs w:val="24"/>
              </w:rPr>
            </w:pPr>
            <w:r>
              <w:rPr>
                <w:rFonts w:hint="eastAsia" w:hAnsi="宋体"/>
                <w:b w:val="0"/>
                <w:position w:val="0"/>
                <w:szCs w:val="24"/>
              </w:rPr>
              <w:t>　</w:t>
            </w:r>
          </w:p>
        </w:tc>
        <w:tc>
          <w:tcPr>
            <w:tcW w:w="107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4522D00">
            <w:pPr>
              <w:rPr>
                <w:rFonts w:hAnsi="宋体" w:cs="Arial Unicode MS"/>
                <w:b w:val="0"/>
                <w:position w:val="0"/>
                <w:szCs w:val="24"/>
              </w:rPr>
            </w:pPr>
            <w:r>
              <w:rPr>
                <w:rFonts w:hint="eastAsia" w:hAnsi="宋体"/>
                <w:b w:val="0"/>
                <w:position w:val="0"/>
                <w:szCs w:val="24"/>
              </w:rPr>
              <w:t>　</w:t>
            </w:r>
          </w:p>
        </w:tc>
        <w:tc>
          <w:tcPr>
            <w:tcW w:w="160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19FD6C9">
            <w:pPr>
              <w:rPr>
                <w:rFonts w:hAnsi="宋体" w:cs="Arial Unicode MS"/>
                <w:b w:val="0"/>
                <w:position w:val="0"/>
                <w:szCs w:val="24"/>
              </w:rPr>
            </w:pPr>
            <w:r>
              <w:rPr>
                <w:rFonts w:hint="eastAsia" w:hAnsi="宋体"/>
                <w:b w:val="0"/>
                <w:position w:val="0"/>
                <w:szCs w:val="24"/>
              </w:rPr>
              <w:t>　</w:t>
            </w:r>
          </w:p>
        </w:tc>
      </w:tr>
    </w:tbl>
    <w:p w14:paraId="6CE94D9C">
      <w:pPr>
        <w:rPr>
          <w:color w:val="auto"/>
          <w:highlight w:val="none"/>
        </w:rPr>
      </w:pPr>
      <w:r>
        <w:rPr>
          <w:rFonts w:hint="eastAsia" w:ascii="宋体" w:hAnsi="宋体" w:cs="宋体"/>
          <w:b/>
          <w:color w:val="auto"/>
          <w:sz w:val="24"/>
          <w:szCs w:val="24"/>
          <w:highlight w:val="none"/>
        </w:rPr>
        <w:br w:type="page" w:clear="all"/>
      </w:r>
      <w:r>
        <w:rPr>
          <w:rFonts w:hint="eastAsia" w:ascii="宋体" w:hAnsi="宋体" w:cs="宋体"/>
          <w:b/>
          <w:color w:val="auto"/>
          <w:sz w:val="24"/>
          <w:szCs w:val="24"/>
          <w:highlight w:val="none"/>
        </w:rPr>
        <w:t>（</w:t>
      </w:r>
      <w:r>
        <w:rPr>
          <w:rFonts w:hint="eastAsia" w:ascii="宋体" w:hAnsi="宋体" w:cs="宋体"/>
          <w:b/>
          <w:color w:val="auto"/>
          <w:sz w:val="24"/>
          <w:szCs w:val="24"/>
          <w:highlight w:val="none"/>
          <w:lang w:val="en-US" w:eastAsia="zh-CN"/>
        </w:rPr>
        <w:t>九</w:t>
      </w:r>
      <w:r>
        <w:rPr>
          <w:rFonts w:hint="eastAsia" w:ascii="宋体" w:hAnsi="宋体" w:cs="宋体"/>
          <w:b/>
          <w:color w:val="auto"/>
          <w:sz w:val="24"/>
          <w:szCs w:val="24"/>
          <w:highlight w:val="none"/>
        </w:rPr>
        <w:t>）中小企业声明函（格式）：</w:t>
      </w:r>
    </w:p>
    <w:p w14:paraId="5DE962EC">
      <w:pPr>
        <w:spacing w:line="360" w:lineRule="auto"/>
        <w:jc w:val="center"/>
        <w:rPr>
          <w:rFonts w:hint="eastAsia" w:ascii="宋体" w:hAnsi="宋体" w:cs="宋体"/>
          <w:b/>
          <w:color w:val="auto"/>
          <w:sz w:val="36"/>
          <w:szCs w:val="28"/>
          <w:highlight w:val="none"/>
        </w:rPr>
      </w:pPr>
    </w:p>
    <w:p w14:paraId="73E8AFE8">
      <w:pPr>
        <w:spacing w:before="312" w:beforeLines="100" w:line="480" w:lineRule="auto"/>
        <w:jc w:val="center"/>
        <w:rPr>
          <w:rFonts w:ascii="Arial" w:hAnsi="Arial" w:cs="Arial"/>
          <w:b/>
          <w:bCs/>
          <w:sz w:val="28"/>
          <w:szCs w:val="28"/>
        </w:rPr>
      </w:pPr>
      <w:r>
        <w:rPr>
          <w:rFonts w:hint="eastAsia" w:ascii="宋体" w:hAnsi="宋体" w:cs="Arial"/>
          <w:b/>
          <w:bCs/>
          <w:sz w:val="28"/>
          <w:szCs w:val="28"/>
        </w:rPr>
        <w:t>中小企业声明函（货物）</w:t>
      </w:r>
    </w:p>
    <w:p w14:paraId="40B141D4">
      <w:pPr>
        <w:widowControl/>
        <w:spacing w:line="440" w:lineRule="exact"/>
        <w:ind w:firstLine="420" w:firstLineChars="200"/>
        <w:jc w:val="left"/>
        <w:rPr>
          <w:rFonts w:ascii="宋体" w:hAnsi="宋体" w:cs="Arial"/>
          <w:kern w:val="0"/>
        </w:rPr>
      </w:pPr>
    </w:p>
    <w:p w14:paraId="6B37473E">
      <w:pPr>
        <w:widowControl/>
        <w:spacing w:line="400" w:lineRule="exact"/>
        <w:ind w:firstLine="420" w:firstLineChars="200"/>
        <w:jc w:val="left"/>
        <w:rPr>
          <w:rFonts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本公司（联合体）郑重声明，根据《政府采购促进中小企业发展管理办法》（财库〔2020</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kern w:val="0"/>
          <w:sz w:val="21"/>
          <w:szCs w:val="21"/>
        </w:rPr>
        <w:t>） 46号）的规定，本公司 （联合体）参加（单位名称）的（项目名称）采购活动,提供的货物全部由符合政策要求的中小企业制造。相关企业（含联合体中的中小企业、签订分包意向协议的中小企业）的具体情况如下：</w:t>
      </w:r>
    </w:p>
    <w:p w14:paraId="42B4FE93">
      <w:pPr>
        <w:widowControl/>
        <w:spacing w:line="400" w:lineRule="exact"/>
        <w:ind w:firstLine="420" w:firstLineChars="200"/>
        <w:jc w:val="left"/>
        <w:rPr>
          <w:rFonts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1.</w:t>
      </w:r>
      <w:r>
        <w:rPr>
          <w:rFonts w:hint="eastAsia" w:asciiTheme="minorEastAsia" w:hAnsiTheme="minorEastAsia" w:eastAsiaTheme="minorEastAsia" w:cstheme="minorEastAsia"/>
          <w:kern w:val="0"/>
          <w:sz w:val="21"/>
          <w:szCs w:val="21"/>
          <w:u w:val="single"/>
        </w:rPr>
        <w:t>（标的名称）,</w:t>
      </w:r>
      <w:r>
        <w:rPr>
          <w:rFonts w:hint="eastAsia" w:asciiTheme="minorEastAsia" w:hAnsiTheme="minorEastAsia" w:eastAsiaTheme="minorEastAsia" w:cstheme="minorEastAsia"/>
          <w:kern w:val="0"/>
          <w:sz w:val="21"/>
          <w:szCs w:val="21"/>
        </w:rPr>
        <w:t>属于</w:t>
      </w:r>
      <w:r>
        <w:rPr>
          <w:rFonts w:hint="eastAsia" w:asciiTheme="minorEastAsia" w:hAnsiTheme="minorEastAsia" w:eastAsiaTheme="minorEastAsia" w:cstheme="minorEastAsia"/>
          <w:kern w:val="0"/>
          <w:sz w:val="21"/>
          <w:szCs w:val="21"/>
          <w:u w:val="single"/>
        </w:rPr>
        <w:t>（采购文件中明确的所属行业）</w:t>
      </w:r>
      <w:r>
        <w:rPr>
          <w:rFonts w:hint="eastAsia" w:asciiTheme="minorEastAsia" w:hAnsiTheme="minorEastAsia" w:eastAsiaTheme="minorEastAsia" w:cstheme="minorEastAsia"/>
          <w:kern w:val="0"/>
          <w:sz w:val="21"/>
          <w:szCs w:val="21"/>
        </w:rPr>
        <w:t>行业;制造商为（企业名称）,从业人员</w:t>
      </w:r>
      <w:r>
        <w:rPr>
          <w:rFonts w:hint="eastAsia" w:asciiTheme="minorEastAsia" w:hAnsiTheme="minorEastAsia" w:eastAsiaTheme="minorEastAsia" w:cstheme="minorEastAsia"/>
          <w:kern w:val="0"/>
          <w:sz w:val="21"/>
          <w:szCs w:val="21"/>
          <w:u w:val="single"/>
        </w:rPr>
        <w:tab/>
      </w:r>
      <w:r>
        <w:rPr>
          <w:rFonts w:hint="eastAsia" w:asciiTheme="minorEastAsia" w:hAnsiTheme="minorEastAsia" w:eastAsiaTheme="minorEastAsia" w:cstheme="minorEastAsia"/>
          <w:kern w:val="0"/>
          <w:sz w:val="21"/>
          <w:szCs w:val="21"/>
          <w:u w:val="single"/>
        </w:rPr>
        <w:t>人</w:t>
      </w:r>
      <w:r>
        <w:rPr>
          <w:rFonts w:hint="eastAsia" w:asciiTheme="minorEastAsia" w:hAnsiTheme="minorEastAsia" w:eastAsiaTheme="minorEastAsia" w:cstheme="minorEastAsia"/>
          <w:kern w:val="0"/>
          <w:sz w:val="21"/>
          <w:szCs w:val="21"/>
        </w:rPr>
        <w:t>，营业收入为—万元，资产总额为</w:t>
      </w:r>
      <w:r>
        <w:rPr>
          <w:rFonts w:hint="eastAsia" w:asciiTheme="minorEastAsia" w:hAnsiTheme="minorEastAsia" w:eastAsiaTheme="minorEastAsia" w:cstheme="minorEastAsia"/>
          <w:kern w:val="0"/>
          <w:sz w:val="21"/>
          <w:szCs w:val="21"/>
          <w:u w:val="single"/>
        </w:rPr>
        <w:tab/>
      </w:r>
      <w:r>
        <w:rPr>
          <w:rFonts w:hint="eastAsia" w:asciiTheme="minorEastAsia" w:hAnsiTheme="minorEastAsia" w:eastAsiaTheme="minorEastAsia" w:cstheme="minorEastAsia"/>
          <w:kern w:val="0"/>
          <w:sz w:val="21"/>
          <w:szCs w:val="21"/>
          <w:u w:val="single"/>
        </w:rPr>
        <w:t>万</w:t>
      </w:r>
      <w:r>
        <w:rPr>
          <w:rFonts w:hint="eastAsia" w:asciiTheme="minorEastAsia" w:hAnsiTheme="minorEastAsia" w:eastAsiaTheme="minorEastAsia" w:cstheme="minorEastAsia"/>
          <w:kern w:val="0"/>
          <w:sz w:val="21"/>
          <w:szCs w:val="21"/>
        </w:rPr>
        <w:t>元，属于（中型企业、小型企业、微型企业）；</w:t>
      </w:r>
    </w:p>
    <w:p w14:paraId="34971A5B">
      <w:pPr>
        <w:widowControl/>
        <w:spacing w:line="400" w:lineRule="exact"/>
        <w:ind w:firstLine="420" w:firstLineChars="200"/>
        <w:jc w:val="left"/>
        <w:rPr>
          <w:rFonts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2.</w:t>
      </w:r>
      <w:r>
        <w:rPr>
          <w:rFonts w:hint="eastAsia" w:asciiTheme="minorEastAsia" w:hAnsiTheme="minorEastAsia" w:eastAsiaTheme="minorEastAsia" w:cstheme="minorEastAsia"/>
          <w:kern w:val="0"/>
          <w:sz w:val="21"/>
          <w:szCs w:val="21"/>
          <w:u w:val="single"/>
        </w:rPr>
        <w:t>（标的名称）</w:t>
      </w:r>
      <w:r>
        <w:rPr>
          <w:rFonts w:hint="eastAsia" w:asciiTheme="minorEastAsia" w:hAnsiTheme="minorEastAsia" w:eastAsiaTheme="minorEastAsia" w:cstheme="minorEastAsia"/>
          <w:kern w:val="0"/>
          <w:sz w:val="21"/>
          <w:szCs w:val="21"/>
        </w:rPr>
        <w:t>,属于</w:t>
      </w:r>
      <w:r>
        <w:rPr>
          <w:rFonts w:hint="eastAsia" w:asciiTheme="minorEastAsia" w:hAnsiTheme="minorEastAsia" w:eastAsiaTheme="minorEastAsia" w:cstheme="minorEastAsia"/>
          <w:kern w:val="0"/>
          <w:sz w:val="21"/>
          <w:szCs w:val="21"/>
          <w:u w:val="single"/>
        </w:rPr>
        <w:t>（采购文件中明确的所属行业）</w:t>
      </w:r>
      <w:r>
        <w:rPr>
          <w:rFonts w:hint="eastAsia" w:asciiTheme="minorEastAsia" w:hAnsiTheme="minorEastAsia" w:eastAsiaTheme="minorEastAsia" w:cstheme="minorEastAsia"/>
          <w:kern w:val="0"/>
          <w:sz w:val="21"/>
          <w:szCs w:val="21"/>
        </w:rPr>
        <w:t>行业；制造商为（企业名称）,从业人员</w:t>
      </w:r>
      <w:r>
        <w:rPr>
          <w:rFonts w:hint="eastAsia" w:asciiTheme="minorEastAsia" w:hAnsiTheme="minorEastAsia" w:eastAsiaTheme="minorEastAsia" w:cstheme="minorEastAsia"/>
          <w:kern w:val="0"/>
          <w:sz w:val="21"/>
          <w:szCs w:val="21"/>
          <w:u w:val="single"/>
        </w:rPr>
        <w:tab/>
      </w:r>
      <w:r>
        <w:rPr>
          <w:rFonts w:hint="eastAsia" w:asciiTheme="minorEastAsia" w:hAnsiTheme="minorEastAsia" w:eastAsiaTheme="minorEastAsia" w:cstheme="minorEastAsia"/>
          <w:kern w:val="0"/>
          <w:sz w:val="21"/>
          <w:szCs w:val="21"/>
          <w:u w:val="single"/>
        </w:rPr>
        <w:t>人</w:t>
      </w:r>
      <w:r>
        <w:rPr>
          <w:rFonts w:hint="eastAsia" w:asciiTheme="minorEastAsia" w:hAnsiTheme="minorEastAsia" w:eastAsiaTheme="minorEastAsia" w:cstheme="minorEastAsia"/>
          <w:kern w:val="0"/>
          <w:sz w:val="21"/>
          <w:szCs w:val="21"/>
        </w:rPr>
        <w:t>，营业收入为</w:t>
      </w:r>
      <w:r>
        <w:rPr>
          <w:rFonts w:hint="eastAsia" w:asciiTheme="minorEastAsia" w:hAnsiTheme="minorEastAsia" w:eastAsiaTheme="minorEastAsia" w:cstheme="minorEastAsia"/>
          <w:kern w:val="0"/>
          <w:sz w:val="21"/>
          <w:szCs w:val="21"/>
          <w:u w:val="single"/>
        </w:rPr>
        <w:tab/>
      </w:r>
      <w:r>
        <w:rPr>
          <w:rFonts w:hint="eastAsia" w:asciiTheme="minorEastAsia" w:hAnsiTheme="minorEastAsia" w:eastAsiaTheme="minorEastAsia" w:cstheme="minorEastAsia"/>
          <w:kern w:val="0"/>
          <w:sz w:val="21"/>
          <w:szCs w:val="21"/>
        </w:rPr>
        <w:t>万元，资产总额为</w:t>
      </w:r>
      <w:r>
        <w:rPr>
          <w:rFonts w:hint="eastAsia" w:asciiTheme="minorEastAsia" w:hAnsiTheme="minorEastAsia" w:eastAsiaTheme="minorEastAsia" w:cstheme="minorEastAsia"/>
          <w:kern w:val="0"/>
          <w:sz w:val="21"/>
          <w:szCs w:val="21"/>
          <w:u w:val="single"/>
        </w:rPr>
        <w:tab/>
      </w:r>
      <w:r>
        <w:rPr>
          <w:rFonts w:hint="eastAsia" w:asciiTheme="minorEastAsia" w:hAnsiTheme="minorEastAsia" w:eastAsiaTheme="minorEastAsia" w:cstheme="minorEastAsia"/>
          <w:kern w:val="0"/>
          <w:sz w:val="21"/>
          <w:szCs w:val="21"/>
        </w:rPr>
        <w:t>万元，属于（中型企业、小型企业、微型企业）；</w:t>
      </w:r>
    </w:p>
    <w:p w14:paraId="23DADD71">
      <w:pPr>
        <w:widowControl/>
        <w:spacing w:line="400" w:lineRule="exact"/>
        <w:ind w:firstLine="420" w:firstLineChars="200"/>
        <w:jc w:val="left"/>
        <w:rPr>
          <w:rFonts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以上企业，不属于大企业的分支机构，不存在控股股东为大企业的情形，也不存在与大企业的负责人为同一人的情形。</w:t>
      </w:r>
    </w:p>
    <w:p w14:paraId="1E6DFD5D">
      <w:pPr>
        <w:widowControl/>
        <w:spacing w:line="400" w:lineRule="exact"/>
        <w:ind w:firstLine="420" w:firstLineChars="200"/>
        <w:jc w:val="left"/>
        <w:rPr>
          <w:rFonts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本企业对上述声明内容的真实性负责。如有虚假，将依法承担相应责任。</w:t>
      </w:r>
    </w:p>
    <w:p w14:paraId="7C9D8CEF">
      <w:pPr>
        <w:widowControl/>
        <w:spacing w:line="400" w:lineRule="exact"/>
        <w:ind w:firstLine="420" w:firstLineChars="200"/>
        <w:jc w:val="left"/>
        <w:rPr>
          <w:rFonts w:asciiTheme="minorEastAsia" w:hAnsiTheme="minorEastAsia" w:eastAsiaTheme="minorEastAsia" w:cstheme="minorEastAsia"/>
          <w:kern w:val="0"/>
          <w:sz w:val="21"/>
          <w:szCs w:val="21"/>
        </w:rPr>
      </w:pPr>
    </w:p>
    <w:p w14:paraId="433496D9">
      <w:pPr>
        <w:widowControl/>
        <w:spacing w:line="400" w:lineRule="exact"/>
        <w:ind w:firstLine="420" w:firstLineChars="200"/>
        <w:jc w:val="left"/>
        <w:rPr>
          <w:rFonts w:asciiTheme="minorEastAsia" w:hAnsiTheme="minorEastAsia" w:eastAsiaTheme="minorEastAsia" w:cstheme="minorEastAsia"/>
          <w:kern w:val="0"/>
          <w:sz w:val="21"/>
          <w:szCs w:val="21"/>
        </w:rPr>
      </w:pPr>
    </w:p>
    <w:p w14:paraId="538BDD92">
      <w:pPr>
        <w:widowControl/>
        <w:spacing w:line="400" w:lineRule="exact"/>
        <w:ind w:firstLine="420" w:firstLineChars="200"/>
        <w:jc w:val="left"/>
        <w:rPr>
          <w:rFonts w:asciiTheme="minorEastAsia" w:hAnsiTheme="minorEastAsia" w:eastAsiaTheme="minorEastAsia" w:cstheme="minorEastAsia"/>
          <w:kern w:val="0"/>
          <w:sz w:val="21"/>
          <w:szCs w:val="21"/>
        </w:rPr>
      </w:pPr>
    </w:p>
    <w:p w14:paraId="37C0029B">
      <w:pPr>
        <w:widowControl/>
        <w:spacing w:line="400" w:lineRule="exact"/>
        <w:ind w:firstLine="420" w:firstLineChars="200"/>
        <w:jc w:val="right"/>
        <w:rPr>
          <w:rFonts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企业名称（盖章）：</w:t>
      </w:r>
    </w:p>
    <w:p w14:paraId="5C30C29B">
      <w:pPr>
        <w:widowControl/>
        <w:spacing w:line="400" w:lineRule="exact"/>
        <w:ind w:firstLine="420" w:firstLineChars="200"/>
        <w:jc w:val="center"/>
        <w:rPr>
          <w:rFonts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 xml:space="preserve">                                               日期：</w:t>
      </w:r>
    </w:p>
    <w:p w14:paraId="5DE02747">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w:t>
      </w:r>
    </w:p>
    <w:p w14:paraId="0BD3E65C">
      <w:pPr>
        <w:spacing w:line="300" w:lineRule="auto"/>
        <w:ind w:firstLine="480"/>
        <w:rPr>
          <w:rFonts w:ascii="Times New Roman" w:hAnsi="Times New Roman" w:eastAsia="宋体" w:cs="Times New Roman"/>
          <w:sz w:val="24"/>
          <w:highlight w:val="none"/>
        </w:rPr>
      </w:pPr>
    </w:p>
    <w:p w14:paraId="259A06B0">
      <w:pPr>
        <w:spacing w:line="300" w:lineRule="auto"/>
        <w:ind w:firstLine="480"/>
        <w:rPr>
          <w:rFonts w:ascii="Times New Roman" w:hAnsi="Times New Roman" w:eastAsia="宋体" w:cs="Times New Roman"/>
          <w:sz w:val="24"/>
          <w:highlight w:val="none"/>
        </w:rPr>
      </w:pPr>
      <w:r>
        <w:rPr>
          <w:rFonts w:hint="eastAsia" w:ascii="宋体" w:hAnsi="宋体" w:eastAsia="宋体" w:cs="宋体"/>
          <w:color w:val="000000"/>
          <w:szCs w:val="21"/>
          <w:highlight w:val="none"/>
        </w:rPr>
        <w:t>注：1.从业人员、营业收入、资产总额填报上一年度数据，无上一年度数据的新成立企业可不填报。</w:t>
      </w:r>
    </w:p>
    <w:p w14:paraId="28BE6D28">
      <w:pPr>
        <w:numPr>
          <w:ilvl w:val="0"/>
          <w:numId w:val="3"/>
        </w:numPr>
        <w:spacing w:line="30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中标供应商的《中小企业声明函》将随中标公告进行公示。供应商按照本办法规定提供声明函内容不实的，属于提供虚假材料谋取中标、成交，依照《中华人民共和国政府采购法》等国家有关规定追究相应责任。</w:t>
      </w:r>
    </w:p>
    <w:p w14:paraId="57DEDEE7">
      <w:pPr>
        <w:spacing w:line="360" w:lineRule="auto"/>
        <w:ind w:left="120"/>
        <w:rPr>
          <w:color w:val="auto"/>
          <w:szCs w:val="21"/>
          <w:highlight w:val="none"/>
        </w:rPr>
      </w:pPr>
      <w:r>
        <w:rPr>
          <w:color w:val="auto"/>
          <w:szCs w:val="21"/>
          <w:highlight w:val="none"/>
        </w:rPr>
        <w:br w:type="page" w:clear="all"/>
      </w:r>
      <w:r>
        <w:rPr>
          <w:rFonts w:hint="eastAsia" w:ascii="宋体" w:hAnsi="宋体" w:cs="宋体"/>
          <w:b/>
          <w:color w:val="auto"/>
          <w:szCs w:val="21"/>
          <w:highlight w:val="none"/>
        </w:rPr>
        <w:t>（十）残疾人福利性单位声明函（格式）：</w:t>
      </w:r>
    </w:p>
    <w:p w14:paraId="1488BB96">
      <w:pPr>
        <w:spacing w:line="588" w:lineRule="exact"/>
        <w:rPr>
          <w:rFonts w:ascii="仿宋_GB2312" w:eastAsia="仿宋_GB2312"/>
          <w:b/>
          <w:color w:val="auto"/>
          <w:spacing w:val="6"/>
          <w:sz w:val="30"/>
          <w:szCs w:val="30"/>
          <w:highlight w:val="none"/>
        </w:rPr>
      </w:pPr>
    </w:p>
    <w:p w14:paraId="0CD62013">
      <w:pPr>
        <w:spacing w:line="360" w:lineRule="auto"/>
        <w:jc w:val="center"/>
        <w:rPr>
          <w:rFonts w:hint="eastAsia" w:ascii="宋体" w:hAnsi="宋体" w:cs="宋体"/>
          <w:b/>
          <w:color w:val="auto"/>
          <w:sz w:val="36"/>
          <w:szCs w:val="28"/>
          <w:highlight w:val="none"/>
        </w:rPr>
      </w:pPr>
      <w:r>
        <w:rPr>
          <w:rFonts w:hint="eastAsia" w:ascii="宋体" w:hAnsi="宋体" w:cs="宋体"/>
          <w:b/>
          <w:color w:val="auto"/>
          <w:sz w:val="36"/>
          <w:szCs w:val="28"/>
          <w:highlight w:val="none"/>
        </w:rPr>
        <w:t>残疾人福利性单位声明函</w:t>
      </w:r>
    </w:p>
    <w:p w14:paraId="16DD97C7">
      <w:pPr>
        <w:spacing w:line="580" w:lineRule="exact"/>
        <w:ind w:firstLine="480"/>
        <w:rPr>
          <w:rFonts w:hint="eastAsia" w:ascii="宋体" w:hAnsi="宋体"/>
          <w:bCs/>
          <w:color w:val="auto"/>
          <w:sz w:val="24"/>
          <w:szCs w:val="24"/>
          <w:highlight w:val="none"/>
        </w:rPr>
      </w:pPr>
    </w:p>
    <w:p w14:paraId="4133E9D7">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cs="宋体"/>
          <w:bCs/>
          <w:color w:val="auto"/>
          <w:szCs w:val="21"/>
          <w:highlight w:val="none"/>
          <w:u w:val="single"/>
        </w:rPr>
        <w:t xml:space="preserve">             项目</w:t>
      </w:r>
      <w:r>
        <w:rPr>
          <w:rFonts w:hint="eastAsia" w:ascii="宋体" w:hAnsi="宋体" w:cs="宋体"/>
          <w:bCs/>
          <w:color w:val="auto"/>
          <w:szCs w:val="21"/>
          <w:highlight w:val="none"/>
        </w:rPr>
        <w:t>采购活动提供本单位制造的货物（由本单位承担工程/提供服务），或者提供其他残疾人福利性单位制造的货物（不包括使用非残疾人福利性单位注册商标的货物）。</w:t>
      </w:r>
    </w:p>
    <w:p w14:paraId="6D8D0A1C">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本单位对上述声明的真实性负责。如有虚假，将依法承担相应责任。</w:t>
      </w:r>
    </w:p>
    <w:p w14:paraId="454F78B0">
      <w:pPr>
        <w:spacing w:line="360" w:lineRule="auto"/>
        <w:ind w:firstLine="420"/>
        <w:rPr>
          <w:rFonts w:hint="eastAsia" w:ascii="宋体" w:hAnsi="宋体" w:cs="宋体"/>
          <w:bCs/>
          <w:color w:val="auto"/>
          <w:szCs w:val="21"/>
          <w:highlight w:val="none"/>
        </w:rPr>
      </w:pPr>
    </w:p>
    <w:p w14:paraId="474F062C">
      <w:pPr>
        <w:spacing w:line="360" w:lineRule="auto"/>
        <w:ind w:firstLine="420"/>
        <w:rPr>
          <w:rFonts w:hint="eastAsia" w:ascii="宋体" w:hAnsi="宋体" w:cs="宋体"/>
          <w:bCs/>
          <w:color w:val="auto"/>
          <w:szCs w:val="21"/>
          <w:highlight w:val="none"/>
        </w:rPr>
      </w:pPr>
    </w:p>
    <w:p w14:paraId="7B96921F">
      <w:pPr>
        <w:spacing w:line="360" w:lineRule="auto"/>
        <w:ind w:firstLine="3990"/>
        <w:rPr>
          <w:rFonts w:hint="eastAsia" w:ascii="宋体" w:hAnsi="宋体" w:cs="宋体"/>
          <w:bCs/>
          <w:color w:val="auto"/>
          <w:szCs w:val="21"/>
          <w:highlight w:val="none"/>
        </w:rPr>
      </w:pPr>
      <w:r>
        <w:rPr>
          <w:rFonts w:hint="eastAsia" w:ascii="宋体" w:hAnsi="宋体" w:cs="宋体"/>
          <w:bCs/>
          <w:color w:val="auto"/>
          <w:szCs w:val="21"/>
          <w:highlight w:val="none"/>
        </w:rPr>
        <w:t>单位名称（盖章）：</w:t>
      </w:r>
    </w:p>
    <w:p w14:paraId="4CE9C3B1">
      <w:pPr>
        <w:spacing w:line="360" w:lineRule="auto"/>
        <w:ind w:firstLine="3990"/>
        <w:rPr>
          <w:rFonts w:hint="eastAsia" w:ascii="宋体" w:hAnsi="宋体" w:cs="宋体"/>
          <w:bCs/>
          <w:color w:val="auto"/>
          <w:szCs w:val="21"/>
          <w:highlight w:val="none"/>
        </w:rPr>
      </w:pPr>
      <w:r>
        <w:rPr>
          <w:rFonts w:hint="eastAsia" w:ascii="宋体" w:hAnsi="宋体" w:cs="宋体"/>
          <w:bCs/>
          <w:color w:val="auto"/>
          <w:szCs w:val="21"/>
          <w:highlight w:val="none"/>
        </w:rPr>
        <w:t>日  期：</w:t>
      </w:r>
    </w:p>
    <w:p w14:paraId="23B1A9D1">
      <w:pPr>
        <w:pStyle w:val="334"/>
        <w:widowControl w:val="0"/>
        <w:spacing w:line="360" w:lineRule="auto"/>
        <w:rPr>
          <w:rFonts w:hint="eastAsia" w:ascii="宋体" w:hAnsi="宋体" w:eastAsia="宋体" w:cs="宋体"/>
          <w:color w:val="auto"/>
          <w:sz w:val="24"/>
          <w:szCs w:val="24"/>
          <w:highlight w:val="none"/>
        </w:rPr>
      </w:pPr>
    </w:p>
    <w:p w14:paraId="0A0D1AD2">
      <w:pPr>
        <w:pStyle w:val="334"/>
        <w:rPr>
          <w:color w:val="auto"/>
          <w:highlight w:val="none"/>
        </w:rPr>
      </w:pPr>
    </w:p>
    <w:p w14:paraId="4EC326A7">
      <w:pPr>
        <w:pStyle w:val="334"/>
        <w:rPr>
          <w:color w:val="auto"/>
          <w:highlight w:val="none"/>
        </w:rPr>
      </w:pPr>
    </w:p>
    <w:p w14:paraId="07F00D9B">
      <w:pPr>
        <w:pStyle w:val="334"/>
        <w:rPr>
          <w:color w:val="auto"/>
          <w:highlight w:val="none"/>
        </w:rPr>
      </w:pPr>
    </w:p>
    <w:p w14:paraId="62D82B60">
      <w:pPr>
        <w:pStyle w:val="334"/>
        <w:rPr>
          <w:color w:val="auto"/>
          <w:highlight w:val="none"/>
        </w:rPr>
      </w:pPr>
    </w:p>
    <w:p w14:paraId="65F9E4A2">
      <w:pPr>
        <w:pStyle w:val="334"/>
        <w:rPr>
          <w:color w:val="auto"/>
          <w:highlight w:val="none"/>
        </w:rPr>
      </w:pPr>
    </w:p>
    <w:p w14:paraId="76AA88EE">
      <w:pPr>
        <w:pStyle w:val="334"/>
        <w:rPr>
          <w:color w:val="auto"/>
          <w:highlight w:val="none"/>
        </w:rPr>
      </w:pPr>
    </w:p>
    <w:p w14:paraId="35EB9678">
      <w:pPr>
        <w:pStyle w:val="334"/>
        <w:rPr>
          <w:color w:val="auto"/>
          <w:highlight w:val="none"/>
        </w:rPr>
      </w:pPr>
    </w:p>
    <w:p w14:paraId="6ACD69C8">
      <w:pPr>
        <w:pStyle w:val="334"/>
        <w:rPr>
          <w:color w:val="auto"/>
          <w:highlight w:val="none"/>
        </w:rPr>
      </w:pPr>
    </w:p>
    <w:p w14:paraId="56C9DB82">
      <w:pPr>
        <w:pStyle w:val="334"/>
        <w:rPr>
          <w:color w:val="auto"/>
          <w:highlight w:val="none"/>
        </w:rPr>
      </w:pPr>
    </w:p>
    <w:p w14:paraId="31A3DAAE">
      <w:pPr>
        <w:pStyle w:val="334"/>
        <w:rPr>
          <w:color w:val="auto"/>
          <w:highlight w:val="none"/>
        </w:rPr>
      </w:pPr>
    </w:p>
    <w:p w14:paraId="02100563">
      <w:pPr>
        <w:pStyle w:val="334"/>
        <w:rPr>
          <w:color w:val="auto"/>
          <w:highlight w:val="none"/>
        </w:rPr>
      </w:pPr>
    </w:p>
    <w:p w14:paraId="71E9114C">
      <w:pPr>
        <w:pStyle w:val="334"/>
        <w:rPr>
          <w:color w:val="auto"/>
          <w:highlight w:val="none"/>
        </w:rPr>
      </w:pPr>
    </w:p>
    <w:p w14:paraId="2AF54F9B">
      <w:pPr>
        <w:pStyle w:val="334"/>
        <w:rPr>
          <w:color w:val="auto"/>
          <w:highlight w:val="none"/>
        </w:rPr>
      </w:pPr>
    </w:p>
    <w:p w14:paraId="48422775">
      <w:pPr>
        <w:pStyle w:val="334"/>
        <w:rPr>
          <w:color w:val="auto"/>
          <w:highlight w:val="none"/>
        </w:rPr>
      </w:pPr>
    </w:p>
    <w:p w14:paraId="0EF2EB6C">
      <w:pPr>
        <w:pStyle w:val="334"/>
        <w:rPr>
          <w:color w:val="auto"/>
          <w:highlight w:val="none"/>
        </w:rPr>
      </w:pPr>
    </w:p>
    <w:p w14:paraId="1C7C8936">
      <w:pPr>
        <w:widowControl/>
        <w:spacing w:before="100" w:beforeAutospacing="1" w:after="100" w:afterAutospacing="1" w:line="500" w:lineRule="atLeast"/>
        <w:rPr>
          <w:rFonts w:hint="eastAsia" w:ascii="宋体" w:hAnsi="宋体" w:eastAsia="宋体" w:cs="宋体"/>
          <w:b/>
          <w:sz w:val="24"/>
          <w:szCs w:val="21"/>
          <w:highlight w:val="none"/>
        </w:rPr>
      </w:pPr>
      <w:r>
        <w:rPr>
          <w:rFonts w:hint="eastAsia" w:ascii="宋体" w:hAnsi="宋体" w:eastAsia="宋体" w:cs="宋体"/>
          <w:b/>
          <w:sz w:val="24"/>
          <w:szCs w:val="21"/>
          <w:highlight w:val="none"/>
        </w:rPr>
        <w:t>（</w:t>
      </w:r>
      <w:r>
        <w:rPr>
          <w:rFonts w:hint="eastAsia" w:ascii="宋体" w:hAnsi="宋体" w:cs="宋体"/>
          <w:b/>
          <w:sz w:val="24"/>
          <w:szCs w:val="21"/>
          <w:highlight w:val="none"/>
          <w:lang w:val="en-US" w:eastAsia="zh-CN"/>
        </w:rPr>
        <w:t>十一</w:t>
      </w:r>
      <w:r>
        <w:rPr>
          <w:rFonts w:hint="eastAsia" w:ascii="宋体" w:hAnsi="宋体" w:eastAsia="宋体" w:cs="宋体"/>
          <w:b/>
          <w:sz w:val="24"/>
          <w:szCs w:val="21"/>
          <w:highlight w:val="none"/>
        </w:rPr>
        <w:t>）南京市政府采购供应商信用记录表暨信用承诺书（格式）：</w:t>
      </w:r>
    </w:p>
    <w:p w14:paraId="3828E0FD">
      <w:pPr>
        <w:widowControl/>
        <w:spacing w:before="100" w:beforeAutospacing="1" w:after="100" w:afterAutospacing="1" w:line="500" w:lineRule="atLeast"/>
        <w:jc w:val="center"/>
        <w:rPr>
          <w:rFonts w:hint="eastAsia" w:ascii="宋体" w:hAnsi="宋体" w:eastAsia="宋体" w:cs="宋体"/>
          <w:b/>
          <w:sz w:val="24"/>
          <w:szCs w:val="21"/>
          <w:highlight w:val="none"/>
        </w:rPr>
      </w:pPr>
      <w:r>
        <w:rPr>
          <w:rFonts w:hint="eastAsia" w:ascii="宋体" w:hAnsi="宋体" w:eastAsia="宋体" w:cs="宋体"/>
          <w:b/>
          <w:sz w:val="24"/>
          <w:szCs w:val="21"/>
          <w:highlight w:val="none"/>
        </w:rPr>
        <w:t>南京市政府采购供应商信用记录表暨信用承诺书</w:t>
      </w:r>
    </w:p>
    <w:p w14:paraId="20B0C2F5">
      <w:pPr>
        <w:widowControl/>
        <w:jc w:val="right"/>
        <w:rPr>
          <w:rFonts w:ascii="Times New Roman" w:hAnsi="Times New Roman" w:eastAsia="宋体" w:cs="Times New Roman"/>
          <w:sz w:val="24"/>
          <w:highlight w:val="none"/>
        </w:rPr>
      </w:pPr>
      <w:r>
        <w:rPr>
          <w:rFonts w:ascii="Times New Roman" w:hAnsi="Times New Roman" w:eastAsia="宋体" w:cs="Times New Roman"/>
          <w:szCs w:val="21"/>
          <w:highlight w:val="none"/>
        </w:rPr>
        <w:t>年月日</w:t>
      </w:r>
      <w:r>
        <w:rPr>
          <w:rFonts w:ascii="Times New Roman" w:hAnsi="Times New Roman" w:eastAsia="宋体" w:cs="Times New Roman"/>
          <w:sz w:val="24"/>
          <w:highlight w:val="none"/>
        </w:rPr>
        <w:t xml:space="preserve"> </w:t>
      </w:r>
    </w:p>
    <w:tbl>
      <w:tblPr>
        <w:tblStyle w:val="40"/>
        <w:tblW w:w="8991" w:type="dxa"/>
        <w:tblCellSpacing w:w="15" w:type="dxa"/>
        <w:tblInd w:w="-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5" w:type="dxa"/>
          <w:left w:w="15" w:type="dxa"/>
          <w:bottom w:w="15" w:type="dxa"/>
          <w:right w:w="15" w:type="dxa"/>
        </w:tblCellMar>
      </w:tblPr>
      <w:tblGrid>
        <w:gridCol w:w="702"/>
        <w:gridCol w:w="334"/>
        <w:gridCol w:w="7592"/>
        <w:gridCol w:w="363"/>
      </w:tblGrid>
      <w:tr w14:paraId="490BF5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0" w:hRule="atLeast"/>
          <w:tblCellSpacing w:w="15" w:type="dxa"/>
        </w:trPr>
        <w:tc>
          <w:tcPr>
            <w:tcW w:w="665" w:type="dxa"/>
            <w:noWrap w:val="0"/>
            <w:vAlign w:val="center"/>
          </w:tcPr>
          <w:p w14:paraId="73041349">
            <w:pPr>
              <w:widowControl/>
              <w:spacing w:before="100" w:beforeAutospacing="1" w:after="100" w:afterAutospacing="1" w:line="22" w:lineRule="atLeast"/>
              <w:jc w:val="left"/>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单位名称</w:t>
            </w:r>
            <w:r>
              <w:rPr>
                <w:rFonts w:ascii="Times New Roman" w:hAnsi="Times New Roman" w:eastAsia="宋体" w:cs="Times New Roman"/>
                <w:sz w:val="24"/>
                <w:szCs w:val="20"/>
                <w:highlight w:val="none"/>
              </w:rPr>
              <w:t xml:space="preserve"> </w:t>
            </w:r>
          </w:p>
        </w:tc>
        <w:tc>
          <w:tcPr>
            <w:tcW w:w="308" w:type="dxa"/>
            <w:noWrap w:val="0"/>
            <w:vAlign w:val="center"/>
          </w:tcPr>
          <w:p w14:paraId="0CBC6702">
            <w:pPr>
              <w:widowControl/>
              <w:spacing w:before="100" w:beforeAutospacing="1" w:after="100" w:afterAutospacing="1" w:line="22" w:lineRule="atLeast"/>
              <w:jc w:val="left"/>
              <w:rPr>
                <w:rFonts w:ascii="Times New Roman" w:hAnsi="Times New Roman" w:eastAsia="宋体" w:cs="Times New Roman"/>
                <w:sz w:val="24"/>
                <w:szCs w:val="20"/>
                <w:highlight w:val="none"/>
              </w:rPr>
            </w:pPr>
          </w:p>
        </w:tc>
        <w:tc>
          <w:tcPr>
            <w:tcW w:w="7695" w:type="dxa"/>
            <w:noWrap w:val="0"/>
            <w:vAlign w:val="center"/>
          </w:tcPr>
          <w:p w14:paraId="3D136A39">
            <w:pPr>
              <w:widowControl/>
              <w:spacing w:before="100" w:beforeAutospacing="1" w:after="100" w:afterAutospacing="1" w:line="22" w:lineRule="atLeast"/>
              <w:jc w:val="left"/>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统一社会信用代码</w:t>
            </w:r>
            <w:r>
              <w:rPr>
                <w:rFonts w:ascii="Times New Roman" w:hAnsi="Times New Roman" w:eastAsia="宋体" w:cs="Times New Roman"/>
                <w:sz w:val="24"/>
                <w:szCs w:val="20"/>
                <w:highlight w:val="none"/>
              </w:rPr>
              <w:t xml:space="preserve"> </w:t>
            </w:r>
          </w:p>
        </w:tc>
        <w:tc>
          <w:tcPr>
            <w:tcW w:w="323" w:type="dxa"/>
            <w:noWrap w:val="0"/>
            <w:vAlign w:val="center"/>
          </w:tcPr>
          <w:p w14:paraId="42996C75">
            <w:pPr>
              <w:widowControl/>
              <w:spacing w:before="100" w:beforeAutospacing="1" w:after="100" w:afterAutospacing="1" w:line="22" w:lineRule="atLeast"/>
              <w:jc w:val="left"/>
              <w:rPr>
                <w:rFonts w:ascii="Times New Roman" w:hAnsi="Times New Roman" w:eastAsia="宋体" w:cs="Times New Roman"/>
                <w:sz w:val="24"/>
                <w:szCs w:val="20"/>
                <w:highlight w:val="none"/>
              </w:rPr>
            </w:pPr>
          </w:p>
        </w:tc>
      </w:tr>
      <w:tr w14:paraId="6E7BC2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0" w:hRule="atLeast"/>
          <w:tblCellSpacing w:w="15" w:type="dxa"/>
        </w:trPr>
        <w:tc>
          <w:tcPr>
            <w:tcW w:w="665" w:type="dxa"/>
            <w:noWrap w:val="0"/>
            <w:vAlign w:val="center"/>
          </w:tcPr>
          <w:p w14:paraId="0D1936CE">
            <w:pPr>
              <w:widowControl/>
              <w:spacing w:before="100" w:beforeAutospacing="1" w:after="100" w:afterAutospacing="1" w:line="22" w:lineRule="atLeast"/>
              <w:jc w:val="left"/>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法定代表人</w:t>
            </w:r>
            <w:r>
              <w:rPr>
                <w:rFonts w:ascii="Times New Roman" w:hAnsi="Times New Roman" w:eastAsia="宋体" w:cs="Times New Roman"/>
                <w:sz w:val="24"/>
                <w:szCs w:val="20"/>
                <w:highlight w:val="none"/>
              </w:rPr>
              <w:t xml:space="preserve"> </w:t>
            </w:r>
          </w:p>
        </w:tc>
        <w:tc>
          <w:tcPr>
            <w:tcW w:w="308" w:type="dxa"/>
            <w:noWrap w:val="0"/>
            <w:vAlign w:val="center"/>
          </w:tcPr>
          <w:p w14:paraId="21EC1BDA">
            <w:pPr>
              <w:widowControl/>
              <w:spacing w:before="100" w:beforeAutospacing="1" w:after="100" w:afterAutospacing="1" w:line="22" w:lineRule="atLeast"/>
              <w:jc w:val="left"/>
              <w:rPr>
                <w:rFonts w:ascii="Times New Roman" w:hAnsi="Times New Roman" w:eastAsia="宋体" w:cs="Times New Roman"/>
                <w:sz w:val="24"/>
                <w:szCs w:val="20"/>
                <w:highlight w:val="none"/>
              </w:rPr>
            </w:pPr>
          </w:p>
        </w:tc>
        <w:tc>
          <w:tcPr>
            <w:tcW w:w="7695" w:type="dxa"/>
            <w:noWrap w:val="0"/>
            <w:vAlign w:val="center"/>
          </w:tcPr>
          <w:p w14:paraId="2ACFCBC9">
            <w:pPr>
              <w:widowControl/>
              <w:spacing w:before="100" w:beforeAutospacing="1" w:after="100" w:afterAutospacing="1" w:line="22" w:lineRule="atLeast"/>
              <w:jc w:val="left"/>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联系人</w:t>
            </w:r>
            <w:r>
              <w:rPr>
                <w:rFonts w:ascii="Times New Roman" w:hAnsi="Times New Roman" w:eastAsia="宋体" w:cs="Times New Roman"/>
                <w:sz w:val="24"/>
                <w:szCs w:val="20"/>
                <w:highlight w:val="none"/>
              </w:rPr>
              <w:t xml:space="preserve"> </w:t>
            </w:r>
          </w:p>
        </w:tc>
        <w:tc>
          <w:tcPr>
            <w:tcW w:w="323" w:type="dxa"/>
            <w:noWrap w:val="0"/>
            <w:vAlign w:val="center"/>
          </w:tcPr>
          <w:p w14:paraId="26613021">
            <w:pPr>
              <w:widowControl/>
              <w:spacing w:before="100" w:beforeAutospacing="1" w:after="100" w:afterAutospacing="1" w:line="22" w:lineRule="atLeast"/>
              <w:jc w:val="left"/>
              <w:rPr>
                <w:rFonts w:ascii="Times New Roman" w:hAnsi="Times New Roman" w:eastAsia="宋体" w:cs="Times New Roman"/>
                <w:sz w:val="24"/>
                <w:szCs w:val="20"/>
                <w:highlight w:val="none"/>
              </w:rPr>
            </w:pPr>
          </w:p>
        </w:tc>
      </w:tr>
      <w:tr w14:paraId="7D325C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0" w:hRule="atLeast"/>
          <w:tblCellSpacing w:w="15" w:type="dxa"/>
        </w:trPr>
        <w:tc>
          <w:tcPr>
            <w:tcW w:w="665" w:type="dxa"/>
            <w:noWrap w:val="0"/>
            <w:vAlign w:val="center"/>
          </w:tcPr>
          <w:p w14:paraId="0BAA0ACC">
            <w:pPr>
              <w:widowControl/>
              <w:spacing w:before="100" w:beforeAutospacing="1" w:after="100" w:afterAutospacing="1" w:line="22" w:lineRule="atLeast"/>
              <w:jc w:val="left"/>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联系地址</w:t>
            </w:r>
            <w:r>
              <w:rPr>
                <w:rFonts w:ascii="Times New Roman" w:hAnsi="Times New Roman" w:eastAsia="宋体" w:cs="Times New Roman"/>
                <w:sz w:val="24"/>
                <w:szCs w:val="20"/>
                <w:highlight w:val="none"/>
              </w:rPr>
              <w:t xml:space="preserve"> </w:t>
            </w:r>
          </w:p>
        </w:tc>
        <w:tc>
          <w:tcPr>
            <w:tcW w:w="308" w:type="dxa"/>
            <w:noWrap w:val="0"/>
            <w:vAlign w:val="center"/>
          </w:tcPr>
          <w:p w14:paraId="6A013D26">
            <w:pPr>
              <w:widowControl/>
              <w:spacing w:before="100" w:beforeAutospacing="1" w:after="100" w:afterAutospacing="1" w:line="22" w:lineRule="atLeast"/>
              <w:jc w:val="left"/>
              <w:rPr>
                <w:rFonts w:ascii="Times New Roman" w:hAnsi="Times New Roman" w:eastAsia="宋体" w:cs="Times New Roman"/>
                <w:sz w:val="24"/>
                <w:szCs w:val="20"/>
                <w:highlight w:val="none"/>
              </w:rPr>
            </w:pPr>
          </w:p>
        </w:tc>
        <w:tc>
          <w:tcPr>
            <w:tcW w:w="7695" w:type="dxa"/>
            <w:noWrap w:val="0"/>
            <w:vAlign w:val="center"/>
          </w:tcPr>
          <w:p w14:paraId="0F44E32B">
            <w:pPr>
              <w:widowControl/>
              <w:spacing w:before="100" w:beforeAutospacing="1" w:after="100" w:afterAutospacing="1" w:line="22" w:lineRule="atLeast"/>
              <w:jc w:val="left"/>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联系电话</w:t>
            </w:r>
            <w:r>
              <w:rPr>
                <w:rFonts w:ascii="Times New Roman" w:hAnsi="Times New Roman" w:eastAsia="宋体" w:cs="Times New Roman"/>
                <w:sz w:val="24"/>
                <w:szCs w:val="20"/>
                <w:highlight w:val="none"/>
              </w:rPr>
              <w:t xml:space="preserve"> </w:t>
            </w:r>
          </w:p>
        </w:tc>
        <w:tc>
          <w:tcPr>
            <w:tcW w:w="323" w:type="dxa"/>
            <w:noWrap w:val="0"/>
            <w:vAlign w:val="center"/>
          </w:tcPr>
          <w:p w14:paraId="38195FCE">
            <w:pPr>
              <w:widowControl/>
              <w:spacing w:before="100" w:beforeAutospacing="1" w:after="100" w:afterAutospacing="1" w:line="22" w:lineRule="atLeast"/>
              <w:jc w:val="left"/>
              <w:rPr>
                <w:rFonts w:ascii="Times New Roman" w:hAnsi="Times New Roman" w:eastAsia="宋体" w:cs="Times New Roman"/>
                <w:sz w:val="24"/>
                <w:szCs w:val="20"/>
                <w:highlight w:val="none"/>
              </w:rPr>
            </w:pPr>
          </w:p>
        </w:tc>
      </w:tr>
      <w:tr w14:paraId="4C5BCD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024" w:hRule="atLeast"/>
          <w:tblCellSpacing w:w="15" w:type="dxa"/>
        </w:trPr>
        <w:tc>
          <w:tcPr>
            <w:tcW w:w="665" w:type="dxa"/>
            <w:noWrap w:val="0"/>
            <w:vAlign w:val="center"/>
          </w:tcPr>
          <w:p w14:paraId="138E6FA8">
            <w:pPr>
              <w:widowControl/>
              <w:spacing w:before="100" w:beforeAutospacing="1" w:after="100" w:afterAutospacing="1" w:line="22" w:lineRule="atLeast"/>
              <w:jc w:val="left"/>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诚信档案记录情况</w:t>
            </w:r>
            <w:r>
              <w:rPr>
                <w:rFonts w:ascii="Times New Roman" w:hAnsi="Times New Roman" w:eastAsia="宋体" w:cs="Times New Roman"/>
                <w:sz w:val="24"/>
                <w:szCs w:val="20"/>
                <w:highlight w:val="none"/>
              </w:rPr>
              <w:t xml:space="preserve"> </w:t>
            </w:r>
          </w:p>
        </w:tc>
        <w:tc>
          <w:tcPr>
            <w:tcW w:w="8326" w:type="dxa"/>
            <w:gridSpan w:val="3"/>
            <w:noWrap w:val="0"/>
            <w:vAlign w:val="center"/>
          </w:tcPr>
          <w:p w14:paraId="4EC3860B">
            <w:pPr>
              <w:widowControl/>
              <w:spacing w:before="100" w:beforeAutospacing="1" w:after="100" w:afterAutospacing="1" w:line="22" w:lineRule="atLeast"/>
              <w:jc w:val="left"/>
              <w:rPr>
                <w:rFonts w:ascii="Times New Roman" w:hAnsi="Times New Roman" w:eastAsia="宋体" w:cs="Times New Roman"/>
                <w:sz w:val="24"/>
                <w:szCs w:val="20"/>
                <w:highlight w:val="none"/>
              </w:rPr>
            </w:pPr>
          </w:p>
        </w:tc>
      </w:tr>
      <w:tr w14:paraId="2BE2DA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318" w:hRule="atLeast"/>
          <w:tblCellSpacing w:w="15" w:type="dxa"/>
        </w:trPr>
        <w:tc>
          <w:tcPr>
            <w:tcW w:w="665" w:type="dxa"/>
            <w:noWrap w:val="0"/>
            <w:vAlign w:val="center"/>
          </w:tcPr>
          <w:p w14:paraId="0BFAC808">
            <w:pPr>
              <w:widowControl/>
              <w:spacing w:before="100" w:beforeAutospacing="1" w:after="100" w:afterAutospacing="1" w:line="22" w:lineRule="atLeast"/>
              <w:jc w:val="left"/>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信用承诺</w:t>
            </w:r>
            <w:r>
              <w:rPr>
                <w:rFonts w:ascii="Times New Roman" w:hAnsi="Times New Roman" w:eastAsia="宋体" w:cs="Times New Roman"/>
                <w:sz w:val="24"/>
                <w:szCs w:val="20"/>
                <w:highlight w:val="none"/>
              </w:rPr>
              <w:t xml:space="preserve"> </w:t>
            </w:r>
          </w:p>
        </w:tc>
        <w:tc>
          <w:tcPr>
            <w:tcW w:w="8326" w:type="dxa"/>
            <w:gridSpan w:val="3"/>
            <w:noWrap w:val="0"/>
            <w:vAlign w:val="center"/>
          </w:tcPr>
          <w:p w14:paraId="6A03A596">
            <w:pPr>
              <w:widowControl/>
              <w:spacing w:before="100" w:beforeAutospacing="1" w:after="100" w:afterAutospacing="1" w:line="22" w:lineRule="atLeast"/>
              <w:ind w:firstLine="420"/>
              <w:jc w:val="left"/>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我公司自愿参加</w:t>
            </w:r>
            <w:r>
              <w:rPr>
                <w:rFonts w:hint="eastAsia" w:cs="Times New Roman"/>
                <w:szCs w:val="21"/>
                <w:highlight w:val="none"/>
                <w:lang w:eastAsia="zh-CN"/>
              </w:rPr>
              <w:t>江苏盛德量行建设咨询有限公司</w:t>
            </w:r>
            <w:r>
              <w:rPr>
                <w:rFonts w:ascii="Times New Roman" w:hAnsi="Times New Roman" w:eastAsia="宋体" w:cs="Times New Roman"/>
                <w:szCs w:val="21"/>
                <w:highlight w:val="none"/>
              </w:rPr>
              <w:t>组织的本次采购活动，严格遵守《中华人民共和国政府采购法》及相关法律法规，坚守公开、公平、</w:t>
            </w:r>
            <w:r>
              <w:rPr>
                <w:rFonts w:hint="eastAsia" w:ascii="Times New Roman" w:hAnsi="Times New Roman" w:eastAsia="宋体" w:cs="Times New Roman"/>
                <w:szCs w:val="21"/>
                <w:highlight w:val="none"/>
              </w:rPr>
              <w:t>公正</w:t>
            </w:r>
            <w:r>
              <w:rPr>
                <w:rFonts w:ascii="Times New Roman" w:hAnsi="Times New Roman" w:eastAsia="宋体" w:cs="Times New Roman"/>
                <w:szCs w:val="21"/>
                <w:highlight w:val="none"/>
              </w:rPr>
              <w:t>、诚实信用的原则，</w:t>
            </w:r>
            <w:r>
              <w:rPr>
                <w:rFonts w:hint="eastAsia" w:ascii="Times New Roman" w:hAnsi="Times New Roman" w:eastAsia="宋体" w:cs="Times New Roman"/>
                <w:szCs w:val="21"/>
                <w:highlight w:val="none"/>
              </w:rPr>
              <w:t>依法</w:t>
            </w:r>
            <w:r>
              <w:rPr>
                <w:rFonts w:ascii="Times New Roman" w:hAnsi="Times New Roman" w:eastAsia="宋体" w:cs="Times New Roman"/>
                <w:szCs w:val="21"/>
                <w:highlight w:val="none"/>
              </w:rPr>
              <w:t>诚信经营，无条件遵守本次政府采购活动的各项规定。</w:t>
            </w:r>
            <w:r>
              <w:rPr>
                <w:rFonts w:ascii="Times New Roman" w:hAnsi="Times New Roman" w:eastAsia="宋体" w:cs="Times New Roman"/>
                <w:sz w:val="24"/>
                <w:szCs w:val="20"/>
                <w:highlight w:val="none"/>
              </w:rPr>
              <w:t xml:space="preserve"> </w:t>
            </w:r>
          </w:p>
          <w:p w14:paraId="0F26CB14">
            <w:pPr>
              <w:widowControl/>
              <w:spacing w:before="100" w:beforeAutospacing="1" w:after="100" w:afterAutospacing="1" w:line="22" w:lineRule="atLeast"/>
              <w:ind w:firstLine="420"/>
              <w:jc w:val="left"/>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我们郑重承诺，本公司符合《</w:t>
            </w:r>
            <w:r>
              <w:rPr>
                <w:rFonts w:hint="eastAsia" w:ascii="Times New Roman" w:hAnsi="Times New Roman" w:eastAsia="宋体" w:cs="Times New Roman"/>
                <w:szCs w:val="21"/>
                <w:highlight w:val="none"/>
              </w:rPr>
              <w:t>中华人民共和国政府采购法</w:t>
            </w:r>
            <w:r>
              <w:rPr>
                <w:rFonts w:ascii="Times New Roman" w:hAnsi="Times New Roman" w:eastAsia="宋体" w:cs="Times New Roman"/>
                <w:szCs w:val="21"/>
                <w:highlight w:val="none"/>
              </w:rPr>
              <w:t>》第二十二条规定的条件，包括：具有独立承担民事责任的能力；具有良好的商业信誉和健全的财务会计制度；具有履行合同所必需的设备和专业技术能力</w:t>
            </w:r>
            <w:r>
              <w:rPr>
                <w:rFonts w:hint="eastAsia" w:ascii="Times New Roman" w:hAnsi="Times New Roman" w:eastAsia="宋体" w:cs="Times New Roman"/>
                <w:szCs w:val="21"/>
                <w:highlight w:val="none"/>
              </w:rPr>
              <w:t>；具</w:t>
            </w:r>
            <w:r>
              <w:rPr>
                <w:rFonts w:ascii="Times New Roman" w:hAnsi="Times New Roman" w:eastAsia="宋体" w:cs="Times New Roman"/>
                <w:szCs w:val="21"/>
                <w:highlight w:val="none"/>
              </w:rPr>
              <w:t>有依法缴纳税收和社会保障资金的良好记录；参加政府采购活动前三年内，在经营活动中没有重大违法记录；未被列入失信被执行人、重大税收违法案件当事人名单、政府采购严重违法失信行为记录名单；符合法律、行政法规和采购文件规定的其他条件。如有弄虚作假或其他违法违规行为，愿承担一切法律责任，接受各级政府采购监督部门和有权</w:t>
            </w:r>
            <w:r>
              <w:rPr>
                <w:rFonts w:hint="eastAsia" w:ascii="Times New Roman" w:hAnsi="Times New Roman" w:eastAsia="宋体" w:cs="Times New Roman"/>
                <w:szCs w:val="21"/>
                <w:highlight w:val="none"/>
              </w:rPr>
              <w:t>机关的</w:t>
            </w:r>
            <w:r>
              <w:rPr>
                <w:rFonts w:ascii="Times New Roman" w:hAnsi="Times New Roman" w:eastAsia="宋体" w:cs="Times New Roman"/>
                <w:szCs w:val="21"/>
                <w:highlight w:val="none"/>
              </w:rPr>
              <w:t>审查和处罚。</w:t>
            </w:r>
            <w:r>
              <w:rPr>
                <w:rFonts w:ascii="Times New Roman" w:hAnsi="Times New Roman" w:eastAsia="宋体" w:cs="Times New Roman"/>
                <w:sz w:val="24"/>
                <w:szCs w:val="20"/>
                <w:highlight w:val="none"/>
              </w:rPr>
              <w:t xml:space="preserve"> </w:t>
            </w:r>
          </w:p>
          <w:p w14:paraId="46D39C32">
            <w:pPr>
              <w:widowControl/>
              <w:spacing w:before="100" w:beforeAutospacing="1" w:after="100" w:afterAutospacing="1" w:line="22" w:lineRule="atLeast"/>
              <w:jc w:val="right"/>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供应商名称（盖章）：</w:t>
            </w:r>
            <w:r>
              <w:rPr>
                <w:rFonts w:ascii="Times New Roman" w:hAnsi="Times New Roman" w:eastAsia="宋体" w:cs="Times New Roman"/>
                <w:sz w:val="24"/>
                <w:szCs w:val="20"/>
                <w:highlight w:val="none"/>
              </w:rPr>
              <w:t xml:space="preserve"> </w:t>
            </w:r>
          </w:p>
          <w:p w14:paraId="75F61E15">
            <w:pPr>
              <w:widowControl/>
              <w:spacing w:before="100" w:beforeAutospacing="1" w:after="100" w:afterAutospacing="1" w:line="22" w:lineRule="atLeast"/>
              <w:jc w:val="right"/>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法定代表人（签字）：</w:t>
            </w:r>
            <w:r>
              <w:rPr>
                <w:rFonts w:ascii="Times New Roman" w:hAnsi="Times New Roman" w:eastAsia="宋体" w:cs="Times New Roman"/>
                <w:sz w:val="24"/>
                <w:szCs w:val="20"/>
                <w:highlight w:val="none"/>
              </w:rPr>
              <w:t xml:space="preserve"> </w:t>
            </w:r>
          </w:p>
          <w:p w14:paraId="52CBFC16">
            <w:pPr>
              <w:widowControl/>
              <w:spacing w:before="100" w:beforeAutospacing="1" w:after="100" w:afterAutospacing="1" w:line="22" w:lineRule="atLeast"/>
              <w:jc w:val="right"/>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年月日</w:t>
            </w:r>
            <w:r>
              <w:rPr>
                <w:rFonts w:ascii="Times New Roman" w:hAnsi="Times New Roman" w:eastAsia="宋体" w:cs="Times New Roman"/>
                <w:sz w:val="24"/>
                <w:szCs w:val="20"/>
                <w:highlight w:val="none"/>
              </w:rPr>
              <w:t xml:space="preserve"> </w:t>
            </w:r>
          </w:p>
        </w:tc>
      </w:tr>
    </w:tbl>
    <w:p w14:paraId="324E0A9B">
      <w:pPr>
        <w:widowControl/>
        <w:rPr>
          <w:rFonts w:ascii="Times New Roman" w:hAnsi="Times New Roman" w:eastAsia="宋体" w:cs="Times New Roman"/>
          <w:sz w:val="24"/>
          <w:highlight w:val="none"/>
        </w:rPr>
      </w:pPr>
    </w:p>
    <w:p w14:paraId="378B6CD7">
      <w:pPr>
        <w:widowControl/>
        <w:spacing w:before="100" w:beforeAutospacing="1" w:after="100" w:afterAutospacing="1"/>
        <w:ind w:right="-5"/>
        <w:jc w:val="left"/>
        <w:rPr>
          <w:highlight w:val="none"/>
        </w:rPr>
      </w:pPr>
      <w:r>
        <w:rPr>
          <w:rFonts w:hint="eastAsia" w:ascii="宋体" w:hAnsi="宋体" w:eastAsia="宋体" w:cs="宋体"/>
          <w:bCs/>
          <w:sz w:val="18"/>
          <w:szCs w:val="18"/>
          <w:highlight w:val="none"/>
        </w:rPr>
        <w:t>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w:t>
      </w:r>
    </w:p>
    <w:p w14:paraId="5F7964E8">
      <w:pPr>
        <w:rPr>
          <w:rFonts w:ascii="Arial" w:hAnsi="Arial" w:cs="Arial"/>
          <w:color w:val="auto"/>
          <w:sz w:val="24"/>
          <w:highlight w:val="none"/>
        </w:rPr>
      </w:pPr>
      <w:r>
        <w:rPr>
          <w:rFonts w:ascii="Arial" w:hAnsi="Arial" w:cs="Arial"/>
          <w:color w:val="auto"/>
          <w:sz w:val="24"/>
          <w:highlight w:val="none"/>
        </w:rPr>
        <w:br w:type="page"/>
      </w:r>
    </w:p>
    <w:p w14:paraId="1189F429">
      <w:pPr>
        <w:widowControl/>
        <w:spacing w:before="100" w:beforeAutospacing="1" w:after="100" w:afterAutospacing="1" w:line="500" w:lineRule="atLeast"/>
        <w:rPr>
          <w:rFonts w:hint="eastAsia" w:ascii="宋体" w:hAnsi="宋体" w:eastAsia="宋体" w:cs="宋体"/>
          <w:b/>
          <w:sz w:val="24"/>
          <w:szCs w:val="21"/>
          <w:highlight w:val="none"/>
          <w:lang w:eastAsia="zh-CN"/>
        </w:rPr>
      </w:pPr>
      <w:r>
        <w:rPr>
          <w:rFonts w:hint="eastAsia" w:ascii="宋体" w:hAnsi="宋体" w:eastAsia="宋体" w:cs="宋体"/>
          <w:b/>
          <w:sz w:val="24"/>
          <w:szCs w:val="21"/>
          <w:highlight w:val="none"/>
          <w:lang w:eastAsia="zh-CN"/>
        </w:rPr>
        <w:t>（</w:t>
      </w:r>
      <w:r>
        <w:rPr>
          <w:rFonts w:hint="eastAsia" w:ascii="宋体" w:hAnsi="宋体" w:eastAsia="宋体" w:cs="宋体"/>
          <w:b/>
          <w:sz w:val="24"/>
          <w:szCs w:val="21"/>
          <w:highlight w:val="none"/>
          <w:lang w:val="en-US" w:eastAsia="zh-CN"/>
        </w:rPr>
        <w:t>十二</w:t>
      </w:r>
      <w:r>
        <w:rPr>
          <w:rFonts w:hint="eastAsia" w:ascii="宋体" w:hAnsi="宋体" w:eastAsia="宋体" w:cs="宋体"/>
          <w:b/>
          <w:sz w:val="24"/>
          <w:szCs w:val="21"/>
          <w:highlight w:val="none"/>
          <w:lang w:eastAsia="zh-CN"/>
        </w:rPr>
        <w:t>）其他</w:t>
      </w:r>
    </w:p>
    <w:sectPr>
      <w:footerReference r:id="rId12" w:type="default"/>
      <w:pgSz w:w="11906" w:h="16838"/>
      <w:pgMar w:top="1440" w:right="1800" w:bottom="1440" w:left="1800" w:header="851" w:footer="992" w:gutter="0"/>
      <w:pgNumType w:fmt="decimal"/>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新魏">
    <w:panose1 w:val="02010800040101010101"/>
    <w:charset w:val="86"/>
    <w:family w:val="auto"/>
    <w:pitch w:val="default"/>
    <w:sig w:usb0="00000001" w:usb1="080F0000" w:usb2="00000000" w:usb3="00000000" w:csb0="00040000" w:csb1="00000000"/>
  </w:font>
  <w:font w:name="Cambria">
    <w:panose1 w:val="02040503050406030204"/>
    <w:charset w:val="00"/>
    <w:family w:val="auto"/>
    <w:pitch w:val="default"/>
    <w:sig w:usb0="E00006FF" w:usb1="420024FF" w:usb2="02000000" w:usb3="00000000" w:csb0="2000019F" w:csb1="00000000"/>
  </w:font>
  <w:font w:name="Arial Unicode MS">
    <w:altName w:val="宋体"/>
    <w:panose1 w:val="020B0604020202020204"/>
    <w:charset w:val="86"/>
    <w:family w:val="auto"/>
    <w:pitch w:val="default"/>
    <w:sig w:usb0="00000000" w:usb1="00000000" w:usb2="0000007F" w:usb3="00000000" w:csb0="203F01FF" w:csb1="DFFF0000"/>
  </w:font>
  <w:font w:name="幼圆">
    <w:panose1 w:val="0201050906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方正小标宋简体">
    <w:altName w:val="方正舒体"/>
    <w:panose1 w:val="02000000000000000000"/>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7EDCC3">
    <w:pPr>
      <w:pStyle w:val="262"/>
      <w:rPr>
        <w:rStyle w:val="283"/>
      </w:rPr>
    </w:pPr>
    <w:r>
      <w:rPr>
        <w:rStyle w:val="283"/>
        <w:rFonts w:hint="eastAsia"/>
      </w:rPr>
      <w:t xml:space="preserve">            </w:t>
    </w:r>
  </w:p>
  <w:p w14:paraId="4E2DC9D3">
    <w:pPr>
      <w:pStyle w:val="262"/>
      <w:framePr w:wrap="around" w:vAnchor="text" w:hAnchor="page" w:x="6104" w:y="52"/>
      <w:rPr>
        <w:rStyle w:val="283"/>
      </w:rPr>
    </w:pPr>
    <w:r>
      <w:rPr>
        <w:rStyle w:val="283"/>
        <w:rFonts w:hint="eastAsia"/>
      </w:rPr>
      <w:t xml:space="preserve">                   </w:t>
    </w:r>
  </w:p>
  <w:p w14:paraId="7131E820">
    <w:pPr>
      <w:pStyle w:val="262"/>
      <w:jc w:val="center"/>
      <w:rPr>
        <w:sz w:val="24"/>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08857D">
    <w:pPr>
      <w:pStyle w:val="262"/>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20F95D">
    <w:pPr>
      <w:pStyle w:val="262"/>
      <w:jc w:val="center"/>
    </w:pPr>
    <w:r>
      <w:rPr>
        <w:lang w:val="zh-CN"/>
      </w:rPr>
      <w:t xml:space="preserve"> </w:t>
    </w:r>
  </w:p>
  <w:p w14:paraId="0BAF7387">
    <w:pPr>
      <w:pStyle w:val="262"/>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BF9AA">
    <w:pPr>
      <w:tabs>
        <w:tab w:val="center" w:pos="4153"/>
        <w:tab w:val="right" w:pos="8306"/>
      </w:tabs>
      <w:rPr>
        <w:rFonts w:ascii="宋体"/>
        <w:sz w:val="18"/>
      </w:rPr>
    </w:pPr>
    <w:r>
      <w:rPr>
        <w:sz w:val="18"/>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4E7A32">
                          <w:pPr>
                            <w:pStyle w:val="2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84E7A32">
                    <w:pPr>
                      <w:pStyle w:val="27"/>
                    </w:pPr>
                    <w:r>
                      <w:fldChar w:fldCharType="begin"/>
                    </w:r>
                    <w:r>
                      <w:instrText xml:space="preserve"> PAGE  \* MERGEFORMAT </w:instrText>
                    </w:r>
                    <w:r>
                      <w:fldChar w:fldCharType="separate"/>
                    </w:r>
                    <w:r>
                      <w:t>2</w:t>
                    </w:r>
                    <w:r>
                      <w:fldChar w:fldCharType="end"/>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6540127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F9DC4B"/>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365401277"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s0lY7tAAAAAFAQAADwAAAAAAAAABACAAAAAiAAAAZHJzL2Rvd25y&#10;ZXYueG1sUEsBAhQAFAAAAAgAh07iQFD5SPU/AgAAbAQAAA4AAAAAAAAAAQAgAAAAHwEAAGRycy9l&#10;Mm9Eb2MueG1sUEsFBgAAAAAGAAYAWQEAANAFAAAAAA==&#10;">
              <v:fill on="f" focussize="0,0"/>
              <v:stroke on="f" weight="0.5pt"/>
              <v:imagedata o:title=""/>
              <o:lock v:ext="edit" aspectratio="f"/>
              <v:textbox inset="0mm,0mm,0mm,0mm" style="mso-fit-shape-to-text:t;">
                <w:txbxContent>
                  <w:p w14:paraId="07F9DC4B"/>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E1E8C9">
    <w:pPr>
      <w:pStyle w:val="262"/>
    </w:pPr>
    <w:r>
      <w:rPr>
        <w:sz w:val="18"/>
      </w:rPr>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12C202">
                          <w:pPr>
                            <w:pStyle w:val="27"/>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E12C202">
                    <w:pPr>
                      <w:pStyle w:val="27"/>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4DA808">
    <w:pPr>
      <w:pStyle w:val="262"/>
      <w:jc w:val="center"/>
    </w:pPr>
    <w:r>
      <w:rPr>
        <w:sz w:val="18"/>
      </w:rPr>
      <mc:AlternateContent>
        <mc:Choice Requires="wps">
          <w:drawing>
            <wp:anchor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2858B7">
                          <w:pPr>
                            <w:pStyle w:val="27"/>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B2858B7">
                    <w:pPr>
                      <w:pStyle w:val="27"/>
                    </w:pPr>
                    <w:r>
                      <w:fldChar w:fldCharType="begin"/>
                    </w:r>
                    <w:r>
                      <w:instrText xml:space="preserve"> PAGE  \* MERGEFORMAT </w:instrText>
                    </w:r>
                    <w:r>
                      <w:fldChar w:fldCharType="separate"/>
                    </w:r>
                    <w:r>
                      <w:t>47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DCCFD4">
    <w:pPr>
      <w:pStyle w:val="264"/>
      <w:pBdr>
        <w:bottom w:val="none" w:color="auto" w:sz="0" w:space="1"/>
      </w:pBdr>
      <w:jc w:val="left"/>
      <w:rPr>
        <w:sz w:val="21"/>
      </w:rPr>
    </w:pPr>
    <w:r>
      <w:rPr>
        <w:rFonts w:hint="eastAsia"/>
        <w:sz w:val="21"/>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97994">
    <w:pPr>
      <w:pStyle w:val="264"/>
      <w:pBdr>
        <w:bottom w:val="none" w:color="auto" w:sz="0" w:space="1"/>
      </w:pBdr>
      <w:jc w:val="left"/>
      <w:rPr>
        <w:sz w:val="21"/>
      </w:rPr>
    </w:pPr>
    <w:r>
      <w:rPr>
        <w:rFonts w:hint="eastAsia"/>
        <w:sz w:val="21"/>
      </w:rPr>
      <w:t xml:space="preserve">  </w:t>
    </w:r>
  </w:p>
  <w:p w14:paraId="5D7F1394">
    <w:pPr>
      <w:pStyle w:val="28"/>
      <w:pBdr>
        <w:bottom w:val="none" w:color="auto" w:sz="0" w:space="0"/>
      </w:pBdr>
      <w:rPr>
        <w:b/>
        <w:bC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29EE7A">
    <w:pPr>
      <w:pStyle w:val="264"/>
      <w:pBdr>
        <w:bottom w:val="none" w:color="auto" w:sz="0" w:space="1"/>
      </w:pBdr>
      <w:jc w:val="left"/>
      <w:rPr>
        <w:sz w:val="21"/>
      </w:rPr>
    </w:pPr>
    <w:r>
      <w:rPr>
        <w:rFonts w:hint="eastAsia"/>
        <w:sz w:val="21"/>
      </w:rPr>
      <w:t xml:space="preserve">   </w:t>
    </w:r>
  </w:p>
  <w:p w14:paraId="3567B2CD">
    <w:pPr>
      <w:pBdr>
        <w:bottom w:val="none" w:color="auto" w:sz="0" w:space="0"/>
      </w:pBdr>
      <w:tabs>
        <w:tab w:val="center" w:pos="4153"/>
        <w:tab w:val="right" w:pos="8306"/>
      </w:tabs>
      <w:spacing w:line="40" w:lineRule="exact"/>
      <w:jc w:val="right"/>
      <w:rPr>
        <w:rFonts w:ascii="宋体"/>
        <w:sz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8E1C24">
    <w:pPr>
      <w:pStyle w:val="264"/>
      <w:pBdr>
        <w:bottom w:val="none" w:color="auto" w:sz="0" w:space="1"/>
      </w:pBdr>
      <w:spacing w:line="40" w:lineRule="exact"/>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chineseCountingThousand"/>
      <w:pStyle w:val="327"/>
      <w:lvlText w:val="%1、"/>
      <w:lvlJc w:val="left"/>
      <w:pPr>
        <w:ind w:left="720" w:hanging="720"/>
      </w:pPr>
    </w:lvl>
    <w:lvl w:ilvl="1" w:tentative="0">
      <w:start w:val="1"/>
      <w:numFmt w:val="decimal"/>
      <w:lvlText w:val="%2."/>
      <w:lvlJc w:val="left"/>
      <w:pPr>
        <w:ind w:left="765" w:hanging="345"/>
      </w:pPr>
      <w:rPr>
        <w:rFonts w:hAnsi="Times New Roman"/>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248C179"/>
    <w:multiLevelType w:val="multilevel"/>
    <w:tmpl w:val="0248C179"/>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72183CF9"/>
    <w:multiLevelType w:val="multilevel"/>
    <w:tmpl w:val="72183CF9"/>
    <w:lvl w:ilvl="0" w:tentative="0">
      <w:start w:val="2"/>
      <w:numFmt w:val="decimal"/>
      <w:suff w:val="nothing"/>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3C28DE"/>
    <w:rsid w:val="00A30549"/>
    <w:rsid w:val="01A050EF"/>
    <w:rsid w:val="01DC37E8"/>
    <w:rsid w:val="01EA2363"/>
    <w:rsid w:val="021B4929"/>
    <w:rsid w:val="028E760A"/>
    <w:rsid w:val="02A97FD3"/>
    <w:rsid w:val="02CF5602"/>
    <w:rsid w:val="04B42BAC"/>
    <w:rsid w:val="04E9626A"/>
    <w:rsid w:val="050D2A9B"/>
    <w:rsid w:val="051B6ABC"/>
    <w:rsid w:val="05BE72E8"/>
    <w:rsid w:val="06642BC1"/>
    <w:rsid w:val="071A5383"/>
    <w:rsid w:val="074D550D"/>
    <w:rsid w:val="08387E2F"/>
    <w:rsid w:val="09782EEB"/>
    <w:rsid w:val="0A7233D1"/>
    <w:rsid w:val="0B7C430D"/>
    <w:rsid w:val="0CCF21BE"/>
    <w:rsid w:val="0D191E44"/>
    <w:rsid w:val="0D471FD0"/>
    <w:rsid w:val="0E3402BC"/>
    <w:rsid w:val="0E530E38"/>
    <w:rsid w:val="0E76345F"/>
    <w:rsid w:val="0EB65F51"/>
    <w:rsid w:val="0F0C3DC3"/>
    <w:rsid w:val="0F6F76A7"/>
    <w:rsid w:val="104779B5"/>
    <w:rsid w:val="10EA3BEA"/>
    <w:rsid w:val="11E0247E"/>
    <w:rsid w:val="120531BE"/>
    <w:rsid w:val="124A10EC"/>
    <w:rsid w:val="12521AED"/>
    <w:rsid w:val="12596E3B"/>
    <w:rsid w:val="12A10CC7"/>
    <w:rsid w:val="12EB16AE"/>
    <w:rsid w:val="136E6DFB"/>
    <w:rsid w:val="13CE73B8"/>
    <w:rsid w:val="14731246"/>
    <w:rsid w:val="148E3143"/>
    <w:rsid w:val="149743A5"/>
    <w:rsid w:val="14E804E7"/>
    <w:rsid w:val="16A47D77"/>
    <w:rsid w:val="16BB392E"/>
    <w:rsid w:val="16E573D4"/>
    <w:rsid w:val="17062506"/>
    <w:rsid w:val="17E8132A"/>
    <w:rsid w:val="18A1557C"/>
    <w:rsid w:val="18FA593C"/>
    <w:rsid w:val="191179FD"/>
    <w:rsid w:val="197F4227"/>
    <w:rsid w:val="19DB686C"/>
    <w:rsid w:val="1A742092"/>
    <w:rsid w:val="1A8F02A3"/>
    <w:rsid w:val="1AF446CC"/>
    <w:rsid w:val="1B010432"/>
    <w:rsid w:val="1B09069C"/>
    <w:rsid w:val="1B4A3CA9"/>
    <w:rsid w:val="1B6805D3"/>
    <w:rsid w:val="1BAD4238"/>
    <w:rsid w:val="1BBC26CD"/>
    <w:rsid w:val="1C1B0F6D"/>
    <w:rsid w:val="1C37082D"/>
    <w:rsid w:val="1C6E7E6B"/>
    <w:rsid w:val="20002E62"/>
    <w:rsid w:val="20E60117"/>
    <w:rsid w:val="21736F42"/>
    <w:rsid w:val="21E12EE9"/>
    <w:rsid w:val="22191299"/>
    <w:rsid w:val="22456F79"/>
    <w:rsid w:val="22AF5044"/>
    <w:rsid w:val="23177935"/>
    <w:rsid w:val="236714EE"/>
    <w:rsid w:val="236C49D9"/>
    <w:rsid w:val="2402576D"/>
    <w:rsid w:val="24743B45"/>
    <w:rsid w:val="247A12ED"/>
    <w:rsid w:val="256972AF"/>
    <w:rsid w:val="26414073"/>
    <w:rsid w:val="26F20D5D"/>
    <w:rsid w:val="276D1523"/>
    <w:rsid w:val="27EF0D40"/>
    <w:rsid w:val="287E31E4"/>
    <w:rsid w:val="28882B9B"/>
    <w:rsid w:val="28EF6E2E"/>
    <w:rsid w:val="2936586D"/>
    <w:rsid w:val="29411C46"/>
    <w:rsid w:val="29B34B92"/>
    <w:rsid w:val="29B7266B"/>
    <w:rsid w:val="2A900FAD"/>
    <w:rsid w:val="2AB82222"/>
    <w:rsid w:val="2B667D65"/>
    <w:rsid w:val="2C7663B1"/>
    <w:rsid w:val="2CC1486B"/>
    <w:rsid w:val="2D3D0BB8"/>
    <w:rsid w:val="2D5B36F4"/>
    <w:rsid w:val="2D6760B7"/>
    <w:rsid w:val="2EDC6DDE"/>
    <w:rsid w:val="3002294D"/>
    <w:rsid w:val="300246FB"/>
    <w:rsid w:val="31886E82"/>
    <w:rsid w:val="31AA1D7D"/>
    <w:rsid w:val="32292413"/>
    <w:rsid w:val="327B1FC7"/>
    <w:rsid w:val="32953ED5"/>
    <w:rsid w:val="32ED1CDD"/>
    <w:rsid w:val="3369312E"/>
    <w:rsid w:val="33857B1D"/>
    <w:rsid w:val="34B561E0"/>
    <w:rsid w:val="35380BBF"/>
    <w:rsid w:val="35493093"/>
    <w:rsid w:val="35A43264"/>
    <w:rsid w:val="35BA7826"/>
    <w:rsid w:val="36592B9B"/>
    <w:rsid w:val="372C6501"/>
    <w:rsid w:val="373A6E70"/>
    <w:rsid w:val="37417D8C"/>
    <w:rsid w:val="3784550F"/>
    <w:rsid w:val="37976071"/>
    <w:rsid w:val="37B721A6"/>
    <w:rsid w:val="37C254A8"/>
    <w:rsid w:val="381A7B21"/>
    <w:rsid w:val="38457A48"/>
    <w:rsid w:val="38521D88"/>
    <w:rsid w:val="386D50ED"/>
    <w:rsid w:val="38DD610C"/>
    <w:rsid w:val="38E52E0C"/>
    <w:rsid w:val="39110C86"/>
    <w:rsid w:val="39547F98"/>
    <w:rsid w:val="39885957"/>
    <w:rsid w:val="3A494777"/>
    <w:rsid w:val="3A727012"/>
    <w:rsid w:val="3B724A5D"/>
    <w:rsid w:val="3C055B17"/>
    <w:rsid w:val="3C4147DF"/>
    <w:rsid w:val="3C926E1C"/>
    <w:rsid w:val="3CD06400"/>
    <w:rsid w:val="3DC96858"/>
    <w:rsid w:val="3DE73A39"/>
    <w:rsid w:val="3EAB41B0"/>
    <w:rsid w:val="3FA532F5"/>
    <w:rsid w:val="407F76A2"/>
    <w:rsid w:val="415820EB"/>
    <w:rsid w:val="41790595"/>
    <w:rsid w:val="417912E1"/>
    <w:rsid w:val="422E6B2C"/>
    <w:rsid w:val="424A6D56"/>
    <w:rsid w:val="426E7CE3"/>
    <w:rsid w:val="427C7633"/>
    <w:rsid w:val="438D20D6"/>
    <w:rsid w:val="43E2042C"/>
    <w:rsid w:val="44A41DCD"/>
    <w:rsid w:val="453F429A"/>
    <w:rsid w:val="45492F1C"/>
    <w:rsid w:val="461F5642"/>
    <w:rsid w:val="463629DD"/>
    <w:rsid w:val="46EB449C"/>
    <w:rsid w:val="47D631DB"/>
    <w:rsid w:val="48536258"/>
    <w:rsid w:val="48AD6F9B"/>
    <w:rsid w:val="48DB3C1F"/>
    <w:rsid w:val="48FA68BD"/>
    <w:rsid w:val="496303B9"/>
    <w:rsid w:val="49AD7F2A"/>
    <w:rsid w:val="49EC22F3"/>
    <w:rsid w:val="4A05519F"/>
    <w:rsid w:val="4A15006B"/>
    <w:rsid w:val="4A7E09CA"/>
    <w:rsid w:val="4AA10808"/>
    <w:rsid w:val="4E351FFA"/>
    <w:rsid w:val="4E380462"/>
    <w:rsid w:val="4E3F02AD"/>
    <w:rsid w:val="4E546612"/>
    <w:rsid w:val="4EA2112B"/>
    <w:rsid w:val="4F0A0A7E"/>
    <w:rsid w:val="4FDD43E5"/>
    <w:rsid w:val="50EA6DB9"/>
    <w:rsid w:val="517448D5"/>
    <w:rsid w:val="518D52B8"/>
    <w:rsid w:val="519F63CC"/>
    <w:rsid w:val="51DC2BA6"/>
    <w:rsid w:val="52075749"/>
    <w:rsid w:val="52996676"/>
    <w:rsid w:val="52AD62F0"/>
    <w:rsid w:val="532A7941"/>
    <w:rsid w:val="53475632"/>
    <w:rsid w:val="552A1E7A"/>
    <w:rsid w:val="561D3440"/>
    <w:rsid w:val="5682722C"/>
    <w:rsid w:val="57965F4E"/>
    <w:rsid w:val="584C2108"/>
    <w:rsid w:val="586631C9"/>
    <w:rsid w:val="58873140"/>
    <w:rsid w:val="58B56FF2"/>
    <w:rsid w:val="58C45BE0"/>
    <w:rsid w:val="59505C28"/>
    <w:rsid w:val="596C4358"/>
    <w:rsid w:val="5AA27CF0"/>
    <w:rsid w:val="5ADF1011"/>
    <w:rsid w:val="5B0E2F4B"/>
    <w:rsid w:val="5B2568B5"/>
    <w:rsid w:val="5B3D3C5F"/>
    <w:rsid w:val="5B9C2992"/>
    <w:rsid w:val="5BFA029F"/>
    <w:rsid w:val="5C6E7A16"/>
    <w:rsid w:val="5C8930F2"/>
    <w:rsid w:val="5CC72EAA"/>
    <w:rsid w:val="5D962A2B"/>
    <w:rsid w:val="5FE4471A"/>
    <w:rsid w:val="5FEB1832"/>
    <w:rsid w:val="60335542"/>
    <w:rsid w:val="606D34FE"/>
    <w:rsid w:val="60F03CB7"/>
    <w:rsid w:val="6273440E"/>
    <w:rsid w:val="63844E4C"/>
    <w:rsid w:val="63B865CF"/>
    <w:rsid w:val="63F41275"/>
    <w:rsid w:val="64216B3E"/>
    <w:rsid w:val="64A659A7"/>
    <w:rsid w:val="65044496"/>
    <w:rsid w:val="65075D6A"/>
    <w:rsid w:val="65091AAC"/>
    <w:rsid w:val="65556D09"/>
    <w:rsid w:val="67333B53"/>
    <w:rsid w:val="67BB2930"/>
    <w:rsid w:val="690D143F"/>
    <w:rsid w:val="69136862"/>
    <w:rsid w:val="69847644"/>
    <w:rsid w:val="698C05B6"/>
    <w:rsid w:val="6A297D50"/>
    <w:rsid w:val="6AC344AB"/>
    <w:rsid w:val="6AD422C3"/>
    <w:rsid w:val="6B87057B"/>
    <w:rsid w:val="6CBA136D"/>
    <w:rsid w:val="6CF50B68"/>
    <w:rsid w:val="6D3F4BDC"/>
    <w:rsid w:val="6D7952F5"/>
    <w:rsid w:val="6E815015"/>
    <w:rsid w:val="6EAF4D1D"/>
    <w:rsid w:val="6F8F067E"/>
    <w:rsid w:val="6FE3114C"/>
    <w:rsid w:val="70EA11CE"/>
    <w:rsid w:val="717E2EDA"/>
    <w:rsid w:val="721B2E1F"/>
    <w:rsid w:val="723E2669"/>
    <w:rsid w:val="7346211D"/>
    <w:rsid w:val="74561329"/>
    <w:rsid w:val="76F21902"/>
    <w:rsid w:val="772230B6"/>
    <w:rsid w:val="773A0A2A"/>
    <w:rsid w:val="777F64D6"/>
    <w:rsid w:val="77C96E79"/>
    <w:rsid w:val="78201094"/>
    <w:rsid w:val="78B418D7"/>
    <w:rsid w:val="79155BE7"/>
    <w:rsid w:val="79D5122F"/>
    <w:rsid w:val="7A796935"/>
    <w:rsid w:val="7A840BB2"/>
    <w:rsid w:val="7B034450"/>
    <w:rsid w:val="7B187EFC"/>
    <w:rsid w:val="7C8B6DF3"/>
    <w:rsid w:val="7C8C1678"/>
    <w:rsid w:val="7D126BCC"/>
    <w:rsid w:val="7D2A45E6"/>
    <w:rsid w:val="7D9A429B"/>
    <w:rsid w:val="7DAA32A9"/>
    <w:rsid w:val="7DF51065"/>
    <w:rsid w:val="7E325AE4"/>
    <w:rsid w:val="7EF203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lang w:val="en-US" w:eastAsia="zh-CN" w:bidi="ar-SA"/>
    </w:rPr>
  </w:style>
  <w:style w:type="paragraph" w:styleId="5">
    <w:name w:val="heading 1"/>
    <w:basedOn w:val="1"/>
    <w:next w:val="1"/>
    <w:link w:val="88"/>
    <w:qFormat/>
    <w:uiPriority w:val="9"/>
    <w:pPr>
      <w:keepNext/>
      <w:keepLines/>
      <w:spacing w:before="480" w:after="200"/>
      <w:outlineLvl w:val="0"/>
    </w:pPr>
    <w:rPr>
      <w:rFonts w:ascii="Arial" w:hAnsi="Arial" w:eastAsia="Arial" w:cs="Arial"/>
      <w:sz w:val="40"/>
      <w:szCs w:val="40"/>
    </w:rPr>
  </w:style>
  <w:style w:type="paragraph" w:styleId="6">
    <w:name w:val="heading 2"/>
    <w:basedOn w:val="1"/>
    <w:next w:val="1"/>
    <w:link w:val="89"/>
    <w:unhideWhenUsed/>
    <w:qFormat/>
    <w:uiPriority w:val="9"/>
    <w:pPr>
      <w:keepNext/>
      <w:keepLines/>
      <w:spacing w:before="360" w:after="200"/>
      <w:outlineLvl w:val="1"/>
    </w:pPr>
    <w:rPr>
      <w:rFonts w:ascii="Arial" w:hAnsi="Arial" w:eastAsia="Arial" w:cs="Arial"/>
      <w:sz w:val="34"/>
    </w:rPr>
  </w:style>
  <w:style w:type="paragraph" w:styleId="7">
    <w:name w:val="heading 3"/>
    <w:basedOn w:val="1"/>
    <w:next w:val="1"/>
    <w:link w:val="90"/>
    <w:unhideWhenUsed/>
    <w:qFormat/>
    <w:uiPriority w:val="9"/>
    <w:pPr>
      <w:keepNext/>
      <w:keepLines/>
      <w:spacing w:before="320" w:after="200"/>
      <w:outlineLvl w:val="2"/>
    </w:pPr>
    <w:rPr>
      <w:rFonts w:ascii="Arial" w:hAnsi="Arial" w:eastAsia="Arial" w:cs="Arial"/>
      <w:sz w:val="30"/>
      <w:szCs w:val="30"/>
    </w:rPr>
  </w:style>
  <w:style w:type="paragraph" w:styleId="8">
    <w:name w:val="heading 4"/>
    <w:basedOn w:val="1"/>
    <w:next w:val="1"/>
    <w:link w:val="91"/>
    <w:unhideWhenUsed/>
    <w:qFormat/>
    <w:uiPriority w:val="9"/>
    <w:pPr>
      <w:keepNext/>
      <w:keepLines/>
      <w:spacing w:before="320" w:after="200"/>
      <w:outlineLvl w:val="3"/>
    </w:pPr>
    <w:rPr>
      <w:rFonts w:ascii="Arial" w:hAnsi="Arial" w:eastAsia="Arial" w:cs="Arial"/>
      <w:b/>
      <w:bCs/>
      <w:sz w:val="26"/>
      <w:szCs w:val="26"/>
    </w:rPr>
  </w:style>
  <w:style w:type="paragraph" w:styleId="9">
    <w:name w:val="heading 5"/>
    <w:basedOn w:val="1"/>
    <w:next w:val="1"/>
    <w:link w:val="92"/>
    <w:unhideWhenUsed/>
    <w:qFormat/>
    <w:uiPriority w:val="9"/>
    <w:pPr>
      <w:keepNext/>
      <w:keepLines/>
      <w:spacing w:before="320" w:after="200"/>
      <w:outlineLvl w:val="4"/>
    </w:pPr>
    <w:rPr>
      <w:rFonts w:ascii="Arial" w:hAnsi="Arial" w:eastAsia="Arial" w:cs="Arial"/>
      <w:b/>
      <w:bCs/>
      <w:sz w:val="24"/>
      <w:szCs w:val="24"/>
    </w:rPr>
  </w:style>
  <w:style w:type="paragraph" w:styleId="10">
    <w:name w:val="heading 6"/>
    <w:basedOn w:val="1"/>
    <w:next w:val="1"/>
    <w:link w:val="93"/>
    <w:unhideWhenUsed/>
    <w:qFormat/>
    <w:uiPriority w:val="9"/>
    <w:pPr>
      <w:keepNext/>
      <w:keepLines/>
      <w:spacing w:before="320" w:after="200"/>
      <w:outlineLvl w:val="5"/>
    </w:pPr>
    <w:rPr>
      <w:rFonts w:ascii="Arial" w:hAnsi="Arial" w:eastAsia="Arial" w:cs="Arial"/>
      <w:b/>
      <w:bCs/>
      <w:sz w:val="22"/>
      <w:szCs w:val="22"/>
    </w:rPr>
  </w:style>
  <w:style w:type="paragraph" w:styleId="11">
    <w:name w:val="heading 7"/>
    <w:basedOn w:val="1"/>
    <w:next w:val="1"/>
    <w:link w:val="94"/>
    <w:unhideWhenUsed/>
    <w:qFormat/>
    <w:uiPriority w:val="9"/>
    <w:pPr>
      <w:keepNext/>
      <w:keepLines/>
      <w:spacing w:before="320" w:after="200"/>
      <w:outlineLvl w:val="6"/>
    </w:pPr>
    <w:rPr>
      <w:rFonts w:ascii="Arial" w:hAnsi="Arial" w:eastAsia="Arial" w:cs="Arial"/>
      <w:b/>
      <w:bCs/>
      <w:i/>
      <w:iCs/>
      <w:sz w:val="22"/>
      <w:szCs w:val="22"/>
    </w:rPr>
  </w:style>
  <w:style w:type="paragraph" w:styleId="12">
    <w:name w:val="heading 8"/>
    <w:basedOn w:val="1"/>
    <w:next w:val="1"/>
    <w:link w:val="95"/>
    <w:unhideWhenUsed/>
    <w:qFormat/>
    <w:uiPriority w:val="9"/>
    <w:pPr>
      <w:keepNext/>
      <w:keepLines/>
      <w:spacing w:before="320" w:after="200"/>
      <w:outlineLvl w:val="7"/>
    </w:pPr>
    <w:rPr>
      <w:rFonts w:ascii="Arial" w:hAnsi="Arial" w:eastAsia="Arial" w:cs="Arial"/>
      <w:i/>
      <w:iCs/>
      <w:sz w:val="22"/>
      <w:szCs w:val="22"/>
    </w:rPr>
  </w:style>
  <w:style w:type="paragraph" w:styleId="13">
    <w:name w:val="heading 9"/>
    <w:basedOn w:val="1"/>
    <w:next w:val="1"/>
    <w:link w:val="96"/>
    <w:unhideWhenUsed/>
    <w:qFormat/>
    <w:uiPriority w:val="9"/>
    <w:pPr>
      <w:keepNext/>
      <w:keepLines/>
      <w:spacing w:before="320" w:after="200"/>
      <w:outlineLvl w:val="8"/>
    </w:pPr>
    <w:rPr>
      <w:rFonts w:ascii="Arial" w:hAnsi="Arial" w:eastAsia="Arial" w:cs="Arial"/>
      <w:i/>
      <w:iCs/>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customStyle="1" w:styleId="2">
    <w:name w:val="正文首行缩进 21"/>
    <w:basedOn w:val="3"/>
    <w:next w:val="1"/>
    <w:qFormat/>
    <w:uiPriority w:val="0"/>
    <w:rPr>
      <w:rFonts w:hAnsi="Calibri"/>
      <w:szCs w:val="22"/>
      <w:u w:val="single"/>
    </w:rPr>
  </w:style>
  <w:style w:type="paragraph" w:customStyle="1" w:styleId="3">
    <w:name w:val="正文文本缩进11"/>
    <w:basedOn w:val="1"/>
    <w:next w:val="4"/>
    <w:unhideWhenUsed/>
    <w:qFormat/>
    <w:uiPriority w:val="0"/>
    <w:pPr>
      <w:spacing w:after="120"/>
      <w:ind w:left="420"/>
    </w:pPr>
  </w:style>
  <w:style w:type="paragraph" w:customStyle="1" w:styleId="4">
    <w:name w:val="寄信人地址1"/>
    <w:basedOn w:val="1"/>
    <w:qFormat/>
    <w:uiPriority w:val="0"/>
    <w:rPr>
      <w:rFonts w:ascii="Arial" w:hAnsi="Arial" w:eastAsia="宋体" w:cs="宋体"/>
    </w:rPr>
  </w:style>
  <w:style w:type="paragraph" w:styleId="14">
    <w:name w:val="toc 7"/>
    <w:basedOn w:val="1"/>
    <w:next w:val="1"/>
    <w:unhideWhenUsed/>
    <w:qFormat/>
    <w:uiPriority w:val="39"/>
    <w:pPr>
      <w:spacing w:after="57"/>
      <w:ind w:left="1701"/>
    </w:pPr>
  </w:style>
  <w:style w:type="paragraph" w:styleId="15">
    <w:name w:val="Normal Indent"/>
    <w:basedOn w:val="1"/>
    <w:qFormat/>
    <w:uiPriority w:val="0"/>
    <w:pPr>
      <w:ind w:firstLine="420"/>
    </w:pPr>
  </w:style>
  <w:style w:type="paragraph" w:styleId="1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7">
    <w:name w:val="annotation text"/>
    <w:basedOn w:val="1"/>
    <w:link w:val="347"/>
    <w:unhideWhenUsed/>
    <w:qFormat/>
    <w:uiPriority w:val="99"/>
    <w:pPr>
      <w:jc w:val="left"/>
    </w:pPr>
  </w:style>
  <w:style w:type="paragraph" w:styleId="18">
    <w:name w:val="Body Text"/>
    <w:basedOn w:val="1"/>
    <w:qFormat/>
    <w:uiPriority w:val="99"/>
    <w:rPr>
      <w:rFonts w:ascii="华文中宋" w:eastAsia="华文中宋"/>
      <w:bCs/>
      <w:sz w:val="28"/>
    </w:rPr>
  </w:style>
  <w:style w:type="paragraph" w:styleId="19">
    <w:name w:val="Body Text Indent"/>
    <w:basedOn w:val="1"/>
    <w:qFormat/>
    <w:uiPriority w:val="0"/>
    <w:pPr>
      <w:spacing w:after="100" w:line="360" w:lineRule="auto"/>
      <w:ind w:left="565"/>
    </w:pPr>
    <w:rPr>
      <w:rFonts w:ascii="宋体"/>
      <w:sz w:val="28"/>
    </w:rPr>
  </w:style>
  <w:style w:type="paragraph" w:styleId="20">
    <w:name w:val="Block Text"/>
    <w:basedOn w:val="1"/>
    <w:unhideWhenUsed/>
    <w:qFormat/>
    <w:uiPriority w:val="99"/>
    <w:pPr>
      <w:spacing w:line="360" w:lineRule="auto"/>
      <w:ind w:left="630" w:right="-609" w:firstLine="420"/>
    </w:pPr>
    <w:rPr>
      <w:rFonts w:hint="eastAsia" w:ascii="仿宋_GB2312" w:eastAsia="仿宋_GB2312"/>
    </w:rPr>
  </w:style>
  <w:style w:type="paragraph" w:styleId="21">
    <w:name w:val="index 4"/>
    <w:basedOn w:val="1"/>
    <w:next w:val="1"/>
    <w:qFormat/>
    <w:uiPriority w:val="99"/>
    <w:pPr>
      <w:ind w:left="600"/>
    </w:pPr>
    <w:rPr>
      <w:szCs w:val="24"/>
    </w:r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qFormat/>
    <w:uiPriority w:val="0"/>
    <w:pPr>
      <w:widowControl/>
      <w:jc w:val="left"/>
    </w:pPr>
    <w:rPr>
      <w:rFonts w:ascii="宋体" w:hAnsi="Courier New"/>
    </w:rPr>
  </w:style>
  <w:style w:type="paragraph" w:styleId="25">
    <w:name w:val="toc 8"/>
    <w:basedOn w:val="1"/>
    <w:next w:val="1"/>
    <w:unhideWhenUsed/>
    <w:qFormat/>
    <w:uiPriority w:val="39"/>
    <w:pPr>
      <w:spacing w:after="57"/>
      <w:ind w:left="1984"/>
    </w:pPr>
  </w:style>
  <w:style w:type="paragraph" w:styleId="26">
    <w:name w:val="endnote text"/>
    <w:basedOn w:val="1"/>
    <w:link w:val="232"/>
    <w:semiHidden/>
    <w:unhideWhenUsed/>
    <w:qFormat/>
    <w:uiPriority w:val="99"/>
    <w:rPr>
      <w:sz w:val="20"/>
    </w:rPr>
  </w:style>
  <w:style w:type="paragraph" w:styleId="27">
    <w:name w:val="footer"/>
    <w:basedOn w:val="1"/>
    <w:link w:val="105"/>
    <w:unhideWhenUsed/>
    <w:qFormat/>
    <w:uiPriority w:val="99"/>
    <w:pPr>
      <w:tabs>
        <w:tab w:val="center" w:pos="7143"/>
        <w:tab w:val="right" w:pos="14287"/>
      </w:tabs>
    </w:pPr>
  </w:style>
  <w:style w:type="paragraph" w:styleId="28">
    <w:name w:val="header"/>
    <w:basedOn w:val="1"/>
    <w:link w:val="103"/>
    <w:unhideWhenUsed/>
    <w:qFormat/>
    <w:uiPriority w:val="99"/>
    <w:pPr>
      <w:tabs>
        <w:tab w:val="center" w:pos="7143"/>
        <w:tab w:val="right" w:pos="14287"/>
      </w:tabs>
    </w:pPr>
  </w:style>
  <w:style w:type="paragraph" w:styleId="29">
    <w:name w:val="toc 1"/>
    <w:basedOn w:val="1"/>
    <w:next w:val="1"/>
    <w:unhideWhenUsed/>
    <w:qFormat/>
    <w:uiPriority w:val="39"/>
    <w:pPr>
      <w:spacing w:after="57"/>
    </w:pPr>
  </w:style>
  <w:style w:type="paragraph" w:styleId="30">
    <w:name w:val="toc 4"/>
    <w:basedOn w:val="1"/>
    <w:next w:val="1"/>
    <w:unhideWhenUsed/>
    <w:qFormat/>
    <w:uiPriority w:val="39"/>
    <w:pPr>
      <w:spacing w:after="57"/>
      <w:ind w:left="850"/>
    </w:pPr>
  </w:style>
  <w:style w:type="paragraph" w:styleId="31">
    <w:name w:val="Subtitle"/>
    <w:basedOn w:val="1"/>
    <w:next w:val="1"/>
    <w:link w:val="98"/>
    <w:qFormat/>
    <w:uiPriority w:val="11"/>
    <w:pPr>
      <w:spacing w:before="200" w:after="200"/>
    </w:pPr>
    <w:rPr>
      <w:sz w:val="24"/>
      <w:szCs w:val="24"/>
    </w:rPr>
  </w:style>
  <w:style w:type="paragraph" w:styleId="32">
    <w:name w:val="footnote text"/>
    <w:basedOn w:val="1"/>
    <w:link w:val="231"/>
    <w:semiHidden/>
    <w:unhideWhenUsed/>
    <w:qFormat/>
    <w:uiPriority w:val="99"/>
    <w:pPr>
      <w:spacing w:after="40"/>
    </w:pPr>
    <w:rPr>
      <w:sz w:val="18"/>
    </w:rPr>
  </w:style>
  <w:style w:type="paragraph" w:styleId="33">
    <w:name w:val="toc 6"/>
    <w:basedOn w:val="1"/>
    <w:next w:val="1"/>
    <w:unhideWhenUsed/>
    <w:qFormat/>
    <w:uiPriority w:val="39"/>
    <w:pPr>
      <w:spacing w:after="57"/>
      <w:ind w:left="1417"/>
    </w:pPr>
  </w:style>
  <w:style w:type="paragraph" w:styleId="34">
    <w:name w:val="table of figures"/>
    <w:basedOn w:val="1"/>
    <w:next w:val="1"/>
    <w:unhideWhenUsed/>
    <w:qFormat/>
    <w:uiPriority w:val="99"/>
  </w:style>
  <w:style w:type="paragraph" w:styleId="35">
    <w:name w:val="toc 2"/>
    <w:basedOn w:val="1"/>
    <w:next w:val="1"/>
    <w:unhideWhenUsed/>
    <w:qFormat/>
    <w:uiPriority w:val="39"/>
    <w:pPr>
      <w:spacing w:after="57"/>
      <w:ind w:left="283"/>
    </w:pPr>
  </w:style>
  <w:style w:type="paragraph" w:styleId="36">
    <w:name w:val="toc 9"/>
    <w:basedOn w:val="1"/>
    <w:next w:val="1"/>
    <w:unhideWhenUsed/>
    <w:qFormat/>
    <w:uiPriority w:val="39"/>
    <w:pPr>
      <w:spacing w:after="57"/>
      <w:ind w:left="2268"/>
    </w:pPr>
  </w:style>
  <w:style w:type="paragraph" w:styleId="37">
    <w:name w:val="Normal (Web)"/>
    <w:basedOn w:val="1"/>
    <w:qFormat/>
    <w:uiPriority w:val="0"/>
    <w:pPr>
      <w:spacing w:beforeAutospacing="1" w:afterAutospacing="1"/>
      <w:jc w:val="left"/>
    </w:pPr>
    <w:rPr>
      <w:sz w:val="24"/>
    </w:rPr>
  </w:style>
  <w:style w:type="paragraph" w:styleId="38">
    <w:name w:val="Title"/>
    <w:basedOn w:val="1"/>
    <w:next w:val="1"/>
    <w:link w:val="97"/>
    <w:qFormat/>
    <w:uiPriority w:val="10"/>
    <w:pPr>
      <w:spacing w:before="300" w:after="200"/>
      <w:contextualSpacing/>
    </w:pPr>
    <w:rPr>
      <w:sz w:val="48"/>
      <w:szCs w:val="48"/>
    </w:rPr>
  </w:style>
  <w:style w:type="paragraph" w:styleId="39">
    <w:name w:val="annotation subject"/>
    <w:basedOn w:val="17"/>
    <w:next w:val="17"/>
    <w:link w:val="348"/>
    <w:semiHidden/>
    <w:unhideWhenUsed/>
    <w:qFormat/>
    <w:uiPriority w:val="99"/>
    <w:rPr>
      <w:b/>
      <w:bCs/>
    </w:rPr>
  </w:style>
  <w:style w:type="table" w:styleId="4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Strong"/>
    <w:basedOn w:val="42"/>
    <w:qFormat/>
    <w:uiPriority w:val="22"/>
    <w:rPr>
      <w:b/>
    </w:rPr>
  </w:style>
  <w:style w:type="character" w:styleId="44">
    <w:name w:val="endnote reference"/>
    <w:semiHidden/>
    <w:unhideWhenUsed/>
    <w:qFormat/>
    <w:uiPriority w:val="99"/>
    <w:rPr>
      <w:vertAlign w:val="superscript"/>
    </w:rPr>
  </w:style>
  <w:style w:type="character" w:styleId="45">
    <w:name w:val="page number"/>
    <w:basedOn w:val="42"/>
    <w:qFormat/>
    <w:uiPriority w:val="0"/>
  </w:style>
  <w:style w:type="character" w:styleId="46">
    <w:name w:val="Emphasis"/>
    <w:basedOn w:val="42"/>
    <w:qFormat/>
    <w:uiPriority w:val="20"/>
    <w:rPr>
      <w:i/>
    </w:rPr>
  </w:style>
  <w:style w:type="character" w:styleId="47">
    <w:name w:val="Hyperlink"/>
    <w:unhideWhenUsed/>
    <w:qFormat/>
    <w:uiPriority w:val="99"/>
    <w:rPr>
      <w:color w:val="0000FF" w:themeColor="hyperlink"/>
      <w:u w:val="single"/>
      <w14:textFill>
        <w14:solidFill>
          <w14:schemeClr w14:val="hlink"/>
        </w14:solidFill>
      </w14:textFill>
    </w:rPr>
  </w:style>
  <w:style w:type="character" w:styleId="48">
    <w:name w:val="annotation reference"/>
    <w:basedOn w:val="42"/>
    <w:semiHidden/>
    <w:unhideWhenUsed/>
    <w:qFormat/>
    <w:uiPriority w:val="99"/>
    <w:rPr>
      <w:sz w:val="21"/>
      <w:szCs w:val="21"/>
    </w:rPr>
  </w:style>
  <w:style w:type="character" w:styleId="49">
    <w:name w:val="footnote reference"/>
    <w:unhideWhenUsed/>
    <w:qFormat/>
    <w:uiPriority w:val="99"/>
    <w:rPr>
      <w:vertAlign w:val="superscript"/>
    </w:rPr>
  </w:style>
  <w:style w:type="character" w:customStyle="1" w:styleId="50">
    <w:name w:val="Heading 1 Char"/>
    <w:basedOn w:val="42"/>
    <w:qFormat/>
    <w:uiPriority w:val="9"/>
    <w:rPr>
      <w:rFonts w:ascii="Arial" w:hAnsi="Arial" w:eastAsia="Arial" w:cs="Arial"/>
      <w:sz w:val="40"/>
      <w:szCs w:val="40"/>
    </w:rPr>
  </w:style>
  <w:style w:type="character" w:customStyle="1" w:styleId="51">
    <w:name w:val="Heading 2 Char"/>
    <w:basedOn w:val="42"/>
    <w:qFormat/>
    <w:uiPriority w:val="9"/>
    <w:rPr>
      <w:rFonts w:ascii="Arial" w:hAnsi="Arial" w:eastAsia="Arial" w:cs="Arial"/>
      <w:sz w:val="34"/>
    </w:rPr>
  </w:style>
  <w:style w:type="character" w:customStyle="1" w:styleId="52">
    <w:name w:val="Heading 3 Char"/>
    <w:basedOn w:val="42"/>
    <w:qFormat/>
    <w:uiPriority w:val="9"/>
    <w:rPr>
      <w:rFonts w:ascii="Arial" w:hAnsi="Arial" w:eastAsia="Arial" w:cs="Arial"/>
      <w:sz w:val="30"/>
      <w:szCs w:val="30"/>
    </w:rPr>
  </w:style>
  <w:style w:type="character" w:customStyle="1" w:styleId="53">
    <w:name w:val="Heading 4 Char"/>
    <w:basedOn w:val="42"/>
    <w:qFormat/>
    <w:uiPriority w:val="9"/>
    <w:rPr>
      <w:rFonts w:ascii="Arial" w:hAnsi="Arial" w:eastAsia="Arial" w:cs="Arial"/>
      <w:b/>
      <w:bCs/>
      <w:sz w:val="26"/>
      <w:szCs w:val="26"/>
    </w:rPr>
  </w:style>
  <w:style w:type="character" w:customStyle="1" w:styleId="54">
    <w:name w:val="Heading 5 Char"/>
    <w:basedOn w:val="42"/>
    <w:qFormat/>
    <w:uiPriority w:val="9"/>
    <w:rPr>
      <w:rFonts w:ascii="Arial" w:hAnsi="Arial" w:eastAsia="Arial" w:cs="Arial"/>
      <w:b/>
      <w:bCs/>
      <w:sz w:val="24"/>
      <w:szCs w:val="24"/>
    </w:rPr>
  </w:style>
  <w:style w:type="character" w:customStyle="1" w:styleId="55">
    <w:name w:val="Heading 6 Char"/>
    <w:basedOn w:val="42"/>
    <w:qFormat/>
    <w:uiPriority w:val="9"/>
    <w:rPr>
      <w:rFonts w:ascii="Arial" w:hAnsi="Arial" w:eastAsia="Arial" w:cs="Arial"/>
      <w:b/>
      <w:bCs/>
      <w:sz w:val="22"/>
      <w:szCs w:val="22"/>
    </w:rPr>
  </w:style>
  <w:style w:type="character" w:customStyle="1" w:styleId="56">
    <w:name w:val="Heading 7 Char"/>
    <w:basedOn w:val="42"/>
    <w:qFormat/>
    <w:uiPriority w:val="9"/>
    <w:rPr>
      <w:rFonts w:ascii="Arial" w:hAnsi="Arial" w:eastAsia="Arial" w:cs="Arial"/>
      <w:b/>
      <w:bCs/>
      <w:i/>
      <w:iCs/>
      <w:sz w:val="22"/>
      <w:szCs w:val="22"/>
    </w:rPr>
  </w:style>
  <w:style w:type="character" w:customStyle="1" w:styleId="57">
    <w:name w:val="Heading 8 Char"/>
    <w:basedOn w:val="42"/>
    <w:qFormat/>
    <w:uiPriority w:val="9"/>
    <w:rPr>
      <w:rFonts w:ascii="Arial" w:hAnsi="Arial" w:eastAsia="Arial" w:cs="Arial"/>
      <w:i/>
      <w:iCs/>
      <w:sz w:val="22"/>
      <w:szCs w:val="22"/>
    </w:rPr>
  </w:style>
  <w:style w:type="character" w:customStyle="1" w:styleId="58">
    <w:name w:val="Heading 9 Char"/>
    <w:basedOn w:val="42"/>
    <w:qFormat/>
    <w:uiPriority w:val="9"/>
    <w:rPr>
      <w:rFonts w:ascii="Arial" w:hAnsi="Arial" w:eastAsia="Arial" w:cs="Arial"/>
      <w:i/>
      <w:iCs/>
      <w:sz w:val="21"/>
      <w:szCs w:val="21"/>
    </w:rPr>
  </w:style>
  <w:style w:type="character" w:customStyle="1" w:styleId="59">
    <w:name w:val="Title Char"/>
    <w:basedOn w:val="42"/>
    <w:qFormat/>
    <w:uiPriority w:val="10"/>
    <w:rPr>
      <w:sz w:val="48"/>
      <w:szCs w:val="48"/>
    </w:rPr>
  </w:style>
  <w:style w:type="character" w:customStyle="1" w:styleId="60">
    <w:name w:val="Subtitle Char"/>
    <w:basedOn w:val="42"/>
    <w:qFormat/>
    <w:uiPriority w:val="11"/>
    <w:rPr>
      <w:sz w:val="24"/>
      <w:szCs w:val="24"/>
    </w:rPr>
  </w:style>
  <w:style w:type="character" w:customStyle="1" w:styleId="61">
    <w:name w:val="Quote Char"/>
    <w:qFormat/>
    <w:uiPriority w:val="29"/>
    <w:rPr>
      <w:i/>
    </w:rPr>
  </w:style>
  <w:style w:type="character" w:customStyle="1" w:styleId="62">
    <w:name w:val="Intense Quote Char"/>
    <w:qFormat/>
    <w:uiPriority w:val="30"/>
    <w:rPr>
      <w:i/>
    </w:rPr>
  </w:style>
  <w:style w:type="character" w:customStyle="1" w:styleId="63">
    <w:name w:val="Header Char"/>
    <w:basedOn w:val="42"/>
    <w:qFormat/>
    <w:uiPriority w:val="99"/>
  </w:style>
  <w:style w:type="character" w:customStyle="1" w:styleId="64">
    <w:name w:val="Caption Char"/>
    <w:qFormat/>
    <w:uiPriority w:val="99"/>
  </w:style>
  <w:style w:type="table" w:customStyle="1" w:styleId="65">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5">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6">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7">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8">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9">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0">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1">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2">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3">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4">
    <w:name w:val="Footnote Text Char"/>
    <w:qFormat/>
    <w:uiPriority w:val="99"/>
    <w:rPr>
      <w:sz w:val="18"/>
    </w:rPr>
  </w:style>
  <w:style w:type="character" w:customStyle="1" w:styleId="85">
    <w:name w:val="Endnote Text Char"/>
    <w:qFormat/>
    <w:uiPriority w:val="99"/>
    <w:rPr>
      <w:sz w:val="20"/>
    </w:rPr>
  </w:style>
  <w:style w:type="paragraph" w:customStyle="1" w:styleId="86">
    <w:name w:val="TOC Heading"/>
    <w:unhideWhenUsed/>
    <w:qFormat/>
    <w:uiPriority w:val="39"/>
    <w:rPr>
      <w:rFonts w:hint="default" w:ascii="Times New Roman" w:hAnsi="Times New Roman" w:eastAsia="宋体" w:cs="Times New Roman"/>
    </w:rPr>
  </w:style>
  <w:style w:type="paragraph" w:customStyle="1" w:styleId="87">
    <w:name w:val="正文文本1"/>
    <w:basedOn w:val="1"/>
    <w:link w:val="241"/>
    <w:qFormat/>
    <w:uiPriority w:val="0"/>
    <w:rPr>
      <w:rFonts w:ascii="宋体"/>
      <w:sz w:val="28"/>
    </w:rPr>
  </w:style>
  <w:style w:type="character" w:customStyle="1" w:styleId="88">
    <w:name w:val="标题 1 字符"/>
    <w:link w:val="5"/>
    <w:qFormat/>
    <w:uiPriority w:val="9"/>
    <w:rPr>
      <w:rFonts w:ascii="Arial" w:hAnsi="Arial" w:eastAsia="Arial" w:cs="Arial"/>
      <w:sz w:val="40"/>
      <w:szCs w:val="40"/>
    </w:rPr>
  </w:style>
  <w:style w:type="character" w:customStyle="1" w:styleId="89">
    <w:name w:val="标题 2 字符1"/>
    <w:link w:val="6"/>
    <w:qFormat/>
    <w:uiPriority w:val="9"/>
    <w:rPr>
      <w:rFonts w:ascii="Arial" w:hAnsi="Arial" w:eastAsia="Arial" w:cs="Arial"/>
      <w:sz w:val="34"/>
    </w:rPr>
  </w:style>
  <w:style w:type="character" w:customStyle="1" w:styleId="90">
    <w:name w:val="标题 3 字符1"/>
    <w:link w:val="7"/>
    <w:qFormat/>
    <w:uiPriority w:val="9"/>
    <w:rPr>
      <w:rFonts w:ascii="Arial" w:hAnsi="Arial" w:eastAsia="Arial" w:cs="Arial"/>
      <w:sz w:val="30"/>
      <w:szCs w:val="30"/>
    </w:rPr>
  </w:style>
  <w:style w:type="character" w:customStyle="1" w:styleId="91">
    <w:name w:val="标题 4 字符"/>
    <w:link w:val="8"/>
    <w:qFormat/>
    <w:uiPriority w:val="9"/>
    <w:rPr>
      <w:rFonts w:ascii="Arial" w:hAnsi="Arial" w:eastAsia="Arial" w:cs="Arial"/>
      <w:b/>
      <w:bCs/>
      <w:sz w:val="26"/>
      <w:szCs w:val="26"/>
    </w:rPr>
  </w:style>
  <w:style w:type="character" w:customStyle="1" w:styleId="92">
    <w:name w:val="标题 5 字符"/>
    <w:link w:val="9"/>
    <w:qFormat/>
    <w:uiPriority w:val="9"/>
    <w:rPr>
      <w:rFonts w:ascii="Arial" w:hAnsi="Arial" w:eastAsia="Arial" w:cs="Arial"/>
      <w:b/>
      <w:bCs/>
      <w:sz w:val="24"/>
      <w:szCs w:val="24"/>
    </w:rPr>
  </w:style>
  <w:style w:type="character" w:customStyle="1" w:styleId="93">
    <w:name w:val="标题 6 字符"/>
    <w:link w:val="10"/>
    <w:qFormat/>
    <w:uiPriority w:val="9"/>
    <w:rPr>
      <w:rFonts w:ascii="Arial" w:hAnsi="Arial" w:eastAsia="Arial" w:cs="Arial"/>
      <w:b/>
      <w:bCs/>
      <w:sz w:val="22"/>
      <w:szCs w:val="22"/>
    </w:rPr>
  </w:style>
  <w:style w:type="character" w:customStyle="1" w:styleId="94">
    <w:name w:val="标题 7 字符"/>
    <w:link w:val="11"/>
    <w:qFormat/>
    <w:uiPriority w:val="9"/>
    <w:rPr>
      <w:rFonts w:ascii="Arial" w:hAnsi="Arial" w:eastAsia="Arial" w:cs="Arial"/>
      <w:b/>
      <w:bCs/>
      <w:i/>
      <w:iCs/>
      <w:sz w:val="22"/>
      <w:szCs w:val="22"/>
    </w:rPr>
  </w:style>
  <w:style w:type="character" w:customStyle="1" w:styleId="95">
    <w:name w:val="标题 8 字符"/>
    <w:link w:val="12"/>
    <w:qFormat/>
    <w:uiPriority w:val="9"/>
    <w:rPr>
      <w:rFonts w:ascii="Arial" w:hAnsi="Arial" w:eastAsia="Arial" w:cs="Arial"/>
      <w:i/>
      <w:iCs/>
      <w:sz w:val="22"/>
      <w:szCs w:val="22"/>
    </w:rPr>
  </w:style>
  <w:style w:type="character" w:customStyle="1" w:styleId="96">
    <w:name w:val="标题 9 字符"/>
    <w:link w:val="13"/>
    <w:qFormat/>
    <w:uiPriority w:val="9"/>
    <w:rPr>
      <w:rFonts w:ascii="Arial" w:hAnsi="Arial" w:eastAsia="Arial" w:cs="Arial"/>
      <w:i/>
      <w:iCs/>
      <w:sz w:val="21"/>
      <w:szCs w:val="21"/>
    </w:rPr>
  </w:style>
  <w:style w:type="character" w:customStyle="1" w:styleId="97">
    <w:name w:val="标题 字符1"/>
    <w:link w:val="38"/>
    <w:qFormat/>
    <w:uiPriority w:val="10"/>
    <w:rPr>
      <w:sz w:val="48"/>
      <w:szCs w:val="48"/>
    </w:rPr>
  </w:style>
  <w:style w:type="character" w:customStyle="1" w:styleId="98">
    <w:name w:val="副标题 字符"/>
    <w:link w:val="31"/>
    <w:qFormat/>
    <w:uiPriority w:val="11"/>
    <w:rPr>
      <w:sz w:val="24"/>
      <w:szCs w:val="24"/>
    </w:rPr>
  </w:style>
  <w:style w:type="paragraph" w:styleId="99">
    <w:name w:val="Quote"/>
    <w:basedOn w:val="1"/>
    <w:next w:val="1"/>
    <w:link w:val="100"/>
    <w:qFormat/>
    <w:uiPriority w:val="29"/>
    <w:pPr>
      <w:ind w:left="720" w:right="720"/>
    </w:pPr>
    <w:rPr>
      <w:i/>
    </w:rPr>
  </w:style>
  <w:style w:type="character" w:customStyle="1" w:styleId="100">
    <w:name w:val="引用 字符"/>
    <w:link w:val="99"/>
    <w:qFormat/>
    <w:uiPriority w:val="29"/>
    <w:rPr>
      <w:i/>
    </w:rPr>
  </w:style>
  <w:style w:type="paragraph" w:styleId="101">
    <w:name w:val="Intense Quote"/>
    <w:basedOn w:val="1"/>
    <w:next w:val="1"/>
    <w:link w:val="10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2">
    <w:name w:val="明显引用 字符"/>
    <w:link w:val="101"/>
    <w:qFormat/>
    <w:uiPriority w:val="30"/>
    <w:rPr>
      <w:i/>
    </w:rPr>
  </w:style>
  <w:style w:type="character" w:customStyle="1" w:styleId="103">
    <w:name w:val="页眉 字符1"/>
    <w:link w:val="28"/>
    <w:qFormat/>
    <w:uiPriority w:val="99"/>
  </w:style>
  <w:style w:type="character" w:customStyle="1" w:styleId="104">
    <w:name w:val="Footer Char"/>
    <w:qFormat/>
    <w:uiPriority w:val="99"/>
  </w:style>
  <w:style w:type="character" w:customStyle="1" w:styleId="105">
    <w:name w:val="页脚 字符2"/>
    <w:link w:val="27"/>
    <w:qFormat/>
    <w:uiPriority w:val="99"/>
  </w:style>
  <w:style w:type="table" w:customStyle="1" w:styleId="106">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7">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8">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9">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0">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1">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2">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3">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4">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5">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6">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7">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8">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9">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0">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1">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2">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3">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4">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5">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6">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7">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8">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9">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0">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1">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2">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3">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4">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5">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6">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7">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8">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9">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0">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1">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2">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3">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4">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5">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6">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7">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8">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9">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1">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3">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4">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6">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8">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0">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1">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2">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3">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4">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5">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6">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7">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8">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9">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0">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1">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2">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3">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4">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5">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6">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7">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8">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9">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0">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1">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2">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3">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4">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5">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6">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7">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8">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9">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0">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1">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2">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3">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4">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5">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6">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7">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8">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9">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0">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1">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2">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3">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4">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5">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6">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7">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8">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9">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0">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1">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3">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4">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5">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6">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7">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8">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9">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0">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1">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2">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3">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4">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5">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6">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7">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8">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9">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30">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1">
    <w:name w:val="脚注文本 字符"/>
    <w:link w:val="32"/>
    <w:qFormat/>
    <w:uiPriority w:val="99"/>
    <w:rPr>
      <w:sz w:val="18"/>
    </w:rPr>
  </w:style>
  <w:style w:type="character" w:customStyle="1" w:styleId="232">
    <w:name w:val="尾注文本 字符"/>
    <w:link w:val="26"/>
    <w:qFormat/>
    <w:uiPriority w:val="99"/>
    <w:rPr>
      <w:sz w:val="20"/>
    </w:rPr>
  </w:style>
  <w:style w:type="paragraph" w:customStyle="1" w:styleId="233">
    <w:name w:val="TOC 标题1"/>
    <w:unhideWhenUsed/>
    <w:qFormat/>
    <w:uiPriority w:val="39"/>
    <w:rPr>
      <w:rFonts w:hint="default" w:ascii="Times New Roman" w:hAnsi="Times New Roman" w:eastAsia="宋体" w:cs="Times New Roman"/>
      <w:lang w:val="en-US" w:eastAsia="zh-CN" w:bidi="ar-SA"/>
    </w:rPr>
  </w:style>
  <w:style w:type="paragraph" w:customStyle="1" w:styleId="234">
    <w:name w:val="标题 11"/>
    <w:basedOn w:val="1"/>
    <w:next w:val="1"/>
    <w:qFormat/>
    <w:uiPriority w:val="0"/>
    <w:pPr>
      <w:keepNext/>
      <w:spacing w:line="440" w:lineRule="exact"/>
      <w:jc w:val="center"/>
      <w:outlineLvl w:val="0"/>
    </w:pPr>
    <w:rPr>
      <w:rFonts w:ascii="宋体"/>
      <w:sz w:val="28"/>
    </w:rPr>
  </w:style>
  <w:style w:type="paragraph" w:customStyle="1" w:styleId="235">
    <w:name w:val="标题 21"/>
    <w:basedOn w:val="1"/>
    <w:next w:val="1"/>
    <w:link w:val="242"/>
    <w:qFormat/>
    <w:uiPriority w:val="9"/>
    <w:pPr>
      <w:keepNext/>
      <w:keepLines/>
      <w:spacing w:before="260" w:after="260" w:line="416" w:lineRule="auto"/>
      <w:outlineLvl w:val="1"/>
    </w:pPr>
    <w:rPr>
      <w:rFonts w:ascii="Arial" w:hAnsi="Arial" w:eastAsia="黑体"/>
      <w:b/>
      <w:bCs/>
      <w:sz w:val="32"/>
      <w:szCs w:val="32"/>
    </w:rPr>
  </w:style>
  <w:style w:type="paragraph" w:customStyle="1" w:styleId="236">
    <w:name w:val="标题 31"/>
    <w:basedOn w:val="1"/>
    <w:next w:val="237"/>
    <w:link w:val="243"/>
    <w:qFormat/>
    <w:uiPriority w:val="9"/>
    <w:pPr>
      <w:keepNext/>
      <w:tabs>
        <w:tab w:val="left" w:pos="480"/>
      </w:tabs>
      <w:spacing w:line="400" w:lineRule="exact"/>
      <w:ind w:left="480" w:hanging="480"/>
      <w:jc w:val="center"/>
      <w:outlineLvl w:val="2"/>
    </w:pPr>
    <w:rPr>
      <w:rFonts w:ascii="仿宋_GB2312" w:eastAsia="仿宋_GB2312"/>
      <w:sz w:val="32"/>
    </w:rPr>
  </w:style>
  <w:style w:type="paragraph" w:customStyle="1" w:styleId="237">
    <w:name w:val="正文缩进1"/>
    <w:basedOn w:val="1"/>
    <w:qFormat/>
    <w:uiPriority w:val="99"/>
    <w:pPr>
      <w:ind w:firstLine="420"/>
    </w:pPr>
    <w:rPr>
      <w:b/>
      <w:sz w:val="24"/>
    </w:rPr>
  </w:style>
  <w:style w:type="paragraph" w:customStyle="1" w:styleId="238">
    <w:name w:val="标题 41"/>
    <w:basedOn w:val="1"/>
    <w:next w:val="1"/>
    <w:qFormat/>
    <w:uiPriority w:val="0"/>
    <w:pPr>
      <w:keepNext/>
      <w:keepLines/>
      <w:spacing w:before="280" w:after="290" w:line="372" w:lineRule="auto"/>
      <w:outlineLvl w:val="3"/>
    </w:pPr>
    <w:rPr>
      <w:rFonts w:ascii="Arial" w:hAnsi="Arial" w:eastAsia="黑体" w:cs="Arial"/>
      <w:b/>
      <w:bCs/>
      <w:sz w:val="28"/>
      <w:szCs w:val="28"/>
    </w:rPr>
  </w:style>
  <w:style w:type="character" w:customStyle="1" w:styleId="239">
    <w:name w:val="默认段落字体1"/>
    <w:semiHidden/>
    <w:qFormat/>
    <w:uiPriority w:val="0"/>
    <w:rPr>
      <w:sz w:val="24"/>
    </w:rPr>
  </w:style>
  <w:style w:type="table" w:customStyle="1" w:styleId="240">
    <w:name w:val="普通表格1"/>
    <w:unhideWhenUsed/>
    <w:qFormat/>
    <w:uiPriority w:val="99"/>
    <w:rPr>
      <w:rFonts w:ascii="Calibri" w:hAnsi="Calibri"/>
      <w:sz w:val="21"/>
      <w:szCs w:val="22"/>
    </w:rPr>
    <w:tblPr>
      <w:tblCellMar>
        <w:top w:w="0" w:type="dxa"/>
        <w:left w:w="0" w:type="dxa"/>
        <w:bottom w:w="0" w:type="dxa"/>
        <w:right w:w="0" w:type="dxa"/>
      </w:tblCellMar>
    </w:tblPr>
  </w:style>
  <w:style w:type="character" w:customStyle="1" w:styleId="241">
    <w:name w:val="正文文本 字符"/>
    <w:link w:val="87"/>
    <w:qFormat/>
    <w:uiPriority w:val="0"/>
    <w:rPr>
      <w:rFonts w:ascii="宋体" w:eastAsia="宋体"/>
      <w:sz w:val="28"/>
      <w:lang w:val="en-US" w:eastAsia="zh-CN" w:bidi="ar-SA"/>
    </w:rPr>
  </w:style>
  <w:style w:type="character" w:customStyle="1" w:styleId="242">
    <w:name w:val="标题 2 字符"/>
    <w:link w:val="235"/>
    <w:qFormat/>
    <w:uiPriority w:val="9"/>
    <w:rPr>
      <w:rFonts w:ascii="Arial" w:hAnsi="Arial" w:eastAsia="黑体"/>
      <w:b/>
      <w:bCs/>
      <w:sz w:val="32"/>
      <w:szCs w:val="32"/>
    </w:rPr>
  </w:style>
  <w:style w:type="character" w:customStyle="1" w:styleId="243">
    <w:name w:val="标题 3 字符"/>
    <w:link w:val="236"/>
    <w:qFormat/>
    <w:uiPriority w:val="9"/>
    <w:rPr>
      <w:rFonts w:ascii="仿宋_GB2312" w:eastAsia="仿宋_GB2312"/>
      <w:sz w:val="32"/>
    </w:rPr>
  </w:style>
  <w:style w:type="paragraph" w:customStyle="1" w:styleId="244">
    <w:name w:val="列表 31"/>
    <w:basedOn w:val="1"/>
    <w:qFormat/>
    <w:uiPriority w:val="0"/>
    <w:pPr>
      <w:ind w:left="100" w:hanging="200"/>
      <w:contextualSpacing/>
    </w:pPr>
  </w:style>
  <w:style w:type="paragraph" w:customStyle="1" w:styleId="245">
    <w:name w:val="目录 71"/>
    <w:basedOn w:val="1"/>
    <w:next w:val="1"/>
    <w:qFormat/>
    <w:uiPriority w:val="0"/>
    <w:pPr>
      <w:ind w:left="2520"/>
    </w:pPr>
  </w:style>
  <w:style w:type="paragraph" w:customStyle="1" w:styleId="246">
    <w:name w:val="批注文字1"/>
    <w:basedOn w:val="1"/>
    <w:link w:val="247"/>
    <w:qFormat/>
    <w:uiPriority w:val="0"/>
    <w:pPr>
      <w:jc w:val="left"/>
    </w:pPr>
  </w:style>
  <w:style w:type="character" w:customStyle="1" w:styleId="247">
    <w:name w:val="批注文字 字符"/>
    <w:link w:val="246"/>
    <w:qFormat/>
    <w:uiPriority w:val="0"/>
    <w:rPr>
      <w:sz w:val="21"/>
    </w:rPr>
  </w:style>
  <w:style w:type="paragraph" w:customStyle="1" w:styleId="248">
    <w:name w:val="称呼1"/>
    <w:basedOn w:val="1"/>
    <w:next w:val="1"/>
    <w:qFormat/>
    <w:uiPriority w:val="0"/>
    <w:pPr>
      <w:widowControl/>
      <w:jc w:val="left"/>
    </w:pPr>
    <w:rPr>
      <w:sz w:val="24"/>
    </w:rPr>
  </w:style>
  <w:style w:type="paragraph" w:customStyle="1" w:styleId="249">
    <w:name w:val="正文文本缩进1"/>
    <w:basedOn w:val="1"/>
    <w:qFormat/>
    <w:uiPriority w:val="0"/>
    <w:pPr>
      <w:spacing w:line="360" w:lineRule="auto"/>
      <w:ind w:firstLine="420"/>
    </w:pPr>
    <w:rPr>
      <w:rFonts w:ascii="宋体"/>
      <w:sz w:val="24"/>
    </w:rPr>
  </w:style>
  <w:style w:type="paragraph" w:customStyle="1" w:styleId="250">
    <w:name w:val="列表 21"/>
    <w:basedOn w:val="1"/>
    <w:qFormat/>
    <w:uiPriority w:val="0"/>
    <w:pPr>
      <w:ind w:left="100" w:hanging="200"/>
    </w:pPr>
  </w:style>
  <w:style w:type="paragraph" w:customStyle="1" w:styleId="251">
    <w:name w:val="索引 41"/>
    <w:basedOn w:val="1"/>
    <w:next w:val="1"/>
    <w:qFormat/>
    <w:uiPriority w:val="0"/>
    <w:pPr>
      <w:ind w:left="600"/>
    </w:pPr>
    <w:rPr>
      <w:rFonts w:ascii="Calibri" w:hAnsi="Calibri"/>
      <w:szCs w:val="24"/>
    </w:rPr>
  </w:style>
  <w:style w:type="paragraph" w:customStyle="1" w:styleId="252">
    <w:name w:val="目录 51"/>
    <w:basedOn w:val="1"/>
    <w:next w:val="1"/>
    <w:qFormat/>
    <w:uiPriority w:val="0"/>
    <w:pPr>
      <w:ind w:left="1680"/>
    </w:pPr>
  </w:style>
  <w:style w:type="paragraph" w:customStyle="1" w:styleId="253">
    <w:name w:val="目录 31"/>
    <w:basedOn w:val="1"/>
    <w:next w:val="1"/>
    <w:qFormat/>
    <w:uiPriority w:val="39"/>
    <w:pPr>
      <w:ind w:left="840"/>
    </w:pPr>
  </w:style>
  <w:style w:type="paragraph" w:customStyle="1" w:styleId="254">
    <w:name w:val="纯文本1"/>
    <w:basedOn w:val="1"/>
    <w:link w:val="255"/>
    <w:qFormat/>
    <w:uiPriority w:val="0"/>
    <w:rPr>
      <w:rFonts w:ascii="宋体" w:hAnsi="Courier New"/>
    </w:rPr>
  </w:style>
  <w:style w:type="character" w:customStyle="1" w:styleId="255">
    <w:name w:val="纯文本 字符"/>
    <w:link w:val="254"/>
    <w:qFormat/>
    <w:uiPriority w:val="0"/>
    <w:rPr>
      <w:rFonts w:ascii="宋体" w:hAnsi="Courier New" w:eastAsia="宋体"/>
      <w:sz w:val="21"/>
      <w:lang w:val="en-US" w:eastAsia="zh-CN" w:bidi="ar-SA"/>
    </w:rPr>
  </w:style>
  <w:style w:type="paragraph" w:customStyle="1" w:styleId="256">
    <w:name w:val="目录 81"/>
    <w:basedOn w:val="1"/>
    <w:next w:val="1"/>
    <w:qFormat/>
    <w:uiPriority w:val="0"/>
    <w:pPr>
      <w:ind w:left="2940"/>
    </w:pPr>
  </w:style>
  <w:style w:type="paragraph" w:customStyle="1" w:styleId="257">
    <w:name w:val="日期1"/>
    <w:basedOn w:val="1"/>
    <w:next w:val="1"/>
    <w:link w:val="258"/>
    <w:qFormat/>
    <w:uiPriority w:val="0"/>
    <w:rPr>
      <w:rFonts w:ascii="宋体"/>
    </w:rPr>
  </w:style>
  <w:style w:type="character" w:customStyle="1" w:styleId="258">
    <w:name w:val="日期 字符"/>
    <w:link w:val="257"/>
    <w:qFormat/>
    <w:uiPriority w:val="0"/>
    <w:rPr>
      <w:rFonts w:ascii="宋体"/>
      <w:sz w:val="21"/>
    </w:rPr>
  </w:style>
  <w:style w:type="paragraph" w:customStyle="1" w:styleId="259">
    <w:name w:val="正文文本缩进 21"/>
    <w:basedOn w:val="1"/>
    <w:qFormat/>
    <w:uiPriority w:val="0"/>
    <w:pPr>
      <w:spacing w:line="420" w:lineRule="exact"/>
      <w:ind w:firstLine="525"/>
    </w:pPr>
    <w:rPr>
      <w:rFonts w:ascii="宋体"/>
    </w:rPr>
  </w:style>
  <w:style w:type="paragraph" w:customStyle="1" w:styleId="260">
    <w:name w:val="批注框文本1"/>
    <w:basedOn w:val="1"/>
    <w:link w:val="261"/>
    <w:qFormat/>
    <w:uiPriority w:val="99"/>
    <w:rPr>
      <w:sz w:val="18"/>
      <w:szCs w:val="18"/>
    </w:rPr>
  </w:style>
  <w:style w:type="character" w:customStyle="1" w:styleId="261">
    <w:name w:val="批注框文本 字符"/>
    <w:link w:val="260"/>
    <w:qFormat/>
    <w:uiPriority w:val="99"/>
    <w:rPr>
      <w:sz w:val="18"/>
      <w:szCs w:val="18"/>
    </w:rPr>
  </w:style>
  <w:style w:type="paragraph" w:customStyle="1" w:styleId="262">
    <w:name w:val="页脚1"/>
    <w:basedOn w:val="1"/>
    <w:link w:val="263"/>
    <w:qFormat/>
    <w:uiPriority w:val="99"/>
    <w:pPr>
      <w:tabs>
        <w:tab w:val="center" w:pos="4153"/>
        <w:tab w:val="right" w:pos="8306"/>
      </w:tabs>
      <w:jc w:val="left"/>
    </w:pPr>
    <w:rPr>
      <w:sz w:val="18"/>
    </w:rPr>
  </w:style>
  <w:style w:type="character" w:customStyle="1" w:styleId="263">
    <w:name w:val="页脚 字符1"/>
    <w:link w:val="262"/>
    <w:qFormat/>
    <w:uiPriority w:val="99"/>
    <w:rPr>
      <w:sz w:val="18"/>
    </w:rPr>
  </w:style>
  <w:style w:type="paragraph" w:customStyle="1" w:styleId="264">
    <w:name w:val="页眉1"/>
    <w:basedOn w:val="1"/>
    <w:link w:val="265"/>
    <w:qFormat/>
    <w:uiPriority w:val="99"/>
    <w:pPr>
      <w:pBdr>
        <w:bottom w:val="single" w:color="000000" w:sz="6" w:space="1"/>
      </w:pBdr>
      <w:tabs>
        <w:tab w:val="center" w:pos="4153"/>
        <w:tab w:val="right" w:pos="8306"/>
      </w:tabs>
      <w:jc w:val="center"/>
    </w:pPr>
    <w:rPr>
      <w:sz w:val="18"/>
    </w:rPr>
  </w:style>
  <w:style w:type="character" w:customStyle="1" w:styleId="265">
    <w:name w:val="页眉 字符"/>
    <w:link w:val="264"/>
    <w:qFormat/>
    <w:uiPriority w:val="99"/>
    <w:rPr>
      <w:sz w:val="18"/>
    </w:rPr>
  </w:style>
  <w:style w:type="paragraph" w:customStyle="1" w:styleId="266">
    <w:name w:val="目录 11"/>
    <w:basedOn w:val="1"/>
    <w:next w:val="1"/>
    <w:qFormat/>
    <w:uiPriority w:val="39"/>
  </w:style>
  <w:style w:type="paragraph" w:customStyle="1" w:styleId="267">
    <w:name w:val="目录 41"/>
    <w:basedOn w:val="1"/>
    <w:next w:val="1"/>
    <w:qFormat/>
    <w:uiPriority w:val="0"/>
    <w:pPr>
      <w:ind w:left="1260"/>
    </w:pPr>
  </w:style>
  <w:style w:type="paragraph" w:customStyle="1" w:styleId="268">
    <w:name w:val="目录 61"/>
    <w:basedOn w:val="1"/>
    <w:next w:val="1"/>
    <w:qFormat/>
    <w:uiPriority w:val="0"/>
    <w:pPr>
      <w:ind w:left="2100"/>
    </w:pPr>
  </w:style>
  <w:style w:type="paragraph" w:customStyle="1" w:styleId="269">
    <w:name w:val="正文文本缩进 31"/>
    <w:basedOn w:val="1"/>
    <w:qFormat/>
    <w:uiPriority w:val="0"/>
    <w:pPr>
      <w:ind w:firstLine="841"/>
    </w:pPr>
    <w:rPr>
      <w:rFonts w:eastAsia="华文新魏"/>
      <w:b/>
      <w:bCs/>
      <w:sz w:val="84"/>
    </w:rPr>
  </w:style>
  <w:style w:type="paragraph" w:customStyle="1" w:styleId="270">
    <w:name w:val="目录 21"/>
    <w:basedOn w:val="1"/>
    <w:next w:val="1"/>
    <w:qFormat/>
    <w:uiPriority w:val="39"/>
    <w:pPr>
      <w:ind w:left="420"/>
    </w:pPr>
  </w:style>
  <w:style w:type="paragraph" w:customStyle="1" w:styleId="271">
    <w:name w:val="目录 91"/>
    <w:basedOn w:val="1"/>
    <w:next w:val="1"/>
    <w:qFormat/>
    <w:uiPriority w:val="0"/>
    <w:pPr>
      <w:ind w:left="3360"/>
    </w:pPr>
  </w:style>
  <w:style w:type="paragraph" w:customStyle="1" w:styleId="272">
    <w:name w:val="信息标题1"/>
    <w:basedOn w:val="1"/>
    <w:qFormat/>
    <w:uiPriority w:val="0"/>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Cambria" w:hAnsi="Cambria"/>
    </w:rPr>
  </w:style>
  <w:style w:type="paragraph" w:customStyle="1" w:styleId="273">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sz w:val="20"/>
    </w:rPr>
  </w:style>
  <w:style w:type="paragraph" w:customStyle="1" w:styleId="274">
    <w:name w:val="普通(网站)1"/>
    <w:basedOn w:val="1"/>
    <w:qFormat/>
    <w:uiPriority w:val="99"/>
    <w:pPr>
      <w:widowControl/>
      <w:spacing w:before="100" w:beforeAutospacing="1" w:after="100" w:afterAutospacing="1"/>
      <w:jc w:val="left"/>
    </w:pPr>
    <w:rPr>
      <w:rFonts w:ascii="Arial Unicode MS" w:hAnsi="Arial Unicode MS" w:eastAsia="Arial Unicode MS"/>
      <w:color w:val="000000"/>
      <w:sz w:val="24"/>
      <w:szCs w:val="24"/>
    </w:rPr>
  </w:style>
  <w:style w:type="paragraph" w:customStyle="1" w:styleId="275">
    <w:name w:val="标题1"/>
    <w:basedOn w:val="1"/>
    <w:next w:val="1"/>
    <w:link w:val="276"/>
    <w:qFormat/>
    <w:uiPriority w:val="0"/>
    <w:pPr>
      <w:jc w:val="center"/>
    </w:pPr>
    <w:rPr>
      <w:sz w:val="30"/>
      <w:szCs w:val="24"/>
    </w:rPr>
  </w:style>
  <w:style w:type="character" w:customStyle="1" w:styleId="276">
    <w:name w:val="标题 字符"/>
    <w:link w:val="275"/>
    <w:qFormat/>
    <w:uiPriority w:val="0"/>
    <w:rPr>
      <w:sz w:val="30"/>
      <w:szCs w:val="24"/>
    </w:rPr>
  </w:style>
  <w:style w:type="paragraph" w:customStyle="1" w:styleId="277">
    <w:name w:val="批注主题1"/>
    <w:basedOn w:val="246"/>
    <w:next w:val="246"/>
    <w:link w:val="278"/>
    <w:qFormat/>
    <w:uiPriority w:val="0"/>
    <w:rPr>
      <w:b/>
      <w:bCs/>
    </w:rPr>
  </w:style>
  <w:style w:type="character" w:customStyle="1" w:styleId="278">
    <w:name w:val="批注主题 字符"/>
    <w:link w:val="277"/>
    <w:qFormat/>
    <w:uiPriority w:val="0"/>
    <w:rPr>
      <w:b/>
      <w:bCs/>
      <w:sz w:val="21"/>
    </w:rPr>
  </w:style>
  <w:style w:type="paragraph" w:customStyle="1" w:styleId="279">
    <w:name w:val="正文首行缩进1"/>
    <w:basedOn w:val="87"/>
    <w:link w:val="280"/>
    <w:qFormat/>
    <w:uiPriority w:val="0"/>
    <w:pPr>
      <w:spacing w:line="360" w:lineRule="auto"/>
      <w:ind w:firstLine="420"/>
    </w:pPr>
    <w:rPr>
      <w:rFonts w:ascii="Times New Roman"/>
      <w:szCs w:val="21"/>
    </w:rPr>
  </w:style>
  <w:style w:type="character" w:customStyle="1" w:styleId="280">
    <w:name w:val="正文文本首行缩进 字符"/>
    <w:link w:val="279"/>
    <w:qFormat/>
    <w:uiPriority w:val="0"/>
    <w:rPr>
      <w:sz w:val="28"/>
      <w:szCs w:val="21"/>
    </w:rPr>
  </w:style>
  <w:style w:type="table" w:customStyle="1" w:styleId="281">
    <w:name w:val="网格型1"/>
    <w:basedOn w:val="240"/>
    <w:qFormat/>
    <w:uiPriority w:val="59"/>
  </w:style>
  <w:style w:type="character" w:customStyle="1" w:styleId="282">
    <w:name w:val="要点1"/>
    <w:qFormat/>
    <w:uiPriority w:val="0"/>
    <w:rPr>
      <w:b/>
      <w:bCs/>
    </w:rPr>
  </w:style>
  <w:style w:type="character" w:customStyle="1" w:styleId="283">
    <w:name w:val="页码1"/>
    <w:qFormat/>
    <w:uiPriority w:val="99"/>
  </w:style>
  <w:style w:type="character" w:customStyle="1" w:styleId="284">
    <w:name w:val="已访问的超链接1"/>
    <w:qFormat/>
    <w:uiPriority w:val="0"/>
    <w:rPr>
      <w:color w:val="000000"/>
      <w:sz w:val="18"/>
      <w:szCs w:val="18"/>
      <w:u w:val="none"/>
    </w:rPr>
  </w:style>
  <w:style w:type="character" w:customStyle="1" w:styleId="285">
    <w:name w:val="强调1"/>
    <w:qFormat/>
    <w:uiPriority w:val="0"/>
    <w:rPr>
      <w:i/>
    </w:rPr>
  </w:style>
  <w:style w:type="character" w:customStyle="1" w:styleId="286">
    <w:name w:val="超链接1"/>
    <w:qFormat/>
    <w:uiPriority w:val="99"/>
    <w:rPr>
      <w:color w:val="000000"/>
      <w:sz w:val="18"/>
      <w:szCs w:val="18"/>
      <w:u w:val="none"/>
    </w:rPr>
  </w:style>
  <w:style w:type="character" w:customStyle="1" w:styleId="287">
    <w:name w:val="批注引用1"/>
    <w:qFormat/>
    <w:uiPriority w:val="0"/>
    <w:rPr>
      <w:sz w:val="21"/>
      <w:szCs w:val="21"/>
    </w:rPr>
  </w:style>
  <w:style w:type="character" w:customStyle="1" w:styleId="288">
    <w:name w:val="font91"/>
    <w:qFormat/>
    <w:uiPriority w:val="0"/>
    <w:rPr>
      <w:rFonts w:ascii="Calibri" w:hAnsi="Calibri" w:cs="Calibri"/>
      <w:color w:val="000000"/>
      <w:sz w:val="21"/>
      <w:szCs w:val="21"/>
      <w:u w:val="none"/>
    </w:rPr>
  </w:style>
  <w:style w:type="character" w:customStyle="1" w:styleId="289">
    <w:name w:val="style21"/>
    <w:qFormat/>
    <w:uiPriority w:val="0"/>
    <w:rPr>
      <w:sz w:val="18"/>
      <w:szCs w:val="18"/>
    </w:rPr>
  </w:style>
  <w:style w:type="character" w:customStyle="1" w:styleId="290">
    <w:name w:val="font01"/>
    <w:qFormat/>
    <w:uiPriority w:val="0"/>
    <w:rPr>
      <w:rFonts w:ascii="幼圆" w:hAnsi="幼圆" w:eastAsia="幼圆" w:cs="幼圆"/>
      <w:b/>
      <w:color w:val="000000"/>
      <w:sz w:val="22"/>
      <w:szCs w:val="22"/>
      <w:u w:val="none"/>
    </w:rPr>
  </w:style>
  <w:style w:type="character" w:customStyle="1" w:styleId="291">
    <w:name w:val="List Paragraph Char"/>
    <w:link w:val="292"/>
    <w:qFormat/>
    <w:uiPriority w:val="0"/>
    <w:rPr>
      <w:rFonts w:ascii="Calibri" w:hAnsi="Calibri"/>
      <w:sz w:val="21"/>
      <w:szCs w:val="22"/>
    </w:rPr>
  </w:style>
  <w:style w:type="paragraph" w:customStyle="1" w:styleId="292">
    <w:name w:val="List Paragraph2"/>
    <w:basedOn w:val="1"/>
    <w:link w:val="291"/>
    <w:qFormat/>
    <w:uiPriority w:val="0"/>
    <w:pPr>
      <w:ind w:firstLine="420"/>
    </w:pPr>
    <w:rPr>
      <w:rFonts w:ascii="Calibri" w:hAnsi="Calibri"/>
      <w:szCs w:val="22"/>
    </w:rPr>
  </w:style>
  <w:style w:type="character" w:customStyle="1" w:styleId="293">
    <w:name w:val="font11"/>
    <w:qFormat/>
    <w:uiPriority w:val="0"/>
    <w:rPr>
      <w:rFonts w:ascii="幼圆" w:hAnsi="幼圆" w:eastAsia="幼圆" w:cs="幼圆"/>
      <w:color w:val="000000"/>
      <w:sz w:val="22"/>
      <w:szCs w:val="22"/>
      <w:u w:val="none"/>
    </w:rPr>
  </w:style>
  <w:style w:type="character" w:customStyle="1" w:styleId="294">
    <w:name w:val="Table Sub Section Char"/>
    <w:link w:val="295"/>
    <w:qFormat/>
    <w:uiPriority w:val="0"/>
    <w:rPr>
      <w:rFonts w:ascii="Arial" w:hAnsi="Arial"/>
      <w:b/>
      <w:color w:val="0F0F0F"/>
      <w:lang w:eastAsia="en-US"/>
    </w:rPr>
  </w:style>
  <w:style w:type="paragraph" w:customStyle="1" w:styleId="295">
    <w:name w:val="Table Sub Section"/>
    <w:basedOn w:val="1"/>
    <w:link w:val="294"/>
    <w:qFormat/>
    <w:uiPriority w:val="0"/>
    <w:pPr>
      <w:keepNext/>
      <w:widowControl/>
      <w:spacing w:before="160" w:after="160" w:line="276" w:lineRule="auto"/>
      <w:jc w:val="left"/>
    </w:pPr>
    <w:rPr>
      <w:rFonts w:ascii="Arial" w:hAnsi="Arial"/>
      <w:b/>
      <w:color w:val="0F0F0F"/>
      <w:sz w:val="20"/>
      <w:lang w:eastAsia="en-US"/>
    </w:rPr>
  </w:style>
  <w:style w:type="character" w:customStyle="1" w:styleId="296">
    <w:name w:val="页脚 字符"/>
    <w:qFormat/>
    <w:uiPriority w:val="99"/>
  </w:style>
  <w:style w:type="character" w:customStyle="1" w:styleId="297">
    <w:name w:val="not([class*=suffix])"/>
    <w:qFormat/>
    <w:uiPriority w:val="0"/>
    <w:rPr>
      <w:sz w:val="19"/>
      <w:szCs w:val="19"/>
    </w:rPr>
  </w:style>
  <w:style w:type="character" w:customStyle="1" w:styleId="298">
    <w:name w:val="not([class*=suffix])1"/>
    <w:qFormat/>
    <w:uiPriority w:val="0"/>
  </w:style>
  <w:style w:type="character" w:customStyle="1" w:styleId="299">
    <w:name w:val="font21"/>
    <w:qFormat/>
    <w:uiPriority w:val="0"/>
    <w:rPr>
      <w:rFonts w:hint="eastAsia" w:ascii="宋体" w:hAnsi="宋体" w:eastAsia="宋体" w:cs="宋体"/>
      <w:color w:val="000000"/>
      <w:sz w:val="20"/>
      <w:szCs w:val="20"/>
      <w:u w:val="none"/>
    </w:rPr>
  </w:style>
  <w:style w:type="character" w:customStyle="1" w:styleId="300">
    <w:name w:val="font31"/>
    <w:qFormat/>
    <w:uiPriority w:val="0"/>
    <w:rPr>
      <w:rFonts w:hint="eastAsia" w:ascii="宋体" w:hAnsi="宋体" w:eastAsia="宋体" w:cs="宋体"/>
      <w:color w:val="000000"/>
      <w:sz w:val="20"/>
      <w:szCs w:val="20"/>
      <w:u w:val="none"/>
    </w:rPr>
  </w:style>
  <w:style w:type="character" w:customStyle="1" w:styleId="301">
    <w:name w:val="彩色列表字符"/>
    <w:link w:val="302"/>
    <w:qFormat/>
    <w:uiPriority w:val="0"/>
    <w:rPr>
      <w:rFonts w:ascii="Calibri" w:hAnsi="Calibri"/>
      <w:sz w:val="21"/>
      <w:szCs w:val="22"/>
    </w:rPr>
  </w:style>
  <w:style w:type="paragraph" w:customStyle="1" w:styleId="302">
    <w:name w:val="彩色列表1"/>
    <w:basedOn w:val="1"/>
    <w:link w:val="301"/>
    <w:qFormat/>
    <w:uiPriority w:val="0"/>
    <w:pPr>
      <w:ind w:firstLine="420"/>
    </w:pPr>
    <w:rPr>
      <w:rFonts w:ascii="Calibri" w:hAnsi="Calibri"/>
      <w:szCs w:val="22"/>
    </w:rPr>
  </w:style>
  <w:style w:type="character" w:customStyle="1" w:styleId="303">
    <w:name w:val="标准文本 Char"/>
    <w:link w:val="304"/>
    <w:qFormat/>
    <w:uiPriority w:val="0"/>
    <w:rPr>
      <w:rFonts w:ascii="宋体" w:hAnsi="宋体" w:eastAsia="宋体" w:cs="宋体"/>
      <w:sz w:val="21"/>
      <w:szCs w:val="21"/>
      <w:lang w:val="en-US" w:eastAsia="zh-CN" w:bidi="ar-SA"/>
    </w:rPr>
  </w:style>
  <w:style w:type="paragraph" w:customStyle="1" w:styleId="304">
    <w:name w:val="标准文本"/>
    <w:basedOn w:val="1"/>
    <w:link w:val="303"/>
    <w:qFormat/>
    <w:uiPriority w:val="0"/>
    <w:pPr>
      <w:spacing w:line="300" w:lineRule="auto"/>
      <w:ind w:firstLine="420"/>
    </w:pPr>
    <w:rPr>
      <w:rFonts w:ascii="宋体" w:hAnsi="宋体" w:cs="宋体"/>
      <w:szCs w:val="21"/>
    </w:rPr>
  </w:style>
  <w:style w:type="character" w:customStyle="1" w:styleId="305">
    <w:name w:val="apple-style-span"/>
    <w:qFormat/>
    <w:uiPriority w:val="0"/>
  </w:style>
  <w:style w:type="character" w:customStyle="1" w:styleId="306">
    <w:name w:val="mark"/>
    <w:qFormat/>
    <w:uiPriority w:val="0"/>
  </w:style>
  <w:style w:type="character" w:customStyle="1" w:styleId="307">
    <w:name w:val="c lh15"/>
    <w:qFormat/>
    <w:uiPriority w:val="0"/>
  </w:style>
  <w:style w:type="character" w:customStyle="1" w:styleId="308">
    <w:name w:val="font51"/>
    <w:qFormat/>
    <w:uiPriority w:val="0"/>
    <w:rPr>
      <w:rFonts w:ascii="Arial" w:hAnsi="Arial" w:cs="Arial"/>
      <w:color w:val="000000"/>
      <w:sz w:val="22"/>
      <w:szCs w:val="22"/>
      <w:u w:val="none"/>
    </w:rPr>
  </w:style>
  <w:style w:type="paragraph" w:customStyle="1" w:styleId="309">
    <w:name w:val="列表段落1"/>
    <w:basedOn w:val="1"/>
    <w:qFormat/>
    <w:uiPriority w:val="99"/>
    <w:pPr>
      <w:ind w:firstLine="420"/>
    </w:pPr>
    <w:rPr>
      <w:rFonts w:ascii="Calibri" w:hAnsi="Calibri"/>
      <w:szCs w:val="22"/>
    </w:rPr>
  </w:style>
  <w:style w:type="paragraph" w:customStyle="1" w:styleId="310">
    <w:name w:val="Char Char Char"/>
    <w:basedOn w:val="1"/>
    <w:qFormat/>
    <w:uiPriority w:val="0"/>
    <w:pPr>
      <w:widowControl/>
      <w:spacing w:line="400" w:lineRule="exact"/>
      <w:jc w:val="center"/>
    </w:pPr>
    <w:rPr>
      <w:szCs w:val="24"/>
    </w:rPr>
  </w:style>
  <w:style w:type="paragraph" w:customStyle="1" w:styleId="311">
    <w:name w:val="077-正文格式"/>
    <w:basedOn w:val="1"/>
    <w:qFormat/>
    <w:uiPriority w:val="0"/>
    <w:pPr>
      <w:spacing w:line="360" w:lineRule="auto"/>
      <w:ind w:firstLine="480"/>
    </w:pPr>
    <w:rPr>
      <w:rFonts w:ascii="宋体" w:cs="宋体"/>
      <w:sz w:val="24"/>
    </w:rPr>
  </w:style>
  <w:style w:type="paragraph" w:customStyle="1" w:styleId="312">
    <w:name w:val="简单回函地址"/>
    <w:basedOn w:val="1"/>
    <w:qFormat/>
    <w:uiPriority w:val="0"/>
    <w:rPr>
      <w:szCs w:val="24"/>
    </w:rPr>
  </w:style>
  <w:style w:type="paragraph" w:styleId="313">
    <w:name w:val="No Spacing"/>
    <w:qFormat/>
    <w:uiPriority w:val="0"/>
    <w:rPr>
      <w:rFonts w:hint="default" w:ascii="Calibri" w:hAnsi="Calibri" w:eastAsia="宋体" w:cs="Times New Roman"/>
      <w:sz w:val="22"/>
      <w:szCs w:val="22"/>
      <w:lang w:val="en-US" w:eastAsia="zh-CN" w:bidi="ar-SA"/>
    </w:rPr>
  </w:style>
  <w:style w:type="paragraph" w:customStyle="1" w:styleId="314">
    <w:name w:val="p0"/>
    <w:basedOn w:val="1"/>
    <w:qFormat/>
    <w:uiPriority w:val="0"/>
    <w:pPr>
      <w:widowControl/>
      <w:ind w:firstLine="420"/>
      <w:jc w:val="left"/>
    </w:pPr>
    <w:rPr>
      <w:sz w:val="20"/>
    </w:rPr>
  </w:style>
  <w:style w:type="paragraph" w:customStyle="1" w:styleId="315">
    <w:name w:val="正文1"/>
    <w:basedOn w:val="1"/>
    <w:next w:val="87"/>
    <w:qFormat/>
    <w:uiPriority w:val="0"/>
    <w:pPr>
      <w:widowControl/>
      <w:spacing w:after="200" w:line="300" w:lineRule="atLeast"/>
      <w:jc w:val="left"/>
    </w:pPr>
    <w:rPr>
      <w:rFonts w:ascii="Calibri" w:hAnsi="Calibri" w:cs="宋体"/>
      <w:sz w:val="22"/>
      <w:szCs w:val="22"/>
    </w:rPr>
  </w:style>
  <w:style w:type="paragraph" w:customStyle="1" w:styleId="316">
    <w:name w:val="List Paragraph1"/>
    <w:basedOn w:val="1"/>
    <w:qFormat/>
    <w:uiPriority w:val="99"/>
    <w:pPr>
      <w:spacing w:line="300" w:lineRule="auto"/>
      <w:ind w:firstLine="420"/>
      <w:jc w:val="left"/>
    </w:pPr>
    <w:rPr>
      <w:szCs w:val="22"/>
    </w:rPr>
  </w:style>
  <w:style w:type="paragraph" w:customStyle="1" w:styleId="317">
    <w:name w:val="Char Char"/>
    <w:basedOn w:val="1"/>
    <w:qFormat/>
    <w:uiPriority w:val="0"/>
    <w:pPr>
      <w:ind w:left="360" w:hanging="360"/>
    </w:pPr>
    <w:rPr>
      <w:sz w:val="24"/>
      <w:szCs w:val="24"/>
    </w:rPr>
  </w:style>
  <w:style w:type="paragraph" w:customStyle="1" w:styleId="318">
    <w:name w:val="正文 A"/>
    <w:qFormat/>
    <w:uiPriority w:val="0"/>
    <w:pPr>
      <w:widowControl w:val="0"/>
      <w:jc w:val="both"/>
    </w:pPr>
    <w:rPr>
      <w:rFonts w:hint="default" w:ascii="Times New Roman" w:hAnsi="Times New Roman" w:eastAsia="Times New Roman" w:cs="Times New Roman"/>
      <w:color w:val="000000"/>
      <w:sz w:val="21"/>
      <w:szCs w:val="21"/>
      <w:lang w:val="en-US" w:eastAsia="zh-CN" w:bidi="ar-SA"/>
    </w:rPr>
  </w:style>
  <w:style w:type="paragraph" w:customStyle="1" w:styleId="319">
    <w:name w:val="首行缩进"/>
    <w:basedOn w:val="1"/>
    <w:qFormat/>
    <w:uiPriority w:val="99"/>
    <w:pPr>
      <w:spacing w:line="360" w:lineRule="auto"/>
      <w:ind w:firstLine="480"/>
    </w:pPr>
    <w:rPr>
      <w:szCs w:val="24"/>
    </w:rPr>
  </w:style>
  <w:style w:type="paragraph" w:customStyle="1" w:styleId="320">
    <w:name w:val="Char Char Char Char Char Char Char"/>
    <w:basedOn w:val="1"/>
    <w:qFormat/>
    <w:uiPriority w:val="0"/>
    <w:pPr>
      <w:tabs>
        <w:tab w:val="left" w:pos="432"/>
      </w:tabs>
      <w:ind w:left="432" w:hanging="432"/>
      <w:jc w:val="center"/>
    </w:pPr>
    <w:rPr>
      <w:rFonts w:ascii="仿宋_GB2312" w:hAnsi="Tahoma" w:eastAsia="仿宋_GB2312"/>
      <w:sz w:val="24"/>
      <w:szCs w:val="24"/>
    </w:rPr>
  </w:style>
  <w:style w:type="paragraph" w:customStyle="1" w:styleId="321">
    <w:name w:val="_Style 1"/>
    <w:basedOn w:val="1"/>
    <w:qFormat/>
    <w:uiPriority w:val="99"/>
    <w:pPr>
      <w:ind w:firstLine="420"/>
    </w:pPr>
    <w:rPr>
      <w:rFonts w:ascii="Calibri" w:hAnsi="Calibri"/>
      <w:szCs w:val="22"/>
    </w:rPr>
  </w:style>
  <w:style w:type="paragraph" w:customStyle="1" w:styleId="322">
    <w:name w:val="Char"/>
    <w:basedOn w:val="1"/>
    <w:qFormat/>
    <w:uiPriority w:val="0"/>
    <w:pPr>
      <w:tabs>
        <w:tab w:val="left" w:pos="360"/>
      </w:tabs>
    </w:pPr>
    <w:rPr>
      <w:sz w:val="24"/>
    </w:rPr>
  </w:style>
  <w:style w:type="paragraph" w:customStyle="1" w:styleId="323">
    <w:name w:val="段"/>
    <w:next w:val="1"/>
    <w:qFormat/>
    <w:uiPriority w:val="0"/>
    <w:pPr>
      <w:ind w:firstLine="200"/>
      <w:jc w:val="both"/>
    </w:pPr>
    <w:rPr>
      <w:rFonts w:hint="default" w:ascii="宋体" w:hAnsi="Calibri" w:eastAsia="宋体" w:cs="Times New Roman"/>
      <w:sz w:val="21"/>
      <w:szCs w:val="22"/>
      <w:lang w:val="en-US" w:eastAsia="zh-CN" w:bidi="ar-SA"/>
    </w:rPr>
  </w:style>
  <w:style w:type="paragraph" w:customStyle="1" w:styleId="324">
    <w:name w:val="列出段落11"/>
    <w:basedOn w:val="1"/>
    <w:qFormat/>
    <w:uiPriority w:val="34"/>
    <w:pPr>
      <w:ind w:firstLine="420"/>
    </w:pPr>
  </w:style>
  <w:style w:type="paragraph" w:customStyle="1" w:styleId="325">
    <w:name w:val="Char Char Char Char Char Char Char1"/>
    <w:basedOn w:val="1"/>
    <w:semiHidden/>
    <w:qFormat/>
    <w:uiPriority w:val="0"/>
    <w:rPr>
      <w:rFonts w:ascii="Tahoma" w:hAnsi="Tahoma" w:cs="仿宋_GB2312"/>
      <w:sz w:val="24"/>
      <w:szCs w:val="28"/>
    </w:rPr>
  </w:style>
  <w:style w:type="paragraph" w:customStyle="1" w:styleId="326">
    <w:name w:val="_Style 3"/>
    <w:basedOn w:val="1"/>
    <w:qFormat/>
    <w:uiPriority w:val="34"/>
    <w:pPr>
      <w:ind w:firstLine="420"/>
    </w:pPr>
    <w:rPr>
      <w:rFonts w:ascii="Calibri" w:hAnsi="Calibri"/>
      <w:szCs w:val="22"/>
    </w:rPr>
  </w:style>
  <w:style w:type="paragraph" w:customStyle="1" w:styleId="327">
    <w:name w:val="一级"/>
    <w:basedOn w:val="1"/>
    <w:qFormat/>
    <w:uiPriority w:val="0"/>
    <w:pPr>
      <w:numPr>
        <w:ilvl w:val="0"/>
        <w:numId w:val="1"/>
      </w:numPr>
      <w:spacing w:line="360" w:lineRule="auto"/>
      <w:outlineLvl w:val="0"/>
    </w:pPr>
    <w:rPr>
      <w:b/>
      <w:sz w:val="32"/>
      <w:szCs w:val="32"/>
    </w:rPr>
  </w:style>
  <w:style w:type="paragraph" w:customStyle="1" w:styleId="328">
    <w:name w:val="正文_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29">
    <w:name w:val="B正文"/>
    <w:basedOn w:val="1"/>
    <w:qFormat/>
    <w:uiPriority w:val="0"/>
    <w:pPr>
      <w:spacing w:line="500" w:lineRule="exact"/>
      <w:ind w:firstLine="560"/>
    </w:pPr>
    <w:rPr>
      <w:sz w:val="28"/>
      <w:szCs w:val="24"/>
    </w:rPr>
  </w:style>
  <w:style w:type="paragraph" w:customStyle="1" w:styleId="330">
    <w:name w:val="Normal_1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1">
    <w:name w:val="yiv1658056056msonormal"/>
    <w:basedOn w:val="1"/>
    <w:qFormat/>
    <w:uiPriority w:val="99"/>
    <w:pPr>
      <w:widowControl/>
      <w:spacing w:before="100" w:beforeAutospacing="1" w:after="100" w:afterAutospacing="1"/>
      <w:jc w:val="left"/>
    </w:pPr>
    <w:rPr>
      <w:rFonts w:ascii="宋体" w:hAnsi="宋体" w:cs="宋体"/>
      <w:sz w:val="24"/>
      <w:szCs w:val="24"/>
    </w:rPr>
  </w:style>
  <w:style w:type="paragraph" w:customStyle="1" w:styleId="332">
    <w:name w:val="正文 New New New New New New"/>
    <w:qFormat/>
    <w:uiPriority w:val="0"/>
    <w:pPr>
      <w:widowControl w:val="0"/>
      <w:jc w:val="both"/>
    </w:pPr>
    <w:rPr>
      <w:rFonts w:hint="default" w:ascii="Calibri" w:hAnsi="Calibri" w:eastAsia="宋体" w:cs="Times New Roman"/>
      <w:sz w:val="21"/>
      <w:szCs w:val="24"/>
      <w:lang w:val="en-US" w:eastAsia="zh-CN" w:bidi="ar-SA"/>
    </w:rPr>
  </w:style>
  <w:style w:type="paragraph" w:customStyle="1" w:styleId="333">
    <w:name w:val="列出段落1"/>
    <w:basedOn w:val="1"/>
    <w:qFormat/>
    <w:uiPriority w:val="34"/>
    <w:pPr>
      <w:ind w:firstLine="420"/>
    </w:pPr>
    <w:rPr>
      <w:rFonts w:ascii="Calibri" w:hAnsi="Calibri"/>
      <w:szCs w:val="22"/>
    </w:rPr>
  </w:style>
  <w:style w:type="paragraph" w:styleId="334">
    <w:name w:val="List Paragraph"/>
    <w:basedOn w:val="1"/>
    <w:link w:val="346"/>
    <w:qFormat/>
    <w:uiPriority w:val="34"/>
    <w:pPr>
      <w:widowControl/>
      <w:spacing w:after="200"/>
      <w:ind w:firstLine="420"/>
      <w:jc w:val="left"/>
    </w:pPr>
    <w:rPr>
      <w:rFonts w:ascii="Tahoma" w:hAnsi="Tahoma" w:eastAsia="微软雅黑"/>
      <w:sz w:val="22"/>
      <w:szCs w:val="22"/>
    </w:rPr>
  </w:style>
  <w:style w:type="paragraph" w:customStyle="1" w:styleId="335">
    <w:name w:val="样式 首行缩进:  2 字符"/>
    <w:basedOn w:val="1"/>
    <w:qFormat/>
    <w:uiPriority w:val="0"/>
    <w:pPr>
      <w:spacing w:line="400" w:lineRule="exact"/>
      <w:ind w:firstLine="200"/>
    </w:pPr>
    <w:rPr>
      <w:rFonts w:cs="宋体"/>
      <w:sz w:val="24"/>
      <w:szCs w:val="24"/>
    </w:rPr>
  </w:style>
  <w:style w:type="paragraph" w:customStyle="1" w:styleId="336">
    <w:name w:val="修订1"/>
    <w:unhideWhenUsed/>
    <w:qFormat/>
    <w:uiPriority w:val="99"/>
    <w:rPr>
      <w:rFonts w:hint="default" w:ascii="Times New Roman" w:hAnsi="Times New Roman" w:eastAsia="宋体" w:cs="Times New Roman"/>
      <w:sz w:val="21"/>
      <w:lang w:val="en-US" w:eastAsia="zh-CN" w:bidi="ar-SA"/>
    </w:rPr>
  </w:style>
  <w:style w:type="paragraph" w:customStyle="1" w:styleId="337">
    <w:name w:val="_Style 2"/>
    <w:qFormat/>
    <w:uiPriority w:val="1"/>
    <w:rPr>
      <w:rFonts w:hint="default" w:ascii="Calibri" w:hAnsi="Calibri" w:eastAsia="宋体" w:cs="Arial"/>
      <w:sz w:val="22"/>
      <w:szCs w:val="22"/>
      <w:lang w:val="en-AU" w:eastAsia="en-US" w:bidi="ar-SA"/>
    </w:rPr>
  </w:style>
  <w:style w:type="paragraph" w:customStyle="1" w:styleId="338">
    <w:name w:val="彩色列表 - 强调文字颜色 11"/>
    <w:basedOn w:val="1"/>
    <w:qFormat/>
    <w:uiPriority w:val="0"/>
    <w:pPr>
      <w:widowControl/>
      <w:spacing w:before="100" w:after="100" w:line="276" w:lineRule="auto"/>
      <w:ind w:left="720"/>
      <w:contextualSpacing/>
      <w:jc w:val="left"/>
    </w:pPr>
    <w:rPr>
      <w:rFonts w:ascii="Arial" w:hAnsi="Arial" w:cs="Arial"/>
      <w:color w:val="0F0F0F"/>
      <w:sz w:val="20"/>
      <w:lang w:eastAsia="en-US"/>
    </w:rPr>
  </w:style>
  <w:style w:type="paragraph" w:customStyle="1" w:styleId="339">
    <w:name w:val="Default"/>
    <w:unhideWhenUsed/>
    <w:qFormat/>
    <w:uiPriority w:val="0"/>
    <w:pPr>
      <w:widowControl w:val="0"/>
    </w:pPr>
    <w:rPr>
      <w:rFonts w:hint="eastAsia" w:ascii="楷体" w:hAnsi="楷体" w:eastAsia="楷体" w:cs="Times New Roman"/>
      <w:color w:val="000000"/>
      <w:sz w:val="24"/>
      <w:lang w:val="en-US" w:eastAsia="zh-CN" w:bidi="ar-SA"/>
    </w:rPr>
  </w:style>
  <w:style w:type="paragraph" w:customStyle="1" w:styleId="340">
    <w:name w:val="Normal1"/>
    <w:basedOn w:val="1"/>
    <w:qFormat/>
    <w:uiPriority w:val="0"/>
    <w:pPr>
      <w:widowControl/>
      <w:spacing w:after="200" w:line="300" w:lineRule="atLeast"/>
      <w:jc w:val="left"/>
    </w:pPr>
    <w:rPr>
      <w:rFonts w:ascii="Calibri" w:hAnsi="Calibri" w:cs="宋体"/>
      <w:sz w:val="22"/>
      <w:szCs w:val="22"/>
    </w:rPr>
  </w:style>
  <w:style w:type="character" w:customStyle="1" w:styleId="341">
    <w:name w:val="font71"/>
    <w:qFormat/>
    <w:uiPriority w:val="0"/>
    <w:rPr>
      <w:rFonts w:hint="eastAsia" w:ascii="宋体" w:hAnsi="宋体" w:eastAsia="宋体" w:cs="宋体"/>
      <w:color w:val="000000"/>
      <w:sz w:val="24"/>
      <w:szCs w:val="24"/>
      <w:u w:val="none"/>
    </w:rPr>
  </w:style>
  <w:style w:type="character" w:customStyle="1" w:styleId="342">
    <w:name w:val="font61"/>
    <w:qFormat/>
    <w:uiPriority w:val="0"/>
    <w:rPr>
      <w:rFonts w:hint="eastAsia" w:ascii="宋体" w:hAnsi="宋体" w:eastAsia="宋体" w:cs="宋体"/>
      <w:color w:val="000000"/>
      <w:sz w:val="15"/>
      <w:szCs w:val="15"/>
      <w:u w:val="none"/>
    </w:rPr>
  </w:style>
  <w:style w:type="paragraph" w:customStyle="1" w:styleId="343">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344">
    <w:name w:val="_Style 6"/>
    <w:basedOn w:val="1"/>
    <w:qFormat/>
    <w:uiPriority w:val="34"/>
    <w:pPr>
      <w:ind w:firstLine="420"/>
    </w:pPr>
    <w:rPr>
      <w:szCs w:val="24"/>
    </w:rPr>
  </w:style>
  <w:style w:type="paragraph" w:customStyle="1" w:styleId="345">
    <w:name w:val="Revision"/>
    <w:hidden/>
    <w:unhideWhenUsed/>
    <w:qFormat/>
    <w:uiPriority w:val="99"/>
    <w:rPr>
      <w:rFonts w:hint="default" w:ascii="Times New Roman" w:hAnsi="Times New Roman" w:eastAsia="宋体" w:cs="Times New Roman"/>
      <w:sz w:val="21"/>
      <w:lang w:val="en-US" w:eastAsia="zh-CN" w:bidi="ar-SA"/>
    </w:rPr>
  </w:style>
  <w:style w:type="character" w:customStyle="1" w:styleId="346">
    <w:name w:val="列表段落 字符"/>
    <w:link w:val="334"/>
    <w:qFormat/>
    <w:uiPriority w:val="34"/>
    <w:rPr>
      <w:rFonts w:ascii="Tahoma" w:hAnsi="Tahoma" w:eastAsia="微软雅黑"/>
      <w:sz w:val="22"/>
      <w:szCs w:val="22"/>
    </w:rPr>
  </w:style>
  <w:style w:type="character" w:customStyle="1" w:styleId="347">
    <w:name w:val="批注文字 字符1"/>
    <w:basedOn w:val="42"/>
    <w:link w:val="17"/>
    <w:qFormat/>
    <w:uiPriority w:val="99"/>
    <w:rPr>
      <w:sz w:val="21"/>
    </w:rPr>
  </w:style>
  <w:style w:type="character" w:customStyle="1" w:styleId="348">
    <w:name w:val="批注主题 字符1"/>
    <w:basedOn w:val="347"/>
    <w:link w:val="39"/>
    <w:semiHidden/>
    <w:qFormat/>
    <w:uiPriority w:val="99"/>
    <w:rPr>
      <w:b/>
      <w:bCs/>
      <w:sz w:val="21"/>
    </w:rPr>
  </w:style>
  <w:style w:type="paragraph" w:customStyle="1" w:styleId="349">
    <w:name w:val="*正文"/>
    <w:basedOn w:val="1"/>
    <w:qFormat/>
    <w:uiPriority w:val="0"/>
    <w:pPr>
      <w:keepNext w:val="0"/>
      <w:keepLines w:val="0"/>
      <w:widowControl w:val="0"/>
      <w:suppressLineNumbers w:val="0"/>
      <w:spacing w:before="0" w:beforeAutospacing="0" w:after="0" w:afterAutospacing="0" w:line="360" w:lineRule="auto"/>
      <w:ind w:left="0" w:right="0" w:firstLine="200"/>
      <w:jc w:val="left"/>
    </w:pPr>
    <w:rPr>
      <w:rFonts w:hint="eastAsia" w:ascii="宋体" w:hAnsi="宋体" w:eastAsia="宋体" w:cs="Times New Roman"/>
      <w:b/>
      <w:position w:val="-10"/>
      <w:sz w:val="24"/>
      <w:szCs w:val="24"/>
      <w:lang w:val="en-US" w:eastAsia="zh-CN" w:bidi="ar"/>
    </w:rPr>
  </w:style>
  <w:style w:type="paragraph" w:customStyle="1" w:styleId="350">
    <w:name w:val="标题11"/>
    <w:basedOn w:val="1"/>
    <w:qFormat/>
    <w:uiPriority w:val="0"/>
    <w:pPr>
      <w:widowControl/>
      <w:spacing w:line="420" w:lineRule="exact"/>
      <w:jc w:val="center"/>
    </w:pPr>
    <w:rPr>
      <w:rFonts w:eastAsia="黑体"/>
      <w:b/>
      <w:sz w:val="20"/>
      <w:szCs w:val="20"/>
      <w:lang w:val="en-GB"/>
    </w:rPr>
  </w:style>
  <w:style w:type="paragraph" w:customStyle="1" w:styleId="351">
    <w:name w:val="页脚11"/>
    <w:basedOn w:val="1"/>
    <w:qFormat/>
    <w:uiPriority w:val="0"/>
    <w:pPr>
      <w:tabs>
        <w:tab w:val="center" w:pos="4153"/>
        <w:tab w:val="right" w:pos="8306"/>
      </w:tabs>
      <w:jc w:val="left"/>
    </w:pPr>
    <w:rPr>
      <w:rFonts w:ascii="Times New Roman" w:hAnsi="Times New Roman" w:eastAsia="宋体" w:cs="Times New Roman"/>
      <w:sz w:val="18"/>
      <w:szCs w:val="18"/>
    </w:rPr>
  </w:style>
  <w:style w:type="paragraph" w:customStyle="1" w:styleId="352">
    <w:name w:val="普通正文"/>
    <w:basedOn w:val="1"/>
    <w:qFormat/>
    <w:uiPriority w:val="0"/>
    <w:pPr>
      <w:spacing w:before="120" w:after="120" w:line="360" w:lineRule="auto"/>
      <w:ind w:firstLine="480"/>
      <w:jc w:val="left"/>
    </w:pPr>
    <w:rPr>
      <w:rFonts w:ascii="Arial" w:hAnsi="Arial" w:eastAsia="宋体" w:cs="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63</Pages>
  <Words>9179</Words>
  <Characters>9917</Characters>
  <TotalTime>0</TotalTime>
  <ScaleCrop>false</ScaleCrop>
  <LinksUpToDate>false</LinksUpToDate>
  <CharactersWithSpaces>10003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2023-11-14T02:36:00Z</dcterms:created>
  <dc:creator>OPEY</dc:creator>
  <dc:description>Shankar's Birthday falls on 25th</dc:description>
  <cp:keywords>Birt</cp:keywords>
  <cp:lastModifiedBy>浩子与猫</cp:lastModifiedBy>
  <dcterms:modified xsi:type="dcterms:W3CDTF">2026-05-06T07:28:26Z</dcterms:modified>
  <dc:subject>Birt</dc:subject>
  <dc:title>LO</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0FEF63300BBA4F9587FB0CD8AFE2B399_13</vt:lpwstr>
  </property>
  <property fmtid="{D5CDD505-2E9C-101B-9397-08002B2CF9AE}" pid="4" name="KSOTemplateDocerSaveRecord">
    <vt:lpwstr>eyJoZGlkIjoiODliMTRiYjg3OGFlMDVjMzBkYjMyMWY2NGQ3N2I0MjkiLCJ1c2VySWQiOiIxMDI2NzE0MjIyIn0=</vt:lpwstr>
  </property>
</Properties>
</file>